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KASBAR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36"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KINECT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WKC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06/05/2026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196"/>
              <w:spacing w:after="0" w:line="320" w:lineRule="exact"/>
              <w:rPr>
                <w:sz w:val="20"/>
                <w:szCs w:val="20"/>
                <w:color w:val="auto"/>
              </w:rPr>
            </w:pPr>
            <w:r>
              <w:rPr>
                <w:rFonts w:ascii="Times New Roman" w:cs="Times New Roman" w:eastAsia="Times New Roman" w:hAnsi="Times New Roman"/>
                <w:sz w:val="34"/>
                <w:szCs w:val="34"/>
                <w:color w:val="0000FF"/>
                <w:vertAlign w:val="subscript"/>
              </w:rPr>
              <w:t>700</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1,040,750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06/08/2026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76"/>
              <w:spacing w:after="0"/>
              <w:rPr>
                <w:sz w:val="20"/>
                <w:szCs w:val="20"/>
                <w:color w:val="auto"/>
              </w:rPr>
            </w:pPr>
            <w:r>
              <w:rPr>
                <w:rFonts w:ascii="Times New Roman" w:cs="Times New Roman" w:eastAsia="Times New Roman" w:hAnsi="Times New Roman"/>
                <w:sz w:val="17"/>
                <w:szCs w:val="17"/>
                <w:color w:val="0000FF"/>
              </w:rPr>
              <w:t>19,300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30.1747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1,021,450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previously adopted on November 24,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transactions ranged from $30.00 to $30.33, inclusive. The reporting person undertakes to provide the issuer and will provide any security holder of the issuer or the SEC staff, upon request, information regarding the number of shares sold at each separate price within the specified range.</w:t>
      </w:r>
    </w:p>
    <w:p>
      <w:pPr>
        <w:spacing w:after="0" w:line="18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2793"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2026-06-09T15:37:15Z</dcterms:created>
  <dcterms:modified xsi:type="dcterms:W3CDTF">2026-06-09T15:37:15Z</dcterms:modified>
</cp:coreProperties>
</file>