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5407025" cy="1384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07025" cy="1384935"/>
                    </a:xfrm>
                    <a:prstGeom prst="rect">
                      <a:avLst/>
                    </a:prstGeom>
                    <a:noFill/>
                  </pic:spPr>
                </pic:pic>
              </a:graphicData>
            </a:graphic>
          </wp:anchor>
        </w:drawing>
        <w:t>UNITED STATES</w:t>
      </w:r>
    </w:p>
    <w:p>
      <w:pPr>
        <w:spacing w:after="0" w:line="206" w:lineRule="exact"/>
        <w:rPr>
          <w:sz w:val="24"/>
          <w:szCs w:val="24"/>
          <w:color w:val="auto"/>
        </w:rPr>
      </w:pPr>
    </w:p>
    <w:p>
      <w:pPr>
        <w:jc w:val="center"/>
        <w:ind w:left="640"/>
        <w:spacing w:after="0"/>
        <w:rPr>
          <w:sz w:val="20"/>
          <w:szCs w:val="20"/>
          <w:color w:val="auto"/>
        </w:rPr>
      </w:pPr>
      <w:r>
        <w:rPr>
          <w:rFonts w:ascii="Arial" w:cs="Arial" w:eastAsia="Arial" w:hAnsi="Arial"/>
          <w:sz w:val="21"/>
          <w:szCs w:val="21"/>
          <w:b w:val="1"/>
          <w:bCs w:val="1"/>
          <w:color w:val="auto"/>
        </w:rPr>
        <w:t>SECURITIES AND EXCHANGE COMMISSION</w:t>
      </w:r>
    </w:p>
    <w:p>
      <w:pPr>
        <w:spacing w:after="0" w:line="218" w:lineRule="exact"/>
        <w:rPr>
          <w:sz w:val="24"/>
          <w:szCs w:val="24"/>
          <w:color w:val="auto"/>
        </w:rPr>
      </w:pPr>
    </w:p>
    <w:p>
      <w:pPr>
        <w:jc w:val="center"/>
        <w:ind w:left="6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br w:type="column"/>
      </w:r>
    </w:p>
    <w:p>
      <w:pPr>
        <w:ind w:left="360"/>
        <w:spacing w:after="0"/>
        <w:rPr>
          <w:sz w:val="20"/>
          <w:szCs w:val="20"/>
          <w:color w:val="auto"/>
        </w:rPr>
      </w:pPr>
      <w:r>
        <w:rPr>
          <w:rFonts w:ascii="Arial" w:cs="Arial" w:eastAsia="Arial" w:hAnsi="Arial"/>
          <w:sz w:val="18"/>
          <w:szCs w:val="18"/>
          <w:u w:val="single" w:color="auto"/>
          <w:color w:val="auto"/>
        </w:rPr>
        <w:t>OMB APPROVAL</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OMB Number: 3235-0145</w:t>
      </w:r>
    </w:p>
    <w:p>
      <w:pPr>
        <w:spacing w:after="0" w:line="248" w:lineRule="exact"/>
        <w:rPr>
          <w:sz w:val="24"/>
          <w:szCs w:val="24"/>
          <w:color w:val="auto"/>
        </w:rPr>
      </w:pPr>
    </w:p>
    <w:p>
      <w:pPr>
        <w:spacing w:after="0"/>
        <w:rPr>
          <w:sz w:val="20"/>
          <w:szCs w:val="20"/>
          <w:color w:val="auto"/>
        </w:rPr>
      </w:pPr>
      <w:r>
        <w:rPr>
          <w:rFonts w:ascii="Arial" w:cs="Arial" w:eastAsia="Arial" w:hAnsi="Arial"/>
          <w:sz w:val="15"/>
          <w:szCs w:val="15"/>
          <w:color w:val="auto"/>
        </w:rPr>
        <w:t>Expires: December 31, 2005</w:t>
      </w: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color w:val="auto"/>
        </w:rPr>
        <w:t>Estimated average burden</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hours per response 11</w:t>
      </w:r>
    </w:p>
    <w:p>
      <w:pPr>
        <w:spacing w:after="0" w:line="200" w:lineRule="exact"/>
        <w:rPr>
          <w:sz w:val="24"/>
          <w:szCs w:val="24"/>
          <w:color w:val="auto"/>
        </w:rPr>
      </w:pPr>
    </w:p>
    <w:p>
      <w:pPr>
        <w:sectPr>
          <w:pgSz w:w="11900" w:h="16838" w:orient="portrait"/>
          <w:cols w:equalWidth="0" w:num="2">
            <w:col w:w="5600" w:space="720"/>
            <w:col w:w="5040"/>
          </w:cols>
          <w:pgMar w:left="240" w:top="355" w:right="299" w:bottom="0" w:gutter="0" w:footer="0" w:header="0"/>
        </w:sectPr>
      </w:pPr>
    </w:p>
    <w:p>
      <w:pPr>
        <w:spacing w:after="0" w:line="14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w:t>
      </w:r>
    </w:p>
    <w:p>
      <w:pPr>
        <w:spacing w:after="0" w:line="182" w:lineRule="exact"/>
        <w:rPr>
          <w:sz w:val="24"/>
          <w:szCs w:val="24"/>
          <w:color w:val="auto"/>
        </w:rPr>
      </w:pPr>
    </w:p>
    <w:p>
      <w:pPr>
        <w:ind w:left="4480"/>
        <w:spacing w:after="0"/>
        <w:rPr>
          <w:sz w:val="20"/>
          <w:szCs w:val="20"/>
          <w:color w:val="auto"/>
        </w:rPr>
      </w:pPr>
      <w:r>
        <w:rPr>
          <w:rFonts w:ascii="Arial" w:cs="Arial" w:eastAsia="Arial" w:hAnsi="Arial"/>
          <w:sz w:val="22"/>
          <w:szCs w:val="22"/>
          <w:b w:val="1"/>
          <w:bCs w:val="1"/>
          <w:color w:val="auto"/>
        </w:rPr>
        <w:t>World Fuel Services Corp.</w:t>
      </w:r>
    </w:p>
    <w:p>
      <w:pPr>
        <w:spacing w:after="0" w:line="212"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0"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212"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ind w:left="5220"/>
        <w:spacing w:after="0"/>
        <w:rPr>
          <w:sz w:val="20"/>
          <w:szCs w:val="20"/>
          <w:color w:val="auto"/>
        </w:rPr>
      </w:pPr>
      <w:r>
        <w:rPr>
          <w:rFonts w:ascii="Arial" w:cs="Arial" w:eastAsia="Arial" w:hAnsi="Arial"/>
          <w:sz w:val="22"/>
          <w:szCs w:val="22"/>
          <w:b w:val="1"/>
          <w:bCs w:val="1"/>
          <w:color w:val="auto"/>
        </w:rPr>
        <w:t>981475106</w:t>
      </w:r>
    </w:p>
    <w:p>
      <w:pPr>
        <w:spacing w:after="0" w:line="212"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0" w:lineRule="exact"/>
        <w:rPr>
          <w:sz w:val="24"/>
          <w:szCs w:val="24"/>
          <w:color w:val="auto"/>
        </w:rPr>
      </w:pPr>
    </w:p>
    <w:p>
      <w:pPr>
        <w:ind w:left="5060"/>
        <w:spacing w:after="0"/>
        <w:rPr>
          <w:sz w:val="20"/>
          <w:szCs w:val="20"/>
          <w:color w:val="auto"/>
        </w:rPr>
      </w:pPr>
      <w:r>
        <w:rPr>
          <w:rFonts w:ascii="Arial" w:cs="Arial" w:eastAsia="Arial" w:hAnsi="Arial"/>
          <w:sz w:val="22"/>
          <w:szCs w:val="22"/>
          <w:b w:val="1"/>
          <w:bCs w:val="1"/>
          <w:color w:val="auto"/>
        </w:rPr>
        <w:t>April 24, 2003</w:t>
      </w:r>
    </w:p>
    <w:p>
      <w:pPr>
        <w:spacing w:after="0" w:line="212"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ind w:left="520" w:hanging="512"/>
        <w:spacing w:after="0"/>
        <w:tabs>
          <w:tab w:leader="none" w:pos="5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pacing w:after="0" w:line="206" w:lineRule="exact"/>
        <w:rPr>
          <w:rFonts w:ascii="Arial" w:cs="Arial" w:eastAsia="Arial" w:hAnsi="Arial"/>
          <w:sz w:val="22"/>
          <w:szCs w:val="22"/>
          <w:color w:val="auto"/>
        </w:rPr>
      </w:pPr>
    </w:p>
    <w:p>
      <w:pPr>
        <w:ind w:right="9640" w:firstLine="8"/>
        <w:spacing w:after="0" w:line="504" w:lineRule="auto"/>
        <w:tabs>
          <w:tab w:leader="none" w:pos="510" w:val="left"/>
        </w:tabs>
        <w:numPr>
          <w:ilvl w:val="0"/>
          <w:numId w:val="2"/>
        </w:numPr>
        <w:rPr>
          <w:rFonts w:ascii="Arial" w:cs="Arial" w:eastAsia="Arial" w:hAnsi="Arial"/>
          <w:sz w:val="19"/>
          <w:szCs w:val="19"/>
          <w:color w:val="auto"/>
        </w:rPr>
      </w:pPr>
      <w:r>
        <w:rPr>
          <w:rFonts w:ascii="Arial" w:cs="Arial" w:eastAsia="Arial" w:hAnsi="Arial"/>
          <w:sz w:val="19"/>
          <w:szCs w:val="19"/>
          <w:color w:val="auto"/>
        </w:rPr>
        <w:t>Rule 13d-1(c) [ ] Rule 13d-1(d)</w:t>
      </w:r>
    </w:p>
    <w:p>
      <w:pPr>
        <w:spacing w:after="0" w:line="1" w:lineRule="exact"/>
        <w:rPr>
          <w:sz w:val="24"/>
          <w:szCs w:val="24"/>
          <w:color w:val="auto"/>
        </w:rPr>
      </w:pPr>
    </w:p>
    <w:p>
      <w:pPr>
        <w:ind w:firstLine="8"/>
        <w:spacing w:after="0"/>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ind w:right="380"/>
        <w:spacing w:after="0" w:line="256" w:lineRule="auto"/>
        <w:rPr>
          <w:sz w:val="20"/>
          <w:szCs w:val="20"/>
          <w:color w:val="auto"/>
        </w:rPr>
      </w:pPr>
      <w:r>
        <w:rPr>
          <w:rFonts w:ascii="Arial" w:cs="Arial" w:eastAsia="Arial" w:hAnsi="Arial"/>
          <w:sz w:val="22"/>
          <w:szCs w:val="22"/>
          <w:b w:val="1"/>
          <w:bCs w:val="1"/>
          <w:color w:val="auto"/>
        </w:rPr>
        <w:t>Potential persons who are to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2160"/>
        <w:spacing w:after="0"/>
        <w:rPr>
          <w:sz w:val="20"/>
          <w:szCs w:val="20"/>
          <w:color w:val="auto"/>
        </w:rPr>
      </w:pPr>
      <w:r>
        <w:rPr>
          <w:rFonts w:ascii="Arial" w:cs="Arial" w:eastAsia="Arial" w:hAnsi="Arial"/>
          <w:sz w:val="22"/>
          <w:szCs w:val="22"/>
          <w:color w:val="auto"/>
        </w:rPr>
        <w:t>1. Names of Reporting Persons.</w:t>
      </w:r>
    </w:p>
    <w:p>
      <w:pPr>
        <w:spacing w:after="0" w:line="8" w:lineRule="exact"/>
        <w:rPr>
          <w:sz w:val="24"/>
          <w:szCs w:val="24"/>
          <w:color w:val="auto"/>
        </w:rPr>
      </w:pPr>
    </w:p>
    <w:p>
      <w:pPr>
        <w:ind w:left="2160"/>
        <w:spacing w:after="0"/>
        <w:rPr>
          <w:sz w:val="20"/>
          <w:szCs w:val="20"/>
          <w:color w:val="auto"/>
        </w:rPr>
      </w:pPr>
      <w:r>
        <w:rPr>
          <w:rFonts w:ascii="Arial" w:cs="Arial" w:eastAsia="Arial" w:hAnsi="Arial"/>
          <w:sz w:val="22"/>
          <w:szCs w:val="22"/>
          <w:color w:val="auto"/>
        </w:rPr>
        <w:t>I.R.S. Identification Nos. of above persons (entities only).</w:t>
      </w:r>
    </w:p>
    <w:p>
      <w:pPr>
        <w:spacing w:after="0" w:line="209" w:lineRule="exact"/>
        <w:rPr>
          <w:sz w:val="24"/>
          <w:szCs w:val="24"/>
          <w:color w:val="auto"/>
        </w:rPr>
      </w:pPr>
    </w:p>
    <w:p>
      <w:pPr>
        <w:ind w:left="2160"/>
        <w:spacing w:after="0"/>
        <w:rPr>
          <w:sz w:val="20"/>
          <w:szCs w:val="20"/>
          <w:color w:val="auto"/>
        </w:rPr>
      </w:pPr>
      <w:r>
        <w:rPr>
          <w:rFonts w:ascii="Arial" w:cs="Arial" w:eastAsia="Arial" w:hAnsi="Arial"/>
          <w:sz w:val="22"/>
          <w:szCs w:val="22"/>
          <w:b w:val="1"/>
          <w:bCs w:val="1"/>
          <w:color w:val="auto"/>
        </w:rPr>
        <w:t>Stadium Capital Management, LLC</w:t>
      </w:r>
    </w:p>
    <w:p>
      <w:pPr>
        <w:spacing w:after="0" w:line="212" w:lineRule="exact"/>
        <w:rPr>
          <w:sz w:val="24"/>
          <w:szCs w:val="24"/>
          <w:color w:val="auto"/>
        </w:rPr>
      </w:pPr>
    </w:p>
    <w:p>
      <w:pPr>
        <w:ind w:left="2380" w:hanging="211"/>
        <w:spacing w:after="0"/>
        <w:tabs>
          <w:tab w:leader="none" w:pos="238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27" w:lineRule="exact"/>
        <w:rPr>
          <w:rFonts w:ascii="Arial" w:cs="Arial" w:eastAsia="Arial" w:hAnsi="Arial"/>
          <w:sz w:val="22"/>
          <w:szCs w:val="22"/>
          <w:color w:val="auto"/>
        </w:rPr>
      </w:pPr>
    </w:p>
    <w:p>
      <w:pPr>
        <w:ind w:left="2160"/>
        <w:spacing w:after="0"/>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XXX</w:t>
      </w:r>
    </w:p>
    <w:p>
      <w:pPr>
        <w:spacing w:after="0" w:line="239" w:lineRule="exact"/>
        <w:rPr>
          <w:sz w:val="24"/>
          <w:szCs w:val="24"/>
          <w:color w:val="auto"/>
        </w:rPr>
      </w:pPr>
    </w:p>
    <w:p>
      <w:pPr>
        <w:ind w:left="2160"/>
        <w:spacing w:after="0"/>
        <w:rPr>
          <w:sz w:val="20"/>
          <w:szCs w:val="20"/>
          <w:color w:val="auto"/>
        </w:rPr>
      </w:pPr>
      <w:r>
        <w:rPr>
          <w:rFonts w:ascii="Arial" w:cs="Arial" w:eastAsia="Arial" w:hAnsi="Arial"/>
          <w:sz w:val="22"/>
          <w:szCs w:val="22"/>
          <w:color w:val="auto"/>
        </w:rPr>
        <w:t>(b) ______</w:t>
      </w:r>
    </w:p>
    <w:p>
      <w:pPr>
        <w:spacing w:after="0" w:line="206" w:lineRule="exact"/>
        <w:rPr>
          <w:sz w:val="24"/>
          <w:szCs w:val="24"/>
          <w:color w:val="auto"/>
        </w:rPr>
      </w:pPr>
    </w:p>
    <w:p>
      <w:pPr>
        <w:ind w:left="2380" w:hanging="211"/>
        <w:spacing w:after="0"/>
        <w:tabs>
          <w:tab w:leader="none" w:pos="238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0" w:lineRule="exact"/>
        <w:rPr>
          <w:rFonts w:ascii="Arial" w:cs="Arial" w:eastAsia="Arial" w:hAnsi="Arial"/>
          <w:sz w:val="22"/>
          <w:szCs w:val="22"/>
          <w:color w:val="auto"/>
        </w:rPr>
      </w:pPr>
    </w:p>
    <w:p>
      <w:pPr>
        <w:ind w:left="2380" w:hanging="211"/>
        <w:spacing w:after="0"/>
        <w:tabs>
          <w:tab w:leader="none" w:pos="2380"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Citizenship or Place of Organization </w:t>
      </w:r>
      <w:r>
        <w:rPr>
          <w:rFonts w:ascii="Arial" w:cs="Arial" w:eastAsia="Arial" w:hAnsi="Arial"/>
          <w:sz w:val="22"/>
          <w:szCs w:val="22"/>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5496560" cy="502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96560" cy="502920"/>
                    </a:xfrm>
                    <a:prstGeom prst="rect">
                      <a:avLst/>
                    </a:prstGeom>
                    <a:noFill/>
                  </pic:spPr>
                </pic:pic>
              </a:graphicData>
            </a:graphic>
          </wp:anchor>
        </w:drawing>
      </w:r>
    </w:p>
    <w:p>
      <w:pPr>
        <w:spacing w:after="0" w:line="174" w:lineRule="exact"/>
        <w:rPr>
          <w:sz w:val="24"/>
          <w:szCs w:val="24"/>
          <w:color w:val="auto"/>
        </w:rPr>
      </w:pPr>
    </w:p>
    <w:p>
      <w:pPr>
        <w:ind w:left="140"/>
        <w:spacing w:after="0"/>
        <w:rPr>
          <w:sz w:val="20"/>
          <w:szCs w:val="20"/>
          <w:color w:val="auto"/>
        </w:rPr>
      </w:pPr>
      <w:r>
        <w:rPr>
          <w:rFonts w:ascii="Arial" w:cs="Arial" w:eastAsia="Arial" w:hAnsi="Arial"/>
          <w:sz w:val="22"/>
          <w:szCs w:val="22"/>
          <w:color w:val="auto"/>
        </w:rPr>
        <w:t xml:space="preserve">Number of      </w:t>
      </w:r>
      <w:r>
        <w:rPr>
          <w:sz w:val="1"/>
          <w:szCs w:val="1"/>
          <w:color w:val="auto"/>
        </w:rPr>
        <w:drawing>
          <wp:inline distT="0" distB="0" distL="0" distR="0">
            <wp:extent cx="34290" cy="3168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316865"/>
                    </a:xfrm>
                    <a:prstGeom prst="rect">
                      <a:avLst/>
                    </a:prstGeom>
                    <a:noFill/>
                    <a:ln>
                      <a:noFill/>
                    </a:ln>
                  </pic:spPr>
                </pic:pic>
              </a:graphicData>
            </a:graphic>
          </wp:inline>
        </w:drawing>
      </w:r>
      <w:r>
        <w:rPr>
          <w:rFonts w:ascii="Arial" w:cs="Arial" w:eastAsia="Arial" w:hAnsi="Arial"/>
          <w:sz w:val="22"/>
          <w:szCs w:val="22"/>
          <w:color w:val="auto"/>
        </w:rPr>
        <w:t xml:space="preserve"> 5. Sole Voting Power </w:t>
      </w:r>
      <w:r>
        <w:rPr>
          <w:rFonts w:ascii="Arial" w:cs="Arial" w:eastAsia="Arial" w:hAnsi="Arial"/>
          <w:sz w:val="22"/>
          <w:szCs w:val="22"/>
          <w:b w:val="1"/>
          <w:bCs w:val="1"/>
          <w:color w:val="auto"/>
        </w:rPr>
        <w:t>-0-</w:t>
      </w:r>
    </w:p>
    <w:p>
      <w:pPr>
        <w:sectPr>
          <w:pgSz w:w="11900" w:h="16838" w:orient="portrait"/>
          <w:cols w:equalWidth="0" w:num="1">
            <w:col w:w="11360"/>
          </w:cols>
          <w:pgMar w:left="240" w:top="355" w:right="2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Shares</w:t>
            </w:r>
          </w:p>
        </w:tc>
        <w:tc>
          <w:tcPr>
            <w:tcW w:w="300" w:type="dxa"/>
            <w:vAlign w:val="bottom"/>
          </w:tcPr>
          <w:p>
            <w:pPr>
              <w:jc w:val="right"/>
              <w:spacing w:after="0"/>
              <w:rPr>
                <w:sz w:val="20"/>
                <w:szCs w:val="20"/>
                <w:color w:val="auto"/>
              </w:rPr>
            </w:pPr>
            <w:r>
              <w:rPr>
                <w:rFonts w:ascii="Arial" w:cs="Arial" w:eastAsia="Arial" w:hAnsi="Arial"/>
                <w:sz w:val="22"/>
                <w:szCs w:val="22"/>
                <w:color w:val="auto"/>
              </w:rPr>
              <w:t>6.</w:t>
            </w: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 xml:space="preserve">Shared Voting Power </w:t>
            </w:r>
            <w:r>
              <w:rPr>
                <w:rFonts w:ascii="Arial" w:cs="Arial" w:eastAsia="Arial" w:hAnsi="Arial"/>
                <w:sz w:val="22"/>
                <w:szCs w:val="22"/>
                <w:b w:val="1"/>
                <w:bCs w:val="1"/>
                <w:color w:val="auto"/>
              </w:rPr>
              <w:t>1,006,887</w:t>
            </w: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Beneficially</w:t>
            </w:r>
          </w:p>
        </w:tc>
        <w:tc>
          <w:tcPr>
            <w:tcW w:w="300" w:type="dxa"/>
            <w:vAlign w:val="bottom"/>
            <w:tcBorders>
              <w:bottom w:val="single" w:sz="8" w:color="808080"/>
            </w:tcBorders>
          </w:tcPr>
          <w:p>
            <w:pPr>
              <w:spacing w:after="0"/>
              <w:rPr>
                <w:sz w:val="7"/>
                <w:szCs w:val="7"/>
                <w:color w:val="auto"/>
              </w:rPr>
            </w:pPr>
          </w:p>
        </w:tc>
        <w:tc>
          <w:tcPr>
            <w:tcW w:w="6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2"/>
                <w:szCs w:val="22"/>
                <w:color w:val="auto"/>
              </w:rPr>
              <w:t>7.</w:t>
            </w: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 xml:space="preserve">Sole Dispositive Power </w:t>
            </w: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Owned by</w:t>
            </w:r>
          </w:p>
        </w:tc>
        <w:tc>
          <w:tcPr>
            <w:tcW w:w="300" w:type="dxa"/>
            <w:vAlign w:val="bottom"/>
            <w:tcBorders>
              <w:bottom w:val="single" w:sz="8" w:color="808080"/>
            </w:tcBorders>
          </w:tcPr>
          <w:p>
            <w:pPr>
              <w:spacing w:after="0"/>
              <w:rPr>
                <w:sz w:val="7"/>
                <w:szCs w:val="7"/>
                <w:color w:val="auto"/>
              </w:rPr>
            </w:pPr>
          </w:p>
        </w:tc>
        <w:tc>
          <w:tcPr>
            <w:tcW w:w="6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2"/>
                <w:szCs w:val="22"/>
                <w:color w:val="auto"/>
              </w:rPr>
              <w:t>8.</w:t>
            </w: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 xml:space="preserve">Shared Dispositive Power </w:t>
            </w:r>
            <w:r>
              <w:rPr>
                <w:rFonts w:ascii="Arial" w:cs="Arial" w:eastAsia="Arial" w:hAnsi="Arial"/>
                <w:sz w:val="22"/>
                <w:szCs w:val="22"/>
                <w:b w:val="1"/>
                <w:bCs w:val="1"/>
                <w:color w:val="auto"/>
              </w:rPr>
              <w:t>1,006,887</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Each Reporting</w:t>
            </w:r>
          </w:p>
        </w:tc>
        <w:tc>
          <w:tcPr>
            <w:tcW w:w="3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Person With</w:t>
            </w:r>
          </w:p>
        </w:tc>
        <w:tc>
          <w:tcPr>
            <w:tcW w:w="3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6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-1405890</wp:posOffset>
            </wp:positionV>
            <wp:extent cx="51435" cy="1419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1419225"/>
                    </a:xfrm>
                    <a:prstGeom prst="rect">
                      <a:avLst/>
                    </a:prstGeom>
                    <a:noFill/>
                  </pic:spPr>
                </pic:pic>
              </a:graphicData>
            </a:graphic>
          </wp:anchor>
        </w:drawing>
        <w:drawing>
          <wp:anchor simplePos="0" relativeHeight="251657728" behindDoc="1" locked="0" layoutInCell="0" allowOverlap="1">
            <wp:simplePos x="0" y="0"/>
            <wp:positionH relativeFrom="column">
              <wp:posOffset>5438140</wp:posOffset>
            </wp:positionH>
            <wp:positionV relativeFrom="paragraph">
              <wp:posOffset>-1405890</wp:posOffset>
            </wp:positionV>
            <wp:extent cx="51435" cy="1419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 cy="1419225"/>
                    </a:xfrm>
                    <a:prstGeom prst="rect">
                      <a:avLst/>
                    </a:prstGeom>
                    <a:noFill/>
                  </pic:spPr>
                </pic:pic>
              </a:graphicData>
            </a:graphic>
          </wp:anchor>
        </w:drawing>
        <w:drawing>
          <wp:anchor simplePos="0" relativeHeight="251657728" behindDoc="1" locked="0" layoutInCell="0" allowOverlap="1">
            <wp:simplePos x="0" y="0"/>
            <wp:positionH relativeFrom="column">
              <wp:posOffset>1090295</wp:posOffset>
            </wp:positionH>
            <wp:positionV relativeFrom="paragraph">
              <wp:posOffset>-1405890</wp:posOffset>
            </wp:positionV>
            <wp:extent cx="51435" cy="1402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 cy="1402080"/>
                    </a:xfrm>
                    <a:prstGeom prst="rect">
                      <a:avLst/>
                    </a:prstGeom>
                    <a:noFill/>
                  </pic:spPr>
                </pic:pic>
              </a:graphicData>
            </a:graphic>
          </wp:anchor>
        </w:drawing>
      </w:r>
    </w:p>
    <w:p>
      <w:pPr>
        <w:spacing w:after="0" w:line="169" w:lineRule="exact"/>
        <w:rPr>
          <w:sz w:val="20"/>
          <w:szCs w:val="20"/>
          <w:color w:val="auto"/>
        </w:rPr>
      </w:pPr>
    </w:p>
    <w:p>
      <w:pPr>
        <w:ind w:left="2380" w:hanging="211"/>
        <w:spacing w:after="0"/>
        <w:tabs>
          <w:tab w:leader="none" w:pos="2380"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Aggregate Amount Beneficially Owned by Each Reporting Person </w:t>
      </w:r>
      <w:r>
        <w:rPr>
          <w:rFonts w:ascii="Arial" w:cs="Arial" w:eastAsia="Arial" w:hAnsi="Arial"/>
          <w:sz w:val="19"/>
          <w:szCs w:val="19"/>
          <w:b w:val="1"/>
          <w:bCs w:val="1"/>
          <w:color w:val="auto"/>
        </w:rPr>
        <w:t>1,006,887</w:t>
      </w:r>
    </w:p>
    <w:p>
      <w:pPr>
        <w:spacing w:after="0" w:line="246" w:lineRule="exact"/>
        <w:rPr>
          <w:rFonts w:ascii="Arial" w:cs="Arial" w:eastAsia="Arial" w:hAnsi="Arial"/>
          <w:sz w:val="19"/>
          <w:szCs w:val="19"/>
          <w:color w:val="auto"/>
        </w:rPr>
      </w:pPr>
    </w:p>
    <w:p>
      <w:pPr>
        <w:ind w:left="2160" w:right="1359" w:firstLine="9"/>
        <w:spacing w:after="0" w:line="251" w:lineRule="auto"/>
        <w:tabs>
          <w:tab w:leader="none" w:pos="2484"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Check if the Aggregate Amount in Row (9) Excludes Certain Shares (See Instructions) </w:t>
      </w:r>
      <w:r>
        <w:rPr>
          <w:rFonts w:ascii="Arial" w:cs="Arial" w:eastAsia="Arial" w:hAnsi="Arial"/>
          <w:sz w:val="22"/>
          <w:szCs w:val="22"/>
          <w:b w:val="1"/>
          <w:bCs w:val="1"/>
          <w:color w:val="auto"/>
        </w:rPr>
        <w:t>______</w:t>
      </w:r>
    </w:p>
    <w:p>
      <w:pPr>
        <w:spacing w:after="0" w:line="167" w:lineRule="exact"/>
        <w:rPr>
          <w:rFonts w:ascii="Arial" w:cs="Arial" w:eastAsia="Arial" w:hAnsi="Arial"/>
          <w:sz w:val="22"/>
          <w:szCs w:val="22"/>
          <w:color w:val="auto"/>
        </w:rPr>
      </w:pPr>
    </w:p>
    <w:p>
      <w:pPr>
        <w:ind w:left="2480" w:hanging="311"/>
        <w:spacing w:after="0"/>
        <w:tabs>
          <w:tab w:leader="none" w:pos="2480"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Percent of Class Represented by Amount in Row (9) </w:t>
      </w:r>
      <w:r>
        <w:rPr>
          <w:rFonts w:ascii="Arial" w:cs="Arial" w:eastAsia="Arial" w:hAnsi="Arial"/>
          <w:sz w:val="22"/>
          <w:szCs w:val="22"/>
          <w:b w:val="1"/>
          <w:bCs w:val="1"/>
          <w:color w:val="auto"/>
        </w:rPr>
        <w:t>9.4%</w:t>
      </w:r>
    </w:p>
    <w:p>
      <w:pPr>
        <w:spacing w:after="0" w:line="212" w:lineRule="exact"/>
        <w:rPr>
          <w:rFonts w:ascii="Arial" w:cs="Arial" w:eastAsia="Arial" w:hAnsi="Arial"/>
          <w:sz w:val="22"/>
          <w:szCs w:val="22"/>
          <w:color w:val="auto"/>
        </w:rPr>
      </w:pPr>
    </w:p>
    <w:p>
      <w:pPr>
        <w:ind w:left="2500" w:hanging="331"/>
        <w:spacing w:after="0"/>
        <w:tabs>
          <w:tab w:leader="none" w:pos="25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0"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OO, IA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560" w:type="dxa"/>
            <w:vAlign w:val="bottom"/>
            <w:gridSpan w:val="2"/>
          </w:tcPr>
          <w:p>
            <w:pPr>
              <w:ind w:left="100"/>
              <w:spacing w:after="0"/>
              <w:rPr>
                <w:sz w:val="20"/>
                <w:szCs w:val="20"/>
                <w:color w:val="auto"/>
              </w:rPr>
            </w:pPr>
            <w:r>
              <w:rPr>
                <w:rFonts w:ascii="Arial" w:cs="Arial" w:eastAsia="Arial" w:hAnsi="Arial"/>
                <w:sz w:val="22"/>
                <w:szCs w:val="22"/>
                <w:color w:val="auto"/>
              </w:rPr>
              <w:t>1. Names of Reporting Persons.</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560" w:type="dxa"/>
            <w:vAlign w:val="bottom"/>
            <w:gridSpan w:val="2"/>
          </w:tcPr>
          <w:p>
            <w:pPr>
              <w:ind w:left="100"/>
              <w:spacing w:after="0"/>
              <w:rPr>
                <w:sz w:val="20"/>
                <w:szCs w:val="20"/>
                <w:color w:val="auto"/>
              </w:rPr>
            </w:pPr>
            <w:r>
              <w:rPr>
                <w:rFonts w:ascii="Arial" w:cs="Arial" w:eastAsia="Arial" w:hAnsi="Arial"/>
                <w:sz w:val="22"/>
                <w:szCs w:val="22"/>
                <w:color w:val="auto"/>
              </w:rPr>
              <w:t>I.R.S. Identification Nos. of above persons (entities only).</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2"/>
          </w:tcPr>
          <w:p>
            <w:pPr>
              <w:ind w:left="100"/>
              <w:spacing w:after="0"/>
              <w:rPr>
                <w:sz w:val="20"/>
                <w:szCs w:val="20"/>
                <w:color w:val="auto"/>
              </w:rPr>
            </w:pPr>
            <w:r>
              <w:rPr>
                <w:rFonts w:ascii="Arial" w:cs="Arial" w:eastAsia="Arial" w:hAnsi="Arial"/>
                <w:sz w:val="22"/>
                <w:szCs w:val="22"/>
                <w:b w:val="1"/>
                <w:bCs w:val="1"/>
                <w:color w:val="auto"/>
              </w:rPr>
              <w:t>Alexander M. Seaver</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2"/>
          </w:tcPr>
          <w:p>
            <w:pPr>
              <w:ind w:left="100"/>
              <w:spacing w:after="0"/>
              <w:rPr>
                <w:sz w:val="20"/>
                <w:szCs w:val="20"/>
                <w:color w:val="auto"/>
              </w:rPr>
            </w:pPr>
            <w:r>
              <w:rPr>
                <w:rFonts w:ascii="Arial" w:cs="Arial" w:eastAsia="Arial" w:hAnsi="Arial"/>
                <w:sz w:val="22"/>
                <w:szCs w:val="22"/>
                <w:color w:val="auto"/>
                <w:w w:val="92"/>
              </w:rPr>
              <w:t>2. Check the Appropriate Box if a Member of a Group (See Instructions)</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2"/>
          </w:tcPr>
          <w:p>
            <w:pPr>
              <w:ind w:left="100"/>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color w:val="auto"/>
              </w:rPr>
              <w:t>XXX</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2"/>
          </w:tcPr>
          <w:p>
            <w:pPr>
              <w:ind w:left="100"/>
              <w:spacing w:after="0"/>
              <w:rPr>
                <w:sz w:val="20"/>
                <w:szCs w:val="20"/>
                <w:color w:val="auto"/>
              </w:rPr>
            </w:pPr>
            <w:r>
              <w:rPr>
                <w:rFonts w:ascii="Arial" w:cs="Arial" w:eastAsia="Arial" w:hAnsi="Arial"/>
                <w:sz w:val="22"/>
                <w:szCs w:val="22"/>
                <w:color w:val="auto"/>
              </w:rPr>
              <w:t>(b) ______</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2"/>
          </w:tcPr>
          <w:p>
            <w:pPr>
              <w:ind w:left="100"/>
              <w:spacing w:after="0"/>
              <w:rPr>
                <w:sz w:val="20"/>
                <w:szCs w:val="20"/>
                <w:color w:val="auto"/>
              </w:rPr>
            </w:pPr>
            <w:r>
              <w:rPr>
                <w:rFonts w:ascii="Arial" w:cs="Arial" w:eastAsia="Arial" w:hAnsi="Arial"/>
                <w:sz w:val="22"/>
                <w:szCs w:val="22"/>
                <w:color w:val="auto"/>
              </w:rPr>
              <w:t>3. SEC Use Only</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2"/>
          </w:tcPr>
          <w:p>
            <w:pPr>
              <w:ind w:left="100"/>
              <w:spacing w:after="0"/>
              <w:rPr>
                <w:sz w:val="20"/>
                <w:szCs w:val="20"/>
                <w:color w:val="auto"/>
              </w:rPr>
            </w:pPr>
            <w:r>
              <w:rPr>
                <w:rFonts w:ascii="Arial" w:cs="Arial" w:eastAsia="Arial" w:hAnsi="Arial"/>
                <w:sz w:val="22"/>
                <w:szCs w:val="22"/>
                <w:color w:val="auto"/>
              </w:rPr>
              <w:t xml:space="preserve">4. Citizenship or Place of Organization </w:t>
            </w:r>
            <w:r>
              <w:rPr>
                <w:rFonts w:ascii="Arial" w:cs="Arial" w:eastAsia="Arial" w:hAnsi="Arial"/>
                <w:sz w:val="22"/>
                <w:szCs w:val="22"/>
                <w:b w:val="1"/>
                <w:bCs w:val="1"/>
                <w:color w:val="auto"/>
              </w:rPr>
              <w:t>United States</w:t>
            </w:r>
          </w:p>
        </w:tc>
        <w:tc>
          <w:tcPr>
            <w:tcW w:w="0" w:type="dxa"/>
            <w:vAlign w:val="bottom"/>
          </w:tcPr>
          <w:p>
            <w:pPr>
              <w:spacing w:after="0"/>
              <w:rPr>
                <w:sz w:val="1"/>
                <w:szCs w:val="1"/>
                <w:color w:val="auto"/>
              </w:rPr>
            </w:pPr>
          </w:p>
        </w:tc>
      </w:tr>
      <w:tr>
        <w:trPr>
          <w:trHeight w:val="206"/>
        </w:trPr>
        <w:tc>
          <w:tcPr>
            <w:tcW w:w="40" w:type="dxa"/>
            <w:vAlign w:val="bottom"/>
            <w:tcBorders>
              <w:bottom w:val="single" w:sz="8" w:color="808080"/>
            </w:tcBorders>
          </w:tcPr>
          <w:p>
            <w:pPr>
              <w:spacing w:after="0"/>
              <w:rPr>
                <w:sz w:val="17"/>
                <w:szCs w:val="17"/>
                <w:color w:val="auto"/>
              </w:rPr>
            </w:pPr>
          </w:p>
        </w:tc>
        <w:tc>
          <w:tcPr>
            <w:tcW w:w="172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65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Number of</w:t>
            </w:r>
          </w:p>
        </w:tc>
        <w:tc>
          <w:tcPr>
            <w:tcW w:w="300" w:type="dxa"/>
            <w:vAlign w:val="bottom"/>
          </w:tcPr>
          <w:p>
            <w:pPr>
              <w:jc w:val="right"/>
              <w:spacing w:after="0"/>
              <w:rPr>
                <w:sz w:val="20"/>
                <w:szCs w:val="20"/>
                <w:color w:val="auto"/>
              </w:rPr>
            </w:pPr>
            <w:r>
              <w:rPr>
                <w:rFonts w:ascii="Arial" w:cs="Arial" w:eastAsia="Arial" w:hAnsi="Arial"/>
                <w:sz w:val="22"/>
                <w:szCs w:val="22"/>
                <w:color w:val="auto"/>
              </w:rPr>
              <w:t>5.</w:t>
            </w: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 xml:space="preserve">Sole Voting Power </w:t>
            </w: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Shares</w:t>
            </w:r>
          </w:p>
        </w:tc>
        <w:tc>
          <w:tcPr>
            <w:tcW w:w="30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6560" w:type="dxa"/>
            <w:vAlign w:val="bottom"/>
            <w:gridSpan w:val="2"/>
            <w:vMerge w:val="restart"/>
          </w:tcPr>
          <w:p>
            <w:pPr>
              <w:ind w:left="20"/>
              <w:spacing w:after="0"/>
              <w:rPr>
                <w:sz w:val="20"/>
                <w:szCs w:val="20"/>
                <w:color w:val="auto"/>
              </w:rPr>
            </w:pPr>
            <w:r>
              <w:rPr>
                <w:rFonts w:ascii="Arial" w:cs="Arial" w:eastAsia="Arial" w:hAnsi="Arial"/>
                <w:sz w:val="22"/>
                <w:szCs w:val="22"/>
                <w:color w:val="auto"/>
              </w:rPr>
              <w:t xml:space="preserve">Shared Voting Power </w:t>
            </w:r>
            <w:r>
              <w:rPr>
                <w:rFonts w:ascii="Arial" w:cs="Arial" w:eastAsia="Arial" w:hAnsi="Arial"/>
                <w:sz w:val="22"/>
                <w:szCs w:val="22"/>
                <w:b w:val="1"/>
                <w:bCs w:val="1"/>
                <w:color w:val="auto"/>
              </w:rPr>
              <w:t>1,006,887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Beneficially</w:t>
            </w:r>
          </w:p>
        </w:tc>
        <w:tc>
          <w:tcPr>
            <w:tcW w:w="300" w:type="dxa"/>
            <w:vAlign w:val="bottom"/>
            <w:vMerge w:val="continue"/>
          </w:tcPr>
          <w:p>
            <w:pPr>
              <w:spacing w:after="0"/>
              <w:rPr>
                <w:sz w:val="19"/>
                <w:szCs w:val="19"/>
                <w:color w:val="auto"/>
              </w:rPr>
            </w:pPr>
          </w:p>
        </w:tc>
        <w:tc>
          <w:tcPr>
            <w:tcW w:w="6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Owned by</w:t>
            </w:r>
          </w:p>
        </w:tc>
        <w:tc>
          <w:tcPr>
            <w:tcW w:w="300" w:type="dxa"/>
            <w:vAlign w:val="bottom"/>
          </w:tcPr>
          <w:p>
            <w:pPr>
              <w:jc w:val="right"/>
              <w:spacing w:after="0"/>
              <w:rPr>
                <w:sz w:val="20"/>
                <w:szCs w:val="20"/>
                <w:color w:val="auto"/>
              </w:rPr>
            </w:pPr>
            <w:r>
              <w:rPr>
                <w:rFonts w:ascii="Arial" w:cs="Arial" w:eastAsia="Arial" w:hAnsi="Arial"/>
                <w:sz w:val="22"/>
                <w:szCs w:val="22"/>
                <w:color w:val="auto"/>
              </w:rPr>
              <w:t>7.</w:t>
            </w: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 xml:space="preserve">Sole Dispositive Power </w:t>
            </w: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Each Reporting</w:t>
            </w:r>
          </w:p>
        </w:tc>
        <w:tc>
          <w:tcPr>
            <w:tcW w:w="30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8.</w:t>
            </w:r>
          </w:p>
        </w:tc>
        <w:tc>
          <w:tcPr>
            <w:tcW w:w="6560" w:type="dxa"/>
            <w:vAlign w:val="bottom"/>
            <w:gridSpan w:val="2"/>
            <w:vMerge w:val="restart"/>
          </w:tcPr>
          <w:p>
            <w:pPr>
              <w:ind w:left="20"/>
              <w:spacing w:after="0"/>
              <w:rPr>
                <w:sz w:val="20"/>
                <w:szCs w:val="20"/>
                <w:color w:val="auto"/>
              </w:rPr>
            </w:pPr>
            <w:r>
              <w:rPr>
                <w:rFonts w:ascii="Arial" w:cs="Arial" w:eastAsia="Arial" w:hAnsi="Arial"/>
                <w:sz w:val="22"/>
                <w:szCs w:val="22"/>
                <w:color w:val="auto"/>
              </w:rPr>
              <w:t xml:space="preserve">Shared Dispositive Power </w:t>
            </w:r>
            <w:r>
              <w:rPr>
                <w:rFonts w:ascii="Arial" w:cs="Arial" w:eastAsia="Arial" w:hAnsi="Arial"/>
                <w:sz w:val="22"/>
                <w:szCs w:val="22"/>
                <w:b w:val="1"/>
                <w:bCs w:val="1"/>
                <w:color w:val="auto"/>
              </w:rPr>
              <w:t>1,006,887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Person With</w:t>
            </w:r>
          </w:p>
        </w:tc>
        <w:tc>
          <w:tcPr>
            <w:tcW w:w="300" w:type="dxa"/>
            <w:vAlign w:val="bottom"/>
            <w:vMerge w:val="continue"/>
          </w:tcPr>
          <w:p>
            <w:pPr>
              <w:spacing w:after="0"/>
              <w:rPr>
                <w:sz w:val="19"/>
                <w:szCs w:val="19"/>
                <w:color w:val="auto"/>
              </w:rPr>
            </w:pPr>
          </w:p>
        </w:tc>
        <w:tc>
          <w:tcPr>
            <w:tcW w:w="6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6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-1795780</wp:posOffset>
            </wp:positionV>
            <wp:extent cx="51435" cy="1809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 cy="1809115"/>
                    </a:xfrm>
                    <a:prstGeom prst="rect">
                      <a:avLst/>
                    </a:prstGeom>
                    <a:noFill/>
                  </pic:spPr>
                </pic:pic>
              </a:graphicData>
            </a:graphic>
          </wp:anchor>
        </w:drawing>
        <w:drawing>
          <wp:anchor simplePos="0" relativeHeight="251657728" behindDoc="1" locked="0" layoutInCell="0" allowOverlap="1">
            <wp:simplePos x="0" y="0"/>
            <wp:positionH relativeFrom="column">
              <wp:posOffset>5438140</wp:posOffset>
            </wp:positionH>
            <wp:positionV relativeFrom="paragraph">
              <wp:posOffset>-1795780</wp:posOffset>
            </wp:positionV>
            <wp:extent cx="51435" cy="1809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 cy="1809115"/>
                    </a:xfrm>
                    <a:prstGeom prst="rect">
                      <a:avLst/>
                    </a:prstGeom>
                    <a:noFill/>
                  </pic:spPr>
                </pic:pic>
              </a:graphicData>
            </a:graphic>
          </wp:anchor>
        </w:drawing>
        <w:drawing>
          <wp:anchor simplePos="0" relativeHeight="251657728" behindDoc="1" locked="0" layoutInCell="0" allowOverlap="1">
            <wp:simplePos x="0" y="0"/>
            <wp:positionH relativeFrom="column">
              <wp:posOffset>1090295</wp:posOffset>
            </wp:positionH>
            <wp:positionV relativeFrom="paragraph">
              <wp:posOffset>-1778635</wp:posOffset>
            </wp:positionV>
            <wp:extent cx="51435" cy="1774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 cy="1774825"/>
                    </a:xfrm>
                    <a:prstGeom prst="rect">
                      <a:avLst/>
                    </a:prstGeom>
                    <a:noFill/>
                  </pic:spPr>
                </pic:pic>
              </a:graphicData>
            </a:graphic>
          </wp:anchor>
        </w:drawing>
      </w:r>
    </w:p>
    <w:p>
      <w:pPr>
        <w:spacing w:after="0" w:line="169" w:lineRule="exact"/>
        <w:rPr>
          <w:sz w:val="20"/>
          <w:szCs w:val="20"/>
          <w:color w:val="auto"/>
        </w:rPr>
      </w:pPr>
    </w:p>
    <w:p>
      <w:pPr>
        <w:ind w:left="2380" w:hanging="211"/>
        <w:spacing w:after="0"/>
        <w:tabs>
          <w:tab w:leader="none" w:pos="2380"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Aggregate Amount Beneficially Owned by Each Reporting Person </w:t>
      </w:r>
      <w:r>
        <w:rPr>
          <w:rFonts w:ascii="Arial" w:cs="Arial" w:eastAsia="Arial" w:hAnsi="Arial"/>
          <w:sz w:val="19"/>
          <w:szCs w:val="19"/>
          <w:b w:val="1"/>
          <w:bCs w:val="1"/>
          <w:color w:val="auto"/>
        </w:rPr>
        <w:t>1,006,887</w:t>
      </w:r>
    </w:p>
    <w:p>
      <w:pPr>
        <w:spacing w:after="0" w:line="246" w:lineRule="exact"/>
        <w:rPr>
          <w:rFonts w:ascii="Arial" w:cs="Arial" w:eastAsia="Arial" w:hAnsi="Arial"/>
          <w:sz w:val="19"/>
          <w:szCs w:val="19"/>
          <w:color w:val="auto"/>
        </w:rPr>
      </w:pPr>
    </w:p>
    <w:p>
      <w:pPr>
        <w:ind w:left="2160" w:right="1359" w:firstLine="9"/>
        <w:spacing w:after="0" w:line="251" w:lineRule="auto"/>
        <w:tabs>
          <w:tab w:leader="none" w:pos="2484"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Check if the Aggregate Amount in Row (9) Excludes Certain Shares (See Instructions) </w:t>
      </w:r>
      <w:r>
        <w:rPr>
          <w:rFonts w:ascii="Arial" w:cs="Arial" w:eastAsia="Arial" w:hAnsi="Arial"/>
          <w:sz w:val="22"/>
          <w:szCs w:val="22"/>
          <w:b w:val="1"/>
          <w:bCs w:val="1"/>
          <w:color w:val="auto"/>
        </w:rPr>
        <w:t>______</w:t>
      </w:r>
    </w:p>
    <w:p>
      <w:pPr>
        <w:spacing w:after="0" w:line="167" w:lineRule="exact"/>
        <w:rPr>
          <w:rFonts w:ascii="Arial" w:cs="Arial" w:eastAsia="Arial" w:hAnsi="Arial"/>
          <w:sz w:val="22"/>
          <w:szCs w:val="22"/>
          <w:color w:val="auto"/>
        </w:rPr>
      </w:pPr>
    </w:p>
    <w:p>
      <w:pPr>
        <w:ind w:left="2480" w:hanging="311"/>
        <w:spacing w:after="0"/>
        <w:tabs>
          <w:tab w:leader="none" w:pos="2480"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Percent of Class Represented by Amount in Row (9) </w:t>
      </w:r>
      <w:r>
        <w:rPr>
          <w:rFonts w:ascii="Arial" w:cs="Arial" w:eastAsia="Arial" w:hAnsi="Arial"/>
          <w:sz w:val="22"/>
          <w:szCs w:val="22"/>
          <w:b w:val="1"/>
          <w:bCs w:val="1"/>
          <w:color w:val="auto"/>
        </w:rPr>
        <w:t>9.4%</w:t>
      </w:r>
    </w:p>
    <w:p>
      <w:pPr>
        <w:spacing w:after="0" w:line="212" w:lineRule="exact"/>
        <w:rPr>
          <w:rFonts w:ascii="Arial" w:cs="Arial" w:eastAsia="Arial" w:hAnsi="Arial"/>
          <w:sz w:val="22"/>
          <w:szCs w:val="22"/>
          <w:color w:val="auto"/>
        </w:rPr>
      </w:pPr>
    </w:p>
    <w:p>
      <w:pPr>
        <w:ind w:left="2500" w:hanging="331"/>
        <w:spacing w:after="0"/>
        <w:tabs>
          <w:tab w:leader="none" w:pos="250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1. Names of Reporting Persons.</w:t>
      </w:r>
    </w:p>
    <w:p>
      <w:pPr>
        <w:spacing w:after="0" w:line="8"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I.R.S. Identification Nos. of above persons (entities only).</w:t>
      </w:r>
    </w:p>
    <w:p>
      <w:pPr>
        <w:spacing w:after="0" w:line="209"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Bradley R. Kent</w:t>
      </w:r>
    </w:p>
    <w:p>
      <w:pPr>
        <w:sectPr>
          <w:pgSz w:w="11900" w:h="16838" w:orient="portrait"/>
          <w:cols w:equalWidth="0" w:num="1">
            <w:col w:w="10219"/>
          </w:cols>
          <w:pgMar w:left="240" w:top="111" w:right="1440" w:bottom="188" w:gutter="0" w:footer="0" w:header="0"/>
        </w:sectPr>
      </w:pPr>
    </w:p>
    <w:bookmarkStart w:id="2" w:name="page3"/>
    <w:bookmarkEnd w:id="2"/>
    <w:p>
      <w:pPr>
        <w:spacing w:after="0" w:line="47" w:lineRule="exact"/>
        <w:rPr>
          <w:sz w:val="20"/>
          <w:szCs w:val="20"/>
          <w:color w:val="auto"/>
        </w:rPr>
      </w:pPr>
    </w:p>
    <w:p>
      <w:pPr>
        <w:ind w:left="2160"/>
        <w:spacing w:after="0"/>
        <w:rPr>
          <w:sz w:val="20"/>
          <w:szCs w:val="20"/>
          <w:color w:val="auto"/>
        </w:rPr>
      </w:pPr>
      <w:r>
        <w:rPr>
          <w:rFonts w:ascii="Arial" w:cs="Arial" w:eastAsia="Arial" w:hAnsi="Arial"/>
          <w:sz w:val="21"/>
          <w:szCs w:val="21"/>
          <w:color w:val="auto"/>
        </w:rPr>
        <w:t>2. Check the Appropriate Box if a Member of a Group (See Instructions)</w:t>
      </w:r>
    </w:p>
    <w:p>
      <w:pPr>
        <w:spacing w:after="0" w:line="239" w:lineRule="exact"/>
        <w:rPr>
          <w:sz w:val="20"/>
          <w:szCs w:val="20"/>
          <w:color w:val="auto"/>
        </w:rPr>
      </w:pPr>
    </w:p>
    <w:p>
      <w:pPr>
        <w:ind w:left="2460" w:hanging="291"/>
        <w:spacing w:after="0"/>
        <w:tabs>
          <w:tab w:leader="none" w:pos="2460"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XXX</w:t>
      </w:r>
    </w:p>
    <w:p>
      <w:pPr>
        <w:spacing w:after="0" w:line="239" w:lineRule="exact"/>
        <w:rPr>
          <w:rFonts w:ascii="Arial" w:cs="Arial" w:eastAsia="Arial" w:hAnsi="Arial"/>
          <w:sz w:val="22"/>
          <w:szCs w:val="22"/>
          <w:color w:val="auto"/>
        </w:rPr>
      </w:pPr>
    </w:p>
    <w:p>
      <w:pPr>
        <w:ind w:left="2480" w:hanging="311"/>
        <w:spacing w:after="0"/>
        <w:tabs>
          <w:tab w:leader="none" w:pos="2480" w:val="left"/>
        </w:tabs>
        <w:numPr>
          <w:ilvl w:val="0"/>
          <w:numId w:val="8"/>
        </w:numPr>
        <w:rPr>
          <w:rFonts w:ascii="Arial" w:cs="Arial" w:eastAsia="Arial" w:hAnsi="Arial"/>
          <w:sz w:val="22"/>
          <w:szCs w:val="22"/>
          <w:color w:val="auto"/>
        </w:rPr>
      </w:pPr>
      <w:r>
        <w:rPr>
          <w:rFonts w:ascii="Arial" w:cs="Arial" w:eastAsia="Arial" w:hAnsi="Arial"/>
          <w:sz w:val="22"/>
          <w:szCs w:val="22"/>
          <w:color w:val="auto"/>
        </w:rPr>
        <w:t>______</w:t>
      </w:r>
    </w:p>
    <w:p>
      <w:pPr>
        <w:spacing w:after="0" w:line="206" w:lineRule="exact"/>
        <w:rPr>
          <w:sz w:val="20"/>
          <w:szCs w:val="20"/>
          <w:color w:val="auto"/>
        </w:rPr>
      </w:pPr>
    </w:p>
    <w:p>
      <w:pPr>
        <w:ind w:left="2380" w:hanging="211"/>
        <w:spacing w:after="0"/>
        <w:tabs>
          <w:tab w:leader="none" w:pos="2380" w:val="left"/>
        </w:tabs>
        <w:numPr>
          <w:ilvl w:val="0"/>
          <w:numId w:val="9"/>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0" w:lineRule="exact"/>
        <w:rPr>
          <w:rFonts w:ascii="Arial" w:cs="Arial" w:eastAsia="Arial" w:hAnsi="Arial"/>
          <w:sz w:val="22"/>
          <w:szCs w:val="22"/>
          <w:color w:val="auto"/>
        </w:rPr>
      </w:pPr>
    </w:p>
    <w:p>
      <w:pPr>
        <w:ind w:left="2380" w:hanging="211"/>
        <w:spacing w:after="0"/>
        <w:tabs>
          <w:tab w:leader="none" w:pos="2380"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Citizenship or Place of Organization </w:t>
      </w:r>
      <w:r>
        <w:rPr>
          <w:rFonts w:ascii="Arial" w:cs="Arial" w:eastAsia="Arial" w:hAnsi="Arial"/>
          <w:sz w:val="22"/>
          <w:szCs w:val="22"/>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5496560" cy="1809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96560" cy="180911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Number of</w:t>
            </w:r>
          </w:p>
        </w:tc>
        <w:tc>
          <w:tcPr>
            <w:tcW w:w="300" w:type="dxa"/>
            <w:vAlign w:val="bottom"/>
          </w:tcPr>
          <w:p>
            <w:pPr>
              <w:jc w:val="right"/>
              <w:spacing w:after="0"/>
              <w:rPr>
                <w:sz w:val="20"/>
                <w:szCs w:val="20"/>
                <w:color w:val="auto"/>
              </w:rPr>
            </w:pPr>
            <w:r>
              <w:rPr>
                <w:rFonts w:ascii="Arial" w:cs="Arial" w:eastAsia="Arial" w:hAnsi="Arial"/>
                <w:sz w:val="22"/>
                <w:szCs w:val="22"/>
                <w:color w:val="auto"/>
              </w:rPr>
              <w:t>5.</w:t>
            </w: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 xml:space="preserve">Sole Voting Power </w:t>
            </w: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Shares</w:t>
            </w:r>
          </w:p>
        </w:tc>
        <w:tc>
          <w:tcPr>
            <w:tcW w:w="30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6560" w:type="dxa"/>
            <w:vAlign w:val="bottom"/>
            <w:gridSpan w:val="2"/>
            <w:vMerge w:val="restart"/>
          </w:tcPr>
          <w:p>
            <w:pPr>
              <w:ind w:left="20"/>
              <w:spacing w:after="0"/>
              <w:rPr>
                <w:sz w:val="20"/>
                <w:szCs w:val="20"/>
                <w:color w:val="auto"/>
              </w:rPr>
            </w:pPr>
            <w:r>
              <w:rPr>
                <w:rFonts w:ascii="Arial" w:cs="Arial" w:eastAsia="Arial" w:hAnsi="Arial"/>
                <w:sz w:val="22"/>
                <w:szCs w:val="22"/>
                <w:color w:val="auto"/>
              </w:rPr>
              <w:t xml:space="preserve">Shared Voting Power </w:t>
            </w:r>
            <w:r>
              <w:rPr>
                <w:rFonts w:ascii="Arial" w:cs="Arial" w:eastAsia="Arial" w:hAnsi="Arial"/>
                <w:sz w:val="22"/>
                <w:szCs w:val="22"/>
                <w:b w:val="1"/>
                <w:bCs w:val="1"/>
                <w:color w:val="auto"/>
              </w:rPr>
              <w:t>1,006,887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Beneficially</w:t>
            </w:r>
          </w:p>
        </w:tc>
        <w:tc>
          <w:tcPr>
            <w:tcW w:w="300" w:type="dxa"/>
            <w:vAlign w:val="bottom"/>
            <w:vMerge w:val="continue"/>
          </w:tcPr>
          <w:p>
            <w:pPr>
              <w:spacing w:after="0"/>
              <w:rPr>
                <w:sz w:val="19"/>
                <w:szCs w:val="19"/>
                <w:color w:val="auto"/>
              </w:rPr>
            </w:pPr>
          </w:p>
        </w:tc>
        <w:tc>
          <w:tcPr>
            <w:tcW w:w="6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Owned by</w:t>
            </w:r>
          </w:p>
        </w:tc>
        <w:tc>
          <w:tcPr>
            <w:tcW w:w="300" w:type="dxa"/>
            <w:vAlign w:val="bottom"/>
          </w:tcPr>
          <w:p>
            <w:pPr>
              <w:jc w:val="right"/>
              <w:spacing w:after="0"/>
              <w:rPr>
                <w:sz w:val="20"/>
                <w:szCs w:val="20"/>
                <w:color w:val="auto"/>
              </w:rPr>
            </w:pPr>
            <w:r>
              <w:rPr>
                <w:rFonts w:ascii="Arial" w:cs="Arial" w:eastAsia="Arial" w:hAnsi="Arial"/>
                <w:sz w:val="22"/>
                <w:szCs w:val="22"/>
                <w:color w:val="auto"/>
              </w:rPr>
              <w:t>7.</w:t>
            </w: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 xml:space="preserve">Sole Dispositive Power </w:t>
            </w: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Each Reporting</w:t>
            </w:r>
          </w:p>
        </w:tc>
        <w:tc>
          <w:tcPr>
            <w:tcW w:w="30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8.</w:t>
            </w:r>
          </w:p>
        </w:tc>
        <w:tc>
          <w:tcPr>
            <w:tcW w:w="6560" w:type="dxa"/>
            <w:vAlign w:val="bottom"/>
            <w:gridSpan w:val="2"/>
            <w:vMerge w:val="restart"/>
          </w:tcPr>
          <w:p>
            <w:pPr>
              <w:ind w:left="20"/>
              <w:spacing w:after="0"/>
              <w:rPr>
                <w:sz w:val="20"/>
                <w:szCs w:val="20"/>
                <w:color w:val="auto"/>
              </w:rPr>
            </w:pPr>
            <w:r>
              <w:rPr>
                <w:rFonts w:ascii="Arial" w:cs="Arial" w:eastAsia="Arial" w:hAnsi="Arial"/>
                <w:sz w:val="22"/>
                <w:szCs w:val="22"/>
                <w:color w:val="auto"/>
              </w:rPr>
              <w:t xml:space="preserve">Shared Dispositive Power </w:t>
            </w:r>
            <w:r>
              <w:rPr>
                <w:rFonts w:ascii="Arial" w:cs="Arial" w:eastAsia="Arial" w:hAnsi="Arial"/>
                <w:sz w:val="22"/>
                <w:szCs w:val="22"/>
                <w:b w:val="1"/>
                <w:bCs w:val="1"/>
                <w:color w:val="auto"/>
              </w:rPr>
              <w:t>1,006,887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Person With</w:t>
            </w:r>
          </w:p>
        </w:tc>
        <w:tc>
          <w:tcPr>
            <w:tcW w:w="300" w:type="dxa"/>
            <w:vAlign w:val="bottom"/>
            <w:vMerge w:val="continue"/>
          </w:tcPr>
          <w:p>
            <w:pPr>
              <w:spacing w:after="0"/>
              <w:rPr>
                <w:sz w:val="19"/>
                <w:szCs w:val="19"/>
                <w:color w:val="auto"/>
              </w:rPr>
            </w:pPr>
          </w:p>
        </w:tc>
        <w:tc>
          <w:tcPr>
            <w:tcW w:w="6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6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2380" w:hanging="211"/>
        <w:spacing w:after="0"/>
        <w:tabs>
          <w:tab w:leader="none" w:pos="23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Aggregate Amount Beneficially Owned by Each Reporting Person </w:t>
      </w:r>
      <w:r>
        <w:rPr>
          <w:rFonts w:ascii="Arial" w:cs="Arial" w:eastAsia="Arial" w:hAnsi="Arial"/>
          <w:sz w:val="19"/>
          <w:szCs w:val="19"/>
          <w:b w:val="1"/>
          <w:bCs w:val="1"/>
          <w:color w:val="auto"/>
        </w:rPr>
        <w:t>1,006,887</w:t>
      </w:r>
    </w:p>
    <w:p>
      <w:pPr>
        <w:spacing w:after="0" w:line="246" w:lineRule="exact"/>
        <w:rPr>
          <w:rFonts w:ascii="Arial" w:cs="Arial" w:eastAsia="Arial" w:hAnsi="Arial"/>
          <w:sz w:val="19"/>
          <w:szCs w:val="19"/>
          <w:color w:val="auto"/>
        </w:rPr>
      </w:pPr>
    </w:p>
    <w:p>
      <w:pPr>
        <w:ind w:left="2160" w:right="1359" w:firstLine="9"/>
        <w:spacing w:after="0" w:line="251" w:lineRule="auto"/>
        <w:tabs>
          <w:tab w:leader="none" w:pos="2484"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Check if the Aggregate Amount in Row (9) Excludes Certain Shares (See Instructions) </w:t>
      </w:r>
      <w:r>
        <w:rPr>
          <w:rFonts w:ascii="Arial" w:cs="Arial" w:eastAsia="Arial" w:hAnsi="Arial"/>
          <w:sz w:val="22"/>
          <w:szCs w:val="22"/>
          <w:b w:val="1"/>
          <w:bCs w:val="1"/>
          <w:color w:val="auto"/>
        </w:rPr>
        <w:t>______</w:t>
      </w:r>
    </w:p>
    <w:p>
      <w:pPr>
        <w:spacing w:after="0" w:line="167" w:lineRule="exact"/>
        <w:rPr>
          <w:rFonts w:ascii="Arial" w:cs="Arial" w:eastAsia="Arial" w:hAnsi="Arial"/>
          <w:sz w:val="22"/>
          <w:szCs w:val="22"/>
          <w:color w:val="auto"/>
        </w:rPr>
      </w:pPr>
    </w:p>
    <w:p>
      <w:pPr>
        <w:ind w:left="2480" w:hanging="311"/>
        <w:spacing w:after="0"/>
        <w:tabs>
          <w:tab w:leader="none" w:pos="24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Percent of Class Represented by Amount in Row (9) </w:t>
      </w:r>
      <w:r>
        <w:rPr>
          <w:rFonts w:ascii="Arial" w:cs="Arial" w:eastAsia="Arial" w:hAnsi="Arial"/>
          <w:sz w:val="22"/>
          <w:szCs w:val="22"/>
          <w:b w:val="1"/>
          <w:bCs w:val="1"/>
          <w:color w:val="auto"/>
        </w:rPr>
        <w:t>9.4%</w:t>
      </w:r>
    </w:p>
    <w:p>
      <w:pPr>
        <w:spacing w:after="0" w:line="212" w:lineRule="exact"/>
        <w:rPr>
          <w:rFonts w:ascii="Arial" w:cs="Arial" w:eastAsia="Arial" w:hAnsi="Arial"/>
          <w:sz w:val="22"/>
          <w:szCs w:val="22"/>
          <w:color w:val="auto"/>
        </w:rPr>
      </w:pPr>
    </w:p>
    <w:p>
      <w:pPr>
        <w:ind w:left="2500" w:hanging="331"/>
        <w:spacing w:after="0"/>
        <w:tabs>
          <w:tab w:leader="none" w:pos="25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1. Names of Reporting Persons.</w:t>
      </w:r>
    </w:p>
    <w:p>
      <w:pPr>
        <w:spacing w:after="0" w:line="8"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I.R.S. Identification Nos. of above persons (entities only).</w:t>
      </w:r>
    </w:p>
    <w:p>
      <w:pPr>
        <w:spacing w:after="0" w:line="209"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Stadium Capital Partners, L.P.</w:t>
      </w:r>
    </w:p>
    <w:p>
      <w:pPr>
        <w:spacing w:after="0" w:line="212" w:lineRule="exact"/>
        <w:rPr>
          <w:sz w:val="20"/>
          <w:szCs w:val="20"/>
          <w:color w:val="auto"/>
        </w:rPr>
      </w:pPr>
    </w:p>
    <w:p>
      <w:pPr>
        <w:ind w:left="2160"/>
        <w:spacing w:after="0"/>
        <w:rPr>
          <w:sz w:val="20"/>
          <w:szCs w:val="20"/>
          <w:color w:val="auto"/>
        </w:rPr>
      </w:pPr>
      <w:r>
        <w:rPr>
          <w:rFonts w:ascii="Arial" w:cs="Arial" w:eastAsia="Arial" w:hAnsi="Arial"/>
          <w:sz w:val="21"/>
          <w:szCs w:val="21"/>
          <w:color w:val="auto"/>
        </w:rPr>
        <w:t>2. Check the Appropriate Box if a Member of a Group (See Instructions)</w:t>
      </w:r>
    </w:p>
    <w:p>
      <w:pPr>
        <w:spacing w:after="0" w:line="245" w:lineRule="exact"/>
        <w:rPr>
          <w:sz w:val="20"/>
          <w:szCs w:val="20"/>
          <w:color w:val="auto"/>
        </w:rPr>
      </w:pPr>
    </w:p>
    <w:p>
      <w:pPr>
        <w:ind w:left="2460" w:hanging="291"/>
        <w:spacing w:after="0"/>
        <w:tabs>
          <w:tab w:leader="none" w:pos="24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______</w:t>
      </w:r>
    </w:p>
    <w:p>
      <w:pPr>
        <w:spacing w:after="0" w:line="8" w:lineRule="exact"/>
        <w:rPr>
          <w:rFonts w:ascii="Arial" w:cs="Arial" w:eastAsia="Arial" w:hAnsi="Arial"/>
          <w:sz w:val="22"/>
          <w:szCs w:val="22"/>
          <w:color w:val="auto"/>
        </w:rPr>
      </w:pPr>
    </w:p>
    <w:p>
      <w:pPr>
        <w:ind w:left="2480" w:hanging="311"/>
        <w:spacing w:after="0"/>
        <w:tabs>
          <w:tab w:leader="none" w:pos="2480"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XX</w:t>
      </w:r>
    </w:p>
    <w:p>
      <w:pPr>
        <w:spacing w:after="0" w:line="188" w:lineRule="exact"/>
        <w:rPr>
          <w:sz w:val="20"/>
          <w:szCs w:val="20"/>
          <w:color w:val="auto"/>
        </w:rPr>
      </w:pPr>
    </w:p>
    <w:p>
      <w:pPr>
        <w:ind w:left="2380" w:hanging="211"/>
        <w:spacing w:after="0"/>
        <w:tabs>
          <w:tab w:leader="none" w:pos="23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0" w:lineRule="exact"/>
        <w:rPr>
          <w:rFonts w:ascii="Arial" w:cs="Arial" w:eastAsia="Arial" w:hAnsi="Arial"/>
          <w:sz w:val="22"/>
          <w:szCs w:val="22"/>
          <w:color w:val="auto"/>
        </w:rPr>
      </w:pPr>
    </w:p>
    <w:p>
      <w:pPr>
        <w:ind w:left="2380" w:hanging="211"/>
        <w:spacing w:after="0"/>
        <w:tabs>
          <w:tab w:leader="none" w:pos="23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 xml:space="preserve">Citizenship or Place of Organization </w:t>
      </w:r>
      <w:r>
        <w:rPr>
          <w:rFonts w:ascii="Arial" w:cs="Arial" w:eastAsia="Arial" w:hAnsi="Arial"/>
          <w:sz w:val="22"/>
          <w:szCs w:val="22"/>
          <w:b w:val="1"/>
          <w:bCs w:val="1"/>
          <w:color w:val="auto"/>
        </w:rPr>
        <w:t>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5496560" cy="1809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96560" cy="180911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Number of</w:t>
            </w:r>
          </w:p>
        </w:tc>
        <w:tc>
          <w:tcPr>
            <w:tcW w:w="300" w:type="dxa"/>
            <w:vAlign w:val="bottom"/>
          </w:tcPr>
          <w:p>
            <w:pPr>
              <w:jc w:val="right"/>
              <w:spacing w:after="0"/>
              <w:rPr>
                <w:sz w:val="20"/>
                <w:szCs w:val="20"/>
                <w:color w:val="auto"/>
              </w:rPr>
            </w:pPr>
            <w:r>
              <w:rPr>
                <w:rFonts w:ascii="Arial" w:cs="Arial" w:eastAsia="Arial" w:hAnsi="Arial"/>
                <w:sz w:val="22"/>
                <w:szCs w:val="22"/>
                <w:color w:val="auto"/>
              </w:rPr>
              <w:t>5.</w:t>
            </w: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 xml:space="preserve">Sole Voting Power </w:t>
            </w: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Shares</w:t>
            </w:r>
          </w:p>
        </w:tc>
        <w:tc>
          <w:tcPr>
            <w:tcW w:w="30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6560" w:type="dxa"/>
            <w:vAlign w:val="bottom"/>
            <w:gridSpan w:val="2"/>
            <w:vMerge w:val="restart"/>
          </w:tcPr>
          <w:p>
            <w:pPr>
              <w:ind w:left="20"/>
              <w:spacing w:after="0"/>
              <w:rPr>
                <w:sz w:val="20"/>
                <w:szCs w:val="20"/>
                <w:color w:val="auto"/>
              </w:rPr>
            </w:pPr>
            <w:r>
              <w:rPr>
                <w:rFonts w:ascii="Arial" w:cs="Arial" w:eastAsia="Arial" w:hAnsi="Arial"/>
                <w:sz w:val="22"/>
                <w:szCs w:val="22"/>
                <w:color w:val="auto"/>
              </w:rPr>
              <w:t xml:space="preserve">Shared Voting Power </w:t>
            </w:r>
            <w:r>
              <w:rPr>
                <w:rFonts w:ascii="Arial" w:cs="Arial" w:eastAsia="Arial" w:hAnsi="Arial"/>
                <w:sz w:val="22"/>
                <w:szCs w:val="22"/>
                <w:b w:val="1"/>
                <w:bCs w:val="1"/>
                <w:color w:val="auto"/>
              </w:rPr>
              <w:t>694,900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Beneficially</w:t>
            </w:r>
          </w:p>
        </w:tc>
        <w:tc>
          <w:tcPr>
            <w:tcW w:w="300" w:type="dxa"/>
            <w:vAlign w:val="bottom"/>
            <w:vMerge w:val="continue"/>
          </w:tcPr>
          <w:p>
            <w:pPr>
              <w:spacing w:after="0"/>
              <w:rPr>
                <w:sz w:val="19"/>
                <w:szCs w:val="19"/>
                <w:color w:val="auto"/>
              </w:rPr>
            </w:pPr>
          </w:p>
        </w:tc>
        <w:tc>
          <w:tcPr>
            <w:tcW w:w="6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0" w:type="dxa"/>
            <w:vAlign w:val="bottom"/>
          </w:tcPr>
          <w:p>
            <w:pPr>
              <w:spacing w:after="0"/>
              <w:rPr>
                <w:sz w:val="24"/>
                <w:szCs w:val="24"/>
                <w:color w:val="auto"/>
              </w:rPr>
            </w:pPr>
          </w:p>
        </w:tc>
        <w:tc>
          <w:tcPr>
            <w:tcW w:w="1720" w:type="dxa"/>
            <w:vAlign w:val="bottom"/>
          </w:tcPr>
          <w:p>
            <w:pPr>
              <w:ind w:left="100"/>
              <w:spacing w:after="0"/>
              <w:rPr>
                <w:sz w:val="20"/>
                <w:szCs w:val="20"/>
                <w:color w:val="auto"/>
              </w:rPr>
            </w:pPr>
            <w:r>
              <w:rPr>
                <w:rFonts w:ascii="Arial" w:cs="Arial" w:eastAsia="Arial" w:hAnsi="Arial"/>
                <w:sz w:val="22"/>
                <w:szCs w:val="22"/>
                <w:color w:val="auto"/>
              </w:rPr>
              <w:t>Owned by</w:t>
            </w:r>
          </w:p>
        </w:tc>
        <w:tc>
          <w:tcPr>
            <w:tcW w:w="300" w:type="dxa"/>
            <w:vAlign w:val="bottom"/>
          </w:tcPr>
          <w:p>
            <w:pPr>
              <w:jc w:val="right"/>
              <w:spacing w:after="0"/>
              <w:rPr>
                <w:sz w:val="20"/>
                <w:szCs w:val="20"/>
                <w:color w:val="auto"/>
              </w:rPr>
            </w:pPr>
            <w:r>
              <w:rPr>
                <w:rFonts w:ascii="Arial" w:cs="Arial" w:eastAsia="Arial" w:hAnsi="Arial"/>
                <w:sz w:val="22"/>
                <w:szCs w:val="22"/>
                <w:color w:val="auto"/>
              </w:rPr>
              <w:t>7.</w:t>
            </w:r>
          </w:p>
        </w:tc>
        <w:tc>
          <w:tcPr>
            <w:tcW w:w="6560" w:type="dxa"/>
            <w:vAlign w:val="bottom"/>
            <w:gridSpan w:val="2"/>
          </w:tcPr>
          <w:p>
            <w:pPr>
              <w:ind w:left="20"/>
              <w:spacing w:after="0"/>
              <w:rPr>
                <w:sz w:val="20"/>
                <w:szCs w:val="20"/>
                <w:color w:val="auto"/>
              </w:rPr>
            </w:pPr>
            <w:r>
              <w:rPr>
                <w:rFonts w:ascii="Arial" w:cs="Arial" w:eastAsia="Arial" w:hAnsi="Arial"/>
                <w:sz w:val="22"/>
                <w:szCs w:val="22"/>
                <w:color w:val="auto"/>
              </w:rPr>
              <w:t xml:space="preserve">Sole Dispositive Power </w:t>
            </w: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Each Reporting</w:t>
            </w:r>
          </w:p>
        </w:tc>
        <w:tc>
          <w:tcPr>
            <w:tcW w:w="300" w:type="dxa"/>
            <w:vAlign w:val="bottom"/>
            <w:tcBorders>
              <w:bottom w:val="single" w:sz="8" w:color="808080"/>
            </w:tcBorders>
          </w:tcPr>
          <w:p>
            <w:pPr>
              <w:spacing w:after="0"/>
              <w:rPr>
                <w:sz w:val="24"/>
                <w:szCs w:val="24"/>
                <w:color w:val="auto"/>
              </w:rPr>
            </w:pPr>
          </w:p>
        </w:tc>
        <w:tc>
          <w:tcPr>
            <w:tcW w:w="6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vMerge w:val="continue"/>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22"/>
                <w:szCs w:val="22"/>
                <w:color w:val="auto"/>
              </w:rPr>
              <w:t>8.</w:t>
            </w:r>
          </w:p>
        </w:tc>
        <w:tc>
          <w:tcPr>
            <w:tcW w:w="6560" w:type="dxa"/>
            <w:vAlign w:val="bottom"/>
            <w:gridSpan w:val="2"/>
            <w:vMerge w:val="restart"/>
          </w:tcPr>
          <w:p>
            <w:pPr>
              <w:ind w:left="20"/>
              <w:spacing w:after="0"/>
              <w:rPr>
                <w:sz w:val="20"/>
                <w:szCs w:val="20"/>
                <w:color w:val="auto"/>
              </w:rPr>
            </w:pPr>
            <w:r>
              <w:rPr>
                <w:rFonts w:ascii="Arial" w:cs="Arial" w:eastAsia="Arial" w:hAnsi="Arial"/>
                <w:sz w:val="22"/>
                <w:szCs w:val="22"/>
                <w:color w:val="auto"/>
              </w:rPr>
              <w:t xml:space="preserve">Shared Dispositive Power </w:t>
            </w:r>
            <w:r>
              <w:rPr>
                <w:rFonts w:ascii="Arial" w:cs="Arial" w:eastAsia="Arial" w:hAnsi="Arial"/>
                <w:sz w:val="22"/>
                <w:szCs w:val="22"/>
                <w:b w:val="1"/>
                <w:bCs w:val="1"/>
                <w:color w:val="auto"/>
              </w:rPr>
              <w:t>694,900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restart"/>
          </w:tcPr>
          <w:p>
            <w:pPr>
              <w:ind w:left="100"/>
              <w:spacing w:after="0"/>
              <w:rPr>
                <w:sz w:val="20"/>
                <w:szCs w:val="20"/>
                <w:color w:val="auto"/>
              </w:rPr>
            </w:pPr>
            <w:r>
              <w:rPr>
                <w:rFonts w:ascii="Arial" w:cs="Arial" w:eastAsia="Arial" w:hAnsi="Arial"/>
                <w:sz w:val="22"/>
                <w:szCs w:val="22"/>
                <w:color w:val="auto"/>
              </w:rPr>
              <w:t>Person With</w:t>
            </w:r>
          </w:p>
        </w:tc>
        <w:tc>
          <w:tcPr>
            <w:tcW w:w="300" w:type="dxa"/>
            <w:vAlign w:val="bottom"/>
            <w:vMerge w:val="continue"/>
          </w:tcPr>
          <w:p>
            <w:pPr>
              <w:spacing w:after="0"/>
              <w:rPr>
                <w:sz w:val="19"/>
                <w:szCs w:val="19"/>
                <w:color w:val="auto"/>
              </w:rPr>
            </w:pPr>
          </w:p>
        </w:tc>
        <w:tc>
          <w:tcPr>
            <w:tcW w:w="6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72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65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2160"/>
        <w:spacing w:after="0"/>
        <w:rPr>
          <w:sz w:val="20"/>
          <w:szCs w:val="20"/>
          <w:color w:val="auto"/>
        </w:rPr>
      </w:pPr>
      <w:r>
        <w:rPr>
          <w:rFonts w:ascii="Arial" w:cs="Arial" w:eastAsia="Arial" w:hAnsi="Arial"/>
          <w:sz w:val="19"/>
          <w:szCs w:val="19"/>
          <w:color w:val="auto"/>
        </w:rPr>
        <w:t xml:space="preserve">9. Aggregate Amount Beneficially Owned by Each Reporting Person </w:t>
      </w:r>
      <w:r>
        <w:rPr>
          <w:rFonts w:ascii="Arial" w:cs="Arial" w:eastAsia="Arial" w:hAnsi="Arial"/>
          <w:sz w:val="19"/>
          <w:szCs w:val="19"/>
          <w:b w:val="1"/>
          <w:bCs w:val="1"/>
          <w:color w:val="auto"/>
        </w:rPr>
        <w:t>694,900</w:t>
      </w:r>
    </w:p>
    <w:p>
      <w:pPr>
        <w:spacing w:after="0" w:line="247" w:lineRule="exact"/>
        <w:rPr>
          <w:sz w:val="20"/>
          <w:szCs w:val="20"/>
          <w:color w:val="auto"/>
        </w:rPr>
      </w:pPr>
    </w:p>
    <w:p>
      <w:pPr>
        <w:ind w:left="2160" w:right="1259"/>
        <w:spacing w:after="0" w:line="251" w:lineRule="auto"/>
        <w:rPr>
          <w:sz w:val="20"/>
          <w:szCs w:val="20"/>
          <w:color w:val="auto"/>
        </w:rPr>
      </w:pPr>
      <w:r>
        <w:rPr>
          <w:rFonts w:ascii="Arial" w:cs="Arial" w:eastAsia="Arial" w:hAnsi="Arial"/>
          <w:sz w:val="22"/>
          <w:szCs w:val="22"/>
          <w:color w:val="auto"/>
        </w:rPr>
        <w:t xml:space="preserve">10. Check if the Aggregate Amount in Row (11) Excludes Certain Shares (See Instructions) </w:t>
      </w:r>
      <w:r>
        <w:rPr>
          <w:rFonts w:ascii="Arial" w:cs="Arial" w:eastAsia="Arial" w:hAnsi="Arial"/>
          <w:sz w:val="22"/>
          <w:szCs w:val="22"/>
          <w:b w:val="1"/>
          <w:bCs w:val="1"/>
          <w:color w:val="auto"/>
        </w:rPr>
        <w:t>______</w:t>
      </w:r>
    </w:p>
    <w:p>
      <w:pPr>
        <w:spacing w:after="0" w:line="167"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 xml:space="preserve">11. Percent of Class Represented by Amount in Row (11) </w:t>
      </w:r>
      <w:r>
        <w:rPr>
          <w:rFonts w:ascii="Arial" w:cs="Arial" w:eastAsia="Arial" w:hAnsi="Arial"/>
          <w:sz w:val="22"/>
          <w:szCs w:val="22"/>
          <w:b w:val="1"/>
          <w:bCs w:val="1"/>
          <w:color w:val="auto"/>
        </w:rPr>
        <w:t>6.5</w:t>
      </w:r>
      <w:r>
        <w:rPr>
          <w:rFonts w:ascii="Arial" w:cs="Arial" w:eastAsia="Arial" w:hAnsi="Arial"/>
          <w:sz w:val="22"/>
          <w:szCs w:val="22"/>
          <w:color w:val="auto"/>
        </w:rPr>
        <w:t>%</w:t>
      </w:r>
    </w:p>
    <w:p>
      <w:pPr>
        <w:spacing w:after="0" w:line="212"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12. Type of Reporting Person (See Instructions)</w:t>
      </w:r>
    </w:p>
    <w:p>
      <w:pPr>
        <w:sectPr>
          <w:pgSz w:w="11900" w:h="16886" w:orient="portrait"/>
          <w:cols w:equalWidth="0" w:num="1">
            <w:col w:w="10219"/>
          </w:cols>
          <w:pgMar w:left="240" w:top="118" w:right="1440" w:bottom="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PN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12"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(a) Name of Issuer</w:t>
      </w:r>
    </w:p>
    <w:p>
      <w:pPr>
        <w:spacing w:after="0" w:line="227"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World Fuel Services Corp.</w:t>
      </w:r>
    </w:p>
    <w:p>
      <w:pPr>
        <w:spacing w:after="0" w:line="212"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(b) Address of Issuer's Principal Executive Offices</w:t>
      </w:r>
    </w:p>
    <w:p>
      <w:pPr>
        <w:spacing w:after="0" w:line="227"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700 S. Royal Poinciana, Suite 800, Miami Springs, FL 33166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12"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(a) The names of the persons filing this statement are:</w:t>
      </w:r>
    </w:p>
    <w:p>
      <w:pPr>
        <w:spacing w:after="0" w:line="227"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Stadium Capital Management, LLC, a Delaware limited liability company ("SCM");</w:t>
      </w:r>
    </w:p>
    <w:p>
      <w:pPr>
        <w:spacing w:after="0" w:line="4"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Alexander M. Seaver ("Seaver");</w:t>
      </w:r>
    </w:p>
    <w:p>
      <w:pPr>
        <w:ind w:left="2160"/>
        <w:spacing w:after="0" w:line="230" w:lineRule="auto"/>
        <w:rPr>
          <w:sz w:val="20"/>
          <w:szCs w:val="20"/>
          <w:color w:val="auto"/>
        </w:rPr>
      </w:pPr>
      <w:r>
        <w:rPr>
          <w:rFonts w:ascii="Arial" w:cs="Arial" w:eastAsia="Arial" w:hAnsi="Arial"/>
          <w:sz w:val="22"/>
          <w:szCs w:val="22"/>
          <w:b w:val="1"/>
          <w:bCs w:val="1"/>
          <w:color w:val="auto"/>
        </w:rPr>
        <w:t>Bradley R. Kent ("Kent"); and</w:t>
      </w:r>
    </w:p>
    <w:p>
      <w:pPr>
        <w:ind w:left="2160"/>
        <w:spacing w:after="0" w:line="231" w:lineRule="auto"/>
        <w:rPr>
          <w:sz w:val="20"/>
          <w:szCs w:val="20"/>
          <w:color w:val="auto"/>
        </w:rPr>
      </w:pPr>
      <w:r>
        <w:rPr>
          <w:rFonts w:ascii="Arial" w:cs="Arial" w:eastAsia="Arial" w:hAnsi="Arial"/>
          <w:sz w:val="22"/>
          <w:szCs w:val="22"/>
          <w:b w:val="1"/>
          <w:bCs w:val="1"/>
          <w:color w:val="auto"/>
        </w:rPr>
        <w:t>Stadium Capital Partners, L.P., a California limited partnership ("SCP")</w:t>
      </w:r>
    </w:p>
    <w:p>
      <w:pPr>
        <w:ind w:left="2160"/>
        <w:spacing w:after="0"/>
        <w:rPr>
          <w:sz w:val="20"/>
          <w:szCs w:val="20"/>
          <w:color w:val="auto"/>
        </w:rPr>
      </w:pPr>
      <w:r>
        <w:rPr>
          <w:rFonts w:ascii="Arial" w:cs="Arial" w:eastAsia="Arial" w:hAnsi="Arial"/>
          <w:sz w:val="22"/>
          <w:szCs w:val="22"/>
          <w:color w:val="auto"/>
        </w:rPr>
        <w:t>(collectively, the "Filers").</w:t>
      </w:r>
    </w:p>
    <w:p>
      <w:pPr>
        <w:spacing w:after="0" w:line="209" w:lineRule="exact"/>
        <w:rPr>
          <w:sz w:val="20"/>
          <w:szCs w:val="20"/>
          <w:color w:val="auto"/>
        </w:rPr>
      </w:pPr>
    </w:p>
    <w:p>
      <w:pPr>
        <w:ind w:left="2160"/>
        <w:spacing w:after="0" w:line="284" w:lineRule="auto"/>
        <w:rPr>
          <w:sz w:val="20"/>
          <w:szCs w:val="20"/>
          <w:color w:val="auto"/>
        </w:rPr>
      </w:pPr>
      <w:r>
        <w:rPr>
          <w:rFonts w:ascii="Arial" w:cs="Arial" w:eastAsia="Arial" w:hAnsi="Arial"/>
          <w:sz w:val="19"/>
          <w:szCs w:val="19"/>
          <w:b w:val="1"/>
          <w:bCs w:val="1"/>
          <w:color w:val="auto"/>
        </w:rPr>
        <w:t>SCM, Seaver and Kent disclaim beneficial ownership of the Stock except to the extent of their respective pecuniary interests therein. SCP is filing jointly with the other filers, but not as a member of a group, and expressly disclaims membership in a group. In addition, the filing of this Schedule 13G on behalf of SCP should not be construed as an admission that it is, and it disclaims that it is, the beneficial owner of any of the Stock covered by this Statement.</w:t>
      </w:r>
    </w:p>
    <w:p>
      <w:pPr>
        <w:spacing w:after="0" w:line="145"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(b) The principal business office of the Filers is located at:</w:t>
      </w:r>
    </w:p>
    <w:p>
      <w:pPr>
        <w:spacing w:after="0" w:line="227"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2483 East Bayshore Road, Suite 200, Palo Alto, CA 94303.</w:t>
      </w:r>
    </w:p>
    <w:p>
      <w:pPr>
        <w:spacing w:after="0" w:line="212" w:lineRule="exact"/>
        <w:rPr>
          <w:sz w:val="20"/>
          <w:szCs w:val="20"/>
          <w:color w:val="auto"/>
        </w:rPr>
      </w:pPr>
    </w:p>
    <w:p>
      <w:pPr>
        <w:ind w:left="2460" w:hanging="291"/>
        <w:spacing w:after="0"/>
        <w:tabs>
          <w:tab w:leader="none" w:pos="24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For citizenship of Filers, see Item 4 of the cover sheet for each Filer.</w:t>
      </w:r>
    </w:p>
    <w:p>
      <w:pPr>
        <w:spacing w:after="0" w:line="206" w:lineRule="exact"/>
        <w:rPr>
          <w:rFonts w:ascii="Arial" w:cs="Arial" w:eastAsia="Arial" w:hAnsi="Arial"/>
          <w:sz w:val="22"/>
          <w:szCs w:val="22"/>
          <w:color w:val="auto"/>
        </w:rPr>
      </w:pPr>
    </w:p>
    <w:p>
      <w:pPr>
        <w:ind w:left="2480" w:hanging="311"/>
        <w:spacing w:after="0"/>
        <w:tabs>
          <w:tab w:leader="none" w:pos="24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This statement relates to shares of Class A common stock of the Issuer (the "Stock").</w:t>
      </w:r>
    </w:p>
    <w:p>
      <w:pPr>
        <w:spacing w:after="0" w:line="200" w:lineRule="exact"/>
        <w:rPr>
          <w:rFonts w:ascii="Arial" w:cs="Arial" w:eastAsia="Arial" w:hAnsi="Arial"/>
          <w:sz w:val="22"/>
          <w:szCs w:val="22"/>
          <w:color w:val="auto"/>
        </w:rPr>
      </w:pPr>
    </w:p>
    <w:p>
      <w:pPr>
        <w:ind w:left="2460" w:hanging="291"/>
        <w:spacing w:after="0"/>
        <w:tabs>
          <w:tab w:leader="none" w:pos="24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The CUSIP number of the Issuer is: </w:t>
      </w:r>
      <w:r>
        <w:rPr>
          <w:rFonts w:ascii="Arial" w:cs="Arial" w:eastAsia="Arial" w:hAnsi="Arial"/>
          <w:sz w:val="22"/>
          <w:szCs w:val="22"/>
          <w:b w:val="1"/>
          <w:bCs w:val="1"/>
          <w:color w:val="auto"/>
        </w:rPr>
        <w:t>981475106.</w:t>
      </w:r>
    </w:p>
    <w:p>
      <w:pPr>
        <w:spacing w:after="0" w:line="206" w:lineRule="exact"/>
        <w:rPr>
          <w:sz w:val="20"/>
          <w:szCs w:val="20"/>
          <w:color w:val="auto"/>
        </w:rPr>
      </w:pPr>
    </w:p>
    <w:p>
      <w:pPr>
        <w:ind w:left="2160" w:right="120"/>
        <w:spacing w:after="0" w:line="256" w:lineRule="auto"/>
        <w:rPr>
          <w:sz w:val="20"/>
          <w:szCs w:val="20"/>
          <w:color w:val="auto"/>
        </w:rPr>
      </w:pPr>
      <w:r>
        <w:rPr>
          <w:rFonts w:ascii="Arial" w:cs="Arial" w:eastAsia="Arial" w:hAnsi="Arial"/>
          <w:sz w:val="22"/>
          <w:szCs w:val="22"/>
          <w:b w:val="1"/>
          <w:bCs w:val="1"/>
          <w:color w:val="auto"/>
        </w:rPr>
        <w:t>Item 3. If this statement is filed pursuant to rule 240.13d-1(b) or 240.13d-2(b) or (c), check whether the person filing is a:</w:t>
      </w:r>
    </w:p>
    <w:p>
      <w:pPr>
        <w:spacing w:after="0" w:line="169" w:lineRule="exact"/>
        <w:rPr>
          <w:sz w:val="20"/>
          <w:szCs w:val="20"/>
          <w:color w:val="auto"/>
        </w:rPr>
      </w:pPr>
    </w:p>
    <w:p>
      <w:pPr>
        <w:ind w:left="3540" w:hanging="291"/>
        <w:spacing w:after="0"/>
        <w:tabs>
          <w:tab w:leader="none" w:pos="35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06" w:lineRule="exact"/>
        <w:rPr>
          <w:rFonts w:ascii="Arial" w:cs="Arial" w:eastAsia="Arial" w:hAnsi="Arial"/>
          <w:sz w:val="22"/>
          <w:szCs w:val="22"/>
          <w:color w:val="auto"/>
        </w:rPr>
      </w:pPr>
    </w:p>
    <w:p>
      <w:pPr>
        <w:ind w:left="3560" w:hanging="311"/>
        <w:spacing w:after="0"/>
        <w:tabs>
          <w:tab w:leader="none" w:pos="35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06" w:lineRule="exact"/>
        <w:rPr>
          <w:rFonts w:ascii="Arial" w:cs="Arial" w:eastAsia="Arial" w:hAnsi="Arial"/>
          <w:sz w:val="22"/>
          <w:szCs w:val="22"/>
          <w:color w:val="auto"/>
        </w:rPr>
      </w:pPr>
    </w:p>
    <w:p>
      <w:pPr>
        <w:ind w:left="3540" w:hanging="291"/>
        <w:spacing w:after="0"/>
        <w:tabs>
          <w:tab w:leader="none" w:pos="35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06" w:lineRule="exact"/>
        <w:rPr>
          <w:rFonts w:ascii="Arial" w:cs="Arial" w:eastAsia="Arial" w:hAnsi="Arial"/>
          <w:sz w:val="22"/>
          <w:szCs w:val="22"/>
          <w:color w:val="auto"/>
        </w:rPr>
      </w:pPr>
    </w:p>
    <w:p>
      <w:pPr>
        <w:ind w:left="3240" w:right="420" w:firstLine="9"/>
        <w:spacing w:after="0" w:line="251" w:lineRule="auto"/>
        <w:tabs>
          <w:tab w:leader="none" w:pos="3546"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167" w:lineRule="exact"/>
        <w:rPr>
          <w:rFonts w:ascii="Arial" w:cs="Arial" w:eastAsia="Arial" w:hAnsi="Arial"/>
          <w:sz w:val="22"/>
          <w:szCs w:val="22"/>
          <w:color w:val="auto"/>
        </w:rPr>
      </w:pPr>
    </w:p>
    <w:p>
      <w:pPr>
        <w:ind w:left="3540" w:hanging="291"/>
        <w:spacing w:after="0"/>
        <w:tabs>
          <w:tab w:leader="none" w:pos="35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XX</w:t>
      </w:r>
      <w:r>
        <w:rPr>
          <w:rFonts w:ascii="Arial" w:cs="Arial" w:eastAsia="Arial" w:hAnsi="Arial"/>
          <w:sz w:val="22"/>
          <w:szCs w:val="22"/>
          <w:color w:val="auto"/>
        </w:rPr>
        <w:t>] An investment adviser in accordance with section 240.13d-1(b)(1)(ii)(E).</w:t>
      </w:r>
    </w:p>
    <w:p>
      <w:pPr>
        <w:spacing w:after="0" w:line="212" w:lineRule="exact"/>
        <w:rPr>
          <w:rFonts w:ascii="Arial" w:cs="Arial" w:eastAsia="Arial" w:hAnsi="Arial"/>
          <w:sz w:val="22"/>
          <w:szCs w:val="22"/>
          <w:color w:val="auto"/>
        </w:rPr>
      </w:pPr>
    </w:p>
    <w:p>
      <w:pPr>
        <w:ind w:left="3520" w:hanging="271"/>
        <w:spacing w:after="0"/>
        <w:tabs>
          <w:tab w:leader="none" w:pos="3520" w:val="left"/>
        </w:tabs>
        <w:numPr>
          <w:ilvl w:val="0"/>
          <w:numId w:val="14"/>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section 240.13d-1(b)</w:t>
      </w:r>
    </w:p>
    <w:p>
      <w:pPr>
        <w:spacing w:after="0" w:line="42" w:lineRule="exact"/>
        <w:rPr>
          <w:rFonts w:ascii="Arial" w:cs="Arial" w:eastAsia="Arial" w:hAnsi="Arial"/>
          <w:sz w:val="19"/>
          <w:szCs w:val="19"/>
          <w:color w:val="auto"/>
        </w:rPr>
      </w:pPr>
    </w:p>
    <w:p>
      <w:pPr>
        <w:ind w:left="3240"/>
        <w:spacing w:after="0"/>
        <w:rPr>
          <w:rFonts w:ascii="Arial" w:cs="Arial" w:eastAsia="Arial" w:hAnsi="Arial"/>
          <w:sz w:val="19"/>
          <w:szCs w:val="19"/>
          <w:color w:val="auto"/>
        </w:rPr>
      </w:pPr>
      <w:r>
        <w:rPr>
          <w:rFonts w:ascii="Arial" w:cs="Arial" w:eastAsia="Arial" w:hAnsi="Arial"/>
          <w:sz w:val="22"/>
          <w:szCs w:val="22"/>
          <w:color w:val="auto"/>
        </w:rPr>
        <w:t>(1)(ii)(F).</w:t>
      </w:r>
    </w:p>
    <w:p>
      <w:pPr>
        <w:spacing w:after="0" w:line="188" w:lineRule="exact"/>
        <w:rPr>
          <w:rFonts w:ascii="Arial" w:cs="Arial" w:eastAsia="Arial" w:hAnsi="Arial"/>
          <w:sz w:val="19"/>
          <w:szCs w:val="19"/>
          <w:color w:val="auto"/>
        </w:rPr>
      </w:pPr>
    </w:p>
    <w:p>
      <w:pPr>
        <w:ind w:left="3560" w:hanging="311"/>
        <w:spacing w:after="0"/>
        <w:tabs>
          <w:tab w:leader="none" w:pos="35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40" w:lineRule="exact"/>
        <w:rPr>
          <w:rFonts w:ascii="Arial" w:cs="Arial" w:eastAsia="Arial" w:hAnsi="Arial"/>
          <w:sz w:val="19"/>
          <w:szCs w:val="19"/>
          <w:color w:val="auto"/>
        </w:rPr>
      </w:pPr>
    </w:p>
    <w:p>
      <w:pPr>
        <w:ind w:left="3560" w:hanging="311"/>
        <w:spacing w:after="0"/>
        <w:tabs>
          <w:tab w:leader="none" w:pos="35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w:t>
      </w:r>
    </w:p>
    <w:p>
      <w:pPr>
        <w:spacing w:after="0" w:line="42" w:lineRule="exact"/>
        <w:rPr>
          <w:rFonts w:ascii="Arial" w:cs="Arial" w:eastAsia="Arial" w:hAnsi="Arial"/>
          <w:sz w:val="19"/>
          <w:szCs w:val="19"/>
          <w:color w:val="auto"/>
        </w:rPr>
      </w:pPr>
    </w:p>
    <w:p>
      <w:pPr>
        <w:ind w:left="3240"/>
        <w:spacing w:after="0"/>
        <w:rPr>
          <w:rFonts w:ascii="Arial" w:cs="Arial" w:eastAsia="Arial" w:hAnsi="Arial"/>
          <w:sz w:val="19"/>
          <w:szCs w:val="19"/>
          <w:color w:val="auto"/>
        </w:rPr>
      </w:pPr>
      <w:r>
        <w:rPr>
          <w:rFonts w:ascii="Arial" w:cs="Arial" w:eastAsia="Arial" w:hAnsi="Arial"/>
          <w:sz w:val="22"/>
          <w:szCs w:val="22"/>
          <w:color w:val="auto"/>
        </w:rPr>
        <w:t>(12 U.S.C. 1813).</w:t>
      </w:r>
    </w:p>
    <w:p>
      <w:pPr>
        <w:spacing w:after="0" w:line="188" w:lineRule="exact"/>
        <w:rPr>
          <w:rFonts w:ascii="Arial" w:cs="Arial" w:eastAsia="Arial" w:hAnsi="Arial"/>
          <w:sz w:val="19"/>
          <w:szCs w:val="19"/>
          <w:color w:val="auto"/>
        </w:rPr>
      </w:pPr>
    </w:p>
    <w:p>
      <w:pPr>
        <w:ind w:left="3240" w:right="420" w:firstLine="9"/>
        <w:spacing w:after="0" w:line="274" w:lineRule="auto"/>
        <w:tabs>
          <w:tab w:leader="none" w:pos="3498" w:val="left"/>
        </w:tabs>
        <w:numPr>
          <w:ilvl w:val="0"/>
          <w:numId w:val="14"/>
        </w:numPr>
        <w:rPr>
          <w:rFonts w:ascii="Arial" w:cs="Arial" w:eastAsia="Arial" w:hAnsi="Arial"/>
          <w:sz w:val="21"/>
          <w:szCs w:val="21"/>
          <w:color w:val="auto"/>
        </w:rPr>
      </w:pPr>
      <w:r>
        <w:rPr>
          <w:rFonts w:ascii="Arial" w:cs="Arial" w:eastAsia="Arial" w:hAnsi="Arial"/>
          <w:sz w:val="21"/>
          <w:szCs w:val="21"/>
          <w:color w:val="auto"/>
        </w:rPr>
        <w:t>[ ] A church plan that is excluded from the definition of an investment company under section 3(c)(14) of the Investment Company Act of 1940 (15 U.S.C. 80a-3).</w:t>
      </w:r>
    </w:p>
    <w:p>
      <w:pPr>
        <w:spacing w:after="0" w:line="150" w:lineRule="exact"/>
        <w:rPr>
          <w:rFonts w:ascii="Arial" w:cs="Arial" w:eastAsia="Arial" w:hAnsi="Arial"/>
          <w:sz w:val="21"/>
          <w:szCs w:val="21"/>
          <w:color w:val="auto"/>
        </w:rPr>
      </w:pPr>
    </w:p>
    <w:p>
      <w:pPr>
        <w:ind w:left="3500" w:hanging="251"/>
        <w:spacing w:after="0"/>
        <w:tabs>
          <w:tab w:leader="none" w:pos="35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Item 4. Ownership.</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See Items 5-9 and 11 of the cover page for each Filer.</w:t>
      </w:r>
    </w:p>
    <w:p>
      <w:pPr>
        <w:sectPr>
          <w:pgSz w:w="11900" w:h="16838" w:orient="portrait"/>
          <w:cols w:equalWidth="0" w:num="1">
            <w:col w:w="11380"/>
          </w:cols>
          <w:pgMar w:left="240" w:top="112" w:right="279" w:bottom="0" w:gutter="0" w:footer="0" w:header="0"/>
        </w:sectPr>
      </w:pPr>
    </w:p>
    <w:bookmarkStart w:id="4" w:name="page5"/>
    <w:bookmarkEnd w:id="4"/>
    <w:p>
      <w:pPr>
        <w:ind w:left="2160"/>
        <w:spacing w:after="0"/>
        <w:rPr>
          <w:sz w:val="20"/>
          <w:szCs w:val="20"/>
          <w:color w:val="auto"/>
        </w:rPr>
      </w:pPr>
      <w:r>
        <w:rPr>
          <w:rFonts w:ascii="Arial" w:cs="Arial" w:eastAsia="Arial" w:hAnsi="Arial"/>
          <w:sz w:val="22"/>
          <w:szCs w:val="22"/>
          <w:b w:val="1"/>
          <w:bCs w:val="1"/>
          <w:color w:val="auto"/>
        </w:rPr>
        <w:t>Item 5. Ownership of Five Percent or Less of a Class</w:t>
      </w:r>
    </w:p>
    <w:p>
      <w:pPr>
        <w:spacing w:after="0" w:line="213"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67"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Item 6. Ownership of More than Five Percent on Behalf of Another Person.</w:t>
      </w:r>
    </w:p>
    <w:p>
      <w:pPr>
        <w:spacing w:after="0" w:line="212" w:lineRule="exact"/>
        <w:rPr>
          <w:sz w:val="20"/>
          <w:szCs w:val="20"/>
          <w:color w:val="auto"/>
        </w:rPr>
      </w:pPr>
    </w:p>
    <w:p>
      <w:pPr>
        <w:jc w:val="both"/>
        <w:ind w:right="140"/>
        <w:spacing w:after="0"/>
        <w:rPr>
          <w:sz w:val="20"/>
          <w:szCs w:val="20"/>
          <w:color w:val="auto"/>
        </w:rPr>
      </w:pPr>
      <w:r>
        <w:rPr>
          <w:rFonts w:ascii="Arial" w:cs="Arial" w:eastAsia="Arial" w:hAnsi="Arial"/>
          <w:sz w:val="22"/>
          <w:szCs w:val="22"/>
          <w:color w:val="auto"/>
        </w:rPr>
        <w:t>SCM is the general partner of SCP and an investment adviser whose clients, including SCP, have the right to receive or the power to direct the receipt of dividends from, or the proceeds from the sale of, the Stock. Seaver and Kent are the Managing Members of SCM.</w:t>
      </w:r>
    </w:p>
    <w:p>
      <w:pPr>
        <w:spacing w:after="0" w:line="180" w:lineRule="exact"/>
        <w:rPr>
          <w:sz w:val="20"/>
          <w:szCs w:val="20"/>
          <w:color w:val="auto"/>
        </w:rPr>
      </w:pPr>
    </w:p>
    <w:p>
      <w:pPr>
        <w:ind w:left="2160" w:right="620"/>
        <w:spacing w:after="0" w:line="256" w:lineRule="auto"/>
        <w:rPr>
          <w:sz w:val="20"/>
          <w:szCs w:val="20"/>
          <w:color w:val="auto"/>
        </w:rPr>
      </w:pPr>
      <w:r>
        <w:rPr>
          <w:rFonts w:ascii="Arial" w:cs="Arial" w:eastAsia="Arial" w:hAnsi="Arial"/>
          <w:sz w:val="22"/>
          <w:szCs w:val="22"/>
          <w:b w:val="1"/>
          <w:bCs w:val="1"/>
          <w:color w:val="auto"/>
        </w:rPr>
        <w:t>Item 7. 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Item 8. Identification and Classification of Members of the Group.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See Item 2(a) of this Schedule.</w:t>
      </w:r>
    </w:p>
    <w:p>
      <w:pPr>
        <w:spacing w:after="0" w:line="206"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Item 9. Notice of Dissolution of Group</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Item 10. 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Certification is made by SCM, Kent and Seaver.</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Certification is made by SCP.</w:t>
      </w:r>
    </w:p>
    <w:p>
      <w:pPr>
        <w:spacing w:after="0" w:line="206"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b w:val="1"/>
          <w:bCs w:val="1"/>
          <w:color w:val="auto"/>
        </w:rPr>
        <w:t>April 29, 2003</w:t>
      </w:r>
    </w:p>
    <w:p>
      <w:pPr>
        <w:spacing w:after="0" w:line="200" w:lineRule="exact"/>
        <w:rPr>
          <w:sz w:val="20"/>
          <w:szCs w:val="20"/>
          <w:color w:val="auto"/>
        </w:rPr>
      </w:pPr>
    </w:p>
    <w:p>
      <w:pPr>
        <w:spacing w:after="0" w:line="38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STADIUM CAPITAL MANAGEMENT,</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LLC</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Alexander M. Seaver</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b w:val="1"/>
          <w:bCs w:val="1"/>
          <w:color w:val="auto"/>
        </w:rPr>
        <w:t>Bradley R. Kent, Manager</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Bradley R. Kent</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STADIUM CAPITAL PARTNERS, L.P.</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b w:val="1"/>
          <w:bCs w:val="1"/>
          <w:color w:val="auto"/>
        </w:rPr>
        <w:t>Stadium Capital Management, LLC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b w:val="1"/>
          <w:bCs w:val="1"/>
          <w:color w:val="auto"/>
        </w:rPr>
        <w:t>Bradley R. Kent, Manager</w:t>
      </w:r>
    </w:p>
    <w:sectPr>
      <w:pgSz w:w="11900" w:h="16838" w:orient="portrait"/>
      <w:cols w:equalWidth="0" w:num="1">
        <w:col w:w="11400"/>
      </w:cols>
      <w:pgMar w:left="240" w:top="11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50"/>
    </w:lvl>
  </w:abstractNum>
  <w:abstractNum w:abstractNumId="1">
    <w:nsid w:val="7545E146"/>
    <w:multiLevelType w:val="hybridMultilevel"/>
    <w:lvl w:ilvl="0">
      <w:lvlJc w:val="left"/>
      <w:lvlText w:val="[%1]"/>
      <w:numFmt w:val="upperLetter"/>
      <w:start w:val="50"/>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9"/>
    </w:lvl>
  </w:abstractNum>
  <w:abstractNum w:abstractNumId="6">
    <w:nsid w:val="216231B"/>
    <w:multiLevelType w:val="hybridMultilevel"/>
    <w:lvl w:ilvl="0">
      <w:lvlJc w:val="left"/>
      <w:lvlText w:val="%1."/>
      <w:numFmt w:val="decimal"/>
      <w:start w:val="9"/>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3"/>
    </w:lvl>
  </w:abstractNum>
  <w:abstractNum w:abstractNumId="9">
    <w:nsid w:val="66EF438D"/>
    <w:multiLevelType w:val="hybridMultilevel"/>
    <w:lvl w:ilvl="0">
      <w:lvlJc w:val="left"/>
      <w:lvlText w:val="%1."/>
      <w:numFmt w:val="decimal"/>
      <w:start w:val="9"/>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decimal"/>
      <w:start w:val="3"/>
    </w:lvl>
  </w:abstractNum>
  <w:abstractNum w:abstractNumId="12">
    <w:nsid w:val="109CF92E"/>
    <w:multiLevelType w:val="hybridMultilevel"/>
    <w:lvl w:ilvl="0">
      <w:lvlJc w:val="left"/>
      <w:lvlText w:val="(%1)"/>
      <w:numFmt w:val="lowerLetter"/>
      <w:start w:val="3"/>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2019-12-13T16:35:23Z</dcterms:created>
  <dcterms:modified xsi:type="dcterms:W3CDTF">2019-12-13T16:35:23Z</dcterms:modified>
</cp:coreProperties>
</file>