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Birns Ira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Executive VP &amp; CFO</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03/15/2019</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03/15/2019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3,612</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29.68</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jc w:val="center"/>
              <w:ind w:right="237"/>
              <w:spacing w:after="0"/>
              <w:rPr>
                <w:sz w:val="20"/>
                <w:szCs w:val="20"/>
                <w:color w:val="auto"/>
              </w:rPr>
            </w:pPr>
            <w:r>
              <w:rPr>
                <w:rFonts w:ascii="Arial" w:cs="Arial" w:eastAsia="Arial" w:hAnsi="Arial"/>
                <w:sz w:val="18"/>
                <w:szCs w:val="18"/>
                <w:color w:val="0000FF"/>
              </w:rPr>
              <w:t>64,535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03/15/2019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8"/>
              </w:rPr>
              <w:t>23,420</w:t>
            </w:r>
            <w:r>
              <w:rPr>
                <w:rFonts w:ascii="Arial" w:cs="Arial" w:eastAsia="Arial" w:hAnsi="Arial"/>
                <w:sz w:val="22"/>
                <w:szCs w:val="22"/>
                <w:color w:val="008000"/>
                <w:w w:val="98"/>
                <w:vertAlign w:val="superscript"/>
              </w:rPr>
              <w:t>(4)</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29.68</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3"/>
              </w:rPr>
              <w:t>87,955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9,869 restricted stock units held by the reporting person vested and settled on March 15, 2019.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of the issuer's common stock on the NYSE on March 15,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transfer of 48,909 shares of common stock to the reporting person's ex-spouse pursuant to a domestic relations order.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will vest in three equal annual installments beginning on March 15, 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03/19/2019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667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2019-12-24T04:27:29Z</dcterms:created>
  <dcterms:modified xsi:type="dcterms:W3CDTF">2019-12-24T04:27:29Z</dcterms:modified>
</cp:coreProperties>
</file>