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3"/>
        </w:trPr>
        <w:tc>
          <w:tcPr>
            <w:tcW w:w="2380" w:type="dxa"/>
            <w:vAlign w:val="bottom"/>
          </w:tcPr>
          <w:p>
            <w:pPr>
              <w:spacing w:after="0"/>
              <w:rPr>
                <w:sz w:val="21"/>
                <w:szCs w:val="21"/>
                <w:color w:val="auto"/>
              </w:rPr>
            </w:pPr>
          </w:p>
        </w:tc>
        <w:tc>
          <w:tcPr>
            <w:tcW w:w="5680" w:type="dxa"/>
            <w:vAlign w:val="bottom"/>
          </w:tcPr>
          <w:p>
            <w:pPr>
              <w:jc w:val="center"/>
              <w:ind w:left="912"/>
              <w:spacing w:after="0"/>
              <w:rPr>
                <w:sz w:val="20"/>
                <w:szCs w:val="20"/>
                <w:color w:val="auto"/>
              </w:rPr>
            </w:pPr>
            <w:r>
              <w:rPr>
                <w:rFonts w:ascii="Arial" w:cs="Arial" w:eastAsia="Arial" w:hAnsi="Arial"/>
                <w:sz w:val="22"/>
                <w:szCs w:val="22"/>
                <w:b w:val="1"/>
                <w:bCs w:val="1"/>
                <w:color w:val="auto"/>
                <w:w w:val="97"/>
              </w:rPr>
              <w:t>UNITED STATES</w:t>
            </w:r>
          </w:p>
        </w:tc>
      </w:tr>
      <w:tr>
        <w:trPr>
          <w:trHeight w:val="244"/>
        </w:trPr>
        <w:tc>
          <w:tcPr>
            <w:tcW w:w="2380" w:type="dxa"/>
            <w:vAlign w:val="bottom"/>
          </w:tcPr>
          <w:p>
            <w:pPr>
              <w:spacing w:after="0"/>
              <w:rPr>
                <w:sz w:val="20"/>
                <w:szCs w:val="20"/>
                <w:color w:val="auto"/>
              </w:rPr>
            </w:pPr>
            <w:r>
              <w:rPr>
                <w:rFonts w:ascii="Arial" w:cs="Arial" w:eastAsia="Arial" w:hAnsi="Arial"/>
                <w:sz w:val="18"/>
                <w:szCs w:val="18"/>
                <w:i w:val="1"/>
                <w:iCs w:val="1"/>
                <w:color w:val="auto"/>
              </w:rPr>
              <w:t>(Check One):</w:t>
            </w:r>
          </w:p>
        </w:tc>
        <w:tc>
          <w:tcPr>
            <w:tcW w:w="5680" w:type="dxa"/>
            <w:vAlign w:val="bottom"/>
          </w:tcPr>
          <w:p>
            <w:pPr>
              <w:jc w:val="center"/>
              <w:ind w:left="912"/>
              <w:spacing w:after="0" w:line="244" w:lineRule="exact"/>
              <w:rPr>
                <w:sz w:val="20"/>
                <w:szCs w:val="20"/>
                <w:color w:val="auto"/>
              </w:rPr>
            </w:pPr>
            <w:r>
              <w:rPr>
                <w:rFonts w:ascii="Arial" w:cs="Arial" w:eastAsia="Arial" w:hAnsi="Arial"/>
                <w:sz w:val="22"/>
                <w:szCs w:val="22"/>
                <w:b w:val="1"/>
                <w:bCs w:val="1"/>
                <w:color w:val="auto"/>
                <w:w w:val="99"/>
              </w:rPr>
              <w:t>SECURITIES AND EXCHANGE COMMISSION</w:t>
            </w:r>
          </w:p>
        </w:tc>
      </w:tr>
      <w:tr>
        <w:trPr>
          <w:trHeight w:val="355"/>
        </w:trPr>
        <w:tc>
          <w:tcPr>
            <w:tcW w:w="2380" w:type="dxa"/>
            <w:vAlign w:val="bottom"/>
          </w:tcPr>
          <w:p>
            <w:pPr>
              <w:ind w:left="260"/>
              <w:spacing w:after="0" w:line="276"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8"/>
                <w:szCs w:val="18"/>
                <w:color w:val="auto"/>
              </w:rPr>
              <w:t xml:space="preserve"> Form 10-K</w:t>
            </w:r>
          </w:p>
        </w:tc>
        <w:tc>
          <w:tcPr>
            <w:tcW w:w="5680" w:type="dxa"/>
            <w:vAlign w:val="bottom"/>
          </w:tcPr>
          <w:p>
            <w:pPr>
              <w:jc w:val="center"/>
              <w:ind w:left="912"/>
              <w:spacing w:after="0"/>
              <w:rPr>
                <w:sz w:val="20"/>
                <w:szCs w:val="20"/>
                <w:color w:val="auto"/>
              </w:rPr>
            </w:pPr>
            <w:r>
              <w:rPr>
                <w:rFonts w:ascii="Arial" w:cs="Arial" w:eastAsia="Arial" w:hAnsi="Arial"/>
                <w:sz w:val="22"/>
                <w:szCs w:val="22"/>
                <w:b w:val="1"/>
                <w:bCs w:val="1"/>
                <w:color w:val="auto"/>
                <w:w w:val="94"/>
              </w:rPr>
              <w:t>WASHINGTON, D.C. 20549</w:t>
            </w:r>
          </w:p>
        </w:tc>
      </w:tr>
    </w:tbl>
    <w:p>
      <w:pPr>
        <w:spacing w:after="0" w:line="1" w:lineRule="exact"/>
        <w:rPr>
          <w:sz w:val="24"/>
          <w:szCs w:val="24"/>
          <w:color w:val="auto"/>
        </w:rPr>
      </w:pPr>
    </w:p>
    <w:tbl>
      <w:tblPr>
        <w:tblLayout w:type="fixed"/>
        <w:tblInd w:w="260" w:type="dxa"/>
        <w:tblCellMar>
          <w:top w:w="0" w:type="dxa"/>
          <w:left w:w="0" w:type="dxa"/>
          <w:bottom w:w="0" w:type="dxa"/>
          <w:right w:w="0" w:type="dxa"/>
        </w:tblCellMar>
      </w:tblPr>
      <w:tr>
        <w:trPr>
          <w:trHeight w:val="347"/>
        </w:trPr>
        <w:tc>
          <w:tcPr>
            <w:tcW w:w="2420" w:type="dxa"/>
            <w:vAlign w:val="bottom"/>
          </w:tcPr>
          <w:p>
            <w:pPr>
              <w:spacing w:after="0" w:line="276"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8"/>
                <w:szCs w:val="18"/>
                <w:color w:val="auto"/>
              </w:rPr>
              <w:t xml:space="preserve"> Form 11-K</w:t>
            </w:r>
          </w:p>
        </w:tc>
        <w:tc>
          <w:tcPr>
            <w:tcW w:w="4760" w:type="dxa"/>
            <w:vAlign w:val="bottom"/>
          </w:tcPr>
          <w:p>
            <w:pPr>
              <w:jc w:val="center"/>
              <w:ind w:left="1221"/>
              <w:spacing w:after="0" w:line="347" w:lineRule="exact"/>
              <w:rPr>
                <w:sz w:val="20"/>
                <w:szCs w:val="20"/>
                <w:color w:val="auto"/>
              </w:rPr>
            </w:pPr>
            <w:r>
              <w:rPr>
                <w:rFonts w:ascii="Arial" w:cs="Arial" w:eastAsia="Arial" w:hAnsi="Arial"/>
                <w:sz w:val="32"/>
                <w:szCs w:val="32"/>
                <w:b w:val="1"/>
                <w:bCs w:val="1"/>
                <w:color w:val="auto"/>
                <w:w w:val="98"/>
              </w:rPr>
              <w:t>FORM 12b-25</w:t>
            </w:r>
          </w:p>
        </w:tc>
        <w:tc>
          <w:tcPr>
            <w:tcW w:w="0" w:type="dxa"/>
            <w:vAlign w:val="bottom"/>
          </w:tcPr>
          <w:p>
            <w:pPr>
              <w:spacing w:after="0"/>
              <w:rPr>
                <w:sz w:val="1"/>
                <w:szCs w:val="1"/>
                <w:color w:val="auto"/>
              </w:rPr>
            </w:pPr>
          </w:p>
        </w:tc>
      </w:tr>
      <w:tr>
        <w:trPr>
          <w:trHeight w:val="189"/>
        </w:trPr>
        <w:tc>
          <w:tcPr>
            <w:tcW w:w="2420" w:type="dxa"/>
            <w:vAlign w:val="bottom"/>
          </w:tcPr>
          <w:p>
            <w:pPr>
              <w:spacing w:after="0" w:line="189"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6"/>
                <w:szCs w:val="16"/>
                <w:color w:val="auto"/>
              </w:rPr>
              <w:t xml:space="preserve"> Form 20-F</w:t>
            </w:r>
          </w:p>
        </w:tc>
        <w:tc>
          <w:tcPr>
            <w:tcW w:w="4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420" w:type="dxa"/>
            <w:vAlign w:val="bottom"/>
            <w:vMerge w:val="restart"/>
          </w:tcPr>
          <w:p>
            <w:pPr>
              <w:spacing w:after="0" w:line="276" w:lineRule="exact"/>
              <w:rPr>
                <w:sz w:val="20"/>
                <w:szCs w:val="20"/>
                <w:color w:val="auto"/>
              </w:rPr>
            </w:pPr>
            <w:r>
              <w:rPr>
                <w:rFonts w:ascii="MS PGothic" w:cs="MS PGothic" w:eastAsia="MS PGothic" w:hAnsi="MS PGothic"/>
                <w:sz w:val="24"/>
                <w:szCs w:val="24"/>
                <w:color w:val="auto"/>
              </w:rPr>
              <w:t>☐</w:t>
            </w:r>
            <w:r>
              <w:rPr>
                <w:rFonts w:ascii="Arial" w:cs="Arial" w:eastAsia="Arial" w:hAnsi="Arial"/>
                <w:sz w:val="18"/>
                <w:szCs w:val="18"/>
                <w:color w:val="auto"/>
              </w:rPr>
              <w:t xml:space="preserve"> Form 10-Q</w:t>
            </w:r>
          </w:p>
        </w:tc>
        <w:tc>
          <w:tcPr>
            <w:tcW w:w="4760" w:type="dxa"/>
            <w:vAlign w:val="bottom"/>
          </w:tcPr>
          <w:p>
            <w:pPr>
              <w:jc w:val="center"/>
              <w:ind w:left="1221"/>
              <w:spacing w:after="0"/>
              <w:rPr>
                <w:sz w:val="20"/>
                <w:szCs w:val="20"/>
                <w:color w:val="auto"/>
              </w:rPr>
            </w:pPr>
            <w:r>
              <w:rPr>
                <w:rFonts w:ascii="Arial" w:cs="Arial" w:eastAsia="Arial" w:hAnsi="Arial"/>
                <w:sz w:val="18"/>
                <w:szCs w:val="18"/>
                <w:b w:val="1"/>
                <w:bCs w:val="1"/>
                <w:color w:val="auto"/>
                <w:w w:val="88"/>
              </w:rPr>
              <w:t>Commission File Number 1-9533</w:t>
            </w:r>
          </w:p>
        </w:tc>
        <w:tc>
          <w:tcPr>
            <w:tcW w:w="0" w:type="dxa"/>
            <w:vAlign w:val="bottom"/>
          </w:tcPr>
          <w:p>
            <w:pPr>
              <w:spacing w:after="0"/>
              <w:rPr>
                <w:sz w:val="1"/>
                <w:szCs w:val="1"/>
                <w:color w:val="auto"/>
              </w:rPr>
            </w:pPr>
          </w:p>
        </w:tc>
      </w:tr>
      <w:tr>
        <w:trPr>
          <w:trHeight w:val="129"/>
        </w:trPr>
        <w:tc>
          <w:tcPr>
            <w:tcW w:w="2420" w:type="dxa"/>
            <w:vAlign w:val="bottom"/>
            <w:vMerge w:val="continue"/>
          </w:tcPr>
          <w:p>
            <w:pPr>
              <w:spacing w:after="0"/>
              <w:rPr>
                <w:sz w:val="11"/>
                <w:szCs w:val="11"/>
                <w:color w:val="auto"/>
              </w:rPr>
            </w:pPr>
          </w:p>
        </w:tc>
        <w:tc>
          <w:tcPr>
            <w:tcW w:w="4760" w:type="dxa"/>
            <w:vAlign w:val="bottom"/>
            <w:vMerge w:val="restart"/>
          </w:tcPr>
          <w:p>
            <w:pPr>
              <w:jc w:val="center"/>
              <w:ind w:left="1221"/>
              <w:spacing w:after="0"/>
              <w:rPr>
                <w:sz w:val="20"/>
                <w:szCs w:val="20"/>
                <w:color w:val="auto"/>
              </w:rPr>
            </w:pPr>
            <w:r>
              <w:rPr>
                <w:rFonts w:ascii="Arial" w:cs="Arial" w:eastAsia="Arial" w:hAnsi="Arial"/>
                <w:sz w:val="22"/>
                <w:szCs w:val="22"/>
                <w:b w:val="1"/>
                <w:bCs w:val="1"/>
                <w:color w:val="auto"/>
              </w:rPr>
              <w:t>NOTIFICATION OF LATE FILING</w:t>
            </w:r>
          </w:p>
        </w:tc>
        <w:tc>
          <w:tcPr>
            <w:tcW w:w="0" w:type="dxa"/>
            <w:vAlign w:val="bottom"/>
          </w:tcPr>
          <w:p>
            <w:pPr>
              <w:spacing w:after="0"/>
              <w:rPr>
                <w:sz w:val="1"/>
                <w:szCs w:val="1"/>
                <w:color w:val="auto"/>
              </w:rPr>
            </w:pPr>
          </w:p>
        </w:tc>
      </w:tr>
      <w:tr>
        <w:trPr>
          <w:trHeight w:val="275"/>
        </w:trPr>
        <w:tc>
          <w:tcPr>
            <w:tcW w:w="2420" w:type="dxa"/>
            <w:vAlign w:val="bottom"/>
          </w:tcPr>
          <w:p>
            <w:pPr>
              <w:spacing w:after="0"/>
              <w:rPr>
                <w:sz w:val="23"/>
                <w:szCs w:val="23"/>
                <w:color w:val="auto"/>
              </w:rPr>
            </w:pPr>
          </w:p>
        </w:tc>
        <w:tc>
          <w:tcPr>
            <w:tcW w:w="4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For Period Ended: December 31, 2004</w:t>
      </w:r>
    </w:p>
    <w:p>
      <w:pPr>
        <w:spacing w:after="0" w:line="55" w:lineRule="exact"/>
        <w:rPr>
          <w:sz w:val="24"/>
          <w:szCs w:val="24"/>
          <w:color w:val="auto"/>
        </w:rPr>
      </w:pPr>
    </w:p>
    <w:p>
      <w:pPr>
        <w:ind w:left="3640" w:hanging="310"/>
        <w:spacing w:after="0"/>
        <w:tabs>
          <w:tab w:leader="none" w:pos="3640" w:val="left"/>
        </w:tabs>
        <w:numPr>
          <w:ilvl w:val="0"/>
          <w:numId w:val="1"/>
        </w:numPr>
        <w:rPr>
          <w:rFonts w:ascii="MS PGothic" w:cs="MS PGothic" w:eastAsia="MS PGothic" w:hAnsi="MS PGothic"/>
          <w:sz w:val="24"/>
          <w:szCs w:val="24"/>
          <w:color w:val="auto"/>
        </w:rPr>
      </w:pPr>
      <w:r>
        <w:rPr>
          <w:rFonts w:ascii="Arial" w:cs="Arial" w:eastAsia="Arial" w:hAnsi="Arial"/>
          <w:sz w:val="18"/>
          <w:szCs w:val="18"/>
          <w:color w:val="auto"/>
        </w:rPr>
        <w:t>Transition Report on Form 10-K</w:t>
      </w:r>
    </w:p>
    <w:p>
      <w:pPr>
        <w:spacing w:after="0" w:line="52" w:lineRule="exact"/>
        <w:rPr>
          <w:rFonts w:ascii="MS PGothic" w:cs="MS PGothic" w:eastAsia="MS PGothic" w:hAnsi="MS PGothic"/>
          <w:sz w:val="24"/>
          <w:szCs w:val="24"/>
          <w:color w:val="auto"/>
        </w:rPr>
      </w:pPr>
    </w:p>
    <w:p>
      <w:pPr>
        <w:ind w:left="3640" w:hanging="310"/>
        <w:spacing w:after="0"/>
        <w:tabs>
          <w:tab w:leader="none" w:pos="3640" w:val="left"/>
        </w:tabs>
        <w:numPr>
          <w:ilvl w:val="0"/>
          <w:numId w:val="1"/>
        </w:numPr>
        <w:rPr>
          <w:rFonts w:ascii="MS PGothic" w:cs="MS PGothic" w:eastAsia="MS PGothic" w:hAnsi="MS PGothic"/>
          <w:sz w:val="24"/>
          <w:szCs w:val="24"/>
          <w:color w:val="auto"/>
        </w:rPr>
      </w:pPr>
      <w:r>
        <w:rPr>
          <w:rFonts w:ascii="Arial" w:cs="Arial" w:eastAsia="Arial" w:hAnsi="Arial"/>
          <w:sz w:val="18"/>
          <w:szCs w:val="18"/>
          <w:color w:val="auto"/>
        </w:rPr>
        <w:t>Transition Report on Form 20-F</w:t>
      </w:r>
    </w:p>
    <w:p>
      <w:pPr>
        <w:spacing w:after="0" w:line="52" w:lineRule="exact"/>
        <w:rPr>
          <w:rFonts w:ascii="MS PGothic" w:cs="MS PGothic" w:eastAsia="MS PGothic" w:hAnsi="MS PGothic"/>
          <w:sz w:val="24"/>
          <w:szCs w:val="24"/>
          <w:color w:val="auto"/>
        </w:rPr>
      </w:pPr>
    </w:p>
    <w:p>
      <w:pPr>
        <w:ind w:left="3640" w:hanging="310"/>
        <w:spacing w:after="0"/>
        <w:tabs>
          <w:tab w:leader="none" w:pos="3640" w:val="left"/>
        </w:tabs>
        <w:numPr>
          <w:ilvl w:val="0"/>
          <w:numId w:val="1"/>
        </w:numPr>
        <w:rPr>
          <w:rFonts w:ascii="MS PGothic" w:cs="MS PGothic" w:eastAsia="MS PGothic" w:hAnsi="MS PGothic"/>
          <w:sz w:val="24"/>
          <w:szCs w:val="24"/>
          <w:color w:val="auto"/>
        </w:rPr>
      </w:pPr>
      <w:r>
        <w:rPr>
          <w:rFonts w:ascii="Arial" w:cs="Arial" w:eastAsia="Arial" w:hAnsi="Arial"/>
          <w:sz w:val="18"/>
          <w:szCs w:val="18"/>
          <w:color w:val="auto"/>
        </w:rPr>
        <w:t>Transition Report on Form 11-K</w:t>
      </w:r>
    </w:p>
    <w:p>
      <w:pPr>
        <w:spacing w:after="0" w:line="52" w:lineRule="exact"/>
        <w:rPr>
          <w:rFonts w:ascii="MS PGothic" w:cs="MS PGothic" w:eastAsia="MS PGothic" w:hAnsi="MS PGothic"/>
          <w:sz w:val="24"/>
          <w:szCs w:val="24"/>
          <w:color w:val="auto"/>
        </w:rPr>
      </w:pPr>
    </w:p>
    <w:p>
      <w:pPr>
        <w:ind w:left="3640" w:hanging="310"/>
        <w:spacing w:after="0"/>
        <w:tabs>
          <w:tab w:leader="none" w:pos="3640" w:val="left"/>
        </w:tabs>
        <w:numPr>
          <w:ilvl w:val="0"/>
          <w:numId w:val="1"/>
        </w:numPr>
        <w:rPr>
          <w:rFonts w:ascii="MS PGothic" w:cs="MS PGothic" w:eastAsia="MS PGothic" w:hAnsi="MS PGothic"/>
          <w:sz w:val="24"/>
          <w:szCs w:val="24"/>
          <w:color w:val="auto"/>
        </w:rPr>
      </w:pPr>
      <w:r>
        <w:rPr>
          <w:rFonts w:ascii="Arial" w:cs="Arial" w:eastAsia="Arial" w:hAnsi="Arial"/>
          <w:sz w:val="18"/>
          <w:szCs w:val="18"/>
          <w:color w:val="auto"/>
        </w:rPr>
        <w:t>Transition Report on Form 10-Q</w:t>
      </w:r>
    </w:p>
    <w:p>
      <w:pPr>
        <w:spacing w:after="0" w:line="52" w:lineRule="exact"/>
        <w:rPr>
          <w:rFonts w:ascii="MS PGothic" w:cs="MS PGothic" w:eastAsia="MS PGothic" w:hAnsi="MS PGothic"/>
          <w:sz w:val="24"/>
          <w:szCs w:val="24"/>
          <w:color w:val="auto"/>
        </w:rPr>
      </w:pPr>
    </w:p>
    <w:p>
      <w:pPr>
        <w:ind w:left="3640" w:hanging="310"/>
        <w:spacing w:after="0"/>
        <w:tabs>
          <w:tab w:leader="none" w:pos="3640" w:val="left"/>
        </w:tabs>
        <w:numPr>
          <w:ilvl w:val="0"/>
          <w:numId w:val="1"/>
        </w:numPr>
        <w:rPr>
          <w:rFonts w:ascii="MS PGothic" w:cs="MS PGothic" w:eastAsia="MS PGothic" w:hAnsi="MS PGothic"/>
          <w:sz w:val="24"/>
          <w:szCs w:val="24"/>
          <w:color w:val="auto"/>
        </w:rPr>
      </w:pPr>
      <w:r>
        <w:rPr>
          <w:rFonts w:ascii="Arial" w:cs="Arial" w:eastAsia="Arial" w:hAnsi="Arial"/>
          <w:sz w:val="18"/>
          <w:szCs w:val="18"/>
          <w:color w:val="auto"/>
        </w:rPr>
        <w:t>Transition Report on Form N-SAR</w:t>
      </w:r>
    </w:p>
    <w:p>
      <w:pPr>
        <w:spacing w:after="0" w:line="223"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For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50430" cy="158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15875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-13970</wp:posOffset>
            </wp:positionV>
            <wp:extent cx="17278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7835" cy="8890"/>
                    </a:xfrm>
                    <a:prstGeom prst="rect">
                      <a:avLst/>
                    </a:prstGeom>
                    <a:noFill/>
                  </pic:spPr>
                </pic:pic>
              </a:graphicData>
            </a:graphic>
          </wp:anchor>
        </w:drawing>
      </w:r>
    </w:p>
    <w:p>
      <w:pPr>
        <w:spacing w:after="0" w:line="294"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6772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9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529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9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396875</wp:posOffset>
            </wp:positionV>
            <wp:extent cx="6772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9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wp:posOffset>
            </wp:positionV>
            <wp:extent cx="529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Part I - Registrant Information</w:t>
      </w: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224790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3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if Applicable</w:t>
      </w:r>
    </w:p>
    <w:p>
      <w:pPr>
        <w:spacing w:after="0" w:line="18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9800 N.W. 41</w:t>
      </w:r>
      <w:r>
        <w:rPr>
          <w:rFonts w:ascii="Arial" w:cs="Arial" w:eastAsia="Arial" w:hAnsi="Arial"/>
          <w:sz w:val="22"/>
          <w:szCs w:val="22"/>
          <w:b w:val="1"/>
          <w:bCs w:val="1"/>
          <w:color w:val="auto"/>
          <w:vertAlign w:val="superscript"/>
        </w:rPr>
        <w:t>st</w:t>
      </w:r>
      <w:r>
        <w:rPr>
          <w:rFonts w:ascii="Arial" w:cs="Arial" w:eastAsia="Arial" w:hAnsi="Arial"/>
          <w:sz w:val="18"/>
          <w:szCs w:val="18"/>
          <w:b w:val="1"/>
          <w:bCs w:val="1"/>
          <w:color w:val="auto"/>
        </w:rPr>
        <w:t xml:space="preserve"> Street, Suite 400</w:t>
      </w:r>
    </w:p>
    <w:p>
      <w:pPr>
        <w:jc w:val="center"/>
        <w:ind w:right="-179"/>
        <w:spacing w:after="0"/>
        <w:rPr>
          <w:sz w:val="20"/>
          <w:szCs w:val="20"/>
          <w:color w:val="auto"/>
        </w:rPr>
      </w:pPr>
      <w:r>
        <w:rPr>
          <w:rFonts w:ascii="Arial" w:cs="Arial" w:eastAsia="Arial" w:hAnsi="Arial"/>
          <w:sz w:val="14"/>
          <w:szCs w:val="14"/>
          <w:b w:val="1"/>
          <w:bCs w:val="1"/>
          <w:color w:val="auto"/>
        </w:rPr>
        <w:t xml:space="preserve">Address of Principal Executive Office </w:t>
      </w:r>
      <w:r>
        <w:rPr>
          <w:rFonts w:ascii="Arial" w:cs="Arial" w:eastAsia="Arial" w:hAnsi="Arial"/>
          <w:sz w:val="14"/>
          <w:szCs w:val="14"/>
          <w:b w:val="1"/>
          <w:bCs w:val="1"/>
          <w:i w:val="1"/>
          <w:iCs w:val="1"/>
          <w:color w:val="auto"/>
        </w:rPr>
        <w:t>(Street and Number)</w:t>
      </w:r>
    </w:p>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Miami, Florida 33178</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Part II - Rule 12b-25(b) and (c)</w:t>
      </w:r>
    </w:p>
    <w:p>
      <w:pPr>
        <w:spacing w:after="0" w:line="16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ectPr>
          <w:pgSz w:w="11900" w:h="16838" w:orient="portrait"/>
          <w:cols w:equalWidth="0" w:num="1">
            <w:col w:w="11240"/>
          </w:cols>
          <w:pgMar w:left="240" w:top="210" w:right="419" w:bottom="1440" w:gutter="0" w:footer="0" w:header="0"/>
        </w:sectPr>
      </w:pPr>
    </w:p>
    <w:p>
      <w:pPr>
        <w:spacing w:after="0" w:line="73"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135"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370"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ind w:left="314" w:hanging="304"/>
        <w:spacing w:after="0"/>
        <w:tabs>
          <w:tab w:leader="none" w:pos="31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reasons described in reasonable detail in Part III of this form could not be eliminated without unreasonable effort or expense;</w:t>
      </w:r>
    </w:p>
    <w:p>
      <w:pPr>
        <w:spacing w:after="0" w:line="90" w:lineRule="exact"/>
        <w:rPr>
          <w:rFonts w:ascii="Arial" w:cs="Arial" w:eastAsia="Arial" w:hAnsi="Arial"/>
          <w:sz w:val="18"/>
          <w:szCs w:val="18"/>
          <w:color w:val="auto"/>
        </w:rPr>
      </w:pPr>
    </w:p>
    <w:p>
      <w:pPr>
        <w:ind w:left="314" w:right="40" w:hanging="314"/>
        <w:spacing w:after="0" w:line="284" w:lineRule="auto"/>
        <w:tabs>
          <w:tab w:leader="none" w:pos="31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10-KSB, 20-F, 11-K or Form N-SAR, or portion thereof will be filed on or before the 15th calendar day following the prescribed due date; or the subject quarterly report or transition report on Form 10-Q or portion thereof will be filed on or before the fifth calendar day following the prescribed due date; and</w:t>
      </w:r>
    </w:p>
    <w:p>
      <w:pPr>
        <w:spacing w:after="0" w:line="1" w:lineRule="exact"/>
        <w:rPr>
          <w:rFonts w:ascii="Arial" w:cs="Arial" w:eastAsia="Arial" w:hAnsi="Arial"/>
          <w:sz w:val="16"/>
          <w:szCs w:val="16"/>
          <w:color w:val="auto"/>
        </w:rPr>
      </w:pPr>
    </w:p>
    <w:p>
      <w:pPr>
        <w:ind w:left="314" w:hanging="304"/>
        <w:spacing w:after="0"/>
        <w:tabs>
          <w:tab w:leader="none" w:pos="31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-729615</wp:posOffset>
            </wp:positionV>
            <wp:extent cx="8890" cy="788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ectPr>
          <w:pgSz w:w="11900" w:h="16838" w:orient="portrait"/>
          <w:cols w:equalWidth="0" w:num="2">
            <w:col w:w="220" w:space="286"/>
            <w:col w:w="10734"/>
          </w:cols>
          <w:pgMar w:left="240" w:top="210"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 - Narrative</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State below in reasonable detail the reasons why the Form 10-K, 10-KSB, 11-K, 20-F, 10-Q, 10-QSB, N-SAR or portion thereof could not be filed within the prescribed time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See Attachment hereto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 - Other Information</w:t>
      </w:r>
    </w:p>
    <w:p>
      <w:pPr>
        <w:spacing w:after="0" w:line="8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152"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3520" w:type="dxa"/>
            <w:vAlign w:val="bottom"/>
          </w:tcPr>
          <w:p>
            <w:pPr>
              <w:jc w:val="center"/>
              <w:ind w:right="559"/>
              <w:spacing w:after="0"/>
              <w:rPr>
                <w:sz w:val="20"/>
                <w:szCs w:val="20"/>
                <w:color w:val="auto"/>
              </w:rPr>
            </w:pPr>
            <w:r>
              <w:rPr>
                <w:rFonts w:ascii="Arial" w:cs="Arial" w:eastAsia="Arial" w:hAnsi="Arial"/>
                <w:sz w:val="18"/>
                <w:szCs w:val="18"/>
                <w:b w:val="1"/>
                <w:bCs w:val="1"/>
                <w:color w:val="auto"/>
                <w:w w:val="89"/>
              </w:rPr>
              <w:t>Michael J. Kasbar,</w:t>
            </w:r>
          </w:p>
        </w:tc>
        <w:tc>
          <w:tcPr>
            <w:tcW w:w="24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1"/>
        </w:trPr>
        <w:tc>
          <w:tcPr>
            <w:tcW w:w="3520" w:type="dxa"/>
            <w:vAlign w:val="bottom"/>
          </w:tcPr>
          <w:p>
            <w:pPr>
              <w:jc w:val="center"/>
              <w:ind w:right="559"/>
              <w:spacing w:after="0"/>
              <w:rPr>
                <w:sz w:val="20"/>
                <w:szCs w:val="20"/>
                <w:color w:val="auto"/>
              </w:rPr>
            </w:pPr>
            <w:r>
              <w:rPr>
                <w:rFonts w:ascii="Arial" w:cs="Arial" w:eastAsia="Arial" w:hAnsi="Arial"/>
                <w:sz w:val="18"/>
                <w:szCs w:val="18"/>
                <w:b w:val="1"/>
                <w:bCs w:val="1"/>
                <w:color w:val="auto"/>
                <w:w w:val="89"/>
              </w:rPr>
              <w:t>President and Chief Operating Officer</w:t>
            </w:r>
          </w:p>
        </w:tc>
        <w:tc>
          <w:tcPr>
            <w:tcW w:w="2460" w:type="dxa"/>
            <w:vAlign w:val="bottom"/>
          </w:tcPr>
          <w:p>
            <w:pPr>
              <w:jc w:val="right"/>
              <w:ind w:right="1182"/>
              <w:spacing w:after="0"/>
              <w:rPr>
                <w:sz w:val="20"/>
                <w:szCs w:val="20"/>
                <w:color w:val="auto"/>
              </w:rPr>
            </w:pPr>
            <w:r>
              <w:rPr>
                <w:rFonts w:ascii="Arial" w:cs="Arial" w:eastAsia="Arial" w:hAnsi="Arial"/>
                <w:sz w:val="18"/>
                <w:szCs w:val="18"/>
                <w:b w:val="1"/>
                <w:bCs w:val="1"/>
                <w:color w:val="auto"/>
              </w:rPr>
              <w:t>(305)</w:t>
            </w:r>
          </w:p>
        </w:tc>
        <w:tc>
          <w:tcPr>
            <w:tcW w:w="2300" w:type="dxa"/>
            <w:vAlign w:val="bottom"/>
          </w:tcPr>
          <w:p>
            <w:pPr>
              <w:jc w:val="right"/>
              <w:ind w:right="182"/>
              <w:spacing w:after="0"/>
              <w:rPr>
                <w:sz w:val="20"/>
                <w:szCs w:val="20"/>
                <w:color w:val="auto"/>
              </w:rPr>
            </w:pPr>
            <w:r>
              <w:rPr>
                <w:rFonts w:ascii="Arial" w:cs="Arial" w:eastAsia="Arial" w:hAnsi="Arial"/>
                <w:sz w:val="18"/>
                <w:szCs w:val="18"/>
                <w:b w:val="1"/>
                <w:bCs w:val="1"/>
                <w:color w:val="auto"/>
              </w:rPr>
              <w:t>428-8000</w:t>
            </w:r>
          </w:p>
        </w:tc>
      </w:tr>
      <w:tr>
        <w:trPr>
          <w:trHeight w:val="174"/>
        </w:trPr>
        <w:tc>
          <w:tcPr>
            <w:tcW w:w="3520" w:type="dxa"/>
            <w:vAlign w:val="bottom"/>
          </w:tcPr>
          <w:p>
            <w:pPr>
              <w:jc w:val="center"/>
              <w:ind w:right="579"/>
              <w:spacing w:after="0"/>
              <w:rPr>
                <w:sz w:val="20"/>
                <w:szCs w:val="20"/>
                <w:color w:val="auto"/>
              </w:rPr>
            </w:pPr>
            <w:r>
              <w:rPr>
                <w:rFonts w:ascii="Arial" w:cs="Arial" w:eastAsia="Arial" w:hAnsi="Arial"/>
                <w:sz w:val="14"/>
                <w:szCs w:val="14"/>
                <w:b w:val="1"/>
                <w:bCs w:val="1"/>
                <w:color w:val="auto"/>
                <w:w w:val="88"/>
              </w:rPr>
              <w:t>(Name)</w:t>
            </w:r>
          </w:p>
        </w:tc>
        <w:tc>
          <w:tcPr>
            <w:tcW w:w="2460" w:type="dxa"/>
            <w:vAlign w:val="bottom"/>
          </w:tcPr>
          <w:p>
            <w:pPr>
              <w:jc w:val="center"/>
              <w:ind w:right="362"/>
              <w:spacing w:after="0"/>
              <w:rPr>
                <w:sz w:val="20"/>
                <w:szCs w:val="20"/>
                <w:color w:val="auto"/>
              </w:rPr>
            </w:pPr>
            <w:r>
              <w:rPr>
                <w:rFonts w:ascii="Arial" w:cs="Arial" w:eastAsia="Arial" w:hAnsi="Arial"/>
                <w:sz w:val="14"/>
                <w:szCs w:val="14"/>
                <w:b w:val="1"/>
                <w:bCs w:val="1"/>
                <w:color w:val="auto"/>
                <w:w w:val="88"/>
              </w:rPr>
              <w:t>(Area Code)</w:t>
            </w:r>
          </w:p>
        </w:tc>
        <w:tc>
          <w:tcPr>
            <w:tcW w:w="2300" w:type="dxa"/>
            <w:vAlign w:val="bottom"/>
          </w:tcPr>
          <w:p>
            <w:pPr>
              <w:jc w:val="center"/>
              <w:ind w:left="1022"/>
              <w:spacing w:after="0"/>
              <w:rPr>
                <w:sz w:val="20"/>
                <w:szCs w:val="20"/>
                <w:color w:val="auto"/>
              </w:rPr>
            </w:pPr>
            <w:r>
              <w:rPr>
                <w:rFonts w:ascii="Arial" w:cs="Arial" w:eastAsia="Arial" w:hAnsi="Arial"/>
                <w:sz w:val="14"/>
                <w:szCs w:val="14"/>
                <w:b w:val="1"/>
                <w:bCs w:val="1"/>
                <w:color w:val="auto"/>
                <w:w w:val="88"/>
              </w:rPr>
              <w:t>(Telephone Number)</w:t>
            </w:r>
          </w:p>
        </w:tc>
      </w:tr>
    </w:tbl>
    <w:p>
      <w:pPr>
        <w:spacing w:after="0" w:line="46" w:lineRule="exact"/>
        <w:rPr>
          <w:sz w:val="20"/>
          <w:szCs w:val="20"/>
          <w:color w:val="auto"/>
        </w:rPr>
      </w:pPr>
    </w:p>
    <w:p>
      <w:pPr>
        <w:jc w:val="both"/>
        <w:ind w:left="460" w:right="20" w:hanging="452"/>
        <w:spacing w:after="0" w:line="305"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w:t>
      </w:r>
    </w:p>
    <w:p>
      <w:pPr>
        <w:ind w:left="460"/>
        <w:spacing w:after="0" w:line="207" w:lineRule="exact"/>
        <w:tabs>
          <w:tab w:leader="none" w:pos="1520" w:val="left"/>
        </w:tabs>
        <w:rPr>
          <w:sz w:val="20"/>
          <w:szCs w:val="20"/>
          <w:color w:val="auto"/>
        </w:rPr>
      </w:pPr>
      <w:r>
        <w:rPr>
          <w:rFonts w:ascii="Arial" w:cs="Arial" w:eastAsia="Arial" w:hAnsi="Arial"/>
          <w:sz w:val="18"/>
          <w:szCs w:val="18"/>
          <w:color w:val="auto"/>
        </w:rPr>
        <w:t>the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195580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 the earnings</w:t>
      </w:r>
    </w:p>
    <w:p>
      <w:pPr>
        <w:spacing w:after="0" w:line="38" w:lineRule="exact"/>
        <w:rPr>
          <w:sz w:val="20"/>
          <w:szCs w:val="20"/>
          <w:color w:val="auto"/>
        </w:rPr>
      </w:pPr>
    </w:p>
    <w:p>
      <w:pPr>
        <w:ind w:left="460"/>
        <w:spacing w:after="0" w:line="207" w:lineRule="exact"/>
        <w:tabs>
          <w:tab w:leader="none" w:pos="5200" w:val="left"/>
        </w:tabs>
        <w:rPr>
          <w:sz w:val="20"/>
          <w:szCs w:val="20"/>
          <w:color w:val="auto"/>
        </w:rPr>
      </w:pPr>
      <w:r>
        <w:rPr>
          <w:rFonts w:ascii="Arial" w:cs="Arial" w:eastAsia="Arial" w:hAnsi="Arial"/>
          <w:sz w:val="18"/>
          <w:szCs w:val="18"/>
          <w:color w:val="auto"/>
        </w:rPr>
        <w:t>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51"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WFS expects to report a significant increase in revenues and earnings over the last fiscal year. Because of the restatement and the change in WFS’ revenue recognition policy discussed above, WFS is unable to reasonably estimate the exact amount of the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of Registrant as specified in charter)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20" w:type="dxa"/>
            <w:vAlign w:val="bottom"/>
            <w:gridSpan w:val="3"/>
          </w:tcPr>
          <w:p>
            <w:pPr>
              <w:spacing w:after="0"/>
              <w:rPr>
                <w:sz w:val="20"/>
                <w:szCs w:val="20"/>
                <w:color w:val="auto"/>
              </w:rPr>
            </w:pPr>
            <w:r>
              <w:rPr>
                <w:rFonts w:ascii="Arial" w:cs="Arial" w:eastAsia="Arial" w:hAnsi="Arial"/>
                <w:sz w:val="18"/>
                <w:szCs w:val="18"/>
                <w:color w:val="auto"/>
                <w:w w:val="93"/>
              </w:rPr>
              <w:t>Has caused this notification to be signed on its behalf by the undersigned thereunto duly authorized.</w:t>
            </w:r>
          </w:p>
        </w:tc>
        <w:tc>
          <w:tcPr>
            <w:tcW w:w="4000" w:type="dxa"/>
            <w:vAlign w:val="bottom"/>
          </w:tcPr>
          <w:p>
            <w:pPr>
              <w:spacing w:after="0"/>
              <w:rPr>
                <w:sz w:val="19"/>
                <w:szCs w:val="19"/>
                <w:color w:val="auto"/>
              </w:rPr>
            </w:pPr>
          </w:p>
        </w:tc>
      </w:tr>
      <w:tr>
        <w:trPr>
          <w:trHeight w:val="367"/>
        </w:trPr>
        <w:tc>
          <w:tcPr>
            <w:tcW w:w="3680" w:type="dxa"/>
            <w:vAlign w:val="bottom"/>
          </w:tcPr>
          <w:p>
            <w:pPr>
              <w:spacing w:after="0"/>
              <w:rPr>
                <w:sz w:val="20"/>
                <w:szCs w:val="20"/>
                <w:color w:val="auto"/>
              </w:rPr>
            </w:pPr>
            <w:r>
              <w:rPr>
                <w:rFonts w:ascii="Arial" w:cs="Arial" w:eastAsia="Arial" w:hAnsi="Arial"/>
                <w:sz w:val="18"/>
                <w:szCs w:val="18"/>
                <w:color w:val="auto"/>
              </w:rPr>
              <w:t>Date:   March 16, 2005</w:t>
            </w:r>
          </w:p>
        </w:tc>
        <w:tc>
          <w:tcPr>
            <w:tcW w:w="3740" w:type="dxa"/>
            <w:vAlign w:val="bottom"/>
            <w:gridSpan w:val="2"/>
          </w:tcPr>
          <w:p>
            <w:pPr>
              <w:ind w:left="2140"/>
              <w:spacing w:after="0"/>
              <w:rPr>
                <w:sz w:val="20"/>
                <w:szCs w:val="20"/>
                <w:color w:val="auto"/>
              </w:rPr>
            </w:pPr>
            <w:r>
              <w:rPr>
                <w:rFonts w:ascii="Arial" w:cs="Arial" w:eastAsia="Arial" w:hAnsi="Arial"/>
                <w:sz w:val="18"/>
                <w:szCs w:val="18"/>
                <w:color w:val="auto"/>
              </w:rPr>
              <w:t>By:</w:t>
            </w:r>
          </w:p>
        </w:tc>
        <w:tc>
          <w:tcPr>
            <w:tcW w:w="4000" w:type="dxa"/>
            <w:vAlign w:val="bottom"/>
          </w:tcPr>
          <w:p>
            <w:pPr>
              <w:ind w:left="38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K</w:t>
            </w:r>
            <w:r>
              <w:rPr>
                <w:rFonts w:ascii="Arial" w:cs="Arial" w:eastAsia="Arial" w:hAnsi="Arial"/>
                <w:sz w:val="14"/>
                <w:szCs w:val="14"/>
                <w:color w:val="auto"/>
              </w:rPr>
              <w:t>ASBAR</w:t>
            </w:r>
          </w:p>
        </w:tc>
      </w:tr>
      <w:tr>
        <w:trPr>
          <w:trHeight w:val="201"/>
        </w:trPr>
        <w:tc>
          <w:tcPr>
            <w:tcW w:w="3680" w:type="dxa"/>
            <w:vAlign w:val="bottom"/>
          </w:tcPr>
          <w:p>
            <w:pPr>
              <w:spacing w:after="0"/>
              <w:rPr>
                <w:sz w:val="17"/>
                <w:szCs w:val="17"/>
                <w:color w:val="auto"/>
              </w:rPr>
            </w:pPr>
          </w:p>
        </w:tc>
        <w:tc>
          <w:tcPr>
            <w:tcW w:w="2620" w:type="dxa"/>
            <w:vAlign w:val="bottom"/>
          </w:tcPr>
          <w:p>
            <w:pPr>
              <w:ind w:left="2140"/>
              <w:spacing w:after="0" w:line="201" w:lineRule="exact"/>
              <w:rPr>
                <w:sz w:val="20"/>
                <w:szCs w:val="20"/>
                <w:color w:val="auto"/>
              </w:rPr>
            </w:pPr>
            <w:r>
              <w:rPr>
                <w:rFonts w:ascii="Arial" w:cs="Arial" w:eastAsia="Arial" w:hAnsi="Arial"/>
                <w:sz w:val="18"/>
                <w:szCs w:val="18"/>
                <w:color w:val="auto"/>
                <w:w w:val="86"/>
              </w:rPr>
              <w:t>Name:</w:t>
            </w:r>
          </w:p>
        </w:tc>
        <w:tc>
          <w:tcPr>
            <w:tcW w:w="1120" w:type="dxa"/>
            <w:vAlign w:val="bottom"/>
            <w:tcBorders>
              <w:top w:val="single" w:sz="8" w:color="auto"/>
            </w:tcBorders>
          </w:tcPr>
          <w:p>
            <w:pPr>
              <w:spacing w:after="0"/>
              <w:rPr>
                <w:sz w:val="17"/>
                <w:szCs w:val="17"/>
                <w:color w:val="auto"/>
              </w:rPr>
            </w:pPr>
          </w:p>
        </w:tc>
        <w:tc>
          <w:tcPr>
            <w:tcW w:w="4000" w:type="dxa"/>
            <w:vAlign w:val="bottom"/>
            <w:tcBorders>
              <w:top w:val="single" w:sz="8" w:color="auto"/>
            </w:tcBorders>
          </w:tcPr>
          <w:p>
            <w:pPr>
              <w:ind w:left="960"/>
              <w:spacing w:after="0"/>
              <w:rPr>
                <w:sz w:val="20"/>
                <w:szCs w:val="20"/>
                <w:color w:val="auto"/>
              </w:rPr>
            </w:pPr>
            <w:r>
              <w:rPr>
                <w:rFonts w:ascii="Arial" w:cs="Arial" w:eastAsia="Arial" w:hAnsi="Arial"/>
                <w:sz w:val="14"/>
                <w:szCs w:val="14"/>
                <w:b w:val="1"/>
                <w:bCs w:val="1"/>
                <w:color w:val="auto"/>
              </w:rPr>
              <w:t>Michael J. Kasbar</w:t>
            </w:r>
          </w:p>
        </w:tc>
      </w:tr>
      <w:tr>
        <w:trPr>
          <w:trHeight w:val="237"/>
        </w:trPr>
        <w:tc>
          <w:tcPr>
            <w:tcW w:w="3680" w:type="dxa"/>
            <w:vAlign w:val="bottom"/>
          </w:tcPr>
          <w:p>
            <w:pPr>
              <w:spacing w:after="0"/>
              <w:rPr>
                <w:sz w:val="20"/>
                <w:szCs w:val="20"/>
                <w:color w:val="auto"/>
              </w:rPr>
            </w:pPr>
          </w:p>
        </w:tc>
        <w:tc>
          <w:tcPr>
            <w:tcW w:w="3740" w:type="dxa"/>
            <w:vAlign w:val="bottom"/>
            <w:gridSpan w:val="2"/>
          </w:tcPr>
          <w:p>
            <w:pPr>
              <w:ind w:left="2140"/>
              <w:spacing w:after="0"/>
              <w:rPr>
                <w:sz w:val="20"/>
                <w:szCs w:val="20"/>
                <w:color w:val="auto"/>
              </w:rPr>
            </w:pPr>
            <w:r>
              <w:rPr>
                <w:rFonts w:ascii="Arial" w:cs="Arial" w:eastAsia="Arial" w:hAnsi="Arial"/>
                <w:sz w:val="18"/>
                <w:szCs w:val="18"/>
                <w:color w:val="auto"/>
              </w:rPr>
              <w:t>Title:</w:t>
            </w:r>
          </w:p>
        </w:tc>
        <w:tc>
          <w:tcPr>
            <w:tcW w:w="4000" w:type="dxa"/>
            <w:vAlign w:val="bottom"/>
          </w:tcPr>
          <w:p>
            <w:pPr>
              <w:ind w:left="380"/>
              <w:spacing w:after="0"/>
              <w:rPr>
                <w:sz w:val="20"/>
                <w:szCs w:val="20"/>
                <w:color w:val="auto"/>
              </w:rPr>
            </w:pPr>
            <w:r>
              <w:rPr>
                <w:rFonts w:ascii="Arial" w:cs="Arial" w:eastAsia="Arial" w:hAnsi="Arial"/>
                <w:sz w:val="14"/>
                <w:szCs w:val="14"/>
                <w:b w:val="1"/>
                <w:bCs w:val="1"/>
                <w:color w:val="auto"/>
              </w:rPr>
              <w:t>President and Chief Operating Officer</w:t>
            </w:r>
          </w:p>
        </w:tc>
      </w:tr>
      <w:tr>
        <w:trPr>
          <w:trHeight w:val="350"/>
        </w:trPr>
        <w:tc>
          <w:tcPr>
            <w:tcW w:w="3680" w:type="dxa"/>
            <w:vAlign w:val="bottom"/>
          </w:tcPr>
          <w:p>
            <w:pPr>
              <w:spacing w:after="0"/>
              <w:rPr>
                <w:sz w:val="24"/>
                <w:szCs w:val="24"/>
                <w:color w:val="auto"/>
              </w:rPr>
            </w:pPr>
          </w:p>
        </w:tc>
        <w:tc>
          <w:tcPr>
            <w:tcW w:w="2620" w:type="dxa"/>
            <w:vAlign w:val="bottom"/>
          </w:tcPr>
          <w:p>
            <w:pPr>
              <w:jc w:val="right"/>
              <w:ind w:right="452"/>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TO FORM 12b-25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 for the year ended December 31,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World Fuel Services Corporation (“WFS”) is unable to file its Annual Report on Form 10-K for the year ended December 31, 2004 (the “Annual Report on Form 10-K”) within the prescribed time period because it is unable to complete the preparation of its consolidated financial statements and because WFS and its auditors require additional time to complete the assessment of WFS’ internal controls over financial reporting required for compliance with Section 404 of the Sarbanes-Oxley Act of 2002 and the rules of the Public Company Accounting Oversight Board. The reasons causing WFS’ inability to file timely are beyond its control and could not be eliminated by WFS without unreasonable effort or expense.</w:t>
      </w:r>
    </w:p>
    <w:p>
      <w:pPr>
        <w:spacing w:after="0" w:line="10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WFS and its auditor have concluded that WFS should have accrued certain sales. WFS contracts with third parties to deliver fuel to customers and perform most services. Its policy had been to record sales only when supporting documentation relating to fuel deliveries and related services had been received from these third parties. The change will necessitate a restatement of prior financial statements for all reported periods. Because the change affects the time when revenue and income are recorded, it is expected to have a material effect on reported results within specific quarters, though management does not believe that the change, which affects only the timing of the recording of revenue from quarter to quarter, will have any significant effect on its overall results for the restated periods.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2019-12-13T16:33:55Z</dcterms:created>
  <dcterms:modified xsi:type="dcterms:W3CDTF">2019-12-13T16:33:55Z</dcterms:modified>
</cp:coreProperties>
</file>