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kc-20260618.htm"/>
      <w:bookmarkStart w:id="1" w:name="kswkc20260618"/>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WORLD KINECT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001-09533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59-2459427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9800 NW 41st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33178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428-8000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WKC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961"/>
        <w:gridCol w:w="4591"/>
      </w:tblGrid>
      <w:tr>
        <w:trPr/>
        <w:tc>
          <w:tcPr>
            <w:tcW w:w="96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Submission of Matters to a Vote of Security Holders.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18, 2026, World Kinect Corporation (the “Company”) held its 2026 Annual Meeting of Shareholders (the “2026 Annual Meeting”). The matters voted upon at the Company’s 2026 Annual Meeting and the results of the votes were as follows: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Proposal 1: Election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shareholders elected each of the Company’s nominees for director for a term expiring on the date of the 2027 Annual Meeting of Shareholders or until their successors are duly elected and qualified. </w:t>
      </w:r>
    </w:p>
    <w:tbl>
      <w:tblPr>
        <w:tblW w:w="6929" w:type="dxa"/>
        <w:jc w:val="left"/>
        <w:tblInd w:w="0" w:type="dxa"/>
        <w:tblLayout w:type="fixed"/>
        <w:tblCellMar>
          <w:top w:w="28" w:type="dxa"/>
          <w:left w:w="28" w:type="dxa"/>
          <w:bottom w:w="28" w:type="dxa"/>
          <w:right w:w="28" w:type="dxa"/>
        </w:tblCellMar>
      </w:tblPr>
      <w:tblGrid>
        <w:gridCol w:w="1986"/>
        <w:gridCol w:w="146"/>
        <w:gridCol w:w="146"/>
        <w:gridCol w:w="1036"/>
        <w:gridCol w:w="146"/>
        <w:gridCol w:w="146"/>
        <w:gridCol w:w="164"/>
        <w:gridCol w:w="1051"/>
        <w:gridCol w:w="146"/>
        <w:gridCol w:w="146"/>
        <w:gridCol w:w="193"/>
        <w:gridCol w:w="1232"/>
        <w:gridCol w:w="391"/>
      </w:tblGrid>
      <w:tr>
        <w:trPr/>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Withheld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39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Ira M. Birns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44,358,972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Michael J. Kasbar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43,763,447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Ken Bakshi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41,185,770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3,595,929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Jorge L. Benitez</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43,356,002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1,425,697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Sharda Cherwoo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43,882,037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Jeffrey M. Kottkamp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43,789,238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992,461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 L. Manley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42,074,440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2,707,259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Greg Piper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44,536,020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9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Andrea B. Smith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44,537,906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Paul H. Stebbins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rFonts w:ascii="Times New Roman" w:hAnsi="Times New Roman"/>
          <w:sz w:val="20"/>
        </w:rPr>
      </w:pPr>
      <w:r>
        <w:rPr>
          <w:rFonts w:ascii="Times New Roman" w:hAnsi="Times New Roman"/>
          <w:b/>
          <w:color w:val="000000"/>
          <w:sz w:val="20"/>
          <w:u w:val="single"/>
        </w:rPr>
        <w:t>Proposal 2: Non-Binding, Advisory Vote on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shareholders approved, by a non-binding, advisory vote, the compensation of the Company’s named executive officers. </w:t>
      </w:r>
    </w:p>
    <w:tbl>
      <w:tblPr>
        <w:tblW w:w="5017" w:type="dxa"/>
        <w:jc w:val="left"/>
        <w:tblInd w:w="0" w:type="dxa"/>
        <w:tblLayout w:type="fixed"/>
        <w:tblCellMar>
          <w:top w:w="28" w:type="dxa"/>
          <w:left w:w="28" w:type="dxa"/>
          <w:bottom w:w="28" w:type="dxa"/>
          <w:right w:w="28" w:type="dxa"/>
        </w:tblCellMar>
      </w:tblPr>
      <w:tblGrid>
        <w:gridCol w:w="1051"/>
        <w:gridCol w:w="146"/>
        <w:gridCol w:w="1111"/>
        <w:gridCol w:w="146"/>
        <w:gridCol w:w="946"/>
        <w:gridCol w:w="1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41,333,700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3,262,774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185,225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1,650,973</w:t>
            </w:r>
          </w:p>
        </w:tc>
      </w:tr>
    </w:tbl>
    <w:p>
      <w:pPr>
        <w:pStyle w:val="TextBody"/>
        <w:bidi w:val="0"/>
        <w:spacing w:before="360" w:after="283"/>
        <w:jc w:val="left"/>
        <w:rPr>
          <w:rFonts w:ascii="Times New Roman" w:hAnsi="Times New Roman"/>
          <w:sz w:val="20"/>
        </w:rPr>
      </w:pPr>
      <w:r>
        <w:rPr>
          <w:rFonts w:ascii="Times New Roman" w:hAnsi="Times New Roman"/>
          <w:b/>
          <w:color w:val="000000"/>
          <w:sz w:val="20"/>
          <w:u w:val="single"/>
        </w:rPr>
        <w:t>Proposal 3: Ratification of Appointment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shareholders ratified the appointment of PricewaterhouseCoopers LLP as the Company’s independent registered public accounting firm for the 2026 fiscal year. </w:t>
      </w:r>
    </w:p>
    <w:tbl>
      <w:tblPr>
        <w:tblW w:w="3445" w:type="dxa"/>
        <w:jc w:val="left"/>
        <w:tblInd w:w="0" w:type="dxa"/>
        <w:tblLayout w:type="fixed"/>
        <w:tblCellMar>
          <w:top w:w="28" w:type="dxa"/>
          <w:left w:w="28" w:type="dxa"/>
          <w:bottom w:w="28" w:type="dxa"/>
          <w:right w:w="28" w:type="dxa"/>
        </w:tblCellMar>
      </w:tblPr>
      <w:tblGrid>
        <w:gridCol w:w="1051"/>
        <w:gridCol w:w="146"/>
        <w:gridCol w:w="1111"/>
        <w:gridCol w:w="146"/>
        <w:gridCol w:w="9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45,336,880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920,454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175,338</w:t>
            </w:r>
          </w:p>
        </w:tc>
      </w:tr>
    </w:tbl>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1276"/>
        <w:gridCol w:w="146"/>
        <w:gridCol w:w="66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166" w:type="dxa"/>
        <w:jc w:val="left"/>
        <w:tblInd w:w="0" w:type="dxa"/>
        <w:tblLayout w:type="fixed"/>
        <w:tblCellMar>
          <w:top w:w="28" w:type="dxa"/>
          <w:left w:w="28" w:type="dxa"/>
          <w:bottom w:w="28" w:type="dxa"/>
          <w:right w:w="28" w:type="dxa"/>
        </w:tblCellMar>
      </w:tblPr>
      <w:tblGrid>
        <w:gridCol w:w="569"/>
        <w:gridCol w:w="517"/>
        <w:gridCol w:w="519"/>
        <w:gridCol w:w="146"/>
        <w:gridCol w:w="729"/>
        <w:gridCol w:w="729"/>
        <w:gridCol w:w="957"/>
      </w:tblGrid>
      <w:tr>
        <w:trPr/>
        <w:tc>
          <w:tcPr>
            <w:tcW w:w="5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569"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World Kinect Corporation</w:t>
            </w:r>
          </w:p>
        </w:tc>
      </w:tr>
      <w:tr>
        <w:trPr/>
        <w:tc>
          <w:tcPr>
            <w:tcW w:w="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Jeffrey Weissman</w:t>
            </w:r>
          </w:p>
        </w:tc>
      </w:tr>
      <w:tr>
        <w:trPr/>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Weissman</w:t>
            </w:r>
          </w:p>
        </w:tc>
      </w:tr>
      <w:tr>
        <w:trPr/>
        <w:tc>
          <w:tcPr>
            <w:tcW w:w="569"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3451</Characters>
  <CharactersWithSpaces>4046</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