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80"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162560</wp:posOffset>
            </wp:positionV>
            <wp:extent cx="68872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684530</wp:posOffset>
            </wp:positionH>
            <wp:positionV relativeFrom="paragraph">
              <wp:posOffset>107315</wp:posOffset>
            </wp:positionV>
            <wp:extent cx="65163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63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700"/>
        <w:spacing w:after="0"/>
        <w:rPr>
          <w:sz w:val="20"/>
          <w:szCs w:val="20"/>
          <w:color w:val="auto"/>
        </w:rPr>
      </w:pPr>
      <w:r>
        <w:rPr>
          <w:rFonts w:ascii="Arial" w:cs="Arial" w:eastAsia="Arial" w:hAnsi="Arial"/>
          <w:sz w:val="20"/>
          <w:szCs w:val="20"/>
          <w:b w:val="1"/>
          <w:bCs w:val="1"/>
          <w:color w:val="auto"/>
        </w:rPr>
        <w:t>CURRENT REPORT</w:t>
      </w:r>
    </w:p>
    <w:p>
      <w:pPr>
        <w:spacing w:after="0" w:line="116" w:lineRule="exact"/>
        <w:rPr>
          <w:sz w:val="24"/>
          <w:szCs w:val="24"/>
          <w:color w:val="auto"/>
        </w:rPr>
      </w:pPr>
    </w:p>
    <w:p>
      <w:pPr>
        <w:ind w:left="3700"/>
        <w:spacing w:after="0"/>
        <w:rPr>
          <w:sz w:val="20"/>
          <w:szCs w:val="20"/>
          <w:color w:val="auto"/>
        </w:rPr>
      </w:pPr>
      <w:r>
        <w:rPr>
          <w:rFonts w:ascii="Arial" w:cs="Arial" w:eastAsia="Arial" w:hAnsi="Arial"/>
          <w:sz w:val="20"/>
          <w:szCs w:val="20"/>
          <w:b w:val="1"/>
          <w:bCs w:val="1"/>
          <w:color w:val="auto"/>
        </w:rPr>
        <w:t>PURSUANT TO SECTION 13 OR 15(d) OF</w:t>
      </w:r>
    </w:p>
    <w:p>
      <w:pPr>
        <w:spacing w:after="0" w:line="116"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March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102235</wp:posOffset>
            </wp:positionV>
            <wp:extent cx="6887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pacing w:after="0" w:line="353" w:lineRule="exact"/>
        <w:rPr>
          <w:sz w:val="24"/>
          <w:szCs w:val="24"/>
          <w:color w:val="auto"/>
        </w:rPr>
      </w:pPr>
    </w:p>
    <w:p>
      <w:pPr>
        <w:ind w:left="2460"/>
        <w:spacing w:after="0"/>
        <w:rPr>
          <w:sz w:val="20"/>
          <w:szCs w:val="20"/>
          <w:color w:val="auto"/>
        </w:rPr>
      </w:pPr>
      <w:r>
        <w:rPr>
          <w:rFonts w:ascii="Arial" w:cs="Arial" w:eastAsia="Arial" w:hAnsi="Arial"/>
          <w:sz w:val="37"/>
          <w:szCs w:val="37"/>
          <w:b w:val="1"/>
          <w:bCs w:val="1"/>
          <w:color w:val="auto"/>
        </w:rPr>
        <w:t>WORLD FUEL SERVICES CORPORATION</w:t>
      </w:r>
    </w:p>
    <w:p>
      <w:pPr>
        <w:spacing w:after="0" w:line="13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131445</wp:posOffset>
            </wp:positionH>
            <wp:positionV relativeFrom="paragraph">
              <wp:posOffset>96520</wp:posOffset>
            </wp:positionV>
            <wp:extent cx="6887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p>
      <w:pPr>
        <w:spacing w:after="0" w:line="200" w:lineRule="exact"/>
        <w:rPr>
          <w:sz w:val="24"/>
          <w:szCs w:val="24"/>
          <w:color w:val="auto"/>
        </w:rPr>
      </w:pPr>
    </w:p>
    <w:p>
      <w:pPr>
        <w:spacing w:after="0" w:line="400" w:lineRule="exact"/>
        <w:rPr>
          <w:sz w:val="24"/>
          <w:szCs w:val="24"/>
          <w:color w:val="auto"/>
        </w:rPr>
      </w:pPr>
    </w:p>
    <w:p>
      <w:pPr>
        <w:ind w:left="1680"/>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jc w:val="center"/>
        <w:ind w:right="1960"/>
        <w:spacing w:after="0"/>
        <w:rPr>
          <w:sz w:val="20"/>
          <w:szCs w:val="20"/>
          <w:color w:val="auto"/>
        </w:rPr>
      </w:pPr>
      <w:r>
        <w:rPr>
          <w:rFonts w:ascii="Arial" w:cs="Arial" w:eastAsia="Arial" w:hAnsi="Arial"/>
          <w:sz w:val="18"/>
          <w:szCs w:val="18"/>
          <w:b w:val="1"/>
          <w:bCs w:val="1"/>
          <w:color w:val="auto"/>
        </w:rPr>
        <w:t>001-09533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59-2459427</w:t>
      </w:r>
    </w:p>
    <w:p>
      <w:pPr>
        <w:spacing w:after="0" w:line="57" w:lineRule="exact"/>
        <w:rPr>
          <w:sz w:val="24"/>
          <w:szCs w:val="24"/>
          <w:color w:val="auto"/>
        </w:rPr>
      </w:pPr>
    </w:p>
    <w:p>
      <w:pPr>
        <w:sectPr>
          <w:pgSz w:w="11900" w:h="16838" w:orient="portrait"/>
          <w:cols w:equalWidth="0" w:num="3">
            <w:col w:w="4440" w:space="720"/>
            <w:col w:w="2860" w:space="720"/>
            <w:col w:w="2500"/>
          </w:cols>
          <w:pgMar w:left="320" w:top="1163" w:right="339" w:bottom="1440" w:gutter="0" w:footer="0" w:header="0"/>
          <w:type w:val="continuous"/>
        </w:sectPr>
      </w:pPr>
    </w:p>
    <w:p>
      <w:pPr>
        <w:ind w:left="700"/>
        <w:spacing w:after="0"/>
        <w:rPr>
          <w:sz w:val="20"/>
          <w:szCs w:val="20"/>
          <w:color w:val="auto"/>
        </w:rPr>
      </w:pPr>
      <w:r>
        <w:rPr>
          <w:rFonts w:ascii="Arial" w:cs="Arial" w:eastAsia="Arial" w:hAnsi="Arial"/>
          <w:sz w:val="11"/>
          <w:szCs w:val="11"/>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200" w:lineRule="exact"/>
        <w:rPr>
          <w:sz w:val="24"/>
          <w:szCs w:val="24"/>
          <w:color w:val="auto"/>
        </w:rPr>
      </w:pPr>
    </w:p>
    <w:p>
      <w:pPr>
        <w:sectPr>
          <w:pgSz w:w="11900" w:h="16838" w:orient="portrait"/>
          <w:cols w:equalWidth="0" w:num="3">
            <w:col w:w="4100" w:space="720"/>
            <w:col w:w="2660" w:space="720"/>
            <w:col w:w="3040"/>
          </w:cols>
          <w:pgMar w:left="320" w:top="1163" w:right="339" w:bottom="1440" w:gutter="0" w:footer="0" w:header="0"/>
          <w:type w:val="continuous"/>
        </w:sectPr>
      </w:pPr>
    </w:p>
    <w:p>
      <w:pPr>
        <w:spacing w:after="0" w:line="75"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9800 N.W. 41st Street,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Miami,</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Florida</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33178</w:t>
      </w:r>
    </w:p>
    <w:p>
      <w:pPr>
        <w:spacing w:after="0" w:line="113" w:lineRule="exact"/>
        <w:rPr>
          <w:sz w:val="24"/>
          <w:szCs w:val="24"/>
          <w:color w:val="auto"/>
        </w:rPr>
      </w:pPr>
    </w:p>
    <w:p>
      <w:pPr>
        <w:sectPr>
          <w:pgSz w:w="11900" w:h="16838" w:orient="portrait"/>
          <w:cols w:equalWidth="0" w:num="4">
            <w:col w:w="5000" w:space="500"/>
            <w:col w:w="620" w:space="320"/>
            <w:col w:w="660" w:space="620"/>
            <w:col w:w="3520"/>
          </w:cols>
          <w:pgMar w:left="320" w:top="1163" w:right="339" w:bottom="1440" w:gutter="0" w:footer="0" w:header="0"/>
          <w:type w:val="continuous"/>
        </w:sectPr>
      </w:pPr>
    </w:p>
    <w:p>
      <w:pPr>
        <w:spacing w:after="0" w:line="5" w:lineRule="exact"/>
        <w:rPr>
          <w:sz w:val="24"/>
          <w:szCs w:val="24"/>
          <w:color w:val="auto"/>
        </w:rPr>
      </w:pPr>
    </w:p>
    <w:p>
      <w:pPr>
        <w:ind w:left="38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6900" w:space="720"/>
            <w:col w:w="3620"/>
          </w:cols>
          <w:pgMar w:left="320" w:top="1163" w:right="339" w:bottom="1440" w:gutter="0" w:footer="0" w:header="0"/>
          <w:type w:val="continuous"/>
        </w:sectPr>
      </w:pPr>
    </w:p>
    <w:p>
      <w:pPr>
        <w:spacing w:after="0" w:line="19"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Registrant’s telephone number, including area code: (305) 428-8000</w:t>
      </w:r>
    </w:p>
    <w:p>
      <w:pPr>
        <w:spacing w:after="0" w:line="116" w:lineRule="exact"/>
        <w:rPr>
          <w:sz w:val="24"/>
          <w:szCs w:val="24"/>
          <w:color w:val="auto"/>
        </w:rPr>
      </w:pPr>
    </w:p>
    <w:p>
      <w:pPr>
        <w:spacing w:after="0" w:line="263"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spacing w:after="0" w:line="33" w:lineRule="exact"/>
        <w:rPr>
          <w:sz w:val="24"/>
          <w:szCs w:val="24"/>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240.14-12)</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60" w:lineRule="exact"/>
        <w:rPr>
          <w:rFonts w:ascii="MS PGothic" w:cs="MS PGothic" w:eastAsia="MS PGothic" w:hAnsi="MS PGothic"/>
          <w:sz w:val="17"/>
          <w:szCs w:val="17"/>
          <w:color w:val="auto"/>
        </w:rPr>
      </w:pPr>
    </w:p>
    <w:p>
      <w:pPr>
        <w:ind w:left="200" w:hanging="198"/>
        <w:spacing w:after="0"/>
        <w:tabs>
          <w:tab w:leader="none" w:pos="2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4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309"/>
        </w:trPr>
        <w:tc>
          <w:tcPr>
            <w:tcW w:w="1620" w:type="dxa"/>
            <w:vAlign w:val="bottom"/>
          </w:tcPr>
          <w:p>
            <w:pPr>
              <w:spacing w:after="0"/>
              <w:rPr>
                <w:sz w:val="24"/>
                <w:szCs w:val="24"/>
                <w:color w:val="auto"/>
              </w:rPr>
            </w:pPr>
          </w:p>
        </w:tc>
        <w:tc>
          <w:tcPr>
            <w:tcW w:w="3320" w:type="dxa"/>
            <w:vAlign w:val="bottom"/>
            <w:gridSpan w:val="2"/>
          </w:tcPr>
          <w:p>
            <w:pPr>
              <w:jc w:val="center"/>
              <w:ind w:right="2040"/>
              <w:spacing w:after="0"/>
              <w:rPr>
                <w:sz w:val="20"/>
                <w:szCs w:val="20"/>
                <w:color w:val="auto"/>
              </w:rPr>
            </w:pPr>
            <w:r>
              <w:rPr>
                <w:rFonts w:ascii="Arial" w:cs="Arial" w:eastAsia="Arial" w:hAnsi="Arial"/>
                <w:sz w:val="17"/>
                <w:szCs w:val="17"/>
                <w:b w:val="1"/>
                <w:bCs w:val="1"/>
                <w:color w:val="auto"/>
                <w:w w:val="87"/>
              </w:rPr>
              <w:t>Title of each class</w:t>
            </w:r>
          </w:p>
        </w:tc>
        <w:tc>
          <w:tcPr>
            <w:tcW w:w="2440" w:type="dxa"/>
            <w:vAlign w:val="bottom"/>
            <w:gridSpan w:val="2"/>
          </w:tcPr>
          <w:p>
            <w:pPr>
              <w:jc w:val="center"/>
              <w:ind w:right="1080"/>
              <w:spacing w:after="0"/>
              <w:rPr>
                <w:sz w:val="20"/>
                <w:szCs w:val="20"/>
                <w:color w:val="auto"/>
              </w:rPr>
            </w:pPr>
            <w:r>
              <w:rPr>
                <w:rFonts w:ascii="Arial" w:cs="Arial" w:eastAsia="Arial" w:hAnsi="Arial"/>
                <w:sz w:val="17"/>
                <w:szCs w:val="17"/>
                <w:b w:val="1"/>
                <w:bCs w:val="1"/>
                <w:color w:val="auto"/>
                <w:w w:val="91"/>
              </w:rPr>
              <w:t>Trading Symbol(s)</w:t>
            </w:r>
          </w:p>
        </w:tc>
        <w:tc>
          <w:tcPr>
            <w:tcW w:w="316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0"/>
        </w:trPr>
        <w:tc>
          <w:tcPr>
            <w:tcW w:w="1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r>
      <w:tr>
        <w:trPr>
          <w:trHeight w:val="325"/>
        </w:trPr>
        <w:tc>
          <w:tcPr>
            <w:tcW w:w="494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90"/>
              </w:rPr>
              <w:t>Common Stock, par value $0.01 per share</w:t>
            </w:r>
          </w:p>
        </w:tc>
        <w:tc>
          <w:tcPr>
            <w:tcW w:w="2440" w:type="dxa"/>
            <w:vAlign w:val="bottom"/>
            <w:gridSpan w:val="2"/>
          </w:tcPr>
          <w:p>
            <w:pPr>
              <w:jc w:val="center"/>
              <w:ind w:right="1100"/>
              <w:spacing w:after="0"/>
              <w:rPr>
                <w:sz w:val="20"/>
                <w:szCs w:val="20"/>
                <w:color w:val="auto"/>
              </w:rPr>
            </w:pPr>
            <w:r>
              <w:rPr>
                <w:rFonts w:ascii="Arial" w:cs="Arial" w:eastAsia="Arial" w:hAnsi="Arial"/>
                <w:sz w:val="17"/>
                <w:szCs w:val="17"/>
                <w:b w:val="1"/>
                <w:bCs w:val="1"/>
                <w:color w:val="auto"/>
              </w:rPr>
              <w:t>INT</w:t>
            </w:r>
          </w:p>
        </w:tc>
        <w:tc>
          <w:tcPr>
            <w:tcW w:w="3160" w:type="dxa"/>
            <w:vAlign w:val="bottom"/>
          </w:tcPr>
          <w:p>
            <w:pPr>
              <w:jc w:val="center"/>
              <w:spacing w:after="0"/>
              <w:rPr>
                <w:sz w:val="20"/>
                <w:szCs w:val="20"/>
                <w:color w:val="auto"/>
              </w:rPr>
            </w:pPr>
            <w:r>
              <w:rPr>
                <w:rFonts w:ascii="Arial" w:cs="Arial" w:eastAsia="Arial" w:hAnsi="Arial"/>
                <w:sz w:val="17"/>
                <w:szCs w:val="17"/>
                <w:b w:val="1"/>
                <w:bCs w:val="1"/>
                <w:color w:val="auto"/>
                <w:w w:val="89"/>
              </w:rPr>
              <w:t>New York Stock Exchange</w:t>
            </w:r>
          </w:p>
        </w:tc>
      </w:tr>
    </w:tbl>
    <w:p>
      <w:pPr>
        <w:spacing w:after="0" w:line="168"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72"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642620</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7.01. Regulation FD Disclosure</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World Fuel Services Corporation announced today that its board of directors has declared a quarterly cash dividend of $0.14 per share, which is payable on April 21, 2023 to shareholders of record on April 6, 2023. A copy of the press release is attached hereto as Exhibit 99.1.</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60" w:type="dxa"/>
            <w:vAlign w:val="bottom"/>
            <w:gridSpan w:val="4"/>
          </w:tcPr>
          <w:p>
            <w:pPr>
              <w:spacing w:after="0"/>
              <w:rPr>
                <w:sz w:val="20"/>
                <w:szCs w:val="20"/>
                <w:color w:val="auto"/>
              </w:rPr>
            </w:pPr>
            <w:r>
              <w:rPr>
                <w:rFonts w:ascii="Arial" w:cs="Arial" w:eastAsia="Arial" w:hAnsi="Arial"/>
                <w:sz w:val="17"/>
                <w:szCs w:val="17"/>
                <w:color w:val="auto"/>
              </w:rPr>
              <w:t>(d) Exhibits</w:t>
            </w:r>
          </w:p>
        </w:tc>
        <w:tc>
          <w:tcPr>
            <w:tcW w:w="84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Arial" w:cs="Arial" w:eastAsia="Arial" w:hAnsi="Arial"/>
                <w:sz w:val="17"/>
                <w:szCs w:val="17"/>
                <w:b w:val="1"/>
                <w:bCs w:val="1"/>
                <w:color w:val="auto"/>
                <w:w w:val="92"/>
              </w:rPr>
              <w:t>Exhibit No.</w:t>
            </w:r>
          </w:p>
        </w:tc>
        <w:tc>
          <w:tcPr>
            <w:tcW w:w="800" w:type="dxa"/>
            <w:vAlign w:val="bottom"/>
          </w:tcPr>
          <w:p>
            <w:pPr>
              <w:spacing w:after="0"/>
              <w:rPr>
                <w:sz w:val="24"/>
                <w:szCs w:val="24"/>
                <w:color w:val="auto"/>
              </w:rPr>
            </w:pPr>
          </w:p>
        </w:tc>
        <w:tc>
          <w:tcPr>
            <w:tcW w:w="9580" w:type="dxa"/>
            <w:vAlign w:val="bottom"/>
            <w:gridSpan w:val="2"/>
          </w:tcPr>
          <w:p>
            <w:pPr>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0" w:type="dxa"/>
            <w:vAlign w:val="bottom"/>
            <w:gridSpan w:val="3"/>
          </w:tcPr>
          <w:p>
            <w:pPr>
              <w:ind w:left="20"/>
              <w:spacing w:after="0"/>
              <w:rPr>
                <w:sz w:val="20"/>
                <w:szCs w:val="20"/>
                <w:color w:val="auto"/>
              </w:rPr>
            </w:pPr>
            <w:r>
              <w:rPr>
                <w:rFonts w:ascii="Arial" w:cs="Arial" w:eastAsia="Arial" w:hAnsi="Arial"/>
                <w:sz w:val="17"/>
                <w:szCs w:val="17"/>
                <w:color w:val="0000FF"/>
              </w:rPr>
              <w:t>99.</w:t>
            </w:r>
            <w:r>
              <w:rPr>
                <w:rFonts w:ascii="Arial" w:cs="Arial" w:eastAsia="Arial" w:hAnsi="Arial"/>
                <w:sz w:val="17"/>
                <w:szCs w:val="17"/>
                <w:u w:val="single" w:color="auto"/>
                <w:color w:val="0000FF"/>
              </w:rPr>
              <w:t>1</w:t>
            </w:r>
          </w:p>
        </w:tc>
        <w:tc>
          <w:tcPr>
            <w:tcW w:w="800" w:type="dxa"/>
            <w:vAlign w:val="bottom"/>
          </w:tcPr>
          <w:p>
            <w:pPr>
              <w:spacing w:after="0"/>
              <w:rPr>
                <w:sz w:val="17"/>
                <w:szCs w:val="17"/>
                <w:color w:val="auto"/>
              </w:rPr>
            </w:pPr>
          </w:p>
        </w:tc>
        <w:tc>
          <w:tcPr>
            <w:tcW w:w="9580" w:type="dxa"/>
            <w:vAlign w:val="bottom"/>
            <w:gridSpan w:val="2"/>
          </w:tcPr>
          <w:p>
            <w:pPr>
              <w:spacing w:after="0"/>
              <w:rPr>
                <w:sz w:val="20"/>
                <w:szCs w:val="20"/>
                <w:color w:val="auto"/>
              </w:rPr>
            </w:pPr>
            <w:r>
              <w:rPr>
                <w:rFonts w:ascii="Arial" w:cs="Arial" w:eastAsia="Arial" w:hAnsi="Arial"/>
                <w:sz w:val="17"/>
                <w:szCs w:val="17"/>
                <w:color w:val="auto"/>
              </w:rPr>
              <w:t>Press Release, dated March 23, 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580" w:type="dxa"/>
            <w:vAlign w:val="bottom"/>
            <w:gridSpan w:val="2"/>
            <w:vMerge w:val="restart"/>
          </w:tcPr>
          <w:p>
            <w:pPr>
              <w:spacing w:after="0"/>
              <w:rPr>
                <w:sz w:val="20"/>
                <w:szCs w:val="20"/>
                <w:color w:val="auto"/>
              </w:rPr>
            </w:pPr>
            <w:r>
              <w:rPr>
                <w:rFonts w:ascii="Arial" w:cs="Arial" w:eastAsia="Arial" w:hAnsi="Arial"/>
                <w:sz w:val="17"/>
                <w:szCs w:val="17"/>
                <w:color w:val="auto"/>
              </w:rPr>
              <w:t>Cover Page Interactive Data File, formatted in inline XBRL</w:t>
            </w:r>
          </w:p>
        </w:tc>
        <w:tc>
          <w:tcPr>
            <w:tcW w:w="0" w:type="dxa"/>
            <w:vAlign w:val="bottom"/>
          </w:tcPr>
          <w:p>
            <w:pPr>
              <w:spacing w:after="0" w:line="20" w:lineRule="exact"/>
              <w:rPr>
                <w:sz w:val="1"/>
                <w:szCs w:val="1"/>
                <w:color w:val="auto"/>
              </w:rPr>
            </w:pPr>
          </w:p>
        </w:tc>
      </w:tr>
      <w:tr>
        <w:trPr>
          <w:trHeight w:val="260"/>
        </w:trPr>
        <w:tc>
          <w:tcPr>
            <w:tcW w:w="320" w:type="dxa"/>
            <w:vAlign w:val="bottom"/>
            <w:gridSpan w:val="2"/>
          </w:tcPr>
          <w:p>
            <w:pPr>
              <w:ind w:left="20"/>
              <w:spacing w:after="0"/>
              <w:rPr>
                <w:sz w:val="20"/>
                <w:szCs w:val="20"/>
                <w:color w:val="auto"/>
              </w:rPr>
            </w:pPr>
            <w:r>
              <w:rPr>
                <w:rFonts w:ascii="Arial" w:cs="Arial" w:eastAsia="Arial" w:hAnsi="Arial"/>
                <w:sz w:val="17"/>
                <w:szCs w:val="17"/>
                <w:color w:val="auto"/>
                <w:w w:val="98"/>
              </w:rPr>
              <w:t>104</w:t>
            </w: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5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33"/>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2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tabs>
          <w:tab w:leader="none" w:pos="4400" w:val="left"/>
        </w:tabs>
        <w:rPr>
          <w:sz w:val="20"/>
          <w:szCs w:val="20"/>
          <w:color w:val="auto"/>
        </w:rPr>
      </w:pPr>
      <w:r>
        <w:rPr>
          <w:rFonts w:ascii="Arial" w:cs="Arial" w:eastAsia="Arial" w:hAnsi="Arial"/>
          <w:sz w:val="17"/>
          <w:szCs w:val="17"/>
          <w:color w:val="auto"/>
        </w:rPr>
        <w:t>Date: March 23, 2023</w:t>
      </w:r>
      <w:r>
        <w:rPr>
          <w:sz w:val="20"/>
          <w:szCs w:val="20"/>
          <w:color w:val="auto"/>
        </w:rPr>
        <w:tab/>
      </w:r>
      <w:r>
        <w:rPr>
          <w:rFonts w:ascii="Arial" w:cs="Arial" w:eastAsia="Arial" w:hAnsi="Arial"/>
          <w:sz w:val="15"/>
          <w:szCs w:val="15"/>
          <w:b w:val="1"/>
          <w:bCs w:val="1"/>
          <w:color w:val="auto"/>
        </w:rPr>
        <w:t>World Fuel Services Corporation</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 Amy Quintana Avalos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95250</wp:posOffset>
            </wp:positionV>
            <wp:extent cx="3472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56"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Amy Quintana Avalos</w:t>
      </w:r>
    </w:p>
    <w:p>
      <w:pPr>
        <w:spacing w:after="0" w:line="61"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Senior Vice President, Chief Corporate Counsel and Corporate Secretary</w:t>
      </w:r>
    </w:p>
    <w:p>
      <w:pPr>
        <w:sectPr>
          <w:pgSz w:w="11900" w:h="16838" w:orient="portrait"/>
          <w:cols w:equalWidth="0" w:num="1">
            <w:col w:w="11240"/>
          </w:cols>
          <w:pgMar w:left="320" w:top="1062"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FUEL SERVICES CORPORATION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DECLARES REGULAR QUARTERLY CASH DIVIDEND</w:t>
      </w:r>
    </w:p>
    <w:p>
      <w:pPr>
        <w:spacing w:after="0" w:line="39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MIAMI — (BUSINESS WIRE) — March 23, 2023 — World Fuel Services Corporation (NYSE:INT) announced today that its board of directors has declared a quarterly cash dividend of $0.14 per share, which is payable on April 21, 2023 to shareholders of record on April 6, 2023.</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About World Fuel Services Corporation</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also offers natural gas and electricity, as well as energy advisory services, including programs for sustainability solutions and renewable energy alternatives. World Fuel Services sells fuel and delivers services to its clients at more than 8,000 locations in more than 200 countries and territories worldwide.</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For more information, visit </w:t>
      </w:r>
      <w:r>
        <w:rPr>
          <w:rFonts w:ascii="Arial" w:cs="Arial" w:eastAsia="Arial" w:hAnsi="Arial"/>
          <w:sz w:val="19"/>
          <w:szCs w:val="19"/>
          <w:u w:val="single" w:color="auto"/>
          <w:color w:val="0000FF"/>
        </w:rPr>
        <w:t>www.wfscorp.com</w:t>
      </w:r>
      <w:r>
        <w:rPr>
          <w:rFonts w:ascii="Arial" w:cs="Arial" w:eastAsia="Arial" w:hAnsi="Arial"/>
          <w:sz w:val="19"/>
          <w:szCs w:val="19"/>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Ira M. Birns</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Executive Vice President &amp;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or</w:t>
      </w:r>
    </w:p>
    <w:p>
      <w:pPr>
        <w:spacing w:after="0" w:line="6" w:lineRule="exact"/>
        <w:rPr>
          <w:sz w:val="20"/>
          <w:szCs w:val="20"/>
          <w:color w:val="auto"/>
        </w:rPr>
      </w:pPr>
    </w:p>
    <w:p>
      <w:pPr>
        <w:spacing w:after="0"/>
        <w:rPr>
          <w:sz w:val="20"/>
          <w:szCs w:val="20"/>
          <w:color w:val="auto"/>
        </w:rPr>
      </w:pPr>
      <w:r>
        <w:rPr>
          <w:rFonts w:ascii="Arial" w:cs="Arial" w:eastAsia="Arial" w:hAnsi="Arial"/>
          <w:sz w:val="19"/>
          <w:szCs w:val="19"/>
          <w:color w:val="auto"/>
        </w:rPr>
        <w:t>Glenn Klevitz</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Treasurer and Investor Relations</w:t>
      </w:r>
    </w:p>
    <w:p>
      <w:pPr>
        <w:spacing w:after="0" w:line="12" w:lineRule="exact"/>
        <w:rPr>
          <w:sz w:val="20"/>
          <w:szCs w:val="20"/>
          <w:color w:val="auto"/>
        </w:rPr>
      </w:pPr>
    </w:p>
    <w:p>
      <w:pPr>
        <w:ind w:right="9420" w:firstLine="2"/>
        <w:spacing w:after="0" w:line="310" w:lineRule="auto"/>
        <w:tabs>
          <w:tab w:leader="none" w:pos="453" w:val="left"/>
        </w:tabs>
        <w:numPr>
          <w:ilvl w:val="0"/>
          <w:numId w:val="2"/>
        </w:numPr>
        <w:rPr>
          <w:rFonts w:ascii="Arial" w:cs="Arial" w:eastAsia="Arial" w:hAnsi="Arial"/>
          <w:sz w:val="17"/>
          <w:szCs w:val="17"/>
          <w:color w:val="auto"/>
        </w:rPr>
      </w:pPr>
      <w:r>
        <w:rPr>
          <w:rFonts w:ascii="Arial" w:cs="Arial" w:eastAsia="Arial" w:hAnsi="Arial"/>
          <w:sz w:val="17"/>
          <w:szCs w:val="17"/>
          <w:color w:val="auto"/>
        </w:rPr>
        <w:t>428-8000 investors@wfscorp.com</w:t>
      </w:r>
    </w:p>
    <w:sectPr>
      <w:pgSz w:w="11900" w:h="16838" w:orient="portrait"/>
      <w:cols w:equalWidth="0" w:num="1">
        <w:col w:w="11240"/>
      </w:cols>
      <w:pgMar w:left="320" w:top="5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30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2023-03-23T20:43:03Z</dcterms:created>
  <dcterms:modified xsi:type="dcterms:W3CDTF">2023-03-23T20:43:03Z</dcterms:modified>
</cp:coreProperties>
</file>