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981475106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1,251,206</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1,251,206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10.29%</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1,251,206</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1,251,206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10.29%</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1,251,206</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1,251,206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10.29%</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World Fuel Services Corporation</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700 South Royal Poinciana Blvd.</w:t>
      </w:r>
    </w:p>
    <w:p>
      <w:pPr>
        <w:spacing w:after="0" w:line="16" w:lineRule="exact"/>
        <w:rPr>
          <w:sz w:val="24"/>
          <w:szCs w:val="24"/>
          <w:color w:val="auto"/>
        </w:rPr>
      </w:pP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1,251,206</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10.29%</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1,251,206</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World Fuel Services Corporation.</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interest of one person, Fidelity Low-Priced Stock Fund , an investment company registered under the Investment Company Act of 1940, in the common stock of World Fuel Services Corporation, amounted to 1,216,206 shares or 10.00% of the total outstanding common stock at December 31, 1997.</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World Fuel Services Corporation at December 31, 1997 is true, complete and correct.</w:t>
      </w:r>
    </w:p>
    <w:p>
      <w:pPr>
        <w:spacing w:after="0" w:line="37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1,251,206 shares or 10.29% of the common stock outstanding of World Fuel Services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ownership of one investment company, Fidelity Low-Priced Stock Fund , amounted to 1,216,206 shares or 10.00% of the common stock outstanding.</w:t>
      </w:r>
    </w:p>
    <w:p>
      <w:pPr>
        <w:spacing w:after="0" w:line="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Fidelity Low-Priced Stock Fund has its principal business office at 82 Devonshire Street, Boston, Massachusetts 02109.</w:t>
      </w:r>
    </w:p>
    <w:p>
      <w:pPr>
        <w:spacing w:after="0" w:line="208"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1,251,206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1998, agree and consent to the joint filing on their behalf of this Schedule 13G in connection with their beneficial ownership of the common stock of World Fuel Services Corporation at December 31, 1997.</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of Power</w:t>
      </w:r>
    </w:p>
    <w:p>
      <w:pPr>
        <w:spacing w:after="0" w:line="238" w:lineRule="auto"/>
        <w:rPr>
          <w:sz w:val="20"/>
          <w:szCs w:val="20"/>
          <w:color w:val="auto"/>
        </w:rPr>
      </w:pPr>
      <w:r>
        <w:rPr>
          <w:rFonts w:ascii="Courier New" w:cs="Courier New" w:eastAsia="Courier New" w:hAnsi="Courier New"/>
          <w:sz w:val="18"/>
          <w:szCs w:val="18"/>
          <w:color w:val="auto"/>
        </w:rPr>
        <w:t>of 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 subsidiaries</w:t>
      </w:r>
    </w:p>
    <w:p>
      <w:pPr>
        <w:ind w:left="860"/>
        <w:spacing w:after="0"/>
        <w:rPr>
          <w:sz w:val="20"/>
          <w:szCs w:val="20"/>
          <w:color w:val="auto"/>
        </w:rPr>
      </w:pPr>
      <w:r>
        <w:rPr>
          <w:rFonts w:ascii="Courier New" w:cs="Courier New" w:eastAsia="Courier New" w:hAnsi="Courier New"/>
          <w:sz w:val="18"/>
          <w:szCs w:val="18"/>
          <w:color w:val="auto"/>
        </w:rPr>
        <w:t>Edward C. Johnson 3d</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8"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line="238" w:lineRule="auto"/>
        <w:rPr>
          <w:sz w:val="20"/>
          <w:szCs w:val="20"/>
          <w:color w:val="auto"/>
        </w:rPr>
      </w:pPr>
      <w:r>
        <w:rPr>
          <w:rFonts w:ascii="Courier New" w:cs="Courier New" w:eastAsia="Courier New" w:hAnsi="Courier New"/>
          <w:sz w:val="18"/>
          <w:szCs w:val="18"/>
          <w:color w:val="auto"/>
        </w:rPr>
        <w:t>of Edward C. Johnson 3d</w:t>
      </w:r>
    </w:p>
    <w:p>
      <w:pPr>
        <w:ind w:left="860"/>
        <w:spacing w:after="0"/>
        <w:rPr>
          <w:sz w:val="20"/>
          <w:szCs w:val="20"/>
          <w:color w:val="auto"/>
        </w:rPr>
      </w:pPr>
      <w:r>
        <w:rPr>
          <w:rFonts w:ascii="Courier New" w:cs="Courier New" w:eastAsia="Courier New" w:hAnsi="Courier New"/>
          <w:sz w:val="18"/>
          <w:szCs w:val="18"/>
          <w:color w:val="auto"/>
        </w:rPr>
        <w:t>Abigail P. Johnson</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Abigail P. Johnson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2019-12-13T16:27:54Z</dcterms:created>
  <dcterms:modified xsi:type="dcterms:W3CDTF">2019-12-13T16:27:54Z</dcterms:modified>
</cp:coreProperties>
</file>