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3" w:lineRule="exact"/>
        <w:rPr>
          <w:sz w:val="24"/>
          <w:szCs w:val="24"/>
          <w:color w:val="auto"/>
        </w:rPr>
      </w:pPr>
    </w:p>
    <w:p>
      <w:pPr>
        <w:ind w:left="960" w:hanging="446"/>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25"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For the quarterly period ended June 30, 2022</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43" w:lineRule="exact"/>
        <w:rPr>
          <w:sz w:val="24"/>
          <w:szCs w:val="24"/>
          <w:color w:val="auto"/>
        </w:rPr>
      </w:pPr>
    </w:p>
    <w:p>
      <w:pPr>
        <w:ind w:left="940" w:hanging="435"/>
        <w:spacing w:after="0"/>
        <w:tabs>
          <w:tab w:leader="none" w:pos="9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0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 to ___________</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86360</wp:posOffset>
            </wp:positionV>
            <wp:extent cx="1321435" cy="550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1435" cy="550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WORLD FUEL SERVICES CORPORATION</w:t>
      </w:r>
    </w:p>
    <w:p>
      <w:pPr>
        <w:spacing w:after="0" w:line="132"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(Exact name of registrant as specified in its charter)</w:t>
      </w:r>
    </w:p>
    <w:p>
      <w:pPr>
        <w:spacing w:after="0" w:line="123" w:lineRule="exact"/>
        <w:rPr>
          <w:sz w:val="24"/>
          <w:szCs w:val="24"/>
          <w:color w:val="auto"/>
        </w:rPr>
      </w:pPr>
    </w:p>
    <w:tbl>
      <w:tblPr>
        <w:tblLayout w:type="fixed"/>
        <w:tblInd w:w="260" w:type="dxa"/>
        <w:tblCellMar>
          <w:top w:w="0" w:type="dxa"/>
          <w:left w:w="0" w:type="dxa"/>
          <w:bottom w:w="0" w:type="dxa"/>
          <w:right w:w="0" w:type="dxa"/>
        </w:tblCellMar>
      </w:tblPr>
      <w:tr>
        <w:trPr>
          <w:trHeight w:val="213"/>
        </w:trPr>
        <w:tc>
          <w:tcPr>
            <w:tcW w:w="660" w:type="dxa"/>
            <w:vAlign w:val="bottom"/>
          </w:tcPr>
          <w:p>
            <w:pPr>
              <w:spacing w:after="0"/>
              <w:rPr>
                <w:sz w:val="18"/>
                <w:szCs w:val="18"/>
                <w:color w:val="auto"/>
              </w:rPr>
            </w:pPr>
          </w:p>
        </w:tc>
        <w:tc>
          <w:tcPr>
            <w:tcW w:w="206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rPr>
              <w:t>Florida</w:t>
            </w:r>
          </w:p>
        </w:tc>
        <w:tc>
          <w:tcPr>
            <w:tcW w:w="2100" w:type="dxa"/>
            <w:vAlign w:val="bottom"/>
            <w:gridSpan w:val="2"/>
          </w:tcPr>
          <w:p>
            <w:pPr>
              <w:jc w:val="right"/>
              <w:spacing w:after="0"/>
              <w:rPr>
                <w:sz w:val="20"/>
                <w:szCs w:val="20"/>
                <w:color w:val="auto"/>
              </w:rPr>
            </w:pPr>
            <w:r>
              <w:rPr>
                <w:rFonts w:ascii="Arial" w:cs="Arial" w:eastAsia="Arial" w:hAnsi="Arial"/>
                <w:sz w:val="16"/>
                <w:szCs w:val="16"/>
                <w:b w:val="1"/>
                <w:bCs w:val="1"/>
                <w:color w:val="auto"/>
              </w:rPr>
              <w:t>9800 N.W. 41st Street,</w:t>
            </w: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Miami,  Florida</w:t>
            </w:r>
          </w:p>
        </w:tc>
        <w:tc>
          <w:tcPr>
            <w:tcW w:w="780" w:type="dxa"/>
            <w:vAlign w:val="bottom"/>
          </w:tcPr>
          <w:p>
            <w:pPr>
              <w:jc w:val="right"/>
              <w:ind w:right="160"/>
              <w:spacing w:after="0"/>
              <w:rPr>
                <w:sz w:val="20"/>
                <w:szCs w:val="20"/>
                <w:color w:val="auto"/>
              </w:rPr>
            </w:pPr>
            <w:r>
              <w:rPr>
                <w:rFonts w:ascii="Arial" w:cs="Arial" w:eastAsia="Arial" w:hAnsi="Arial"/>
                <w:sz w:val="16"/>
                <w:szCs w:val="16"/>
                <w:b w:val="1"/>
                <w:bCs w:val="1"/>
                <w:color w:val="auto"/>
              </w:rPr>
              <w:t>33178</w:t>
            </w:r>
          </w:p>
        </w:tc>
        <w:tc>
          <w:tcPr>
            <w:tcW w:w="3060" w:type="dxa"/>
            <w:vAlign w:val="bottom"/>
            <w:gridSpan w:val="2"/>
          </w:tcPr>
          <w:p>
            <w:pPr>
              <w:jc w:val="center"/>
              <w:ind w:left="164"/>
              <w:spacing w:after="0"/>
              <w:rPr>
                <w:sz w:val="20"/>
                <w:szCs w:val="20"/>
                <w:color w:val="auto"/>
              </w:rPr>
            </w:pPr>
            <w:r>
              <w:rPr>
                <w:rFonts w:ascii="Arial" w:cs="Arial" w:eastAsia="Arial" w:hAnsi="Arial"/>
                <w:sz w:val="16"/>
                <w:szCs w:val="16"/>
                <w:b w:val="1"/>
                <w:bCs w:val="1"/>
                <w:color w:val="auto"/>
              </w:rPr>
              <w:t>59-2459427</w:t>
            </w:r>
          </w:p>
        </w:tc>
      </w:tr>
      <w:tr>
        <w:trPr>
          <w:trHeight w:val="157"/>
        </w:trPr>
        <w:tc>
          <w:tcPr>
            <w:tcW w:w="2720" w:type="dxa"/>
            <w:vAlign w:val="bottom"/>
            <w:gridSpan w:val="3"/>
          </w:tcPr>
          <w:p>
            <w:pPr>
              <w:jc w:val="center"/>
              <w:ind w:right="260"/>
              <w:spacing w:after="0" w:line="157" w:lineRule="exact"/>
              <w:rPr>
                <w:sz w:val="20"/>
                <w:szCs w:val="20"/>
                <w:color w:val="auto"/>
              </w:rPr>
            </w:pPr>
            <w:r>
              <w:rPr>
                <w:rFonts w:ascii="Arial" w:cs="Arial" w:eastAsia="Arial" w:hAnsi="Arial"/>
                <w:sz w:val="14"/>
                <w:szCs w:val="14"/>
                <w:color w:val="auto"/>
              </w:rPr>
              <w:t>(State or other jurisdiction of</w:t>
            </w:r>
          </w:p>
        </w:tc>
        <w:tc>
          <w:tcPr>
            <w:tcW w:w="4000" w:type="dxa"/>
            <w:vAlign w:val="bottom"/>
            <w:gridSpan w:val="4"/>
          </w:tcPr>
          <w:p>
            <w:pPr>
              <w:jc w:val="center"/>
              <w:ind w:left="502"/>
              <w:spacing w:after="0" w:line="157" w:lineRule="exact"/>
              <w:rPr>
                <w:sz w:val="20"/>
                <w:szCs w:val="20"/>
                <w:color w:val="auto"/>
              </w:rPr>
            </w:pPr>
            <w:r>
              <w:rPr>
                <w:rFonts w:ascii="Arial" w:cs="Arial" w:eastAsia="Arial" w:hAnsi="Arial"/>
                <w:sz w:val="14"/>
                <w:szCs w:val="14"/>
                <w:color w:val="auto"/>
              </w:rPr>
              <w:t>(Address of Principal Executive Offices) (Zip Code)</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jc w:val="center"/>
              <w:spacing w:after="0" w:line="157" w:lineRule="exact"/>
              <w:rPr>
                <w:sz w:val="20"/>
                <w:szCs w:val="20"/>
                <w:color w:val="auto"/>
              </w:rPr>
            </w:pPr>
            <w:r>
              <w:rPr>
                <w:rFonts w:ascii="Arial" w:cs="Arial" w:eastAsia="Arial" w:hAnsi="Arial"/>
                <w:sz w:val="14"/>
                <w:szCs w:val="14"/>
                <w:color w:val="auto"/>
              </w:rPr>
              <w:t>(I.R.S. Employer</w:t>
            </w:r>
          </w:p>
        </w:tc>
      </w:tr>
      <w:tr>
        <w:trPr>
          <w:trHeight w:val="171"/>
        </w:trPr>
        <w:tc>
          <w:tcPr>
            <w:tcW w:w="2720" w:type="dxa"/>
            <w:vAlign w:val="bottom"/>
            <w:gridSpan w:val="3"/>
          </w:tcPr>
          <w:p>
            <w:pPr>
              <w:jc w:val="center"/>
              <w:ind w:right="260"/>
              <w:spacing w:after="0"/>
              <w:rPr>
                <w:sz w:val="20"/>
                <w:szCs w:val="20"/>
                <w:color w:val="auto"/>
              </w:rPr>
            </w:pPr>
            <w:r>
              <w:rPr>
                <w:rFonts w:ascii="Arial" w:cs="Arial" w:eastAsia="Arial" w:hAnsi="Arial"/>
                <w:sz w:val="14"/>
                <w:szCs w:val="14"/>
                <w:color w:val="auto"/>
              </w:rPr>
              <w:t>incorporation or organization)</w:t>
            </w: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rPr>
              <w:t>Identification No.)</w:t>
            </w:r>
          </w:p>
        </w:tc>
      </w:tr>
      <w:tr>
        <w:trPr>
          <w:trHeight w:val="219"/>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780" w:type="dxa"/>
            <w:vAlign w:val="bottom"/>
            <w:gridSpan w:val="5"/>
          </w:tcPr>
          <w:p>
            <w:pPr>
              <w:jc w:val="center"/>
              <w:ind w:right="120"/>
              <w:spacing w:after="0"/>
              <w:rPr>
                <w:sz w:val="20"/>
                <w:szCs w:val="20"/>
                <w:color w:val="auto"/>
              </w:rPr>
            </w:pPr>
            <w:r>
              <w:rPr>
                <w:rFonts w:ascii="Arial" w:cs="Arial" w:eastAsia="Arial" w:hAnsi="Arial"/>
                <w:sz w:val="16"/>
                <w:szCs w:val="16"/>
                <w:color w:val="auto"/>
              </w:rPr>
              <w:t>Registrant’s telephone number, including area code:</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13"/>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( 305 )</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428-8000</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320"/>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80" w:type="dxa"/>
            <w:vAlign w:val="bottom"/>
            <w:gridSpan w:val="5"/>
          </w:tcPr>
          <w:p>
            <w:pPr>
              <w:jc w:val="center"/>
              <w:ind w:right="120"/>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65"/>
        </w:trPr>
        <w:tc>
          <w:tcPr>
            <w:tcW w:w="6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00" w:type="dxa"/>
            <w:vAlign w:val="bottom"/>
            <w:gridSpan w:val="3"/>
          </w:tcPr>
          <w:p>
            <w:pPr>
              <w:jc w:val="center"/>
              <w:ind w:right="1120"/>
              <w:spacing w:after="0"/>
              <w:rPr>
                <w:sz w:val="20"/>
                <w:szCs w:val="20"/>
                <w:color w:val="auto"/>
              </w:rPr>
            </w:pPr>
            <w:r>
              <w:rPr>
                <w:rFonts w:ascii="Arial" w:cs="Arial" w:eastAsia="Arial" w:hAnsi="Arial"/>
                <w:sz w:val="14"/>
                <w:szCs w:val="14"/>
                <w:color w:val="auto"/>
                <w:w w:val="99"/>
              </w:rPr>
              <w:t>Trading Symbol (s)</w:t>
            </w:r>
          </w:p>
        </w:tc>
        <w:tc>
          <w:tcPr>
            <w:tcW w:w="780" w:type="dxa"/>
            <w:vAlign w:val="bottom"/>
          </w:tcPr>
          <w:p>
            <w:pPr>
              <w:spacing w:after="0"/>
              <w:rPr>
                <w:sz w:val="14"/>
                <w:szCs w:val="14"/>
                <w:color w:val="auto"/>
              </w:rPr>
            </w:pPr>
          </w:p>
        </w:tc>
        <w:tc>
          <w:tcPr>
            <w:tcW w:w="3060" w:type="dxa"/>
            <w:vAlign w:val="bottom"/>
            <w:gridSpan w:val="2"/>
          </w:tcPr>
          <w:p>
            <w:pPr>
              <w:jc w:val="center"/>
              <w:ind w:left="164"/>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15"/>
        </w:trPr>
        <w:tc>
          <w:tcPr>
            <w:tcW w:w="27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Common Stock , $0.01 par value</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gridSpan w:val="2"/>
          </w:tcPr>
          <w:p>
            <w:pPr>
              <w:jc w:val="center"/>
              <w:ind w:right="1520"/>
              <w:spacing w:after="0"/>
              <w:rPr>
                <w:sz w:val="20"/>
                <w:szCs w:val="20"/>
                <w:color w:val="auto"/>
              </w:rPr>
            </w:pPr>
            <w:r>
              <w:rPr>
                <w:rFonts w:ascii="Arial" w:cs="Arial" w:eastAsia="Arial" w:hAnsi="Arial"/>
                <w:sz w:val="16"/>
                <w:szCs w:val="16"/>
                <w:b w:val="1"/>
                <w:bCs w:val="1"/>
                <w:color w:val="auto"/>
              </w:rPr>
              <w:t>INT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9"/>
              </w:rPr>
              <w:t>New York Stock Exchange</w:t>
            </w:r>
          </w:p>
        </w:tc>
      </w:tr>
    </w:tbl>
    <w:p>
      <w:pPr>
        <w:spacing w:after="0" w:line="261"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4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ind w:left="280" w:hanging="273"/>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5" w:lineRule="exact"/>
        <w:rPr>
          <w:sz w:val="24"/>
          <w:szCs w:val="24"/>
          <w:color w:val="auto"/>
        </w:rPr>
      </w:pPr>
    </w:p>
    <w:p>
      <w:pPr>
        <w:spacing w:after="0" w:line="184" w:lineRule="exact"/>
        <w:tabs>
          <w:tab w:leader="none" w:pos="86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a total of 61,916,561 shares of common stock, par value $0.01 per share, issued and outstanding as of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640080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8"/>
                <w:szCs w:val="18"/>
                <w:color w:val="0E32E1"/>
                <w:w w:val="91"/>
              </w:rPr>
            </w:pPr>
            <w:hyperlink w:anchor="page3">
              <w:r>
                <w:rPr>
                  <w:rFonts w:ascii="Arial" w:cs="Arial" w:eastAsia="Arial" w:hAnsi="Arial"/>
                  <w:sz w:val="18"/>
                  <w:szCs w:val="18"/>
                  <w:color w:val="0E32E1"/>
                  <w:w w:val="91"/>
                </w:rPr>
                <w:t>Part I.</w:t>
              </w:r>
            </w:hyperlink>
          </w:p>
        </w:tc>
        <w:tc>
          <w:tcPr>
            <w:tcW w:w="420" w:type="dxa"/>
            <w:vAlign w:val="bottom"/>
            <w:gridSpan w:val="2"/>
          </w:tcPr>
          <w:p>
            <w:pPr>
              <w:spacing w:after="0"/>
              <w:rPr>
                <w:sz w:val="17"/>
                <w:szCs w:val="17"/>
                <w:color w:val="auto"/>
              </w:rPr>
            </w:pPr>
          </w:p>
        </w:tc>
        <w:tc>
          <w:tcPr>
            <w:tcW w:w="9840" w:type="dxa"/>
            <w:vAlign w:val="bottom"/>
            <w:gridSpan w:val="19"/>
          </w:tcPr>
          <w:p>
            <w:pPr>
              <w:spacing w:after="0"/>
              <w:rPr>
                <w:rFonts w:ascii="Arial" w:cs="Arial" w:eastAsia="Arial" w:hAnsi="Arial"/>
                <w:sz w:val="18"/>
                <w:szCs w:val="18"/>
                <w:color w:val="0E32E1"/>
              </w:rPr>
            </w:pPr>
            <w:hyperlink w:anchor="page3">
              <w:r>
                <w:rPr>
                  <w:rFonts w:ascii="Arial" w:cs="Arial" w:eastAsia="Arial" w:hAnsi="Arial"/>
                  <w:sz w:val="18"/>
                  <w:szCs w:val="18"/>
                  <w:color w:val="0E32E1"/>
                </w:rPr>
                <w:t>Financial Information</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E32E1"/>
              </w:rPr>
            </w:pPr>
            <w:hyperlink w:anchor="page3">
              <w:r>
                <w:rPr>
                  <w:rFonts w:ascii="Arial" w:cs="Arial" w:eastAsia="Arial" w:hAnsi="Arial"/>
                  <w:sz w:val="18"/>
                  <w:szCs w:val="18"/>
                  <w:color w:val="0E32E1"/>
                </w:rPr>
                <w:t>Item 1.</w:t>
              </w:r>
            </w:hyperlink>
          </w:p>
        </w:tc>
        <w:tc>
          <w:tcPr>
            <w:tcW w:w="8920" w:type="dxa"/>
            <w:vAlign w:val="bottom"/>
            <w:gridSpan w:val="17"/>
          </w:tcPr>
          <w:p>
            <w:pPr>
              <w:spacing w:after="0"/>
              <w:rPr>
                <w:rFonts w:ascii="Arial" w:cs="Arial" w:eastAsia="Arial" w:hAnsi="Arial"/>
                <w:sz w:val="18"/>
                <w:szCs w:val="18"/>
                <w:color w:val="0E32E1"/>
              </w:rPr>
            </w:pPr>
            <w:hyperlink w:anchor="page3">
              <w:r>
                <w:rPr>
                  <w:rFonts w:ascii="Arial" w:cs="Arial" w:eastAsia="Arial" w:hAnsi="Arial"/>
                  <w:sz w:val="18"/>
                  <w:szCs w:val="18"/>
                  <w:color w:val="0E32E1"/>
                </w:rPr>
                <w:t>Financial Statements (Unaudited)</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7"/>
          </w:tcPr>
          <w:p>
            <w:pPr>
              <w:spacing w:after="0"/>
              <w:rPr>
                <w:rFonts w:ascii="Arial" w:cs="Arial" w:eastAsia="Arial" w:hAnsi="Arial"/>
                <w:sz w:val="18"/>
                <w:szCs w:val="18"/>
                <w:color w:val="0E32E1"/>
              </w:rPr>
            </w:pPr>
            <w:r>
              <w:rPr>
                <w:rFonts w:ascii="Arial" w:cs="Arial" w:eastAsia="Arial" w:hAnsi="Arial"/>
                <w:sz w:val="18"/>
                <w:szCs w:val="18"/>
                <w:color w:val="0E32E1"/>
              </w:rPr>
              <w:t xml:space="preserve">Condensed </w:t>
            </w:r>
            <w:hyperlink w:anchor="page3">
              <w:r>
                <w:rPr>
                  <w:rFonts w:ascii="Arial" w:cs="Arial" w:eastAsia="Arial" w:hAnsi="Arial"/>
                  <w:sz w:val="18"/>
                  <w:szCs w:val="18"/>
                  <w:color w:val="0E32E1"/>
                </w:rPr>
                <w:t xml:space="preserve">Consolidated Balance Sheets as of </w:t>
              </w:r>
            </w:hyperlink>
            <w:r>
              <w:rPr>
                <w:rFonts w:ascii="Arial" w:cs="Arial" w:eastAsia="Arial" w:hAnsi="Arial"/>
                <w:sz w:val="18"/>
                <w:szCs w:val="18"/>
                <w:color w:val="0E32E1"/>
              </w:rPr>
              <w:t xml:space="preserve">June 30, 2022 </w:t>
            </w:r>
            <w:hyperlink w:anchor="page3">
              <w:r>
                <w:rPr>
                  <w:rFonts w:ascii="Arial" w:cs="Arial" w:eastAsia="Arial" w:hAnsi="Arial"/>
                  <w:sz w:val="18"/>
                  <w:szCs w:val="18"/>
                  <w:color w:val="0E32E1"/>
                </w:rPr>
                <w:t xml:space="preserve">and </w:t>
              </w:r>
            </w:hyperlink>
            <w:r>
              <w:rPr>
                <w:rFonts w:ascii="Arial" w:cs="Arial" w:eastAsia="Arial" w:hAnsi="Arial"/>
                <w:sz w:val="18"/>
                <w:szCs w:val="18"/>
                <w:color w:val="0E32E1"/>
              </w:rPr>
              <w:t>December 31, 2021</w:t>
            </w:r>
          </w:p>
        </w:tc>
        <w:tc>
          <w:tcPr>
            <w:tcW w:w="260" w:type="dxa"/>
            <w:vAlign w:val="bottom"/>
            <w:gridSpan w:val="2"/>
          </w:tcPr>
          <w:p>
            <w:pPr>
              <w:jc w:val="center"/>
              <w:ind w:left="71"/>
              <w:spacing w:after="0"/>
              <w:rPr>
                <w:rFonts w:ascii="Arial" w:cs="Arial" w:eastAsia="Arial" w:hAnsi="Arial"/>
                <w:sz w:val="18"/>
                <w:szCs w:val="18"/>
                <w:color w:val="0E32E1"/>
                <w:w w:val="99"/>
              </w:rPr>
            </w:pPr>
            <w:hyperlink w:anchor="page3">
              <w:r>
                <w:rPr>
                  <w:rFonts w:ascii="Arial" w:cs="Arial" w:eastAsia="Arial" w:hAnsi="Arial"/>
                  <w:sz w:val="18"/>
                  <w:szCs w:val="18"/>
                  <w:color w:val="0E32E1"/>
                  <w:w w:val="99"/>
                </w:rPr>
                <w:t>1</w:t>
              </w:r>
            </w:hyperlink>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18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06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7"/>
          </w:tcPr>
          <w:p>
            <w:pPr>
              <w:spacing w:after="0"/>
              <w:rPr>
                <w:rFonts w:ascii="Arial" w:cs="Arial" w:eastAsia="Arial" w:hAnsi="Arial"/>
                <w:sz w:val="18"/>
                <w:szCs w:val="18"/>
                <w:color w:val="0E32E1"/>
              </w:rPr>
            </w:pPr>
            <w:hyperlink w:anchor="page3">
              <w:r>
                <w:rPr>
                  <w:rFonts w:ascii="Arial" w:cs="Arial" w:eastAsia="Arial" w:hAnsi="Arial"/>
                  <w:sz w:val="18"/>
                  <w:szCs w:val="18"/>
                  <w:color w:val="0E32E1"/>
                </w:rPr>
                <w:t>Condensed Consolidated Statements of Income and Comprehensive Income for the Three and Six Months</w:t>
              </w:r>
            </w:hyperlink>
          </w:p>
        </w:tc>
        <w:tc>
          <w:tcPr>
            <w:tcW w:w="260" w:type="dxa"/>
            <w:vAlign w:val="bottom"/>
            <w:gridSpan w:val="2"/>
          </w:tcPr>
          <w:p>
            <w:pPr>
              <w:jc w:val="center"/>
              <w:ind w:left="71"/>
              <w:spacing w:after="0"/>
              <w:rPr>
                <w:rFonts w:ascii="Arial" w:cs="Arial" w:eastAsia="Arial" w:hAnsi="Arial"/>
                <w:sz w:val="18"/>
                <w:szCs w:val="18"/>
                <w:color w:val="0E32E1"/>
                <w:w w:val="99"/>
              </w:rPr>
            </w:pPr>
            <w:hyperlink w:anchor="page3">
              <w:r>
                <w:rPr>
                  <w:rFonts w:ascii="Arial" w:cs="Arial" w:eastAsia="Arial" w:hAnsi="Arial"/>
                  <w:sz w:val="18"/>
                  <w:szCs w:val="18"/>
                  <w:color w:val="0E32E1"/>
                  <w:w w:val="99"/>
                </w:rPr>
                <w:t>2</w:t>
              </w:r>
            </w:hyperlink>
          </w:p>
        </w:tc>
        <w:tc>
          <w:tcPr>
            <w:tcW w:w="2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40" w:type="dxa"/>
            <w:vAlign w:val="bottom"/>
            <w:tcBorders>
              <w:top w:val="single" w:sz="8" w:color="0E32E1"/>
            </w:tcBorders>
            <w:gridSpan w:val="16"/>
          </w:tcPr>
          <w:p>
            <w:pPr>
              <w:spacing w:after="0" w:line="154" w:lineRule="exact"/>
              <w:rPr>
                <w:rFonts w:ascii="Arial" w:cs="Arial" w:eastAsia="Arial" w:hAnsi="Arial"/>
                <w:sz w:val="17"/>
                <w:szCs w:val="17"/>
                <w:color w:val="0E32E1"/>
              </w:rPr>
            </w:pPr>
            <w:hyperlink w:anchor="page3">
              <w:r>
                <w:rPr>
                  <w:rFonts w:ascii="Arial" w:cs="Arial" w:eastAsia="Arial" w:hAnsi="Arial"/>
                  <w:sz w:val="17"/>
                  <w:szCs w:val="17"/>
                  <w:color w:val="0E32E1"/>
                </w:rPr>
                <w:t>Ended June 30, 2022 and 2021</w:t>
              </w:r>
            </w:hyperlink>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20" w:type="dxa"/>
            <w:vAlign w:val="bottom"/>
            <w:gridSpan w:val="17"/>
          </w:tcPr>
          <w:p>
            <w:pPr>
              <w:spacing w:after="0"/>
              <w:rPr>
                <w:rFonts w:ascii="Arial" w:cs="Arial" w:eastAsia="Arial" w:hAnsi="Arial"/>
                <w:sz w:val="18"/>
                <w:szCs w:val="18"/>
                <w:color w:val="0E32E1"/>
              </w:rPr>
            </w:pPr>
            <w:r>
              <w:rPr>
                <w:rFonts w:ascii="Arial" w:cs="Arial" w:eastAsia="Arial" w:hAnsi="Arial"/>
                <w:sz w:val="18"/>
                <w:szCs w:val="18"/>
                <w:color w:val="0E32E1"/>
              </w:rPr>
              <w:t xml:space="preserve">Condensed </w:t>
            </w:r>
            <w:hyperlink w:anchor="page4">
              <w:r>
                <w:rPr>
                  <w:rFonts w:ascii="Arial" w:cs="Arial" w:eastAsia="Arial" w:hAnsi="Arial"/>
                  <w:sz w:val="18"/>
                  <w:szCs w:val="18"/>
                  <w:color w:val="0E32E1"/>
                </w:rPr>
                <w:t xml:space="preserve">Consolidated Statements of Shareholders' Equity for the </w:t>
              </w:r>
            </w:hyperlink>
            <w:r>
              <w:rPr>
                <w:rFonts w:ascii="Arial" w:cs="Arial" w:eastAsia="Arial" w:hAnsi="Arial"/>
                <w:sz w:val="18"/>
                <w:szCs w:val="18"/>
                <w:color w:val="0E32E1"/>
              </w:rPr>
              <w:t xml:space="preserve">Three and Six </w:t>
            </w:r>
            <w:hyperlink w:anchor="page4">
              <w:r>
                <w:rPr>
                  <w:rFonts w:ascii="Arial" w:cs="Arial" w:eastAsia="Arial" w:hAnsi="Arial"/>
                  <w:sz w:val="18"/>
                  <w:szCs w:val="18"/>
                  <w:color w:val="0E32E1"/>
                </w:rPr>
                <w:t xml:space="preserve">Months Ended </w:t>
              </w:r>
            </w:hyperlink>
            <w:r>
              <w:rPr>
                <w:rFonts w:ascii="Arial" w:cs="Arial" w:eastAsia="Arial" w:hAnsi="Arial"/>
                <w:sz w:val="18"/>
                <w:szCs w:val="18"/>
                <w:color w:val="0E32E1"/>
              </w:rPr>
              <w:t>June 30,</w:t>
            </w:r>
          </w:p>
        </w:tc>
        <w:tc>
          <w:tcPr>
            <w:tcW w:w="260" w:type="dxa"/>
            <w:vAlign w:val="bottom"/>
            <w:gridSpan w:val="2"/>
          </w:tcPr>
          <w:p>
            <w:pPr>
              <w:jc w:val="center"/>
              <w:ind w:left="71"/>
              <w:spacing w:after="0"/>
              <w:rPr>
                <w:rFonts w:ascii="Arial" w:cs="Arial" w:eastAsia="Arial" w:hAnsi="Arial"/>
                <w:sz w:val="18"/>
                <w:szCs w:val="18"/>
                <w:color w:val="0E32E1"/>
                <w:w w:val="99"/>
              </w:rPr>
            </w:pPr>
            <w:hyperlink w:anchor="page4">
              <w:r>
                <w:rPr>
                  <w:rFonts w:ascii="Arial" w:cs="Arial" w:eastAsia="Arial" w:hAnsi="Arial"/>
                  <w:sz w:val="18"/>
                  <w:szCs w:val="18"/>
                  <w:color w:val="0E32E1"/>
                  <w:w w:val="99"/>
                </w:rPr>
                <w:t>3</w:t>
              </w:r>
            </w:hyperlink>
          </w:p>
        </w:tc>
        <w:tc>
          <w:tcPr>
            <w:tcW w:w="220" w:type="dxa"/>
            <w:vAlign w:val="bottom"/>
          </w:tcPr>
          <w:p>
            <w:pPr>
              <w:spacing w:after="0"/>
              <w:rPr>
                <w:sz w:val="17"/>
                <w:szCs w:val="17"/>
                <w:color w:val="auto"/>
              </w:rPr>
            </w:pPr>
          </w:p>
        </w:tc>
      </w:tr>
      <w:tr>
        <w:trPr>
          <w:trHeight w:val="153"/>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20" w:type="dxa"/>
            <w:vAlign w:val="bottom"/>
            <w:tcBorders>
              <w:top w:val="single" w:sz="8" w:color="0E32E1"/>
            </w:tcBorders>
            <w:gridSpan w:val="15"/>
          </w:tcPr>
          <w:p>
            <w:pPr>
              <w:spacing w:after="0" w:line="154" w:lineRule="exact"/>
              <w:rPr>
                <w:rFonts w:ascii="Arial" w:cs="Arial" w:eastAsia="Arial" w:hAnsi="Arial"/>
                <w:sz w:val="17"/>
                <w:szCs w:val="17"/>
                <w:color w:val="0E32E1"/>
              </w:rPr>
            </w:pPr>
            <w:r>
              <w:rPr>
                <w:rFonts w:ascii="Arial" w:cs="Arial" w:eastAsia="Arial" w:hAnsi="Arial"/>
                <w:sz w:val="17"/>
                <w:szCs w:val="17"/>
                <w:color w:val="0E32E1"/>
              </w:rPr>
              <w:t xml:space="preserve">2022 </w:t>
            </w:r>
            <w:hyperlink w:anchor="page4">
              <w:r>
                <w:rPr>
                  <w:rFonts w:ascii="Arial" w:cs="Arial" w:eastAsia="Arial" w:hAnsi="Arial"/>
                  <w:sz w:val="17"/>
                  <w:szCs w:val="17"/>
                  <w:color w:val="0E32E1"/>
                </w:rPr>
                <w:t xml:space="preserve">and </w:t>
              </w:r>
            </w:hyperlink>
            <w:r>
              <w:rPr>
                <w:rFonts w:ascii="Arial" w:cs="Arial" w:eastAsia="Arial" w:hAnsi="Arial"/>
                <w:sz w:val="17"/>
                <w:szCs w:val="17"/>
                <w:color w:val="0E32E1"/>
              </w:rPr>
              <w:t>2021</w:t>
            </w:r>
          </w:p>
        </w:tc>
        <w:tc>
          <w:tcPr>
            <w:tcW w:w="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40" w:type="dxa"/>
            <w:vAlign w:val="bottom"/>
            <w:gridSpan w:val="14"/>
          </w:tcPr>
          <w:p>
            <w:pPr>
              <w:spacing w:after="0"/>
              <w:rPr>
                <w:rFonts w:ascii="Arial" w:cs="Arial" w:eastAsia="Arial" w:hAnsi="Arial"/>
                <w:sz w:val="18"/>
                <w:szCs w:val="18"/>
                <w:color w:val="0E32E1"/>
                <w:w w:val="98"/>
              </w:rPr>
            </w:pPr>
            <w:r>
              <w:rPr>
                <w:rFonts w:ascii="Arial" w:cs="Arial" w:eastAsia="Arial" w:hAnsi="Arial"/>
                <w:sz w:val="18"/>
                <w:szCs w:val="18"/>
                <w:color w:val="0E32E1"/>
                <w:w w:val="98"/>
              </w:rPr>
              <w:t xml:space="preserve">Condensed </w:t>
            </w:r>
            <w:hyperlink w:anchor="page6">
              <w:r>
                <w:rPr>
                  <w:rFonts w:ascii="Arial" w:cs="Arial" w:eastAsia="Arial" w:hAnsi="Arial"/>
                  <w:sz w:val="18"/>
                  <w:szCs w:val="18"/>
                  <w:color w:val="0E32E1"/>
                  <w:w w:val="98"/>
                </w:rPr>
                <w:t xml:space="preserve">Consolidated Statements of Cash Flows for the </w:t>
              </w:r>
            </w:hyperlink>
            <w:r>
              <w:rPr>
                <w:rFonts w:ascii="Arial" w:cs="Arial" w:eastAsia="Arial" w:hAnsi="Arial"/>
                <w:sz w:val="18"/>
                <w:szCs w:val="18"/>
                <w:color w:val="0E32E1"/>
                <w:w w:val="98"/>
              </w:rPr>
              <w:t xml:space="preserve">Six Months Ended June 30, 2022 </w:t>
            </w:r>
            <w:hyperlink w:anchor="page6">
              <w:r>
                <w:rPr>
                  <w:rFonts w:ascii="Arial" w:cs="Arial" w:eastAsia="Arial" w:hAnsi="Arial"/>
                  <w:sz w:val="18"/>
                  <w:szCs w:val="18"/>
                  <w:color w:val="0E32E1"/>
                  <w:w w:val="98"/>
                </w:rPr>
                <w:t xml:space="preserve">and </w:t>
              </w:r>
            </w:hyperlink>
            <w:r>
              <w:rPr>
                <w:rFonts w:ascii="Arial" w:cs="Arial" w:eastAsia="Arial" w:hAnsi="Arial"/>
                <w:sz w:val="18"/>
                <w:szCs w:val="18"/>
                <w:color w:val="0E32E1"/>
                <w:w w:val="98"/>
              </w:rPr>
              <w:t>2021</w:t>
            </w:r>
          </w:p>
        </w:tc>
        <w:tc>
          <w:tcPr>
            <w:tcW w:w="780" w:type="dxa"/>
            <w:vAlign w:val="bottom"/>
            <w:gridSpan w:val="3"/>
          </w:tcPr>
          <w:p>
            <w:pPr>
              <w:spacing w:after="0"/>
              <w:rPr>
                <w:sz w:val="17"/>
                <w:szCs w:val="17"/>
                <w:color w:val="auto"/>
              </w:rPr>
            </w:pPr>
          </w:p>
        </w:tc>
        <w:tc>
          <w:tcPr>
            <w:tcW w:w="260" w:type="dxa"/>
            <w:vAlign w:val="bottom"/>
            <w:gridSpan w:val="2"/>
          </w:tcPr>
          <w:p>
            <w:pPr>
              <w:jc w:val="center"/>
              <w:ind w:left="71"/>
              <w:spacing w:after="0"/>
              <w:rPr>
                <w:rFonts w:ascii="Arial" w:cs="Arial" w:eastAsia="Arial" w:hAnsi="Arial"/>
                <w:sz w:val="18"/>
                <w:szCs w:val="18"/>
                <w:color w:val="0E32E1"/>
                <w:w w:val="99"/>
              </w:rPr>
            </w:pPr>
            <w:hyperlink w:anchor="page6">
              <w:r>
                <w:rPr>
                  <w:rFonts w:ascii="Arial" w:cs="Arial" w:eastAsia="Arial" w:hAnsi="Arial"/>
                  <w:sz w:val="18"/>
                  <w:szCs w:val="18"/>
                  <w:color w:val="0E32E1"/>
                  <w:w w:val="99"/>
                </w:rPr>
                <w:t>5</w:t>
              </w:r>
            </w:hyperlink>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60" w:type="dxa"/>
            <w:vAlign w:val="bottom"/>
            <w:gridSpan w:val="10"/>
          </w:tcPr>
          <w:p>
            <w:pPr>
              <w:spacing w:after="0"/>
              <w:rPr>
                <w:rFonts w:ascii="Arial" w:cs="Arial" w:eastAsia="Arial" w:hAnsi="Arial"/>
                <w:sz w:val="18"/>
                <w:szCs w:val="18"/>
                <w:color w:val="0E32E1"/>
                <w:w w:val="96"/>
              </w:rPr>
            </w:pPr>
            <w:hyperlink w:anchor="page7">
              <w:r>
                <w:rPr>
                  <w:rFonts w:ascii="Arial" w:cs="Arial" w:eastAsia="Arial" w:hAnsi="Arial"/>
                  <w:sz w:val="18"/>
                  <w:szCs w:val="18"/>
                  <w:color w:val="0E32E1"/>
                  <w:w w:val="96"/>
                </w:rPr>
                <w:t>Notes to the Condensed Consolidated Financial Statements</w:t>
              </w:r>
            </w:hyperlink>
          </w:p>
        </w:tc>
        <w:tc>
          <w:tcPr>
            <w:tcW w:w="3480" w:type="dxa"/>
            <w:vAlign w:val="bottom"/>
            <w:gridSpan w:val="4"/>
          </w:tcPr>
          <w:p>
            <w:pPr>
              <w:spacing w:after="0"/>
              <w:rPr>
                <w:sz w:val="17"/>
                <w:szCs w:val="17"/>
                <w:color w:val="auto"/>
              </w:rPr>
            </w:pPr>
          </w:p>
        </w:tc>
        <w:tc>
          <w:tcPr>
            <w:tcW w:w="780" w:type="dxa"/>
            <w:vAlign w:val="bottom"/>
            <w:gridSpan w:val="3"/>
          </w:tcPr>
          <w:p>
            <w:pPr>
              <w:spacing w:after="0"/>
              <w:rPr>
                <w:sz w:val="17"/>
                <w:szCs w:val="17"/>
                <w:color w:val="auto"/>
              </w:rPr>
            </w:pPr>
          </w:p>
        </w:tc>
        <w:tc>
          <w:tcPr>
            <w:tcW w:w="260" w:type="dxa"/>
            <w:vAlign w:val="bottom"/>
            <w:gridSpan w:val="2"/>
          </w:tcPr>
          <w:p>
            <w:pPr>
              <w:jc w:val="center"/>
              <w:ind w:left="71"/>
              <w:spacing w:after="0"/>
              <w:rPr>
                <w:rFonts w:ascii="Arial" w:cs="Arial" w:eastAsia="Arial" w:hAnsi="Arial"/>
                <w:sz w:val="18"/>
                <w:szCs w:val="18"/>
                <w:color w:val="0E32E1"/>
                <w:w w:val="99"/>
              </w:rPr>
            </w:pPr>
            <w:hyperlink w:anchor="page7">
              <w:r>
                <w:rPr>
                  <w:rFonts w:ascii="Arial" w:cs="Arial" w:eastAsia="Arial" w:hAnsi="Arial"/>
                  <w:sz w:val="18"/>
                  <w:szCs w:val="18"/>
                  <w:color w:val="0E32E1"/>
                  <w:w w:val="99"/>
                </w:rPr>
                <w:t>6</w:t>
              </w:r>
            </w:hyperlink>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Borders>
              <w:left w:val="single" w:sz="8" w:color="0E32E1"/>
            </w:tcBorders>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E32E1"/>
              </w:rPr>
            </w:pPr>
            <w:hyperlink w:anchor="page23">
              <w:r>
                <w:rPr>
                  <w:rFonts w:ascii="Arial" w:cs="Arial" w:eastAsia="Arial" w:hAnsi="Arial"/>
                  <w:sz w:val="18"/>
                  <w:szCs w:val="18"/>
                  <w:color w:val="0E32E1"/>
                </w:rPr>
                <w:t>Item 2.</w:t>
              </w:r>
            </w:hyperlink>
          </w:p>
        </w:tc>
        <w:tc>
          <w:tcPr>
            <w:tcW w:w="8920" w:type="dxa"/>
            <w:vAlign w:val="bottom"/>
            <w:gridSpan w:val="17"/>
          </w:tcPr>
          <w:p>
            <w:pPr>
              <w:spacing w:after="0"/>
              <w:rPr>
                <w:rFonts w:ascii="Arial" w:cs="Arial" w:eastAsia="Arial" w:hAnsi="Arial"/>
                <w:sz w:val="18"/>
                <w:szCs w:val="18"/>
                <w:color w:val="0E32E1"/>
              </w:rPr>
            </w:pPr>
            <w:hyperlink w:anchor="page23">
              <w:r>
                <w:rPr>
                  <w:rFonts w:ascii="Arial" w:cs="Arial" w:eastAsia="Arial" w:hAnsi="Arial"/>
                  <w:sz w:val="18"/>
                  <w:szCs w:val="18"/>
                  <w:color w:val="0E32E1"/>
                </w:rPr>
                <w:t>Management's Discussion and Analysis of Financial Condition and Results of Operations</w:t>
              </w:r>
            </w:hyperlink>
          </w:p>
        </w:tc>
        <w:tc>
          <w:tcPr>
            <w:tcW w:w="480" w:type="dxa"/>
            <w:vAlign w:val="bottom"/>
            <w:gridSpan w:val="3"/>
          </w:tcPr>
          <w:p>
            <w:pPr>
              <w:jc w:val="center"/>
              <w:ind w:right="80"/>
              <w:spacing w:after="0"/>
              <w:rPr>
                <w:rFonts w:ascii="Arial" w:cs="Arial" w:eastAsia="Arial" w:hAnsi="Arial"/>
                <w:sz w:val="18"/>
                <w:szCs w:val="18"/>
                <w:color w:val="0E32E1"/>
                <w:w w:val="99"/>
              </w:rPr>
            </w:pPr>
            <w:hyperlink w:anchor="page23">
              <w:r>
                <w:rPr>
                  <w:rFonts w:ascii="Arial" w:cs="Arial" w:eastAsia="Arial" w:hAnsi="Arial"/>
                  <w:sz w:val="18"/>
                  <w:szCs w:val="18"/>
                  <w:color w:val="0E32E1"/>
                  <w:w w:val="99"/>
                </w:rPr>
                <w:t>21</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6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E32E1"/>
              </w:rPr>
            </w:pPr>
            <w:hyperlink w:anchor="page34">
              <w:r>
                <w:rPr>
                  <w:rFonts w:ascii="Arial" w:cs="Arial" w:eastAsia="Arial" w:hAnsi="Arial"/>
                  <w:sz w:val="18"/>
                  <w:szCs w:val="18"/>
                  <w:color w:val="0E32E1"/>
                </w:rPr>
                <w:t>Item 3.</w:t>
              </w:r>
            </w:hyperlink>
          </w:p>
        </w:tc>
        <w:tc>
          <w:tcPr>
            <w:tcW w:w="8920" w:type="dxa"/>
            <w:vAlign w:val="bottom"/>
            <w:gridSpan w:val="17"/>
          </w:tcPr>
          <w:p>
            <w:pPr>
              <w:spacing w:after="0"/>
              <w:rPr>
                <w:rFonts w:ascii="Arial" w:cs="Arial" w:eastAsia="Arial" w:hAnsi="Arial"/>
                <w:sz w:val="18"/>
                <w:szCs w:val="18"/>
                <w:color w:val="0E32E1"/>
              </w:rPr>
            </w:pPr>
            <w:hyperlink w:anchor="page34">
              <w:r>
                <w:rPr>
                  <w:rFonts w:ascii="Arial" w:cs="Arial" w:eastAsia="Arial" w:hAnsi="Arial"/>
                  <w:sz w:val="18"/>
                  <w:szCs w:val="18"/>
                  <w:color w:val="0E32E1"/>
                </w:rPr>
                <w:t>Quantitative and Qualitative Disclosures About Market Risk</w:t>
              </w:r>
            </w:hyperlink>
          </w:p>
        </w:tc>
        <w:tc>
          <w:tcPr>
            <w:tcW w:w="480" w:type="dxa"/>
            <w:vAlign w:val="bottom"/>
            <w:gridSpan w:val="3"/>
          </w:tcPr>
          <w:p>
            <w:pPr>
              <w:jc w:val="center"/>
              <w:ind w:right="80"/>
              <w:spacing w:after="0"/>
              <w:rPr>
                <w:rFonts w:ascii="Arial" w:cs="Arial" w:eastAsia="Arial" w:hAnsi="Arial"/>
                <w:sz w:val="18"/>
                <w:szCs w:val="18"/>
                <w:color w:val="0E32E1"/>
                <w:w w:val="99"/>
              </w:rPr>
            </w:pPr>
            <w:hyperlink w:anchor="page34">
              <w:r>
                <w:rPr>
                  <w:rFonts w:ascii="Arial" w:cs="Arial" w:eastAsia="Arial" w:hAnsi="Arial"/>
                  <w:sz w:val="18"/>
                  <w:szCs w:val="18"/>
                  <w:color w:val="0E32E1"/>
                  <w:w w:val="99"/>
                </w:rPr>
                <w:t>33</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6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E32E1"/>
              </w:rPr>
            </w:pPr>
            <w:hyperlink w:anchor="page35">
              <w:r>
                <w:rPr>
                  <w:rFonts w:ascii="Arial" w:cs="Arial" w:eastAsia="Arial" w:hAnsi="Arial"/>
                  <w:sz w:val="18"/>
                  <w:szCs w:val="18"/>
                  <w:color w:val="0E32E1"/>
                </w:rPr>
                <w:t>Item 4.</w:t>
              </w:r>
            </w:hyperlink>
          </w:p>
        </w:tc>
        <w:tc>
          <w:tcPr>
            <w:tcW w:w="8920" w:type="dxa"/>
            <w:vAlign w:val="bottom"/>
            <w:gridSpan w:val="17"/>
          </w:tcPr>
          <w:p>
            <w:pPr>
              <w:spacing w:after="0"/>
              <w:rPr>
                <w:rFonts w:ascii="Arial" w:cs="Arial" w:eastAsia="Arial" w:hAnsi="Arial"/>
                <w:sz w:val="18"/>
                <w:szCs w:val="18"/>
                <w:color w:val="0E32E1"/>
              </w:rPr>
            </w:pPr>
            <w:hyperlink w:anchor="page35">
              <w:r>
                <w:rPr>
                  <w:rFonts w:ascii="Arial" w:cs="Arial" w:eastAsia="Arial" w:hAnsi="Arial"/>
                  <w:sz w:val="18"/>
                  <w:szCs w:val="18"/>
                  <w:color w:val="0E32E1"/>
                </w:rPr>
                <w:t>Controls and Procedures</w:t>
              </w:r>
            </w:hyperlink>
          </w:p>
        </w:tc>
        <w:tc>
          <w:tcPr>
            <w:tcW w:w="480" w:type="dxa"/>
            <w:vAlign w:val="bottom"/>
            <w:gridSpan w:val="3"/>
          </w:tcPr>
          <w:p>
            <w:pPr>
              <w:jc w:val="center"/>
              <w:ind w:right="80"/>
              <w:spacing w:after="0"/>
              <w:rPr>
                <w:rFonts w:ascii="Arial" w:cs="Arial" w:eastAsia="Arial" w:hAnsi="Arial"/>
                <w:sz w:val="18"/>
                <w:szCs w:val="18"/>
                <w:color w:val="0E32E1"/>
                <w:w w:val="99"/>
              </w:rPr>
            </w:pPr>
            <w:hyperlink w:anchor="page35">
              <w:r>
                <w:rPr>
                  <w:rFonts w:ascii="Arial" w:cs="Arial" w:eastAsia="Arial" w:hAnsi="Arial"/>
                  <w:sz w:val="18"/>
                  <w:szCs w:val="18"/>
                  <w:color w:val="0E32E1"/>
                  <w:w w:val="99"/>
                </w:rPr>
                <w:t>33</w:t>
              </w:r>
            </w:hyperlink>
          </w:p>
        </w:tc>
      </w:tr>
      <w:tr>
        <w:trPr>
          <w:trHeight w:val="20"/>
        </w:trPr>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6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Part II.</w:t>
              </w:r>
            </w:hyperlink>
          </w:p>
        </w:tc>
        <w:tc>
          <w:tcPr>
            <w:tcW w:w="9840" w:type="dxa"/>
            <w:vAlign w:val="bottom"/>
            <w:gridSpan w:val="19"/>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38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shd w:val="clear" w:color="auto" w:fill="0E32E1"/>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Item 1.</w:t>
              </w:r>
            </w:hyperlink>
          </w:p>
        </w:tc>
        <w:tc>
          <w:tcPr>
            <w:tcW w:w="8920" w:type="dxa"/>
            <w:vAlign w:val="bottom"/>
            <w:gridSpan w:val="17"/>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Legal Proceedings</w:t>
              </w:r>
            </w:hyperlink>
          </w:p>
        </w:tc>
        <w:tc>
          <w:tcPr>
            <w:tcW w:w="480" w:type="dxa"/>
            <w:vAlign w:val="bottom"/>
            <w:gridSpan w:val="3"/>
          </w:tcPr>
          <w:p>
            <w:pPr>
              <w:jc w:val="center"/>
              <w:ind w:right="80"/>
              <w:spacing w:after="0"/>
              <w:rPr>
                <w:rFonts w:ascii="Arial" w:cs="Arial" w:eastAsia="Arial" w:hAnsi="Arial"/>
                <w:sz w:val="18"/>
                <w:szCs w:val="18"/>
                <w:color w:val="0E32E1"/>
                <w:w w:val="99"/>
              </w:rPr>
            </w:pPr>
            <w:hyperlink w:anchor="page36">
              <w:r>
                <w:rPr>
                  <w:rFonts w:ascii="Arial" w:cs="Arial" w:eastAsia="Arial" w:hAnsi="Arial"/>
                  <w:sz w:val="18"/>
                  <w:szCs w:val="18"/>
                  <w:color w:val="0E32E1"/>
                  <w:w w:val="99"/>
                </w:rPr>
                <w:t>34</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6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Item 2.</w:t>
              </w:r>
            </w:hyperlink>
          </w:p>
        </w:tc>
        <w:tc>
          <w:tcPr>
            <w:tcW w:w="8920" w:type="dxa"/>
            <w:vAlign w:val="bottom"/>
            <w:gridSpan w:val="17"/>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Unregistered Sales of Equity Securities and Use of Proceeds</w:t>
              </w:r>
            </w:hyperlink>
          </w:p>
        </w:tc>
        <w:tc>
          <w:tcPr>
            <w:tcW w:w="480" w:type="dxa"/>
            <w:vAlign w:val="bottom"/>
            <w:gridSpan w:val="3"/>
          </w:tcPr>
          <w:p>
            <w:pPr>
              <w:jc w:val="center"/>
              <w:ind w:right="80"/>
              <w:spacing w:after="0"/>
              <w:rPr>
                <w:rFonts w:ascii="Arial" w:cs="Arial" w:eastAsia="Arial" w:hAnsi="Arial"/>
                <w:sz w:val="18"/>
                <w:szCs w:val="18"/>
                <w:color w:val="0E32E1"/>
                <w:w w:val="99"/>
              </w:rPr>
            </w:pPr>
            <w:hyperlink w:anchor="page36">
              <w:r>
                <w:rPr>
                  <w:rFonts w:ascii="Arial" w:cs="Arial" w:eastAsia="Arial" w:hAnsi="Arial"/>
                  <w:sz w:val="18"/>
                  <w:szCs w:val="18"/>
                  <w:color w:val="0E32E1"/>
                  <w:w w:val="99"/>
                </w:rPr>
                <w:t>34</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4180" w:type="dxa"/>
            <w:vAlign w:val="bottom"/>
            <w:gridSpan w:val="8"/>
            <w:shd w:val="clear" w:color="auto" w:fill="0E32E1"/>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6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20" w:type="dxa"/>
            <w:vAlign w:val="bottom"/>
            <w:tcBorders>
              <w:left w:val="single" w:sz="8" w:color="0E32E1"/>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Item 6.</w:t>
              </w:r>
            </w:hyperlink>
          </w:p>
        </w:tc>
        <w:tc>
          <w:tcPr>
            <w:tcW w:w="8920" w:type="dxa"/>
            <w:vAlign w:val="bottom"/>
            <w:gridSpan w:val="17"/>
          </w:tcPr>
          <w:p>
            <w:pPr>
              <w:spacing w:after="0"/>
              <w:rPr>
                <w:rFonts w:ascii="Arial" w:cs="Arial" w:eastAsia="Arial" w:hAnsi="Arial"/>
                <w:sz w:val="18"/>
                <w:szCs w:val="18"/>
                <w:color w:val="0E32E1"/>
              </w:rPr>
            </w:pPr>
            <w:hyperlink w:anchor="page36">
              <w:r>
                <w:rPr>
                  <w:rFonts w:ascii="Arial" w:cs="Arial" w:eastAsia="Arial" w:hAnsi="Arial"/>
                  <w:sz w:val="18"/>
                  <w:szCs w:val="18"/>
                  <w:color w:val="0E32E1"/>
                </w:rPr>
                <w:t>Exhibits</w:t>
              </w:r>
            </w:hyperlink>
          </w:p>
        </w:tc>
        <w:tc>
          <w:tcPr>
            <w:tcW w:w="480" w:type="dxa"/>
            <w:vAlign w:val="bottom"/>
            <w:gridSpan w:val="3"/>
          </w:tcPr>
          <w:p>
            <w:pPr>
              <w:jc w:val="center"/>
              <w:ind w:right="80"/>
              <w:spacing w:after="0"/>
              <w:rPr>
                <w:rFonts w:ascii="Arial" w:cs="Arial" w:eastAsia="Arial" w:hAnsi="Arial"/>
                <w:sz w:val="18"/>
                <w:szCs w:val="18"/>
                <w:color w:val="0E32E1"/>
                <w:w w:val="99"/>
              </w:rPr>
            </w:pPr>
            <w:hyperlink w:anchor="page36">
              <w:r>
                <w:rPr>
                  <w:rFonts w:ascii="Arial" w:cs="Arial" w:eastAsia="Arial" w:hAnsi="Arial"/>
                  <w:sz w:val="18"/>
                  <w:szCs w:val="18"/>
                  <w:color w:val="0E32E1"/>
                  <w:w w:val="99"/>
                </w:rPr>
                <w:t>35</w:t>
              </w:r>
            </w:hyperlink>
          </w:p>
        </w:tc>
      </w:tr>
      <w:tr>
        <w:trPr>
          <w:trHeight w:val="420"/>
        </w:trPr>
        <w:tc>
          <w:tcPr>
            <w:tcW w:w="920" w:type="dxa"/>
            <w:vAlign w:val="bottom"/>
            <w:gridSpan w:val="4"/>
          </w:tcPr>
          <w:p>
            <w:pPr>
              <w:ind w:left="20"/>
              <w:spacing w:after="0"/>
              <w:rPr>
                <w:rFonts w:ascii="Arial" w:cs="Arial" w:eastAsia="Arial" w:hAnsi="Arial"/>
                <w:sz w:val="18"/>
                <w:szCs w:val="18"/>
                <w:color w:val="0E32E1"/>
              </w:rPr>
            </w:pPr>
            <w:hyperlink w:anchor="page37">
              <w:r>
                <w:rPr>
                  <w:rFonts w:ascii="Arial" w:cs="Arial" w:eastAsia="Arial" w:hAnsi="Arial"/>
                  <w:sz w:val="18"/>
                  <w:szCs w:val="18"/>
                  <w:color w:val="0E32E1"/>
                </w:rPr>
                <w:t>Signatures</w:t>
              </w:r>
            </w:hyperlink>
          </w:p>
        </w:tc>
        <w:tc>
          <w:tcPr>
            <w:tcW w:w="540" w:type="dxa"/>
            <w:vAlign w:val="bottom"/>
            <w:tcBorders>
              <w:top w:val="single" w:sz="8" w:color="0E32E1"/>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0E32E1"/>
            </w:tcBorders>
          </w:tcPr>
          <w:p>
            <w:pPr>
              <w:spacing w:after="0"/>
              <w:rPr>
                <w:sz w:val="24"/>
                <w:szCs w:val="24"/>
                <w:color w:val="auto"/>
              </w:rPr>
            </w:pPr>
          </w:p>
        </w:tc>
        <w:tc>
          <w:tcPr>
            <w:tcW w:w="160" w:type="dxa"/>
            <w:vAlign w:val="bottom"/>
            <w:tcBorders>
              <w:top w:val="single" w:sz="8" w:color="0E32E1"/>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E32E1"/>
            </w:tcBorders>
          </w:tcPr>
          <w:p>
            <w:pPr>
              <w:jc w:val="center"/>
              <w:spacing w:after="0"/>
              <w:rPr>
                <w:rFonts w:ascii="Arial" w:cs="Arial" w:eastAsia="Arial" w:hAnsi="Arial"/>
                <w:sz w:val="17"/>
                <w:szCs w:val="17"/>
                <w:color w:val="0E32E1"/>
                <w:w w:val="73"/>
              </w:rPr>
            </w:pPr>
            <w:hyperlink w:anchor="page37">
              <w:r>
                <w:rPr>
                  <w:rFonts w:ascii="Arial" w:cs="Arial" w:eastAsia="Arial" w:hAnsi="Arial"/>
                  <w:sz w:val="17"/>
                  <w:szCs w:val="17"/>
                  <w:color w:val="0E32E1"/>
                  <w:w w:val="73"/>
                </w:rPr>
                <w:t>36</w:t>
              </w:r>
            </w:hyperlink>
          </w:p>
        </w:tc>
        <w:tc>
          <w:tcPr>
            <w:tcW w:w="220" w:type="dxa"/>
            <w:vAlign w:val="bottom"/>
          </w:tcPr>
          <w:p>
            <w:pPr>
              <w:spacing w:after="0"/>
              <w:rPr>
                <w:sz w:val="24"/>
                <w:szCs w:val="24"/>
                <w:color w:val="auto"/>
              </w:rPr>
            </w:pPr>
          </w:p>
        </w:tc>
      </w:tr>
      <w:tr>
        <w:trPr>
          <w:trHeight w:val="1001"/>
        </w:trPr>
        <w:tc>
          <w:tcPr>
            <w:tcW w:w="20" w:type="dxa"/>
            <w:vAlign w:val="bottom"/>
            <w:tcBorders>
              <w:bottom w:val="single" w:sz="8" w:color="9A9A9A"/>
            </w:tcBorders>
          </w:tcPr>
          <w:p>
            <w:pPr>
              <w:spacing w:after="0"/>
              <w:rPr>
                <w:sz w:val="24"/>
                <w:szCs w:val="24"/>
                <w:color w:val="auto"/>
              </w:rPr>
            </w:pPr>
          </w:p>
        </w:tc>
        <w:tc>
          <w:tcPr>
            <w:tcW w:w="480" w:type="dxa"/>
            <w:vAlign w:val="bottom"/>
            <w:tcBorders>
              <w:top w:val="single" w:sz="8" w:color="0E32E1"/>
              <w:bottom w:val="single" w:sz="8" w:color="9A9A9A"/>
            </w:tcBorders>
          </w:tcPr>
          <w:p>
            <w:pPr>
              <w:spacing w:after="0"/>
              <w:rPr>
                <w:sz w:val="24"/>
                <w:szCs w:val="24"/>
                <w:color w:val="auto"/>
              </w:rPr>
            </w:pPr>
          </w:p>
        </w:tc>
        <w:tc>
          <w:tcPr>
            <w:tcW w:w="380" w:type="dxa"/>
            <w:vAlign w:val="bottom"/>
            <w:tcBorders>
              <w:top w:val="single" w:sz="8" w:color="0E32E1"/>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E32E1"/>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2021</w:t>
            </w:r>
          </w:p>
        </w:tc>
      </w:tr>
      <w:tr>
        <w:trPr>
          <w:trHeight w:val="221"/>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186"/>
        </w:trPr>
        <w:tc>
          <w:tcPr>
            <w:tcW w:w="6720" w:type="dxa"/>
            <w:vAlign w:val="bottom"/>
          </w:tcPr>
          <w:p>
            <w:pPr>
              <w:ind w:left="140"/>
              <w:spacing w:after="0" w:line="186" w:lineRule="exact"/>
              <w:rPr>
                <w:sz w:val="20"/>
                <w:szCs w:val="20"/>
                <w:color w:val="auto"/>
              </w:rPr>
            </w:pPr>
            <w:r>
              <w:rPr>
                <w:rFonts w:ascii="Arial" w:cs="Arial" w:eastAsia="Arial" w:hAnsi="Arial"/>
                <w:sz w:val="18"/>
                <w:szCs w:val="18"/>
                <w:color w:val="auto"/>
              </w:rPr>
              <w:t>Accounts receivable, net of allowance for credit losses of $19.1 million and $26.1</w:t>
            </w: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4"/>
        </w:trPr>
        <w:tc>
          <w:tcPr>
            <w:tcW w:w="6720" w:type="dxa"/>
            <w:vAlign w:val="bottom"/>
          </w:tcPr>
          <w:p>
            <w:pPr>
              <w:ind w:left="140"/>
              <w:spacing w:after="0"/>
              <w:rPr>
                <w:sz w:val="20"/>
                <w:szCs w:val="20"/>
                <w:color w:val="auto"/>
              </w:rPr>
            </w:pPr>
            <w:r>
              <w:rPr>
                <w:rFonts w:ascii="Arial" w:cs="Arial" w:eastAsia="Arial" w:hAnsi="Arial"/>
                <w:sz w:val="18"/>
                <w:szCs w:val="18"/>
                <w:color w:val="auto"/>
              </w:rPr>
              <w:t>million as of June 30, 2022 and December 31, 2021, respectively</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3,954.7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2,355.3</w:t>
            </w: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26"/>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r>
      <w:tr>
        <w:trPr>
          <w:trHeight w:val="221"/>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w:t>
            </w: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r>
      <w:tr>
        <w:trPr>
          <w:trHeight w:val="221"/>
        </w:trPr>
        <w:tc>
          <w:tcPr>
            <w:tcW w:w="672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5,942.4</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3,936.7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2,399.6</w:t>
            </w: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r>
      <w:tr>
        <w:trPr>
          <w:trHeight w:val="220"/>
        </w:trPr>
        <w:tc>
          <w:tcPr>
            <w:tcW w:w="67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5,094.7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3,096.7</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Non-current income tax liabilities, net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213.9</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4,025.6</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World Fuel shareholders' equity:</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3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6"/>
        </w:trPr>
        <w:tc>
          <w:tcPr>
            <w:tcW w:w="6720" w:type="dxa"/>
            <w:vAlign w:val="bottom"/>
          </w:tcPr>
          <w:p>
            <w:pPr>
              <w:ind w:left="140"/>
              <w:spacing w:after="0" w:line="186" w:lineRule="exact"/>
              <w:rPr>
                <w:sz w:val="20"/>
                <w:szCs w:val="20"/>
                <w:color w:val="auto"/>
              </w:rPr>
            </w:pPr>
            <w:r>
              <w:rPr>
                <w:rFonts w:ascii="Arial" w:cs="Arial" w:eastAsia="Arial" w:hAnsi="Arial"/>
                <w:sz w:val="18"/>
                <w:szCs w:val="18"/>
                <w:color w:val="auto"/>
              </w:rPr>
              <w:t>Common stock, $0.01 par value; 100.0 shares authorized, 61.9 and 61.7 issued</w:t>
            </w:r>
          </w:p>
        </w:tc>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4"/>
        </w:trPr>
        <w:tc>
          <w:tcPr>
            <w:tcW w:w="6720" w:type="dxa"/>
            <w:vAlign w:val="bottom"/>
          </w:tcPr>
          <w:p>
            <w:pPr>
              <w:ind w:left="140"/>
              <w:spacing w:after="0"/>
              <w:rPr>
                <w:sz w:val="20"/>
                <w:szCs w:val="20"/>
                <w:color w:val="auto"/>
              </w:rPr>
            </w:pPr>
            <w:r>
              <w:rPr>
                <w:rFonts w:ascii="Arial" w:cs="Arial" w:eastAsia="Arial" w:hAnsi="Arial"/>
                <w:sz w:val="18"/>
                <w:szCs w:val="18"/>
                <w:color w:val="auto"/>
              </w:rPr>
              <w:t>and outstanding as of June 30, 2022 and December 31, 2021, respectively</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1,916.4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1,880.6</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20"/>
        </w:trPr>
        <w:tc>
          <w:tcPr>
            <w:tcW w:w="6720" w:type="dxa"/>
            <w:vAlign w:val="bottom"/>
          </w:tcPr>
          <w:p>
            <w:pPr>
              <w:ind w:left="220"/>
              <w:spacing w:after="0"/>
              <w:rPr>
                <w:sz w:val="20"/>
                <w:szCs w:val="20"/>
                <w:color w:val="auto"/>
              </w:rPr>
            </w:pPr>
            <w:r>
              <w:rPr>
                <w:rFonts w:ascii="Arial" w:cs="Arial" w:eastAsia="Arial" w:hAnsi="Arial"/>
                <w:sz w:val="18"/>
                <w:szCs w:val="18"/>
                <w:color w:val="auto"/>
              </w:rPr>
              <w:t>Total World Fuel shareholders' equity</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1,915.7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1,912.7</w:t>
            </w:r>
          </w:p>
        </w:tc>
      </w:tr>
      <w:tr>
        <w:trPr>
          <w:trHeight w:val="22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1,916.8</w:t>
            </w:r>
          </w:p>
        </w:tc>
      </w:tr>
      <w:tr>
        <w:trPr>
          <w:trHeight w:val="246"/>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STATEMENTS OF INCOME AND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COMPREHENSIVE INCOME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Six Months Ended June</w:t>
            </w:r>
          </w:p>
        </w:tc>
        <w:tc>
          <w:tcPr>
            <w:tcW w:w="0" w:type="dxa"/>
            <w:vAlign w:val="bottom"/>
          </w:tcPr>
          <w:p>
            <w:pPr>
              <w:spacing w:after="0"/>
              <w:rPr>
                <w:sz w:val="1"/>
                <w:szCs w:val="1"/>
                <w:color w:val="auto"/>
              </w:rPr>
            </w:pPr>
          </w:p>
        </w:tc>
      </w:tr>
      <w:tr>
        <w:trPr>
          <w:trHeight w:val="227"/>
        </w:trPr>
        <w:tc>
          <w:tcPr>
            <w:tcW w:w="5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13,043.4</w:t>
            </w:r>
          </w:p>
        </w:tc>
        <w:tc>
          <w:tcPr>
            <w:tcW w:w="0" w:type="dxa"/>
            <w:vAlign w:val="bottom"/>
          </w:tcPr>
          <w:p>
            <w:pPr>
              <w:spacing w:after="0"/>
              <w:rPr>
                <w:sz w:val="1"/>
                <w:szCs w:val="1"/>
                <w:color w:val="auto"/>
              </w:rPr>
            </w:pPr>
          </w:p>
        </w:tc>
      </w:tr>
      <w:tr>
        <w:trPr>
          <w:trHeight w:val="22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16,868.7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29,019.8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12,667.9</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26"/>
        </w:trPr>
        <w:tc>
          <w:tcPr>
            <w:tcW w:w="55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556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0"/>
        </w:trPr>
        <w:tc>
          <w:tcPr>
            <w:tcW w:w="55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2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0"/>
        </w:trPr>
        <w:tc>
          <w:tcPr>
            <w:tcW w:w="5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60" w:type="dxa"/>
            <w:vAlign w:val="bottom"/>
          </w:tcPr>
          <w:p>
            <w:pPr>
              <w:ind w:left="20"/>
              <w:spacing w:after="0" w:line="201" w:lineRule="exact"/>
              <w:rPr>
                <w:sz w:val="20"/>
                <w:szCs w:val="20"/>
                <w:color w:val="auto"/>
              </w:rPr>
            </w:pPr>
            <w:r>
              <w:rPr>
                <w:rFonts w:ascii="Arial" w:cs="Arial" w:eastAsia="Arial" w:hAnsi="Arial"/>
                <w:sz w:val="18"/>
                <w:szCs w:val="18"/>
                <w:color w:val="auto"/>
              </w:rPr>
              <w:t>Basic earnings (loss) per common share</w:t>
            </w:r>
          </w:p>
        </w:tc>
        <w:tc>
          <w:tcPr>
            <w:tcW w:w="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0.39</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0.28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0.81</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6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0.39</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1"/>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0.28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0.80</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line="186" w:lineRule="exact"/>
              <w:rPr>
                <w:sz w:val="20"/>
                <w:szCs w:val="20"/>
                <w:color w:val="auto"/>
              </w:rPr>
            </w:pPr>
            <w:r>
              <w:rPr>
                <w:rFonts w:ascii="Arial" w:cs="Arial" w:eastAsia="Arial" w:hAnsi="Arial"/>
                <w:sz w:val="18"/>
                <w:szCs w:val="18"/>
                <w:color w:val="auto"/>
              </w:rPr>
              <w:t>Cash flow hedges, net of income tax expense (benefit) of $9.8</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60" w:type="dxa"/>
            <w:vAlign w:val="bottom"/>
          </w:tcPr>
          <w:p>
            <w:pPr>
              <w:ind w:left="140"/>
              <w:spacing w:after="0" w:line="174" w:lineRule="exact"/>
              <w:rPr>
                <w:sz w:val="20"/>
                <w:szCs w:val="20"/>
                <w:color w:val="auto"/>
              </w:rPr>
            </w:pPr>
            <w:r>
              <w:rPr>
                <w:rFonts w:ascii="Arial" w:cs="Arial" w:eastAsia="Arial" w:hAnsi="Arial"/>
                <w:sz w:val="18"/>
                <w:szCs w:val="18"/>
                <w:color w:val="auto"/>
              </w:rPr>
              <w:t>and ($2.9) for the three months ended June 30, 2022 and 2021,</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60" w:type="dxa"/>
            <w:vAlign w:val="bottom"/>
          </w:tcPr>
          <w:p>
            <w:pPr>
              <w:ind w:left="140"/>
              <w:spacing w:after="0" w:line="174" w:lineRule="exact"/>
              <w:rPr>
                <w:sz w:val="20"/>
                <w:szCs w:val="20"/>
                <w:color w:val="auto"/>
              </w:rPr>
            </w:pPr>
            <w:r>
              <w:rPr>
                <w:rFonts w:ascii="Arial" w:cs="Arial" w:eastAsia="Arial" w:hAnsi="Arial"/>
                <w:sz w:val="18"/>
                <w:szCs w:val="18"/>
                <w:color w:val="auto"/>
              </w:rPr>
              <w:t>respectively, and net of income tax expense (benefit) of $2.8 and</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60" w:type="dxa"/>
            <w:vAlign w:val="bottom"/>
          </w:tcPr>
          <w:p>
            <w:pPr>
              <w:ind w:left="140"/>
              <w:spacing w:after="0" w:line="174" w:lineRule="exact"/>
              <w:rPr>
                <w:sz w:val="20"/>
                <w:szCs w:val="20"/>
                <w:color w:val="auto"/>
              </w:rPr>
            </w:pPr>
            <w:r>
              <w:rPr>
                <w:rFonts w:ascii="Arial" w:cs="Arial" w:eastAsia="Arial" w:hAnsi="Arial"/>
                <w:sz w:val="18"/>
                <w:szCs w:val="18"/>
                <w:color w:val="auto"/>
              </w:rPr>
              <w:t>$2.7 for the six months ended June 30, 2022 and 2021,</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55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55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Fuel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ind w:right="3540"/>
        <w:spacing w:after="0" w:line="227" w:lineRule="auto"/>
        <w:rPr>
          <w:sz w:val="20"/>
          <w:szCs w:val="20"/>
          <w:color w:val="auto"/>
        </w:rPr>
      </w:pPr>
      <w:r>
        <w:rPr>
          <w:rFonts w:ascii="Arial" w:cs="Arial" w:eastAsia="Arial" w:hAnsi="Arial"/>
          <w:sz w:val="21"/>
          <w:szCs w:val="21"/>
          <w:b w:val="1"/>
          <w:bCs w:val="1"/>
          <w:color w:val="auto"/>
        </w:rPr>
        <w:t xml:space="preserve">CONDENSED CONSOLIDATED STATEMENTS OF SHAREHOLDERS' EQUITY </w:t>
      </w:r>
      <w:r>
        <w:rPr>
          <w:rFonts w:ascii="Arial" w:cs="Arial" w:eastAsia="Arial" w:hAnsi="Arial"/>
          <w:sz w:val="17"/>
          <w:szCs w:val="17"/>
          <w:color w:val="auto"/>
        </w:rPr>
        <w:t>(Unaudited -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6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World Fuel</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rPr>
              <w:t>Excess of</w:t>
            </w:r>
          </w:p>
        </w:tc>
        <w:tc>
          <w:tcPr>
            <w:tcW w:w="120" w:type="dxa"/>
            <w:vAlign w:val="bottom"/>
          </w:tcPr>
          <w:p>
            <w:pPr>
              <w:spacing w:after="0"/>
              <w:rPr>
                <w:sz w:val="3"/>
                <w:szCs w:val="3"/>
                <w:color w:val="auto"/>
              </w:rPr>
            </w:pPr>
          </w:p>
        </w:tc>
        <w:tc>
          <w:tcPr>
            <w:tcW w:w="900" w:type="dxa"/>
            <w:vAlign w:val="bottom"/>
            <w:gridSpan w:val="2"/>
            <w:vMerge w:val="restart"/>
          </w:tcPr>
          <w:p>
            <w:pPr>
              <w:ind w:left="40"/>
              <w:spacing w:after="0" w:line="120"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3"/>
                <w:szCs w:val="3"/>
                <w:color w:val="auto"/>
              </w:rPr>
            </w:pPr>
          </w:p>
        </w:tc>
        <w:tc>
          <w:tcPr>
            <w:tcW w:w="1440" w:type="dxa"/>
            <w:vAlign w:val="bottom"/>
            <w:gridSpan w:val="2"/>
            <w:vMerge w:val="restart"/>
          </w:tcPr>
          <w:p>
            <w:pPr>
              <w:jc w:val="center"/>
              <w:ind w:right="260"/>
              <w:spacing w:after="0" w:line="120"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3"/>
                <w:szCs w:val="3"/>
                <w:color w:val="auto"/>
              </w:rPr>
            </w:pPr>
          </w:p>
        </w:tc>
        <w:tc>
          <w:tcPr>
            <w:tcW w:w="1260" w:type="dxa"/>
            <w:vAlign w:val="bottom"/>
            <w:gridSpan w:val="2"/>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rPr>
              <w:t>Shareholders'</w:t>
            </w:r>
          </w:p>
        </w:tc>
        <w:tc>
          <w:tcPr>
            <w:tcW w:w="140" w:type="dxa"/>
            <w:vAlign w:val="bottom"/>
          </w:tcPr>
          <w:p>
            <w:pPr>
              <w:spacing w:after="0"/>
              <w:rPr>
                <w:sz w:val="3"/>
                <w:szCs w:val="3"/>
                <w:color w:val="auto"/>
              </w:rPr>
            </w:pPr>
          </w:p>
        </w:tc>
        <w:tc>
          <w:tcPr>
            <w:tcW w:w="1320" w:type="dxa"/>
            <w:vAlign w:val="bottom"/>
            <w:gridSpan w:val="2"/>
            <w:vMerge w:val="restart"/>
          </w:tcPr>
          <w:p>
            <w:pPr>
              <w:jc w:val="center"/>
              <w:ind w:right="280"/>
              <w:spacing w:after="0" w:line="120"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2060" w:type="dxa"/>
            <w:vAlign w:val="bottom"/>
          </w:tcPr>
          <w:p>
            <w:pPr>
              <w:spacing w:after="0"/>
              <w:rPr>
                <w:sz w:val="5"/>
                <w:szCs w:val="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6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4"/>
                <w:szCs w:val="14"/>
                <w:color w:val="auto"/>
              </w:rPr>
              <w:t>Balance as of December 31,</w:t>
            </w:r>
          </w:p>
        </w:tc>
        <w:tc>
          <w:tcPr>
            <w:tcW w:w="74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61.7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1,880.6</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1,912.7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1,916.8</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6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1"/>
        </w:trPr>
        <w:tc>
          <w:tcPr>
            <w:tcW w:w="206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4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vMerge w:val="restart"/>
          </w:tcPr>
          <w:p>
            <w:pPr>
              <w:jc w:val="right"/>
              <w:ind w:right="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9"/>
        </w:trPr>
        <w:tc>
          <w:tcPr>
            <w:tcW w:w="2060" w:type="dxa"/>
            <w:vAlign w:val="bottom"/>
          </w:tcPr>
          <w:p>
            <w:pPr>
              <w:ind w:left="40"/>
              <w:spacing w:after="0"/>
              <w:rPr>
                <w:sz w:val="20"/>
                <w:szCs w:val="20"/>
                <w:color w:val="auto"/>
              </w:rPr>
            </w:pPr>
            <w:r>
              <w:rPr>
                <w:rFonts w:ascii="Arial" w:cs="Arial" w:eastAsia="Arial" w:hAnsi="Arial"/>
                <w:sz w:val="14"/>
                <w:szCs w:val="14"/>
                <w:color w:val="auto"/>
              </w:rPr>
              <w:t>payment awards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Issuance (cancellation) of</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common stock related to share-</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payment awards</w:t>
            </w: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tcPr>
          <w:p>
            <w:pPr>
              <w:ind w:left="40"/>
              <w:spacing w:after="0" w:line="151" w:lineRule="exact"/>
              <w:rPr>
                <w:sz w:val="20"/>
                <w:szCs w:val="20"/>
                <w:color w:val="auto"/>
              </w:rPr>
            </w:pPr>
            <w:r>
              <w:rPr>
                <w:rFonts w:ascii="Arial" w:cs="Arial" w:eastAsia="Arial" w:hAnsi="Arial"/>
                <w:sz w:val="14"/>
                <w:szCs w:val="14"/>
                <w:color w:val="auto"/>
              </w:rPr>
              <w:t>Issuance of common stock for</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4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vMerge w:val="restart"/>
          </w:tcPr>
          <w:p>
            <w:pPr>
              <w:jc w:val="right"/>
              <w:ind w:right="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9"/>
        </w:trPr>
        <w:tc>
          <w:tcPr>
            <w:tcW w:w="2060" w:type="dxa"/>
            <w:vAlign w:val="bottom"/>
          </w:tcPr>
          <w:p>
            <w:pPr>
              <w:ind w:left="40"/>
              <w:spacing w:after="0"/>
              <w:rPr>
                <w:sz w:val="20"/>
                <w:szCs w:val="20"/>
                <w:color w:val="auto"/>
              </w:rPr>
            </w:pPr>
            <w:r>
              <w:rPr>
                <w:rFonts w:ascii="Arial" w:cs="Arial" w:eastAsia="Arial" w:hAnsi="Arial"/>
                <w:sz w:val="14"/>
                <w:szCs w:val="14"/>
                <w:color w:val="auto"/>
              </w:rPr>
              <w:t>acquisition of a business</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tendered by employees to</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satisfy the required withholding</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taxes related to share-based</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awards</w:t>
            </w: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6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Other comprehensive income</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60" w:type="dxa"/>
            <w:vAlign w:val="bottom"/>
          </w:tcPr>
          <w:p>
            <w:pPr>
              <w:ind w:left="20"/>
              <w:spacing w:after="0"/>
              <w:rPr>
                <w:sz w:val="20"/>
                <w:szCs w:val="20"/>
                <w:color w:val="auto"/>
              </w:rPr>
            </w:pPr>
            <w:r>
              <w:rPr>
                <w:rFonts w:ascii="Arial" w:cs="Arial" w:eastAsia="Arial" w:hAnsi="Arial"/>
                <w:sz w:val="14"/>
                <w:szCs w:val="14"/>
                <w:color w:val="auto"/>
              </w:rPr>
              <w:t>Balance as of March 31, 2022</w:t>
            </w: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206.7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1,941.4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1,945.5</w:t>
            </w: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7"/>
        </w:trPr>
        <w:tc>
          <w:tcPr>
            <w:tcW w:w="2060" w:type="dxa"/>
            <w:vAlign w:val="bottom"/>
          </w:tcPr>
          <w:p>
            <w:pPr>
              <w:ind w:left="40"/>
              <w:spacing w:after="0"/>
              <w:rPr>
                <w:sz w:val="20"/>
                <w:szCs w:val="20"/>
                <w:color w:val="auto"/>
              </w:rPr>
            </w:pPr>
            <w:r>
              <w:rPr>
                <w:rFonts w:ascii="Arial" w:cs="Arial" w:eastAsia="Arial" w:hAnsi="Arial"/>
                <w:sz w:val="14"/>
                <w:szCs w:val="14"/>
                <w:color w:val="auto"/>
              </w:rPr>
              <w:t>Cash dividends declared</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Amortization of share-based</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awards</w:t>
            </w: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tcPr>
          <w:p>
            <w:pPr>
              <w:ind w:left="40"/>
              <w:spacing w:after="0" w:line="151" w:lineRule="exact"/>
              <w:rPr>
                <w:sz w:val="20"/>
                <w:szCs w:val="20"/>
                <w:color w:val="auto"/>
              </w:rPr>
            </w:pPr>
            <w:r>
              <w:rPr>
                <w:rFonts w:ascii="Arial" w:cs="Arial" w:eastAsia="Arial" w:hAnsi="Arial"/>
                <w:sz w:val="14"/>
                <w:szCs w:val="14"/>
                <w:color w:val="auto"/>
              </w:rPr>
              <w:t>Issuance (cancellation) of</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40"/>
              <w:spacing w:after="0" w:line="133" w:lineRule="exact"/>
              <w:rPr>
                <w:sz w:val="20"/>
                <w:szCs w:val="20"/>
                <w:color w:val="auto"/>
              </w:rPr>
            </w:pPr>
            <w:r>
              <w:rPr>
                <w:rFonts w:ascii="Arial" w:cs="Arial" w:eastAsia="Arial" w:hAnsi="Arial"/>
                <w:sz w:val="14"/>
                <w:szCs w:val="14"/>
                <w:color w:val="auto"/>
              </w:rPr>
              <w:t>common stock related to share-</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44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6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tendered by employees to</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satisfy the required withholding</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6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taxes related to share-based</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awards</w:t>
            </w: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6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Other comprehensive income</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9"/>
        </w:trPr>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6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1,916.4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1,915.7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1,920.2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7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World Fuel</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rPr>
              <w:t>Excess of</w:t>
            </w:r>
          </w:p>
        </w:tc>
        <w:tc>
          <w:tcPr>
            <w:tcW w:w="120" w:type="dxa"/>
            <w:vAlign w:val="bottom"/>
          </w:tcPr>
          <w:p>
            <w:pPr>
              <w:spacing w:after="0"/>
              <w:rPr>
                <w:sz w:val="3"/>
                <w:szCs w:val="3"/>
                <w:color w:val="auto"/>
              </w:rPr>
            </w:pPr>
          </w:p>
        </w:tc>
        <w:tc>
          <w:tcPr>
            <w:tcW w:w="88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3"/>
                <w:szCs w:val="3"/>
                <w:color w:val="auto"/>
              </w:rPr>
            </w:pPr>
          </w:p>
        </w:tc>
        <w:tc>
          <w:tcPr>
            <w:tcW w:w="1400" w:type="dxa"/>
            <w:vAlign w:val="bottom"/>
            <w:gridSpan w:val="2"/>
            <w:vMerge w:val="restart"/>
          </w:tcPr>
          <w:p>
            <w:pPr>
              <w:jc w:val="center"/>
              <w:ind w:right="260"/>
              <w:spacing w:after="0" w:line="120"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rPr>
              <w:t>Shareholders'</w:t>
            </w:r>
          </w:p>
        </w:tc>
        <w:tc>
          <w:tcPr>
            <w:tcW w:w="140" w:type="dxa"/>
            <w:vAlign w:val="bottom"/>
          </w:tcPr>
          <w:p>
            <w:pPr>
              <w:spacing w:after="0"/>
              <w:rPr>
                <w:sz w:val="3"/>
                <w:szCs w:val="3"/>
                <w:color w:val="auto"/>
              </w:rPr>
            </w:pPr>
          </w:p>
        </w:tc>
        <w:tc>
          <w:tcPr>
            <w:tcW w:w="1340" w:type="dxa"/>
            <w:vAlign w:val="bottom"/>
            <w:gridSpan w:val="2"/>
            <w:vMerge w:val="restart"/>
          </w:tcPr>
          <w:p>
            <w:pPr>
              <w:jc w:val="center"/>
              <w:ind w:right="260"/>
              <w:spacing w:after="0" w:line="120" w:lineRule="exact"/>
              <w:rPr>
                <w:sz w:val="20"/>
                <w:szCs w:val="20"/>
                <w:color w:val="auto"/>
              </w:rPr>
            </w:pPr>
            <w:r>
              <w:rPr>
                <w:rFonts w:ascii="Arial" w:cs="Arial" w:eastAsia="Arial" w:hAnsi="Arial"/>
                <w:sz w:val="13"/>
                <w:szCs w:val="13"/>
                <w:b w:val="1"/>
                <w:bCs w:val="1"/>
                <w:color w:val="auto"/>
              </w:rPr>
              <w:t>Interest</w:t>
            </w: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2140" w:type="dxa"/>
            <w:vAlign w:val="bottom"/>
          </w:tcPr>
          <w:p>
            <w:pPr>
              <w:spacing w:after="0"/>
              <w:rPr>
                <w:sz w:val="5"/>
                <w:szCs w:val="5"/>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14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4"/>
                <w:szCs w:val="14"/>
                <w:color w:val="auto"/>
              </w:rPr>
              <w:t>Balance as of December 31,</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204.6</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1,909.3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1,912.9</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7"/>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1"/>
        </w:trPr>
        <w:tc>
          <w:tcPr>
            <w:tcW w:w="214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9"/>
        </w:trPr>
        <w:tc>
          <w:tcPr>
            <w:tcW w:w="2140" w:type="dxa"/>
            <w:vAlign w:val="bottom"/>
          </w:tcPr>
          <w:p>
            <w:pPr>
              <w:ind w:left="40"/>
              <w:spacing w:after="0"/>
              <w:rPr>
                <w:sz w:val="20"/>
                <w:szCs w:val="20"/>
                <w:color w:val="auto"/>
              </w:rPr>
            </w:pPr>
            <w:r>
              <w:rPr>
                <w:rFonts w:ascii="Arial" w:cs="Arial" w:eastAsia="Arial" w:hAnsi="Arial"/>
                <w:sz w:val="14"/>
                <w:szCs w:val="14"/>
                <w:color w:val="auto"/>
              </w:rPr>
              <w:t>payment awards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Issuance (cancellation) of</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4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common stock related to 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payment awards</w:t>
            </w: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ind w:left="40"/>
              <w:spacing w:after="0" w:line="151" w:lineRule="exact"/>
              <w:rPr>
                <w:sz w:val="20"/>
                <w:szCs w:val="20"/>
                <w:color w:val="auto"/>
              </w:rPr>
            </w:pPr>
            <w:r>
              <w:rPr>
                <w:rFonts w:ascii="Arial" w:cs="Arial" w:eastAsia="Arial" w:hAnsi="Arial"/>
                <w:sz w:val="14"/>
                <w:szCs w:val="14"/>
                <w:color w:val="auto"/>
              </w:rPr>
              <w:t>Purchases of common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40"/>
              <w:spacing w:after="0" w:line="133" w:lineRule="exact"/>
              <w:rPr>
                <w:sz w:val="20"/>
                <w:szCs w:val="20"/>
                <w:color w:val="auto"/>
              </w:rPr>
            </w:pPr>
            <w:r>
              <w:rPr>
                <w:rFonts w:ascii="Arial" w:cs="Arial" w:eastAsia="Arial" w:hAnsi="Arial"/>
                <w:sz w:val="14"/>
                <w:szCs w:val="14"/>
                <w:color w:val="auto"/>
              </w:rPr>
              <w:t>tendered by employees to satisfy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40"/>
              <w:spacing w:after="0" w:line="133" w:lineRule="exact"/>
              <w:rPr>
                <w:sz w:val="20"/>
                <w:szCs w:val="20"/>
                <w:color w:val="auto"/>
              </w:rPr>
            </w:pPr>
            <w:r>
              <w:rPr>
                <w:rFonts w:ascii="Arial" w:cs="Arial" w:eastAsia="Arial" w:hAnsi="Arial"/>
                <w:sz w:val="14"/>
                <w:szCs w:val="14"/>
                <w:color w:val="auto"/>
              </w:rPr>
              <w:t>the required withholding taxes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40"/>
              <w:spacing w:after="0" w:line="133" w:lineRule="exact"/>
              <w:rPr>
                <w:sz w:val="20"/>
                <w:szCs w:val="20"/>
                <w:color w:val="auto"/>
              </w:rPr>
            </w:pPr>
            <w:r>
              <w:rPr>
                <w:rFonts w:ascii="Arial" w:cs="Arial" w:eastAsia="Arial" w:hAnsi="Arial"/>
                <w:sz w:val="14"/>
                <w:szCs w:val="14"/>
                <w:color w:val="auto"/>
              </w:rPr>
              <w:t>related to share-based payment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9"/>
        </w:trPr>
        <w:tc>
          <w:tcPr>
            <w:tcW w:w="2140" w:type="dxa"/>
            <w:vAlign w:val="bottom"/>
          </w:tcPr>
          <w:p>
            <w:pPr>
              <w:ind w:left="40"/>
              <w:spacing w:after="0"/>
              <w:rPr>
                <w:sz w:val="20"/>
                <w:szCs w:val="20"/>
                <w:color w:val="auto"/>
              </w:rPr>
            </w:pPr>
            <w:r>
              <w:rPr>
                <w:rFonts w:ascii="Arial" w:cs="Arial" w:eastAsia="Arial" w:hAnsi="Arial"/>
                <w:sz w:val="14"/>
                <w:szCs w:val="14"/>
                <w:color w:val="auto"/>
              </w:rPr>
              <w:t>awards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Other comprehensive income</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40" w:type="dxa"/>
            <w:vAlign w:val="bottom"/>
          </w:tcPr>
          <w:p>
            <w:pPr>
              <w:ind w:left="40"/>
              <w:spacing w:after="0"/>
              <w:rPr>
                <w:sz w:val="20"/>
                <w:szCs w:val="20"/>
                <w:color w:val="auto"/>
              </w:rPr>
            </w:pPr>
            <w:r>
              <w:rPr>
                <w:rFonts w:ascii="Arial" w:cs="Arial" w:eastAsia="Arial" w:hAnsi="Arial"/>
                <w:sz w:val="14"/>
                <w:szCs w:val="14"/>
                <w:color w:val="auto"/>
              </w:rPr>
              <w:t>Other</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1,943.0</w:t>
            </w:r>
          </w:p>
        </w:tc>
        <w:tc>
          <w:tcPr>
            <w:tcW w:w="0" w:type="dxa"/>
            <w:vAlign w:val="bottom"/>
          </w:tcPr>
          <w:p>
            <w:pPr>
              <w:spacing w:after="0"/>
              <w:rPr>
                <w:sz w:val="1"/>
                <w:szCs w:val="1"/>
                <w:color w:val="auto"/>
              </w:rPr>
            </w:pPr>
          </w:p>
        </w:tc>
      </w:tr>
      <w:tr>
        <w:trPr>
          <w:trHeight w:val="187"/>
        </w:trPr>
        <w:tc>
          <w:tcPr>
            <w:tcW w:w="21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7"/>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1"/>
        </w:trPr>
        <w:tc>
          <w:tcPr>
            <w:tcW w:w="214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2140" w:type="dxa"/>
            <w:vAlign w:val="bottom"/>
          </w:tcPr>
          <w:p>
            <w:pPr>
              <w:ind w:left="40"/>
              <w:spacing w:after="0"/>
              <w:rPr>
                <w:sz w:val="20"/>
                <w:szCs w:val="20"/>
                <w:color w:val="auto"/>
              </w:rPr>
            </w:pPr>
            <w:r>
              <w:rPr>
                <w:rFonts w:ascii="Arial" w:cs="Arial" w:eastAsia="Arial" w:hAnsi="Arial"/>
                <w:sz w:val="14"/>
                <w:szCs w:val="14"/>
                <w:color w:val="auto"/>
              </w:rPr>
              <w:t>payment awards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Issuance (cancellation) of</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40" w:type="dxa"/>
            <w:vAlign w:val="bottom"/>
            <w:shd w:val="clear" w:color="auto" w:fill="CCEEFF"/>
          </w:tcPr>
          <w:p>
            <w:pPr>
              <w:ind w:left="40"/>
              <w:spacing w:after="0" w:line="133" w:lineRule="exact"/>
              <w:rPr>
                <w:sz w:val="20"/>
                <w:szCs w:val="20"/>
                <w:color w:val="auto"/>
              </w:rPr>
            </w:pPr>
            <w:r>
              <w:rPr>
                <w:rFonts w:ascii="Arial" w:cs="Arial" w:eastAsia="Arial" w:hAnsi="Arial"/>
                <w:sz w:val="14"/>
                <w:szCs w:val="14"/>
                <w:color w:val="auto"/>
              </w:rPr>
              <w:t>common stock related to share-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payment awards</w:t>
            </w: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ind w:left="40"/>
              <w:spacing w:after="0" w:line="151" w:lineRule="exact"/>
              <w:rPr>
                <w:sz w:val="20"/>
                <w:szCs w:val="20"/>
                <w:color w:val="auto"/>
              </w:rPr>
            </w:pPr>
            <w:r>
              <w:rPr>
                <w:rFonts w:ascii="Arial" w:cs="Arial" w:eastAsia="Arial" w:hAnsi="Arial"/>
                <w:sz w:val="14"/>
                <w:szCs w:val="14"/>
                <w:color w:val="auto"/>
              </w:rPr>
              <w:t>Purchases of common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40"/>
              <w:spacing w:after="0" w:line="133" w:lineRule="exact"/>
              <w:rPr>
                <w:sz w:val="20"/>
                <w:szCs w:val="20"/>
                <w:color w:val="auto"/>
              </w:rPr>
            </w:pPr>
            <w:r>
              <w:rPr>
                <w:rFonts w:ascii="Arial" w:cs="Arial" w:eastAsia="Arial" w:hAnsi="Arial"/>
                <w:sz w:val="14"/>
                <w:szCs w:val="14"/>
                <w:color w:val="auto"/>
              </w:rPr>
              <w:t>tendered by employees to satisfy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40"/>
              <w:spacing w:after="0" w:line="133" w:lineRule="exact"/>
              <w:rPr>
                <w:sz w:val="20"/>
                <w:szCs w:val="20"/>
                <w:color w:val="auto"/>
              </w:rPr>
            </w:pPr>
            <w:r>
              <w:rPr>
                <w:rFonts w:ascii="Arial" w:cs="Arial" w:eastAsia="Arial" w:hAnsi="Arial"/>
                <w:sz w:val="14"/>
                <w:szCs w:val="14"/>
                <w:color w:val="auto"/>
              </w:rPr>
              <w:t>the required withholding taxes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40"/>
              <w:spacing w:after="0" w:line="133" w:lineRule="exact"/>
              <w:rPr>
                <w:sz w:val="20"/>
                <w:szCs w:val="20"/>
                <w:color w:val="auto"/>
              </w:rPr>
            </w:pPr>
            <w:r>
              <w:rPr>
                <w:rFonts w:ascii="Arial" w:cs="Arial" w:eastAsia="Arial" w:hAnsi="Arial"/>
                <w:sz w:val="14"/>
                <w:szCs w:val="14"/>
                <w:color w:val="auto"/>
              </w:rPr>
              <w:t>related to share-based payment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9"/>
        </w:trPr>
        <w:tc>
          <w:tcPr>
            <w:tcW w:w="2140" w:type="dxa"/>
            <w:vAlign w:val="bottom"/>
          </w:tcPr>
          <w:p>
            <w:pPr>
              <w:ind w:left="40"/>
              <w:spacing w:after="0"/>
              <w:rPr>
                <w:sz w:val="20"/>
                <w:szCs w:val="20"/>
                <w:color w:val="auto"/>
              </w:rPr>
            </w:pPr>
            <w:r>
              <w:rPr>
                <w:rFonts w:ascii="Arial" w:cs="Arial" w:eastAsia="Arial" w:hAnsi="Arial"/>
                <w:sz w:val="14"/>
                <w:szCs w:val="14"/>
                <w:color w:val="auto"/>
              </w:rPr>
              <w:t>awards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Other comprehensive income</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9"/>
        </w:trPr>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Balance as of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1,858.4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1,946.2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1,949.7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ind w:right="4800"/>
        <w:spacing w:after="0" w:line="227" w:lineRule="auto"/>
        <w:rPr>
          <w:sz w:val="20"/>
          <w:szCs w:val="20"/>
          <w:color w:val="auto"/>
        </w:rPr>
      </w:pPr>
      <w:r>
        <w:rPr>
          <w:rFonts w:ascii="Arial" w:cs="Arial" w:eastAsia="Arial" w:hAnsi="Arial"/>
          <w:sz w:val="21"/>
          <w:szCs w:val="21"/>
          <w:b w:val="1"/>
          <w:bCs w:val="1"/>
          <w:color w:val="auto"/>
        </w:rPr>
        <w:t xml:space="preserve">CONDENSED CONSOLIDATED STATEMENTS OF CASH FLOWS </w:t>
      </w:r>
      <w:r>
        <w:rPr>
          <w:rFonts w:ascii="Arial" w:cs="Arial" w:eastAsia="Arial" w:hAnsi="Arial"/>
          <w:sz w:val="17"/>
          <w:szCs w:val="17"/>
          <w:color w:val="auto"/>
        </w:rPr>
        <w:t>(Unaudited - 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80" w:type="dxa"/>
            <w:vAlign w:val="bottom"/>
          </w:tcPr>
          <w:p>
            <w:pPr>
              <w:spacing w:after="0"/>
              <w:rPr>
                <w:sz w:val="19"/>
                <w:szCs w:val="19"/>
                <w:color w:val="auto"/>
              </w:rPr>
            </w:pPr>
          </w:p>
        </w:tc>
        <w:tc>
          <w:tcPr>
            <w:tcW w:w="34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Six Months Ended June 30,</w:t>
            </w:r>
          </w:p>
        </w:tc>
        <w:tc>
          <w:tcPr>
            <w:tcW w:w="600" w:type="dxa"/>
            <w:vAlign w:val="bottom"/>
            <w:tcBorders>
              <w:bottom w:val="single" w:sz="8" w:color="auto"/>
            </w:tcBorders>
          </w:tcPr>
          <w:p>
            <w:pPr>
              <w:spacing w:after="0"/>
              <w:rPr>
                <w:sz w:val="19"/>
                <w:szCs w:val="19"/>
                <w:color w:val="auto"/>
              </w:rPr>
            </w:pPr>
          </w:p>
        </w:tc>
      </w:tr>
      <w:tr>
        <w:trPr>
          <w:trHeight w:val="209"/>
        </w:trPr>
        <w:tc>
          <w:tcPr>
            <w:tcW w:w="7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207"/>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 including noncontrolling interest</w:t>
            </w:r>
          </w:p>
        </w:tc>
        <w:tc>
          <w:tcPr>
            <w:tcW w:w="1220" w:type="dxa"/>
            <w:vAlign w:val="bottom"/>
            <w:tcBorders>
              <w:bottom w:val="single" w:sz="8" w:color="auto"/>
            </w:tcBorders>
          </w:tcPr>
          <w:p>
            <w:pPr>
              <w:jc w:val="right"/>
              <w:ind w:right="103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19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r>
      <w:tr>
        <w:trPr>
          <w:trHeight w:val="149"/>
        </w:trPr>
        <w:tc>
          <w:tcPr>
            <w:tcW w:w="718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rPr>
              <w:t>Adjustments to reconcile net income including noncontrolling interest to net cash provided</w:t>
            </w:r>
          </w:p>
        </w:tc>
        <w:tc>
          <w:tcPr>
            <w:tcW w:w="1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06"/>
        </w:trPr>
        <w:tc>
          <w:tcPr>
            <w:tcW w:w="7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by operating activities:</w:t>
            </w: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40.5</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Provision for credit losses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Share-based payment award compensation costs</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Deferred income tax expense (benefit)</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Foreign currency (gains) losses, net</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12"/>
        </w:trPr>
        <w:tc>
          <w:tcPr>
            <w:tcW w:w="7180" w:type="dxa"/>
            <w:vAlign w:val="bottom"/>
          </w:tcPr>
          <w:p>
            <w:pPr>
              <w:ind w:left="140"/>
              <w:spacing w:after="0"/>
              <w:rPr>
                <w:sz w:val="20"/>
                <w:szCs w:val="20"/>
                <w:color w:val="auto"/>
              </w:rPr>
            </w:pPr>
            <w:r>
              <w:rPr>
                <w:rFonts w:ascii="Arial" w:cs="Arial" w:eastAsia="Arial" w:hAnsi="Arial"/>
                <w:sz w:val="17"/>
                <w:szCs w:val="17"/>
                <w:color w:val="auto"/>
              </w:rPr>
              <w:t>Changes in assets and liabilities, net of acquisitions and divestitures:</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receivable, net</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(600.7)</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Inventories</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(383.0)</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(77.4)</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Prepaid expenses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Short-term derivative assets, net</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(322.8)</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39.6</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current assets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Cash collateral with counterparties</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235.4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non-current assets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1,503.5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605.9</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Customer deposits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308.4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41.1</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Non-current income tax, net and other long-term liabilities</w:t>
            </w:r>
          </w:p>
        </w:tc>
        <w:tc>
          <w:tcPr>
            <w:tcW w:w="1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05"/>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adjustments</w:t>
            </w: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w:t>
            </w:r>
          </w:p>
        </w:tc>
      </w:tr>
      <w:tr>
        <w:trPr>
          <w:trHeight w:val="205"/>
        </w:trPr>
        <w:tc>
          <w:tcPr>
            <w:tcW w:w="718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Acquisition of business, net of cash acquired</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Capital expenditures</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investing activities, net</w:t>
            </w:r>
          </w:p>
        </w:tc>
        <w:tc>
          <w:tcPr>
            <w:tcW w:w="1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05"/>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(678.5)</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Borrowings of debt</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3,772.9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Repayments of debt</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7180" w:type="dxa"/>
            <w:vAlign w:val="bottom"/>
          </w:tcPr>
          <w:p>
            <w:pPr>
              <w:ind w:left="240"/>
              <w:spacing w:after="0"/>
              <w:rPr>
                <w:sz w:val="20"/>
                <w:szCs w:val="20"/>
                <w:color w:val="auto"/>
              </w:rPr>
            </w:pPr>
            <w:r>
              <w:rPr>
                <w:rFonts w:ascii="Arial" w:cs="Arial" w:eastAsia="Arial" w:hAnsi="Arial"/>
                <w:sz w:val="17"/>
                <w:szCs w:val="17"/>
                <w:color w:val="auto"/>
              </w:rPr>
              <w:t>Dividends paid on common stock</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15"/>
        </w:trPr>
        <w:tc>
          <w:tcPr>
            <w:tcW w:w="7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Repurchases of common stock</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financing activities, net</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451.0</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05"/>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Effect of exchange rate changes on cash and cash equivalents</w:t>
            </w: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w:t>
            </w:r>
          </w:p>
        </w:tc>
      </w:tr>
      <w:tr>
        <w:trPr>
          <w:trHeight w:val="21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as of the beginning of the period</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652.2</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658.8</w:t>
            </w:r>
          </w:p>
        </w:tc>
      </w:tr>
      <w:tr>
        <w:trPr>
          <w:trHeight w:val="23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period</w:t>
            </w: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385.8</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$7.4 million and $7.6 million for the six months ended June 30, 2022 and 2021,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7" w:name="page8"/>
    <w:bookmarkEnd w:id="7"/>
    <w:p>
      <w:pPr>
        <w:ind w:right="1020"/>
        <w:spacing w:after="0" w:line="261" w:lineRule="auto"/>
        <w:rPr>
          <w:sz w:val="20"/>
          <w:szCs w:val="20"/>
          <w:color w:val="auto"/>
        </w:rPr>
      </w:pPr>
      <w:r>
        <w:rPr>
          <w:rFonts w:ascii="Arial" w:cs="Arial" w:eastAsia="Arial" w:hAnsi="Arial"/>
          <w:sz w:val="21"/>
          <w:szCs w:val="21"/>
          <w:b w:val="1"/>
          <w:bCs w:val="1"/>
          <w:color w:val="auto"/>
        </w:rPr>
        <w:t>WORLD FUEL SERVICES CORPORATION NOTES TO THE CONDENSED CONSOLIDATED FINANCIAL STATEMENTS</w:t>
      </w:r>
    </w:p>
    <w:p>
      <w:pPr>
        <w:spacing w:after="0"/>
        <w:rPr>
          <w:sz w:val="20"/>
          <w:szCs w:val="20"/>
          <w:color w:val="auto"/>
        </w:rPr>
      </w:pPr>
      <w:r>
        <w:rPr>
          <w:rFonts w:ascii="Arial" w:cs="Arial" w:eastAsia="Arial" w:hAnsi="Arial"/>
          <w:sz w:val="18"/>
          <w:szCs w:val="18"/>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10-Q ("10-Q Report") as "World Fuel," "we," "our" and "us."</w:t>
      </w:r>
    </w:p>
    <w:p>
      <w:pPr>
        <w:spacing w:after="0" w:line="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land and marine transportation industries. In recent years, we have expanded our land product and service offerings to include energy advisory services and supply fulfillment for natural gas and power to commercial, industrial and government customers. Our intention is to become a leading global energy management company offering a full suite of energy advisory, management and fulfillment services, technology solutions, payment management solutions, as well as sustainability products and services across the energy product spectrum. We will continue to focus on enhancing the portfolio of products and services we provide based on changes in customer demand, including increasing our sustainability offerings and renewable energy solutions in light of the continued global focus on climate change and the related impacts.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Condensed Consolidated Financial Statements and related Notes include our parent company and all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Condensed Consolidated Financial Statements are prepared in accordance with accounting principles generally accepted in the United States of America ("U.S. GAAP"), the instructions to Form 10-Q and Article 10 of Regulation S-X. Accordingly, they do not include all the information and footnotes required by generally accepted accounting principles for complete financial statements. However, except as disclosed herein, there has been no material change in the information disclosed in the Notes included in our 2021 Annual Report on Form 10-K ("2021 10-K Report"). All intercompany transactions among our businesses have been eliminated.</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2021 10-K Report. Certain amounts in the Condensed Consolidated Financial Statements and accompanying Notes may not add due to rounding; however, all percentages have been calculated using unrounded amounts. Certain prior period amounts have been reclassified to conform to the current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2022, there have been no accounting standards that, upon adoption, had a material impact on the Company's unaudited Condensed Consolidated Financial Statements or processes.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have been no recently issued accounting standards not yet adopted by us which are expected, upon adoption, to have a material impact on the Company’s Consolidated Financial Statements or processes.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our 2021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2021 10-K Report.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Accounts Receivable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other macroeconomic factors beyond our control, such as global economic conditions or adverse impacts in the industries we serve, changes in oil prices and political instability.</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or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had accounts receivable of $4.0 billion and $2.4 billion and an allowance for expected credit losses, primarily related to accounts receivable, of $22.7 million and $29.8 million, as of June 30, 2022 and December 31, 2021, respectively. Changes to the expected credit loss provision during the six months ended June 30, 2022 include global economic outlook considerations as a result of the Company's assessment of reasonable and supportable forward-looking information. Write-offs of uncollectible receivables during the six months ended June 30, 2022 resulted principally from pre-existing financial difficulties experienced by certain customers. Based on an aging analysis as of June 30, 2022, 97% of our accounts receivable were outstanding less than 60 days.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0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For the Six Months Ended June 30,</w:t>
            </w:r>
          </w:p>
        </w:tc>
        <w:tc>
          <w:tcPr>
            <w:tcW w:w="580" w:type="dxa"/>
            <w:vAlign w:val="bottom"/>
            <w:tcBorders>
              <w:bottom w:val="single" w:sz="8" w:color="auto"/>
            </w:tcBorders>
          </w:tcPr>
          <w:p>
            <w:pPr>
              <w:spacing w:after="0"/>
              <w:rPr>
                <w:sz w:val="20"/>
                <w:szCs w:val="20"/>
                <w:color w:val="auto"/>
              </w:rPr>
            </w:pPr>
          </w:p>
        </w:tc>
      </w:tr>
      <w:tr>
        <w:trPr>
          <w:trHeight w:val="221"/>
        </w:trPr>
        <w:tc>
          <w:tcPr>
            <w:tcW w:w="69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r>
      <w:tr>
        <w:trPr>
          <w:trHeight w:val="22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6"/>
        </w:trPr>
        <w:tc>
          <w:tcPr>
            <w:tcW w:w="690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6"/>
        </w:trPr>
        <w:tc>
          <w:tcPr>
            <w:tcW w:w="690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4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1"/>
        </w:trPr>
        <w:tc>
          <w:tcPr>
            <w:tcW w:w="6900" w:type="dxa"/>
            <w:vAlign w:val="bottom"/>
          </w:tcPr>
          <w:p>
            <w:pPr>
              <w:ind w:left="20"/>
              <w:spacing w:after="0"/>
              <w:rPr>
                <w:sz w:val="20"/>
                <w:szCs w:val="20"/>
                <w:color w:val="auto"/>
              </w:rPr>
            </w:pPr>
            <w:r>
              <w:rPr>
                <w:rFonts w:ascii="Arial" w:cs="Arial" w:eastAsia="Arial" w:hAnsi="Arial"/>
                <w:sz w:val="18"/>
                <w:szCs w:val="18"/>
                <w:color w:val="auto"/>
              </w:rPr>
              <w:t>Balance as of June 30,</w:t>
            </w:r>
          </w:p>
        </w:tc>
        <w:tc>
          <w:tcPr>
            <w:tcW w:w="1420" w:type="dxa"/>
            <w:vAlign w:val="bottom"/>
            <w:tcBorders>
              <w:bottom w:val="single" w:sz="8" w:color="auto"/>
            </w:tcBorders>
          </w:tcPr>
          <w:p>
            <w:pPr>
              <w:jc w:val="right"/>
              <w:ind w:right="121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9"/>
                <w:szCs w:val="19"/>
                <w:color w:val="auto"/>
              </w:rPr>
            </w:pPr>
          </w:p>
        </w:tc>
        <w:tc>
          <w:tcPr>
            <w:tcW w:w="1520" w:type="dxa"/>
            <w:vAlign w:val="bottom"/>
            <w:tcBorders>
              <w:bottom w:val="single" w:sz="8" w:color="auto"/>
            </w:tcBorders>
          </w:tcPr>
          <w:p>
            <w:pPr>
              <w:jc w:val="right"/>
              <w:ind w:right="13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69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Accounts receivable sold under the RPAs are accounted for as sales and excluded from Accounts receivable, net of allowance for credit losses on the accompanying Condensed Consolidated Balance Sheets. Fees paid under the RPAs are recorded within Interest expense and other financing costs, net on the Condensed Consolidated Statements of Income and Comprehensive Income</w:t>
      </w:r>
      <w:r>
        <w:rPr>
          <w:rFonts w:ascii="Arial" w:cs="Arial" w:eastAsia="Arial" w:hAnsi="Arial"/>
          <w:sz w:val="14"/>
          <w:szCs w:val="14"/>
          <w:color w:val="auto"/>
        </w:rPr>
        <w:t>.</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2022 and 2021, we sold receivables under the RPAs with an aggregate face value of $6.2 billion and $4.3 billion, respectively, and paid fees of $14.6 million and $9.4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28, 2021, we entered into a definitive agreement (the "Purchase Agreement") to acquire all of the outstanding equity interest in Flyers Energy Group, LLC ("Flyers"). Flyers' operations include transportation, commercial fleet fueling, lubricants distribution, and the supply of wholesale, branded and renewable fuels.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acquisition closed on January 3, 2022 for total estimated consideration of $792.2 million, subject to customary adjustments relating to net working capital, indebtedness and transaction expenses. At closing, $642.7 million, inclusive of $19.7 million for estimated net working capital adjustments, was paid in cash and, at the election of the Company, $50.0 million was satisfied through the delivery of 1,768,034 shares of the Company's common stock at a price of $28.28 per share. The remaining $100.0 million was held back to satisfy potential indemnification and other obligations of the seller, with one-half to be released on the first and second anniversary of the closing of the acquisition, in each case subject to reduction in respect to amounts claimed under the Purchase Agreement. The total purchase consideration also included a receivable of $0.5 million from the seller for estimated working capital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adjustments. During the second quarter, the working capital adjustments were updated and as a result the working capital payable to seller increased to $2.3 million, which was paid on July 1, 2022.</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acquisition was accounted for as a business combination and is reported in the land segment. We are in the process of obtaining information to measure all assets acquired and liabilities assumed. Additionally, we continue to gather and evaluate contracts acquired that could impact the underlying inputs and assumptions used in the valuation of assets acquired and liabilities assumed. These estimates, along with any related tax impacts, are subject to change during the measurement period, which is up to one year from the acquisition date. The following preliminary purchase price allocation was estimated based on the information obtained to date and is expected to be completed in 2022. During the three months ended June 30, 2022, the purchase price allocation was adjusted as shown in the table below. These adjustments have been retrospectively reflected as of the acquisition date.</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table summarizes the fair value of the aggregate consideration as well as the preliminary allocation of the purchase price to the fair value of the assets acquired and liabilities assumed as recorded in the first quarter of 2022 and as adjusted in the second quarter of 2022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Preliminary</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0"/>
                <w:szCs w:val="20"/>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b w:val="1"/>
                <w:bCs w:val="1"/>
                <w:color w:val="auto"/>
              </w:rPr>
              <w:t>As Adjusted</w:t>
            </w:r>
          </w:p>
        </w:tc>
      </w:tr>
      <w:tr>
        <w:trPr>
          <w:trHeight w:val="208"/>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6"/>
        </w:trPr>
        <w:tc>
          <w:tcPr>
            <w:tcW w:w="6340" w:type="dxa"/>
            <w:vAlign w:val="bottom"/>
          </w:tcPr>
          <w:p>
            <w:pPr>
              <w:ind w:left="20"/>
              <w:spacing w:after="0"/>
              <w:rPr>
                <w:sz w:val="20"/>
                <w:szCs w:val="20"/>
                <w:color w:val="auto"/>
              </w:rPr>
            </w:pPr>
            <w:r>
              <w:rPr>
                <w:rFonts w:ascii="Arial" w:cs="Arial" w:eastAsia="Arial" w:hAnsi="Arial"/>
                <w:sz w:val="18"/>
                <w:szCs w:val="18"/>
                <w:color w:val="auto"/>
              </w:rPr>
              <w:t>Cash paid</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642.7</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642.7</w:t>
            </w:r>
          </w:p>
        </w:tc>
      </w:tr>
      <w:tr>
        <w:trPr>
          <w:trHeight w:val="22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adjustment (receivable from) payable to seller</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6"/>
        </w:trPr>
        <w:tc>
          <w:tcPr>
            <w:tcW w:w="6340" w:type="dxa"/>
            <w:vAlign w:val="bottom"/>
          </w:tcPr>
          <w:p>
            <w:pPr>
              <w:ind w:left="20"/>
              <w:spacing w:after="0"/>
              <w:rPr>
                <w:sz w:val="20"/>
                <w:szCs w:val="20"/>
                <w:color w:val="auto"/>
              </w:rPr>
            </w:pPr>
            <w:r>
              <w:rPr>
                <w:rFonts w:ascii="Arial" w:cs="Arial" w:eastAsia="Arial" w:hAnsi="Arial"/>
                <w:sz w:val="18"/>
                <w:szCs w:val="18"/>
                <w:color w:val="auto"/>
              </w:rPr>
              <w:t>Common stock issued to seller</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due to sellers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1"/>
        </w:trPr>
        <w:tc>
          <w:tcPr>
            <w:tcW w:w="6340" w:type="dxa"/>
            <w:vAlign w:val="bottom"/>
          </w:tcPr>
          <w:p>
            <w:pPr>
              <w:ind w:left="20"/>
              <w:spacing w:after="0"/>
              <w:rPr>
                <w:sz w:val="20"/>
                <w:szCs w:val="20"/>
                <w:color w:val="auto"/>
              </w:rPr>
            </w:pPr>
            <w:r>
              <w:rPr>
                <w:rFonts w:ascii="Arial" w:cs="Arial" w:eastAsia="Arial" w:hAnsi="Arial"/>
                <w:sz w:val="18"/>
                <w:szCs w:val="18"/>
                <w:color w:val="auto"/>
              </w:rPr>
              <w:t>Total fair value of consideration</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4"/>
        </w:trPr>
        <w:tc>
          <w:tcPr>
            <w:tcW w:w="6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63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28"/>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6"/>
        </w:trPr>
        <w:tc>
          <w:tcPr>
            <w:tcW w:w="6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28"/>
        </w:trPr>
        <w:tc>
          <w:tcPr>
            <w:tcW w:w="63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Identifiable intangible assets subject to amortization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27"/>
        </w:trPr>
        <w:tc>
          <w:tcPr>
            <w:tcW w:w="63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Identifiable intangible assets not subject to amortization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7"/>
        </w:trPr>
        <w:tc>
          <w:tcPr>
            <w:tcW w:w="634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 xml:space="preserve">Other assets and liabilities, net </w:t>
            </w:r>
            <w:r>
              <w:rPr>
                <w:rFonts w:ascii="Arial" w:cs="Arial" w:eastAsia="Arial" w:hAnsi="Arial"/>
                <w:sz w:val="23"/>
                <w:szCs w:val="23"/>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27"/>
        </w:trPr>
        <w:tc>
          <w:tcPr>
            <w:tcW w:w="634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r>
      <w:tr>
        <w:trPr>
          <w:trHeight w:val="245"/>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hanging="313"/>
        <w:spacing w:after="0" w:line="217" w:lineRule="auto"/>
        <w:tabs>
          <w:tab w:leader="none" w:pos="31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subject to amortization primarily consist of customer and network relationships and other identifiable assets which will be amortized over a weighted average life of 11.6 years.</w:t>
      </w:r>
    </w:p>
    <w:p>
      <w:pPr>
        <w:spacing w:after="0" w:line="6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not subject to amortization include trademarks and trade names acquired.</w:t>
      </w:r>
    </w:p>
    <w:p>
      <w:pPr>
        <w:spacing w:after="0" w:line="85" w:lineRule="exact"/>
        <w:rPr>
          <w:rFonts w:ascii="Arial" w:cs="Arial" w:eastAsia="Arial" w:hAnsi="Arial"/>
          <w:sz w:val="23"/>
          <w:szCs w:val="23"/>
          <w:color w:val="auto"/>
          <w:vertAlign w:val="superscript"/>
        </w:rPr>
      </w:pPr>
    </w:p>
    <w:p>
      <w:pPr>
        <w:ind w:left="320" w:hanging="313"/>
        <w:spacing w:after="0" w:line="237" w:lineRule="auto"/>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the recognition of right of use assets of $45.0 million and lease liabilities of $46.0 million.</w:t>
      </w:r>
    </w:p>
    <w:p>
      <w:pPr>
        <w:spacing w:after="0" w:line="12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Goodwill is attributable primarily to the expected synergies and other benefits that we believe will result from combining the acquired operations with the operations of our land segment. We anticipate that all of the goodwill assigned to the land segment will be deductible for tax purposes.</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Total revenue and income before income taxes of Flyers included in the Company's Condensed Consolidated Statement of Income for the period from the date of acquisition through June 30, 2022 were $1.8 billion and $39.8 million,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0" w:name="page11"/>
    <w:bookmarkEnd w:id="10"/>
    <w:p>
      <w:pPr>
        <w:spacing w:after="0" w:line="254" w:lineRule="auto"/>
        <w:rPr>
          <w:sz w:val="20"/>
          <w:szCs w:val="20"/>
          <w:color w:val="auto"/>
        </w:rPr>
      </w:pPr>
      <w:r>
        <w:rPr>
          <w:rFonts w:ascii="Arial" w:cs="Arial" w:eastAsia="Arial" w:hAnsi="Arial"/>
          <w:sz w:val="18"/>
          <w:szCs w:val="18"/>
          <w:color w:val="auto"/>
        </w:rPr>
        <w:t>The following presents unaudited pro forma combined financial information of the Company for the three and six months ended June 30, 2021 as if the acquisition of Flyers had been completed on January 1, 2021 (in millions, except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(unaudited)</w:t>
            </w:r>
          </w:p>
        </w:tc>
        <w:tc>
          <w:tcPr>
            <w:tcW w:w="220" w:type="dxa"/>
            <w:vAlign w:val="bottom"/>
          </w:tcPr>
          <w:p>
            <w:pPr>
              <w:spacing w:after="0"/>
              <w:rPr>
                <w:sz w:val="17"/>
                <w:szCs w:val="17"/>
                <w:color w:val="auto"/>
              </w:rPr>
            </w:pPr>
          </w:p>
        </w:tc>
        <w:tc>
          <w:tcPr>
            <w:tcW w:w="2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Three Months Ended</w:t>
            </w: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7"/>
        </w:trPr>
        <w:tc>
          <w:tcPr>
            <w:tcW w:w="6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June 30, 2021</w:t>
            </w:r>
          </w:p>
        </w:tc>
        <w:tc>
          <w:tcPr>
            <w:tcW w:w="560" w:type="dxa"/>
            <w:vAlign w:val="bottom"/>
          </w:tcPr>
          <w:p>
            <w:pPr>
              <w:spacing w:after="0"/>
              <w:rPr>
                <w:sz w:val="19"/>
                <w:szCs w:val="19"/>
                <w:color w:val="auto"/>
              </w:rPr>
            </w:pPr>
          </w:p>
        </w:tc>
        <w:tc>
          <w:tcPr>
            <w:tcW w:w="1860" w:type="dxa"/>
            <w:vAlign w:val="bottom"/>
          </w:tcPr>
          <w:p>
            <w:pPr>
              <w:jc w:val="right"/>
              <w:ind w:right="93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7,805.4</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14,141.0</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Arial" w:cs="Arial" w:eastAsia="Arial" w:hAnsi="Arial"/>
                <w:sz w:val="18"/>
                <w:szCs w:val="18"/>
                <w:color w:val="auto"/>
              </w:rPr>
              <w:t>Net income attributable to World Fuel</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unaudited pro forma combined financial information was based on the historical financial information of World Fuel and Flyers and includes (i) incremental amortization expense to be incurred based on the preliminary fair values of the identifiable intangible assets acquired;</w:t>
      </w:r>
    </w:p>
    <w:p>
      <w:pPr>
        <w:jc w:val="both"/>
        <w:ind w:firstLine="7"/>
        <w:spacing w:after="0" w:line="248"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interest expense associated with the incremental borrowings under our Credit Facility to finance the acquisition; (iii) nonrecurring transaction costs recognized in connection with the transaction; and (iv) the tax effect of the pro forma adjustments as well as the recognition of income tax expense associated with Flyers' historical statements, calculated using statutory tax rates, as Flyers was comprised of limited liability companies not subject to federal and state income taxes prior to the acquisition. The unaudited pro forma combined financial information does not necessarily reflect what the combined company's financial condition or results of operations would have been had the transaction and the related financing occurred on the dates indicated. The unaudited pro forma financial information also may not be useful in predicting the future financial condition and results of operations of the combined company following the transaction. In addition, the unaudited pro forma combined financial information does not give effect to any cost savings, operating synergies or revenue synergies that may result from the transaction, or the costs to achieve any such synergies.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 2021, we completed the acquisition of a liquid fuel business which services business and residential customers for a total purchase price of $41.4 million. The transaction was accounted for as a business combination and is reported in our land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during the six months ended June 30, 2022 and 2021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Aviation</w:t>
            </w:r>
          </w:p>
        </w:tc>
        <w:tc>
          <w:tcPr>
            <w:tcW w:w="2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Land</w:t>
            </w:r>
          </w:p>
        </w:tc>
        <w:tc>
          <w:tcPr>
            <w:tcW w:w="380" w:type="dxa"/>
            <w:vAlign w:val="bottom"/>
          </w:tcPr>
          <w:p>
            <w:pPr>
              <w:spacing w:after="0"/>
              <w:rPr>
                <w:sz w:val="18"/>
                <w:szCs w:val="18"/>
                <w:color w:val="auto"/>
              </w:rPr>
            </w:pPr>
          </w:p>
        </w:tc>
        <w:tc>
          <w:tcPr>
            <w:tcW w:w="1280" w:type="dxa"/>
            <w:vAlign w:val="bottom"/>
            <w:vMerge w:val="restart"/>
          </w:tcPr>
          <w:p>
            <w:pPr>
              <w:jc w:val="right"/>
              <w:ind w:right="5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7"/>
        </w:trPr>
        <w:tc>
          <w:tcPr>
            <w:tcW w:w="6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Segment</w:t>
            </w:r>
          </w:p>
        </w:tc>
        <w:tc>
          <w:tcPr>
            <w:tcW w:w="28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Segment</w:t>
            </w:r>
          </w:p>
        </w:tc>
        <w:tc>
          <w:tcPr>
            <w:tcW w:w="3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7"/>
        </w:trPr>
        <w:tc>
          <w:tcPr>
            <w:tcW w:w="60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2022 acquisition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186"/>
        </w:trPr>
        <w:tc>
          <w:tcPr>
            <w:tcW w:w="602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1"/>
        </w:trPr>
        <w:tc>
          <w:tcPr>
            <w:tcW w:w="6020" w:type="dxa"/>
            <w:vAlign w:val="bottom"/>
          </w:tcPr>
          <w:p>
            <w:pPr>
              <w:ind w:left="20"/>
              <w:spacing w:after="0"/>
              <w:rPr>
                <w:sz w:val="20"/>
                <w:szCs w:val="20"/>
                <w:color w:val="auto"/>
              </w:rPr>
            </w:pPr>
            <w:r>
              <w:rPr>
                <w:rFonts w:ascii="Arial" w:cs="Arial" w:eastAsia="Arial" w:hAnsi="Arial"/>
                <w:sz w:val="18"/>
                <w:szCs w:val="18"/>
                <w:color w:val="auto"/>
              </w:rPr>
              <w:t>As of June 30, 2022</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See Note 3. Acquisitions for additional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certain forward fixed price purchase and sale contracts to hedge the risk of currency rate fluctuations and for portfolio optimization.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18"/>
          <w:szCs w:val="18"/>
          <w:color w:val="auto"/>
        </w:rPr>
        <w:t>With the exception of the interest rate swap agreement, which matures in March 2025, the majority of our derivative contracts are expected to settle within the next year. The following table summarizes the gross notional values of our derivative contracts used for risk management purposes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80" w:type="dxa"/>
            <w:vAlign w:val="bottom"/>
          </w:tcPr>
          <w:p>
            <w:pPr>
              <w:spacing w:after="0"/>
              <w:rPr>
                <w:sz w:val="20"/>
                <w:szCs w:val="20"/>
                <w:color w:val="auto"/>
              </w:rPr>
            </w:pPr>
          </w:p>
        </w:tc>
        <w:tc>
          <w:tcPr>
            <w:tcW w:w="188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1980" w:type="dxa"/>
            <w:vAlign w:val="bottom"/>
          </w:tcPr>
          <w:p>
            <w:pPr>
              <w:jc w:val="right"/>
              <w:ind w:right="311"/>
              <w:spacing w:after="0"/>
              <w:rPr>
                <w:sz w:val="20"/>
                <w:szCs w:val="20"/>
                <w:color w:val="auto"/>
              </w:rPr>
            </w:pPr>
            <w:r>
              <w:rPr>
                <w:rFonts w:ascii="Arial" w:cs="Arial" w:eastAsia="Arial" w:hAnsi="Arial"/>
                <w:sz w:val="18"/>
                <w:szCs w:val="18"/>
                <w:b w:val="1"/>
                <w:bCs w:val="1"/>
                <w:color w:val="auto"/>
              </w:rPr>
              <w:t>June 30, 2022</w:t>
            </w:r>
          </w:p>
        </w:tc>
      </w:tr>
      <w:tr>
        <w:trPr>
          <w:trHeight w:val="208"/>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26"/>
        </w:trPr>
        <w:tc>
          <w:tcPr>
            <w:tcW w:w="7380" w:type="dxa"/>
            <w:vAlign w:val="bottom"/>
          </w:tcPr>
          <w:p>
            <w:pPr>
              <w:ind w:left="20"/>
              <w:spacing w:after="0"/>
              <w:rPr>
                <w:sz w:val="20"/>
                <w:szCs w:val="20"/>
                <w:color w:val="auto"/>
              </w:rPr>
            </w:pPr>
            <w:r>
              <w:rPr>
                <w:rFonts w:ascii="Arial" w:cs="Arial" w:eastAsia="Arial" w:hAnsi="Arial"/>
                <w:sz w:val="18"/>
                <w:szCs w:val="18"/>
                <w:color w:val="auto"/>
              </w:rPr>
              <w:t>Long</w:t>
            </w:r>
          </w:p>
        </w:tc>
        <w:tc>
          <w:tcPr>
            <w:tcW w:w="1880" w:type="dxa"/>
            <w:vAlign w:val="bottom"/>
            <w:gridSpan w:val="2"/>
          </w:tcPr>
          <w:p>
            <w:pPr>
              <w:ind w:left="700"/>
              <w:spacing w:after="0"/>
              <w:rPr>
                <w:sz w:val="20"/>
                <w:szCs w:val="20"/>
                <w:color w:val="auto"/>
              </w:rPr>
            </w:pPr>
            <w:r>
              <w:rPr>
                <w:rFonts w:ascii="Arial" w:cs="Arial" w:eastAsia="Arial" w:hAnsi="Arial"/>
                <w:sz w:val="18"/>
                <w:szCs w:val="18"/>
                <w:color w:val="auto"/>
              </w:rPr>
              <w:t>BBL</w:t>
            </w:r>
          </w:p>
        </w:tc>
        <w:tc>
          <w:tcPr>
            <w:tcW w:w="198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28"/>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BBL</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54"/>
        </w:trPr>
        <w:tc>
          <w:tcPr>
            <w:tcW w:w="7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2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6"/>
        </w:trPr>
        <w:tc>
          <w:tcPr>
            <w:tcW w:w="7380" w:type="dxa"/>
            <w:vAlign w:val="bottom"/>
          </w:tcPr>
          <w:p>
            <w:pPr>
              <w:ind w:left="20"/>
              <w:spacing w:after="0"/>
              <w:rPr>
                <w:sz w:val="20"/>
                <w:szCs w:val="20"/>
                <w:color w:val="auto"/>
              </w:rPr>
            </w:pPr>
            <w:r>
              <w:rPr>
                <w:rFonts w:ascii="Arial" w:cs="Arial" w:eastAsia="Arial" w:hAnsi="Arial"/>
                <w:sz w:val="18"/>
                <w:szCs w:val="18"/>
                <w:color w:val="auto"/>
              </w:rPr>
              <w:t>Sell U.S. dollar, buy other currencies</w:t>
            </w:r>
          </w:p>
        </w:tc>
        <w:tc>
          <w:tcPr>
            <w:tcW w:w="188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1980" w:type="dxa"/>
            <w:vAlign w:val="bottom"/>
          </w:tcPr>
          <w:p>
            <w:pPr>
              <w:jc w:val="right"/>
              <w:spacing w:after="0"/>
              <w:rPr>
                <w:sz w:val="20"/>
                <w:szCs w:val="20"/>
                <w:color w:val="auto"/>
              </w:rPr>
            </w:pPr>
            <w:r>
              <w:rPr>
                <w:rFonts w:ascii="Arial" w:cs="Arial" w:eastAsia="Arial" w:hAnsi="Arial"/>
                <w:sz w:val="18"/>
                <w:szCs w:val="18"/>
                <w:color w:val="auto"/>
              </w:rPr>
              <w:t>(511.6)</w:t>
            </w:r>
          </w:p>
        </w:tc>
      </w:tr>
      <w:tr>
        <w:trPr>
          <w:trHeight w:val="228"/>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U.S. dollar, sell other currencies</w:t>
            </w:r>
          </w:p>
        </w:tc>
        <w:tc>
          <w:tcPr>
            <w:tcW w:w="1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USD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r>
      <w:tr>
        <w:trPr>
          <w:trHeight w:val="254"/>
        </w:trPr>
        <w:tc>
          <w:tcPr>
            <w:tcW w:w="73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2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88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198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Condensed Consolidated Balance Sheets (in millions):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0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4"/>
                <w:szCs w:val="14"/>
                <w:b w:val="1"/>
                <w:bCs w:val="1"/>
                <w:color w:val="auto"/>
              </w:rPr>
              <w:t>Gross Derivative Assets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Gross Derivative Liabilities</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36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Condensed Consolidated Balance Sheets</w:t>
            </w:r>
          </w:p>
        </w:tc>
        <w:tc>
          <w:tcPr>
            <w:tcW w:w="22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36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line="20" w:lineRule="exact"/>
              <w:rPr>
                <w:sz w:val="1"/>
                <w:szCs w:val="1"/>
                <w:color w:val="auto"/>
              </w:rPr>
            </w:pPr>
          </w:p>
        </w:tc>
      </w:tr>
      <w:tr>
        <w:trPr>
          <w:trHeight w:val="173"/>
        </w:trPr>
        <w:tc>
          <w:tcPr>
            <w:tcW w:w="2060" w:type="dxa"/>
            <w:vAlign w:val="bottom"/>
            <w:tcBorders>
              <w:bottom w:val="single" w:sz="8" w:color="auto"/>
            </w:tcBorders>
            <w:vMerge w:val="continue"/>
          </w:tcPr>
          <w:p>
            <w:pPr>
              <w:spacing w:after="0"/>
              <w:rPr>
                <w:sz w:val="15"/>
                <w:szCs w:val="15"/>
                <w:color w:val="auto"/>
              </w:rPr>
            </w:pPr>
          </w:p>
        </w:tc>
        <w:tc>
          <w:tcPr>
            <w:tcW w:w="3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3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3600" w:type="dxa"/>
            <w:vAlign w:val="bottom"/>
            <w:gridSpan w:val="2"/>
          </w:tcPr>
          <w:p>
            <w:pPr>
              <w:ind w:left="380"/>
              <w:spacing w:after="0"/>
              <w:rPr>
                <w:sz w:val="20"/>
                <w:szCs w:val="20"/>
                <w:color w:val="auto"/>
              </w:rPr>
            </w:pPr>
            <w:r>
              <w:rPr>
                <w:rFonts w:ascii="Arial" w:cs="Arial" w:eastAsia="Arial" w:hAnsi="Arial"/>
                <w:sz w:val="14"/>
                <w:szCs w:val="14"/>
                <w:color w:val="auto"/>
              </w:rPr>
              <w:t>Short-term derivative liabilities, net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3"/>
        </w:trPr>
        <w:tc>
          <w:tcPr>
            <w:tcW w:w="20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60" w:type="dxa"/>
            <w:vAlign w:val="bottom"/>
          </w:tcPr>
          <w:p>
            <w:pPr>
              <w:spacing w:after="0"/>
              <w:rPr>
                <w:sz w:val="20"/>
                <w:szCs w:val="20"/>
                <w:color w:val="auto"/>
              </w:rPr>
            </w:pPr>
            <w:r>
              <w:rPr>
                <w:rFonts w:ascii="Arial" w:cs="Arial" w:eastAsia="Arial" w:hAnsi="Arial"/>
                <w:sz w:val="14"/>
                <w:szCs w:val="14"/>
                <w:color w:val="auto"/>
              </w:rPr>
              <w:t>Interest rate contracts</w:t>
            </w:r>
          </w:p>
        </w:tc>
        <w:tc>
          <w:tcPr>
            <w:tcW w:w="360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3600" w:type="dxa"/>
            <w:vAlign w:val="bottom"/>
            <w:gridSpan w:val="2"/>
          </w:tcPr>
          <w:p>
            <w:pPr>
              <w:ind w:left="380"/>
              <w:spacing w:after="0"/>
              <w:rPr>
                <w:sz w:val="20"/>
                <w:szCs w:val="20"/>
                <w:color w:val="auto"/>
              </w:rPr>
            </w:pPr>
            <w:r>
              <w:rPr>
                <w:rFonts w:ascii="Arial" w:cs="Arial" w:eastAsia="Arial" w:hAnsi="Arial"/>
                <w:sz w:val="14"/>
                <w:szCs w:val="14"/>
                <w:color w:val="auto"/>
              </w:rPr>
              <w:t>Short-term derivative liabilities, net</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56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7.3</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60" w:type="dxa"/>
            <w:vAlign w:val="bottom"/>
          </w:tcPr>
          <w:p>
            <w:pPr>
              <w:spacing w:after="0"/>
              <w:rPr>
                <w:sz w:val="20"/>
                <w:szCs w:val="20"/>
                <w:color w:val="auto"/>
              </w:rPr>
            </w:pPr>
            <w:r>
              <w:rPr>
                <w:rFonts w:ascii="Arial" w:cs="Arial" w:eastAsia="Arial" w:hAnsi="Arial"/>
                <w:sz w:val="14"/>
                <w:szCs w:val="14"/>
                <w:color w:val="auto"/>
              </w:rPr>
              <w:t>Commodity contracts</w:t>
            </w:r>
          </w:p>
        </w:tc>
        <w:tc>
          <w:tcPr>
            <w:tcW w:w="360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1,370.8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516.3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899.3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112.2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3600" w:type="dxa"/>
            <w:vAlign w:val="bottom"/>
            <w:gridSpan w:val="2"/>
          </w:tcPr>
          <w:p>
            <w:pPr>
              <w:ind w:left="380"/>
              <w:spacing w:after="0"/>
              <w:rPr>
                <w:sz w:val="20"/>
                <w:szCs w:val="20"/>
                <w:color w:val="auto"/>
              </w:rPr>
            </w:pPr>
            <w:r>
              <w:rPr>
                <w:rFonts w:ascii="Arial" w:cs="Arial" w:eastAsia="Arial" w:hAnsi="Arial"/>
                <w:sz w:val="14"/>
                <w:szCs w:val="14"/>
                <w:color w:val="auto"/>
              </w:rPr>
              <w:t>Short-term derivative liabilities, net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117.6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853.2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286.6</w:t>
            </w: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long-term liabilities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13"/>
        </w:trPr>
        <w:tc>
          <w:tcPr>
            <w:tcW w:w="2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contracts</w:t>
            </w:r>
          </w:p>
        </w:tc>
        <w:tc>
          <w:tcPr>
            <w:tcW w:w="3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Short-term derivative assets, net</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3600" w:type="dxa"/>
            <w:vAlign w:val="bottom"/>
            <w:gridSpan w:val="2"/>
          </w:tcPr>
          <w:p>
            <w:pPr>
              <w:ind w:left="380"/>
              <w:spacing w:after="0"/>
              <w:rPr>
                <w:sz w:val="20"/>
                <w:szCs w:val="20"/>
                <w:color w:val="auto"/>
              </w:rPr>
            </w:pPr>
            <w:r>
              <w:rPr>
                <w:rFonts w:ascii="Arial" w:cs="Arial" w:eastAsia="Arial" w:hAnsi="Arial"/>
                <w:sz w:val="14"/>
                <w:szCs w:val="14"/>
                <w:color w:val="auto"/>
              </w:rPr>
              <w:t>Other non-current assets</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60" w:type="dxa"/>
            <w:vAlign w:val="bottom"/>
            <w:shd w:val="clear" w:color="auto" w:fill="CCEEFF"/>
          </w:tcPr>
          <w:p>
            <w:pPr>
              <w:spacing w:after="0"/>
              <w:rPr>
                <w:sz w:val="16"/>
                <w:szCs w:val="16"/>
                <w:color w:val="auto"/>
              </w:rPr>
            </w:pPr>
          </w:p>
        </w:tc>
        <w:tc>
          <w:tcPr>
            <w:tcW w:w="3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Short-term derivative liabilities, net</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0"/>
        </w:trPr>
        <w:tc>
          <w:tcPr>
            <w:tcW w:w="56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2,476.7</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766.3</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2,423.8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738.1</w:t>
            </w:r>
          </w:p>
        </w:tc>
        <w:tc>
          <w:tcPr>
            <w:tcW w:w="0" w:type="dxa"/>
            <w:vAlign w:val="bottom"/>
          </w:tcPr>
          <w:p>
            <w:pPr>
              <w:spacing w:after="0"/>
              <w:rPr>
                <w:sz w:val="1"/>
                <w:szCs w:val="1"/>
                <w:color w:val="auto"/>
              </w:rPr>
            </w:pPr>
          </w:p>
        </w:tc>
      </w:tr>
      <w:tr>
        <w:trPr>
          <w:trHeight w:val="205"/>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derivatives</w:t>
            </w:r>
          </w:p>
        </w:tc>
        <w:tc>
          <w:tcPr>
            <w:tcW w:w="3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773.6</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2,427.3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748.5</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our derivative instruments measured at fair value after netting and collateral, see Note 8. Fair Value Measurements.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amounts were recorded on our Consolidated Balance Sheets related to cumulative basis adjustments for fair value hedges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Line item in the Consolidated Balance Sheets in</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33"/>
        </w:trPr>
        <w:tc>
          <w:tcPr>
            <w:tcW w:w="3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Carrying Amount of Hedged Assets/(Liabilities)</w:t>
            </w:r>
          </w:p>
        </w:tc>
        <w:tc>
          <w:tcPr>
            <w:tcW w:w="120" w:type="dxa"/>
            <w:vAlign w:val="bottom"/>
            <w:vMerge w:val="restart"/>
          </w:tcPr>
          <w:p>
            <w:pPr>
              <w:spacing w:after="0"/>
              <w:rPr>
                <w:sz w:val="11"/>
                <w:szCs w:val="11"/>
                <w:color w:val="auto"/>
              </w:rPr>
            </w:pPr>
          </w:p>
        </w:tc>
        <w:tc>
          <w:tcPr>
            <w:tcW w:w="366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rPr>
              <w:t>Adjustment Included in the Carrying Amount of the</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which the hedged item is included</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Hedged Asset/(Liabilities)</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5"/>
                <w:szCs w:val="15"/>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58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0"/>
        </w:trPr>
        <w:tc>
          <w:tcPr>
            <w:tcW w:w="380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Inventory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61.0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Condensed Consolidated Statements of Income and Comprehensive Income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center"/>
              <w:ind w:right="160"/>
              <w:spacing w:after="0" w:line="140"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9"/>
              </w:rPr>
              <w:t>Cost of</w:t>
            </w: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60"/>
              <w:spacing w:after="0" w:line="133" w:lineRule="exact"/>
              <w:rPr>
                <w:sz w:val="20"/>
                <w:szCs w:val="20"/>
                <w:color w:val="auto"/>
              </w:rPr>
            </w:pPr>
            <w:r>
              <w:rPr>
                <w:rFonts w:ascii="Arial" w:cs="Arial" w:eastAsia="Arial" w:hAnsi="Arial"/>
                <w:sz w:val="14"/>
                <w:szCs w:val="14"/>
                <w:b w:val="1"/>
                <w:bCs w:val="1"/>
                <w:color w:val="auto"/>
              </w:rPr>
              <w:t>and other</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Cost of</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29"/>
              <w:spacing w:after="0" w:line="133"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60"/>
              <w:spacing w:after="0" w:line="133"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49"/>
              <w:spacing w:after="0" w:line="133"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73"/>
        </w:trPr>
        <w:tc>
          <w:tcPr>
            <w:tcW w:w="4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net</w:t>
            </w:r>
          </w:p>
        </w:tc>
        <w:tc>
          <w:tcPr>
            <w:tcW w:w="1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4"/>
                <w:szCs w:val="14"/>
                <w:color w:val="auto"/>
              </w:rPr>
              <w:t>Total amounts of income and expense line items in which the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17,122.1</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16,868.7</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26.5</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7,085.5</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6,901.6</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9"/>
        </w:trPr>
        <w:tc>
          <w:tcPr>
            <w:tcW w:w="4000" w:type="dxa"/>
            <w:vAlign w:val="bottom"/>
          </w:tcPr>
          <w:p>
            <w:pPr>
              <w:ind w:left="20"/>
              <w:spacing w:after="0"/>
              <w:rPr>
                <w:sz w:val="20"/>
                <w:szCs w:val="20"/>
                <w:color w:val="auto"/>
              </w:rPr>
            </w:pPr>
            <w:r>
              <w:rPr>
                <w:rFonts w:ascii="Arial" w:cs="Arial" w:eastAsia="Arial" w:hAnsi="Arial"/>
                <w:sz w:val="14"/>
                <w:szCs w:val="14"/>
                <w:color w:val="auto"/>
              </w:rPr>
              <w:t>effects of fair value or cash flow hedged are recorded</w:t>
            </w: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(losses) on fair value hedge relationships: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240"/>
              <w:spacing w:after="0"/>
              <w:rPr>
                <w:sz w:val="20"/>
                <w:szCs w:val="20"/>
                <w:color w:val="auto"/>
              </w:rPr>
            </w:pPr>
            <w:r>
              <w:rPr>
                <w:rFonts w:ascii="Arial" w:cs="Arial" w:eastAsia="Arial" w:hAnsi="Arial"/>
                <w:sz w:val="14"/>
                <w:szCs w:val="14"/>
                <w:color w:val="auto"/>
              </w:rPr>
              <w:t>Commodity contracts: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Hedged item</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000" w:type="dxa"/>
            <w:vAlign w:val="bottom"/>
          </w:tcPr>
          <w:p>
            <w:pPr>
              <w:ind w:left="460"/>
              <w:spacing w:after="0"/>
              <w:rPr>
                <w:sz w:val="20"/>
                <w:szCs w:val="20"/>
                <w:color w:val="auto"/>
              </w:rPr>
            </w:pPr>
            <w:r>
              <w:rPr>
                <w:rFonts w:ascii="Arial" w:cs="Arial" w:eastAsia="Arial" w:hAnsi="Arial"/>
                <w:sz w:val="14"/>
                <w:szCs w:val="14"/>
                <w:color w:val="auto"/>
              </w:rPr>
              <w:t>Derivatives designated as hedging instruments</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Gains (losses) on cash flow hedge relationships: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240"/>
              <w:spacing w:after="0"/>
              <w:rPr>
                <w:sz w:val="20"/>
                <w:szCs w:val="20"/>
                <w:color w:val="auto"/>
              </w:rPr>
            </w:pPr>
            <w:r>
              <w:rPr>
                <w:rFonts w:ascii="Arial" w:cs="Arial" w:eastAsia="Arial" w:hAnsi="Arial"/>
                <w:sz w:val="14"/>
                <w:szCs w:val="14"/>
                <w:color w:val="auto"/>
              </w:rPr>
              <w:t>Commodity contracts: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00" w:type="dxa"/>
            <w:vAlign w:val="bottom"/>
            <w:shd w:val="clear" w:color="auto" w:fill="CCEEFF"/>
          </w:tcPr>
          <w:p>
            <w:pPr>
              <w:ind w:left="460"/>
              <w:spacing w:after="0" w:line="151" w:lineRule="exact"/>
              <w:rPr>
                <w:sz w:val="20"/>
                <w:szCs w:val="20"/>
                <w:color w:val="auto"/>
              </w:rPr>
            </w:pPr>
            <w:r>
              <w:rPr>
                <w:rFonts w:ascii="Arial" w:cs="Arial" w:eastAsia="Arial" w:hAnsi="Arial"/>
                <w:sz w:val="14"/>
                <w:szCs w:val="14"/>
                <w:color w:val="auto"/>
              </w:rPr>
              <w:t>Amount of gain (loss) reclassified from Accumulated</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comprehensive income (loss) into net income</w:t>
            </w: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240"/>
              <w:spacing w:after="0"/>
              <w:rPr>
                <w:sz w:val="20"/>
                <w:szCs w:val="20"/>
                <w:color w:val="auto"/>
              </w:rPr>
            </w:pPr>
            <w:r>
              <w:rPr>
                <w:rFonts w:ascii="Arial" w:cs="Arial" w:eastAsia="Arial" w:hAnsi="Arial"/>
                <w:sz w:val="14"/>
                <w:szCs w:val="14"/>
                <w:color w:val="auto"/>
              </w:rPr>
              <w:t>Interest rate contracts: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00" w:type="dxa"/>
            <w:vAlign w:val="bottom"/>
            <w:shd w:val="clear" w:color="auto" w:fill="CCEEFF"/>
          </w:tcPr>
          <w:p>
            <w:pPr>
              <w:ind w:left="460"/>
              <w:spacing w:after="0" w:line="151" w:lineRule="exact"/>
              <w:rPr>
                <w:sz w:val="20"/>
                <w:szCs w:val="20"/>
                <w:color w:val="auto"/>
              </w:rPr>
            </w:pPr>
            <w:r>
              <w:rPr>
                <w:rFonts w:ascii="Arial" w:cs="Arial" w:eastAsia="Arial" w:hAnsi="Arial"/>
                <w:sz w:val="14"/>
                <w:szCs w:val="14"/>
                <w:color w:val="auto"/>
              </w:rPr>
              <w:t>Amount of gain (loss) reclassified from Accumulated</w:t>
            </w: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comprehensive income (loss) into net income</w:t>
            </w: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4"/>
                <w:szCs w:val="14"/>
                <w:color w:val="auto"/>
              </w:rPr>
              <w:t>Total amount of income and expense line items excluding</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17,234.3</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16,871.3</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26.3</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7,088.4</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6,972.2</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7"/>
        </w:trPr>
        <w:tc>
          <w:tcPr>
            <w:tcW w:w="4000" w:type="dxa"/>
            <w:vAlign w:val="bottom"/>
          </w:tcPr>
          <w:p>
            <w:pPr>
              <w:ind w:left="20"/>
              <w:spacing w:after="0" w:line="142" w:lineRule="exact"/>
              <w:rPr>
                <w:sz w:val="20"/>
                <w:szCs w:val="20"/>
                <w:color w:val="auto"/>
              </w:rPr>
            </w:pPr>
            <w:r>
              <w:rPr>
                <w:rFonts w:ascii="Arial" w:cs="Arial" w:eastAsia="Arial" w:hAnsi="Arial"/>
                <w:sz w:val="14"/>
                <w:szCs w:val="14"/>
                <w:color w:val="auto"/>
              </w:rPr>
              <w:t>the impact of hedges</w:t>
            </w:r>
          </w:p>
        </w:tc>
        <w:tc>
          <w:tcPr>
            <w:tcW w:w="16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center"/>
              <w:ind w:right="160"/>
              <w:spacing w:after="0" w:line="140"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9"/>
              </w:rPr>
              <w:t>Cost of</w:t>
            </w: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60"/>
              <w:spacing w:after="0" w:line="133" w:lineRule="exact"/>
              <w:rPr>
                <w:sz w:val="20"/>
                <w:szCs w:val="20"/>
                <w:color w:val="auto"/>
              </w:rPr>
            </w:pPr>
            <w:r>
              <w:rPr>
                <w:rFonts w:ascii="Arial" w:cs="Arial" w:eastAsia="Arial" w:hAnsi="Arial"/>
                <w:sz w:val="14"/>
                <w:szCs w:val="14"/>
                <w:b w:val="1"/>
                <w:bCs w:val="1"/>
                <w:color w:val="auto"/>
              </w:rPr>
              <w:t>and other</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Cost of</w:t>
            </w: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29"/>
              <w:spacing w:after="0" w:line="133"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60"/>
              <w:spacing w:after="0" w:line="133"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49"/>
              <w:spacing w:after="0" w:line="133"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73"/>
        </w:trPr>
        <w:tc>
          <w:tcPr>
            <w:tcW w:w="4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net</w:t>
            </w:r>
          </w:p>
        </w:tc>
        <w:tc>
          <w:tcPr>
            <w:tcW w:w="1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4"/>
                <w:szCs w:val="14"/>
                <w:color w:val="auto"/>
              </w:rPr>
              <w:t>Total amounts of income and expense line items in which the</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29,504.1</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29,019.8</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40.9</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13,043.4</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12,667.9</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9"/>
        </w:trPr>
        <w:tc>
          <w:tcPr>
            <w:tcW w:w="4000" w:type="dxa"/>
            <w:vAlign w:val="bottom"/>
          </w:tcPr>
          <w:p>
            <w:pPr>
              <w:ind w:left="20"/>
              <w:spacing w:after="0"/>
              <w:rPr>
                <w:sz w:val="20"/>
                <w:szCs w:val="20"/>
                <w:color w:val="auto"/>
              </w:rPr>
            </w:pPr>
            <w:r>
              <w:rPr>
                <w:rFonts w:ascii="Arial" w:cs="Arial" w:eastAsia="Arial" w:hAnsi="Arial"/>
                <w:sz w:val="14"/>
                <w:szCs w:val="14"/>
                <w:color w:val="auto"/>
              </w:rPr>
              <w:t>effects of fair value or cash flow hedged are recorded</w:t>
            </w: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Gains (losses) on fair value hedge relationships: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240"/>
              <w:spacing w:after="0"/>
              <w:rPr>
                <w:sz w:val="20"/>
                <w:szCs w:val="20"/>
                <w:color w:val="auto"/>
              </w:rPr>
            </w:pPr>
            <w:r>
              <w:rPr>
                <w:rFonts w:ascii="Arial" w:cs="Arial" w:eastAsia="Arial" w:hAnsi="Arial"/>
                <w:sz w:val="14"/>
                <w:szCs w:val="14"/>
                <w:color w:val="auto"/>
              </w:rPr>
              <w:t>Commodity contracts: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Hedged item</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000" w:type="dxa"/>
            <w:vAlign w:val="bottom"/>
          </w:tcPr>
          <w:p>
            <w:pPr>
              <w:ind w:left="460"/>
              <w:spacing w:after="0"/>
              <w:rPr>
                <w:sz w:val="20"/>
                <w:szCs w:val="20"/>
                <w:color w:val="auto"/>
              </w:rPr>
            </w:pPr>
            <w:r>
              <w:rPr>
                <w:rFonts w:ascii="Arial" w:cs="Arial" w:eastAsia="Arial" w:hAnsi="Arial"/>
                <w:sz w:val="14"/>
                <w:szCs w:val="14"/>
                <w:color w:val="auto"/>
              </w:rPr>
              <w:t>Derivatives designated as hedging instruments</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Gains (losses) on cash flow hedge relationships: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240"/>
              <w:spacing w:after="0"/>
              <w:rPr>
                <w:sz w:val="20"/>
                <w:szCs w:val="20"/>
                <w:color w:val="auto"/>
              </w:rPr>
            </w:pPr>
            <w:r>
              <w:rPr>
                <w:rFonts w:ascii="Arial" w:cs="Arial" w:eastAsia="Arial" w:hAnsi="Arial"/>
                <w:sz w:val="14"/>
                <w:szCs w:val="14"/>
                <w:color w:val="auto"/>
              </w:rPr>
              <w:t>Commodity contracts: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00" w:type="dxa"/>
            <w:vAlign w:val="bottom"/>
            <w:shd w:val="clear" w:color="auto" w:fill="CCEEFF"/>
          </w:tcPr>
          <w:p>
            <w:pPr>
              <w:ind w:left="460"/>
              <w:spacing w:after="0" w:line="151" w:lineRule="exact"/>
              <w:rPr>
                <w:sz w:val="20"/>
                <w:szCs w:val="20"/>
                <w:color w:val="auto"/>
              </w:rPr>
            </w:pPr>
            <w:r>
              <w:rPr>
                <w:rFonts w:ascii="Arial" w:cs="Arial" w:eastAsia="Arial" w:hAnsi="Arial"/>
                <w:sz w:val="14"/>
                <w:szCs w:val="14"/>
                <w:color w:val="auto"/>
              </w:rPr>
              <w:t>Amount of gain (loss) reclassified from Accumulated</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comprehensive income (loss) into net income</w:t>
            </w: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00" w:type="dxa"/>
            <w:vAlign w:val="bottom"/>
          </w:tcPr>
          <w:p>
            <w:pPr>
              <w:ind w:left="240"/>
              <w:spacing w:after="0"/>
              <w:rPr>
                <w:sz w:val="20"/>
                <w:szCs w:val="20"/>
                <w:color w:val="auto"/>
              </w:rPr>
            </w:pPr>
            <w:r>
              <w:rPr>
                <w:rFonts w:ascii="Arial" w:cs="Arial" w:eastAsia="Arial" w:hAnsi="Arial"/>
                <w:sz w:val="14"/>
                <w:szCs w:val="14"/>
                <w:color w:val="auto"/>
              </w:rPr>
              <w:t>Interest rate contracts: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00" w:type="dxa"/>
            <w:vAlign w:val="bottom"/>
            <w:shd w:val="clear" w:color="auto" w:fill="CCEEFF"/>
          </w:tcPr>
          <w:p>
            <w:pPr>
              <w:ind w:left="460"/>
              <w:spacing w:after="0" w:line="151" w:lineRule="exact"/>
              <w:rPr>
                <w:sz w:val="20"/>
                <w:szCs w:val="20"/>
                <w:color w:val="auto"/>
              </w:rPr>
            </w:pPr>
            <w:r>
              <w:rPr>
                <w:rFonts w:ascii="Arial" w:cs="Arial" w:eastAsia="Arial" w:hAnsi="Arial"/>
                <w:sz w:val="14"/>
                <w:szCs w:val="14"/>
                <w:color w:val="auto"/>
              </w:rPr>
              <w:t>Amount of gain (loss) reclassified from Accumulated</w:t>
            </w: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comprehensive income (loss) into net income</w:t>
            </w: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00" w:type="dxa"/>
            <w:vAlign w:val="bottom"/>
          </w:tcPr>
          <w:p>
            <w:pPr>
              <w:ind w:left="20"/>
              <w:spacing w:after="0" w:line="131" w:lineRule="exact"/>
              <w:rPr>
                <w:sz w:val="20"/>
                <w:szCs w:val="20"/>
                <w:color w:val="auto"/>
              </w:rPr>
            </w:pPr>
            <w:r>
              <w:rPr>
                <w:rFonts w:ascii="Arial" w:cs="Arial" w:eastAsia="Arial" w:hAnsi="Arial"/>
                <w:sz w:val="14"/>
                <w:szCs w:val="14"/>
                <w:color w:val="auto"/>
              </w:rPr>
              <w:t>Total amount of income and expense line items excluding</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29,649.8</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29,009.8</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13,058.0</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12,763.2</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7"/>
        </w:trPr>
        <w:tc>
          <w:tcPr>
            <w:tcW w:w="4000" w:type="dxa"/>
            <w:vAlign w:val="bottom"/>
          </w:tcPr>
          <w:p>
            <w:pPr>
              <w:ind w:left="20"/>
              <w:spacing w:after="0" w:line="142" w:lineRule="exact"/>
              <w:rPr>
                <w:sz w:val="20"/>
                <w:szCs w:val="20"/>
                <w:color w:val="auto"/>
              </w:rPr>
            </w:pPr>
            <w:r>
              <w:rPr>
                <w:rFonts w:ascii="Arial" w:cs="Arial" w:eastAsia="Arial" w:hAnsi="Arial"/>
                <w:sz w:val="14"/>
                <w:szCs w:val="14"/>
                <w:color w:val="auto"/>
              </w:rPr>
              <w:t>the impact of hedges</w:t>
            </w:r>
          </w:p>
        </w:tc>
        <w:tc>
          <w:tcPr>
            <w:tcW w:w="16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Condensed Consolidated Statements of Income and Comprehensive Income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Gain (Loss) Not Recorded in Accumulated</w:t>
            </w: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8"/>
              </w:rPr>
              <w:t>For the Three Months</w:t>
            </w:r>
          </w:p>
        </w:tc>
        <w:tc>
          <w:tcPr>
            <w:tcW w:w="120" w:type="dxa"/>
            <w:vAlign w:val="bottom"/>
          </w:tcPr>
          <w:p>
            <w:pPr>
              <w:spacing w:after="0"/>
              <w:rPr>
                <w:sz w:val="17"/>
                <w:szCs w:val="17"/>
                <w:color w:val="auto"/>
              </w:rPr>
            </w:pPr>
          </w:p>
        </w:tc>
        <w:tc>
          <w:tcPr>
            <w:tcW w:w="230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w w:val="97"/>
              </w:rPr>
              <w:t>For the Six Months Ended</w:t>
            </w:r>
          </w:p>
        </w:tc>
        <w:tc>
          <w:tcPr>
            <w:tcW w:w="0" w:type="dxa"/>
            <w:vAlign w:val="bottom"/>
          </w:tcPr>
          <w:p>
            <w:pPr>
              <w:spacing w:after="0"/>
              <w:rPr>
                <w:sz w:val="1"/>
                <w:szCs w:val="1"/>
                <w:color w:val="auto"/>
              </w:rPr>
            </w:pPr>
          </w:p>
        </w:tc>
      </w:tr>
      <w:tr>
        <w:trPr>
          <w:trHeight w:val="93"/>
        </w:trPr>
        <w:tc>
          <w:tcPr>
            <w:tcW w:w="4200" w:type="dxa"/>
            <w:vAlign w:val="bottom"/>
            <w:gridSpan w:val="2"/>
            <w:vMerge w:val="continue"/>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gridSpan w:val="5"/>
            <w:vMerge w:val="restart"/>
          </w:tcPr>
          <w:p>
            <w:pPr>
              <w:jc w:val="center"/>
              <w:ind w:right="340"/>
              <w:spacing w:after="0"/>
              <w:rPr>
                <w:sz w:val="20"/>
                <w:szCs w:val="20"/>
                <w:color w:val="auto"/>
              </w:rPr>
            </w:pPr>
            <w:r>
              <w:rPr>
                <w:rFonts w:ascii="Arial" w:cs="Arial" w:eastAsia="Arial" w:hAnsi="Arial"/>
                <w:sz w:val="18"/>
                <w:szCs w:val="18"/>
                <w:b w:val="1"/>
                <w:bCs w:val="1"/>
                <w:color w:val="auto"/>
                <w:w w:val="99"/>
              </w:rPr>
              <w:t>Ended June 30,</w:t>
            </w:r>
          </w:p>
        </w:tc>
        <w:tc>
          <w:tcPr>
            <w:tcW w:w="120" w:type="dxa"/>
            <w:vAlign w:val="bottom"/>
          </w:tcPr>
          <w:p>
            <w:pPr>
              <w:spacing w:after="0"/>
              <w:rPr>
                <w:sz w:val="8"/>
                <w:szCs w:val="8"/>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200" w:type="dxa"/>
            <w:vAlign w:val="bottom"/>
            <w:gridSpan w:val="2"/>
            <w:vMerge w:val="restart"/>
          </w:tcPr>
          <w:p>
            <w:pPr>
              <w:jc w:val="center"/>
              <w:ind w:right="120"/>
              <w:spacing w:after="0" w:line="174" w:lineRule="exact"/>
              <w:rPr>
                <w:sz w:val="20"/>
                <w:szCs w:val="20"/>
                <w:color w:val="auto"/>
              </w:rPr>
            </w:pPr>
            <w:r>
              <w:rPr>
                <w:rFonts w:ascii="Arial" w:cs="Arial" w:eastAsia="Arial" w:hAnsi="Arial"/>
                <w:sz w:val="18"/>
                <w:szCs w:val="18"/>
                <w:b w:val="1"/>
                <w:bCs w:val="1"/>
                <w:color w:val="auto"/>
                <w:w w:val="98"/>
              </w:rPr>
              <w:t>other comprehensive income (loss) Due to</w:t>
            </w:r>
          </w:p>
        </w:tc>
        <w:tc>
          <w:tcPr>
            <w:tcW w:w="1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4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continue"/>
          </w:tcPr>
          <w:p>
            <w:pPr>
              <w:spacing w:after="0" w:line="20" w:lineRule="exact"/>
              <w:rPr>
                <w:sz w:val="1"/>
                <w:szCs w:val="1"/>
                <w:color w:val="auto"/>
              </w:rPr>
            </w:pPr>
          </w:p>
        </w:tc>
        <w:tc>
          <w:tcPr>
            <w:tcW w:w="19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line="20" w:lineRule="exact"/>
              <w:rPr>
                <w:sz w:val="1"/>
                <w:szCs w:val="1"/>
                <w:color w:val="auto"/>
              </w:rPr>
            </w:pPr>
          </w:p>
        </w:tc>
      </w:tr>
      <w:tr>
        <w:trPr>
          <w:trHeight w:val="227"/>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Intra-Period Settlement</w:t>
            </w:r>
          </w:p>
        </w:tc>
        <w:tc>
          <w:tcPr>
            <w:tcW w:w="1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5"/>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0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For the six months ended June 30, 2022 and 2021, there were no gains or losses recognized in earnings related to our fair value or cash flow hedges that were excluded from the assessment of hedge effectiveness.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2022, on a pre-tax basis, $12.1 million is scheduled to be reclassified from Accumulated other comprehensive income (loss) as a decrease to Revenue related to designated commodity cash flow hedges that will mature within the next twelve months.</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 Accumulated other comprehensive income (loss) and in our Condensed Consolidated Statements of Income and Comprehensive Income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8"/>
              </w:rPr>
              <w:t>For the Three Months</w:t>
            </w:r>
          </w:p>
        </w:tc>
        <w:tc>
          <w:tcPr>
            <w:tcW w:w="120" w:type="dxa"/>
            <w:vAlign w:val="bottom"/>
          </w:tcPr>
          <w:p>
            <w:pPr>
              <w:spacing w:after="0"/>
              <w:rPr>
                <w:sz w:val="17"/>
                <w:szCs w:val="17"/>
                <w:color w:val="auto"/>
              </w:rPr>
            </w:pPr>
          </w:p>
        </w:tc>
        <w:tc>
          <w:tcPr>
            <w:tcW w:w="2300" w:type="dxa"/>
            <w:vAlign w:val="bottom"/>
            <w:gridSpan w:val="4"/>
          </w:tcPr>
          <w:p>
            <w:pPr>
              <w:jc w:val="center"/>
              <w:ind w:right="31"/>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27"/>
        </w:trPr>
        <w:tc>
          <w:tcPr>
            <w:tcW w:w="6260" w:type="dxa"/>
            <w:vAlign w:val="bottom"/>
            <w:gridSpan w:val="5"/>
            <w:vMerge w:val="restart"/>
          </w:tcPr>
          <w:p>
            <w:pPr>
              <w:ind w:left="640"/>
              <w:spacing w:after="0"/>
              <w:rPr>
                <w:sz w:val="20"/>
                <w:szCs w:val="20"/>
                <w:color w:val="auto"/>
              </w:rPr>
            </w:pPr>
            <w:r>
              <w:rPr>
                <w:rFonts w:ascii="Arial" w:cs="Arial" w:eastAsia="Arial" w:hAnsi="Arial"/>
                <w:sz w:val="18"/>
                <w:szCs w:val="18"/>
                <w:b w:val="1"/>
                <w:bCs w:val="1"/>
                <w:color w:val="auto"/>
              </w:rPr>
              <w:t>Amount of Gain (Loss) Recognized in Accumulated 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8"/>
              </w:rPr>
              <w:t>Ended June 30,</w:t>
            </w:r>
          </w:p>
        </w:tc>
        <w:tc>
          <w:tcPr>
            <w:tcW w:w="120" w:type="dxa"/>
            <w:vAlign w:val="bottom"/>
          </w:tcPr>
          <w:p>
            <w:pPr>
              <w:spacing w:after="0"/>
              <w:rPr>
                <w:sz w:val="19"/>
                <w:szCs w:val="19"/>
                <w:color w:val="auto"/>
              </w:rPr>
            </w:pPr>
          </w:p>
        </w:tc>
        <w:tc>
          <w:tcPr>
            <w:tcW w:w="1480" w:type="dxa"/>
            <w:vAlign w:val="bottom"/>
            <w:gridSpan w:val="3"/>
          </w:tcPr>
          <w:p>
            <w:pPr>
              <w:jc w:val="center"/>
              <w:ind w:left="611"/>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5"/>
            <w:vMerge w:val="continue"/>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line="20" w:lineRule="exact"/>
              <w:rPr>
                <w:sz w:val="1"/>
                <w:szCs w:val="1"/>
                <w:color w:val="auto"/>
              </w:rPr>
            </w:pPr>
          </w:p>
        </w:tc>
      </w:tr>
      <w:tr>
        <w:trPr>
          <w:trHeight w:val="227"/>
        </w:trPr>
        <w:tc>
          <w:tcPr>
            <w:tcW w:w="6260" w:type="dxa"/>
            <w:vAlign w:val="bottom"/>
            <w:gridSpan w:val="5"/>
          </w:tcPr>
          <w:p>
            <w:pPr>
              <w:ind w:left="220"/>
              <w:spacing w:after="0"/>
              <w:rPr>
                <w:sz w:val="20"/>
                <w:szCs w:val="20"/>
                <w:color w:val="auto"/>
              </w:rPr>
            </w:pPr>
            <w:r>
              <w:rPr>
                <w:rFonts w:ascii="Arial" w:cs="Arial" w:eastAsia="Arial" w:hAnsi="Arial"/>
                <w:sz w:val="18"/>
                <w:szCs w:val="18"/>
                <w:b w:val="1"/>
                <w:bCs w:val="1"/>
                <w:color w:val="auto"/>
              </w:rPr>
              <w:t>comprehensive income (loss), Net of Income Tax (Expense) Benefit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22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7"/>
        </w:trPr>
        <w:tc>
          <w:tcPr>
            <w:tcW w:w="62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 and other financing costs, net)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Amount of Gain (Loss) Reclassified from</w:t>
            </w: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4"/>
        </w:trPr>
        <w:tc>
          <w:tcPr>
            <w:tcW w:w="384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6"/>
            <w:vMerge w:val="restart"/>
          </w:tcPr>
          <w:p>
            <w:pPr>
              <w:jc w:val="center"/>
              <w:ind w:right="360"/>
              <w:spacing w:after="0"/>
              <w:rPr>
                <w:sz w:val="20"/>
                <w:szCs w:val="20"/>
                <w:color w:val="auto"/>
              </w:rPr>
            </w:pPr>
            <w:r>
              <w:rPr>
                <w:rFonts w:ascii="Arial" w:cs="Arial" w:eastAsia="Arial" w:hAnsi="Arial"/>
                <w:sz w:val="18"/>
                <w:szCs w:val="18"/>
                <w:b w:val="1"/>
                <w:bCs w:val="1"/>
                <w:color w:val="auto"/>
                <w:w w:val="98"/>
              </w:rPr>
              <w:t>For the Three Months</w:t>
            </w:r>
          </w:p>
        </w:tc>
        <w:tc>
          <w:tcPr>
            <w:tcW w:w="120" w:type="dxa"/>
            <w:vAlign w:val="bottom"/>
          </w:tcPr>
          <w:p>
            <w:pPr>
              <w:spacing w:after="0"/>
              <w:rPr>
                <w:sz w:val="24"/>
                <w:szCs w:val="24"/>
                <w:color w:val="auto"/>
              </w:rPr>
            </w:pPr>
          </w:p>
        </w:tc>
        <w:tc>
          <w:tcPr>
            <w:tcW w:w="2300" w:type="dxa"/>
            <w:vAlign w:val="bottom"/>
            <w:gridSpan w:val="4"/>
            <w:vMerge w:val="restart"/>
          </w:tcPr>
          <w:p>
            <w:pPr>
              <w:jc w:val="center"/>
              <w:ind w:right="31"/>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80"/>
        </w:trPr>
        <w:tc>
          <w:tcPr>
            <w:tcW w:w="3840" w:type="dxa"/>
            <w:vAlign w:val="bottom"/>
            <w:gridSpan w:val="2"/>
            <w:vMerge w:val="restart"/>
          </w:tcPr>
          <w:p>
            <w:pPr>
              <w:ind w:left="40"/>
              <w:spacing w:after="0" w:line="174" w:lineRule="exact"/>
              <w:rPr>
                <w:sz w:val="20"/>
                <w:szCs w:val="20"/>
                <w:color w:val="auto"/>
              </w:rPr>
            </w:pPr>
            <w:r>
              <w:rPr>
                <w:rFonts w:ascii="Arial" w:cs="Arial" w:eastAsia="Arial" w:hAnsi="Arial"/>
                <w:sz w:val="18"/>
                <w:szCs w:val="18"/>
                <w:b w:val="1"/>
                <w:bCs w:val="1"/>
                <w:color w:val="auto"/>
              </w:rPr>
              <w:t>Accumulated other comprehensive income</w:t>
            </w:r>
          </w:p>
        </w:tc>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4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84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40" w:type="dxa"/>
            <w:vAlign w:val="bottom"/>
            <w:gridSpan w:val="6"/>
            <w:vMerge w:val="restart"/>
          </w:tcPr>
          <w:p>
            <w:pPr>
              <w:jc w:val="center"/>
              <w:ind w:right="340"/>
              <w:spacing w:after="0"/>
              <w:rPr>
                <w:sz w:val="20"/>
                <w:szCs w:val="20"/>
                <w:color w:val="auto"/>
              </w:rPr>
            </w:pPr>
            <w:r>
              <w:rPr>
                <w:rFonts w:ascii="Arial" w:cs="Arial" w:eastAsia="Arial" w:hAnsi="Arial"/>
                <w:sz w:val="18"/>
                <w:szCs w:val="18"/>
                <w:b w:val="1"/>
                <w:bCs w:val="1"/>
                <w:color w:val="auto"/>
                <w:w w:val="99"/>
              </w:rPr>
              <w:t>Ended June 30,</w:t>
            </w:r>
          </w:p>
        </w:tc>
        <w:tc>
          <w:tcPr>
            <w:tcW w:w="120" w:type="dxa"/>
            <w:vAlign w:val="bottom"/>
          </w:tcPr>
          <w:p>
            <w:pPr>
              <w:spacing w:after="0"/>
              <w:rPr>
                <w:sz w:val="8"/>
                <w:szCs w:val="8"/>
                <w:color w:val="auto"/>
              </w:rPr>
            </w:pPr>
          </w:p>
        </w:tc>
        <w:tc>
          <w:tcPr>
            <w:tcW w:w="1480" w:type="dxa"/>
            <w:vAlign w:val="bottom"/>
            <w:gridSpan w:val="3"/>
            <w:vMerge w:val="restart"/>
          </w:tcPr>
          <w:p>
            <w:pPr>
              <w:jc w:val="center"/>
              <w:ind w:left="611"/>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840" w:type="dxa"/>
            <w:vAlign w:val="bottom"/>
            <w:gridSpan w:val="2"/>
            <w:vMerge w:val="restart"/>
          </w:tcPr>
          <w:p>
            <w:pPr>
              <w:ind w:left="20"/>
              <w:spacing w:after="0" w:line="174" w:lineRule="exact"/>
              <w:rPr>
                <w:sz w:val="20"/>
                <w:szCs w:val="20"/>
                <w:color w:val="auto"/>
              </w:rPr>
            </w:pPr>
            <w:r>
              <w:rPr>
                <w:rFonts w:ascii="Arial" w:cs="Arial" w:eastAsia="Arial" w:hAnsi="Arial"/>
                <w:sz w:val="18"/>
                <w:szCs w:val="18"/>
                <w:b w:val="1"/>
                <w:bCs w:val="1"/>
                <w:color w:val="auto"/>
              </w:rPr>
              <w:t>(loss) into Net income (loss), Net of Income</w:t>
            </w:r>
          </w:p>
        </w:tc>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4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line="20" w:lineRule="exact"/>
              <w:rPr>
                <w:sz w:val="1"/>
                <w:szCs w:val="1"/>
                <w:color w:val="auto"/>
              </w:rPr>
            </w:pPr>
          </w:p>
        </w:tc>
      </w:tr>
      <w:tr>
        <w:trPr>
          <w:trHeight w:val="227"/>
        </w:trPr>
        <w:tc>
          <w:tcPr>
            <w:tcW w:w="37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Tax (Expense) Benefit</w:t>
            </w:r>
          </w:p>
        </w:tc>
        <w:tc>
          <w:tcPr>
            <w:tcW w:w="14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187"/>
        </w:trPr>
        <w:tc>
          <w:tcPr>
            <w:tcW w:w="3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ind w:left="20"/>
              <w:spacing w:after="0" w:line="187" w:lineRule="exact"/>
              <w:rPr>
                <w:sz w:val="20"/>
                <w:szCs w:val="20"/>
                <w:color w:val="auto"/>
              </w:rPr>
            </w:pPr>
            <w:r>
              <w:rPr>
                <w:rFonts w:ascii="Arial" w:cs="Arial" w:eastAsia="Arial" w:hAnsi="Arial"/>
                <w:sz w:val="18"/>
                <w:szCs w:val="18"/>
                <w:color w:val="auto"/>
              </w:rPr>
              <w:t>Interest expense and other</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financing costs, net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1"/>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vMerge w:val="restart"/>
          </w:tcPr>
          <w:p>
            <w:pPr>
              <w:ind w:left="16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6"/>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2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table presents the amount and financial statement location in our Condensed Consolidated Statements of Income and Comprehensive Income of realized and unrealized gains (losses) recognized on derivative instruments not designated as hedging instruments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Six Months Ended June</w:t>
            </w:r>
          </w:p>
        </w:tc>
        <w:tc>
          <w:tcPr>
            <w:tcW w:w="0" w:type="dxa"/>
            <w:vAlign w:val="bottom"/>
          </w:tcPr>
          <w:p>
            <w:pPr>
              <w:spacing w:after="0"/>
              <w:rPr>
                <w:sz w:val="1"/>
                <w:szCs w:val="1"/>
                <w:color w:val="auto"/>
              </w:rPr>
            </w:pPr>
          </w:p>
        </w:tc>
      </w:tr>
      <w:tr>
        <w:trPr>
          <w:trHeight w:val="227"/>
        </w:trPr>
        <w:tc>
          <w:tcPr>
            <w:tcW w:w="3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Derivative Instruments - Non-</w:t>
            </w:r>
          </w:p>
        </w:tc>
        <w:tc>
          <w:tcPr>
            <w:tcW w:w="2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5"/>
              </w:rPr>
              <w:t>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040" w:type="dxa"/>
            <w:vAlign w:val="bottom"/>
            <w:gridSpan w:val="2"/>
            <w:vMerge w:val="continue"/>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designated</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26"/>
        </w:trPr>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21"/>
        </w:trPr>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9"/>
        </w:trPr>
        <w:tc>
          <w:tcPr>
            <w:tcW w:w="304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Foreign currency contracts</w:t>
            </w:r>
          </w:p>
        </w:tc>
        <w:tc>
          <w:tcPr>
            <w:tcW w:w="252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0"/>
        </w:trPr>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gain (loss)</w:t>
            </w:r>
          </w:p>
        </w:tc>
        <w:tc>
          <w:tcPr>
            <w:tcW w:w="2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December 31, 2021</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72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7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720" w:type="dxa"/>
            <w:vAlign w:val="bottom"/>
            <w:tcBorders>
              <w:top w:val="single" w:sz="8" w:color="auto"/>
              <w:bottom w:val="single" w:sz="8" w:color="auto"/>
            </w:tcBorders>
            <w:shd w:val="clear" w:color="auto" w:fill="CCEEFF"/>
          </w:tcPr>
          <w:p>
            <w:pPr>
              <w:jc w:val="right"/>
              <w:ind w:right="151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2022 and December 31, 2021, there was no collateral held by our counterparties on these derivative contracts with credit-risk-contingent features.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Interest Income, Expense, and Other Finance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April 1, 2022, the Company entered into Amendment No. 8 to Fourth Amended and Restated Credit Agreement (the "Amendment") to: (i) increase the revolving credit facility to $1.5 billion; (ii) provide a new term loan of $500 million, thereby increasing the total borrowing capacity under the credit facility to $2.0 billion; (iii) modify the pricing of the loans, including the reference rates for various currencies to reflect the discontinuation of LIBOR; (iv) extend the maturity to April 1, 2027; and (v) modify certain financial and other covenants to provide greater operating flexibility.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consists of the following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4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24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26"/>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 of long-term debt and finance leases</w:t>
            </w:r>
          </w:p>
        </w:tc>
        <w:tc>
          <w:tcPr>
            <w:tcW w:w="1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1"/>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911"/>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52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4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8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Interest Expense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Six Months Ended June</w:t>
            </w:r>
          </w:p>
        </w:tc>
      </w:tr>
      <w:tr>
        <w:trPr>
          <w:trHeight w:val="227"/>
        </w:trPr>
        <w:tc>
          <w:tcPr>
            <w:tcW w:w="5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19"/>
                <w:szCs w:val="19"/>
                <w:color w:val="auto"/>
              </w:rPr>
            </w:pPr>
          </w:p>
        </w:tc>
      </w:tr>
      <w:tr>
        <w:trPr>
          <w:trHeight w:val="220"/>
        </w:trPr>
        <w:tc>
          <w:tcPr>
            <w:tcW w:w="55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r>
      <w:tr>
        <w:trPr>
          <w:trHeight w:val="22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six months ended June 30, 2022, the Company's Board of Directors declared quarterly cash dividends of $0.12 per common share representing $7.6 million and $7.4 million in total dividends, which were paid on April 8, 2022 and July 1, 2022, respectively. During the six months ended June 30, 2021, quarterly cash dividends were declared of $0.12 per common share representing $7.5 million and $7.6 million in total dividends, which were paid on April 9, 2021 and July 1, 2021,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1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8"/>
              </w:rPr>
              <w:t>Foreign Currency</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Accumulated Other</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320"/>
              <w:spacing w:after="0" w:line="174" w:lineRule="exact"/>
              <w:rPr>
                <w:sz w:val="20"/>
                <w:szCs w:val="20"/>
                <w:color w:val="auto"/>
              </w:rPr>
            </w:pPr>
            <w:r>
              <w:rPr>
                <w:rFonts w:ascii="Arial" w:cs="Arial" w:eastAsia="Arial" w:hAnsi="Arial"/>
                <w:sz w:val="18"/>
                <w:szCs w:val="18"/>
                <w:b w:val="1"/>
                <w:bCs w:val="1"/>
                <w:color w:val="auto"/>
                <w:w w:val="96"/>
              </w:rPr>
              <w:t>Translation</w:t>
            </w:r>
          </w:p>
        </w:tc>
        <w:tc>
          <w:tcPr>
            <w:tcW w:w="18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Pr>
          <w:p>
            <w:pPr>
              <w:spacing w:after="0"/>
              <w:rPr>
                <w:sz w:val="15"/>
                <w:szCs w:val="15"/>
                <w:color w:val="auto"/>
              </w:rPr>
            </w:pPr>
          </w:p>
        </w:tc>
        <w:tc>
          <w:tcPr>
            <w:tcW w:w="1680" w:type="dxa"/>
            <w:vAlign w:val="bottom"/>
          </w:tcPr>
          <w:p>
            <w:pPr>
              <w:jc w:val="center"/>
              <w:ind w:right="91"/>
              <w:spacing w:after="0" w:line="174" w:lineRule="exact"/>
              <w:rPr>
                <w:sz w:val="20"/>
                <w:szCs w:val="20"/>
                <w:color w:val="auto"/>
              </w:rPr>
            </w:pPr>
            <w:r>
              <w:rPr>
                <w:rFonts w:ascii="Arial" w:cs="Arial" w:eastAsia="Arial" w:hAnsi="Arial"/>
                <w:sz w:val="18"/>
                <w:szCs w:val="18"/>
                <w:b w:val="1"/>
                <w:bCs w:val="1"/>
                <w:color w:val="auto"/>
                <w:w w:val="99"/>
              </w:rPr>
              <w:t>Comprehensive</w:t>
            </w:r>
          </w:p>
        </w:tc>
        <w:tc>
          <w:tcPr>
            <w:tcW w:w="0" w:type="dxa"/>
            <w:vAlign w:val="bottom"/>
          </w:tcPr>
          <w:p>
            <w:pPr>
              <w:spacing w:after="0"/>
              <w:rPr>
                <w:sz w:val="1"/>
                <w:szCs w:val="1"/>
                <w:color w:val="auto"/>
              </w:rPr>
            </w:pPr>
          </w:p>
        </w:tc>
      </w:tr>
      <w:tr>
        <w:trPr>
          <w:trHeight w:val="227"/>
        </w:trPr>
        <w:tc>
          <w:tcPr>
            <w:tcW w:w="5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Adjustments</w:t>
            </w:r>
          </w:p>
        </w:tc>
        <w:tc>
          <w:tcPr>
            <w:tcW w:w="18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ind w:right="91"/>
              <w:spacing w:after="0"/>
              <w:rPr>
                <w:sz w:val="20"/>
                <w:szCs w:val="20"/>
                <w:color w:val="auto"/>
              </w:rPr>
            </w:pPr>
            <w:r>
              <w:rPr>
                <w:rFonts w:ascii="Arial" w:cs="Arial" w:eastAsia="Arial" w:hAnsi="Arial"/>
                <w:sz w:val="18"/>
                <w:szCs w:val="18"/>
                <w:b w:val="1"/>
                <w:bCs w:val="1"/>
                <w:color w:val="auto"/>
                <w:w w:val="99"/>
              </w:rPr>
              <w:t>Income (Loss)</w:t>
            </w:r>
          </w:p>
        </w:tc>
        <w:tc>
          <w:tcPr>
            <w:tcW w:w="0" w:type="dxa"/>
            <w:vAlign w:val="bottom"/>
          </w:tcPr>
          <w:p>
            <w:pPr>
              <w:spacing w:after="0"/>
              <w:rPr>
                <w:sz w:val="1"/>
                <w:szCs w:val="1"/>
                <w:color w:val="auto"/>
              </w:rPr>
            </w:pPr>
          </w:p>
        </w:tc>
      </w:tr>
      <w:tr>
        <w:trPr>
          <w:trHeight w:val="22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6"/>
        </w:trPr>
        <w:tc>
          <w:tcPr>
            <w:tcW w:w="58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187"/>
        </w:trPr>
        <w:tc>
          <w:tcPr>
            <w:tcW w:w="580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Amounts reclassified from accumulated other comprehensive income</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186"/>
        </w:trPr>
        <w:tc>
          <w:tcPr>
            <w:tcW w:w="5800" w:type="dxa"/>
            <w:vAlign w:val="bottom"/>
          </w:tcPr>
          <w:p>
            <w:pPr>
              <w:ind w:left="20"/>
              <w:spacing w:after="0" w:line="186" w:lineRule="exact"/>
              <w:rPr>
                <w:sz w:val="20"/>
                <w:szCs w:val="20"/>
                <w:color w:val="auto"/>
              </w:rPr>
            </w:pPr>
            <w:r>
              <w:rPr>
                <w:rFonts w:ascii="Arial" w:cs="Arial" w:eastAsia="Arial" w:hAnsi="Arial"/>
                <w:sz w:val="18"/>
                <w:szCs w:val="18"/>
                <w:color w:val="auto"/>
              </w:rPr>
              <w:t>Less: Net other comprehensive (income) loss attributable to</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6"/>
        </w:trPr>
        <w:tc>
          <w:tcPr>
            <w:tcW w:w="58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187"/>
        </w:trPr>
        <w:tc>
          <w:tcPr>
            <w:tcW w:w="580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Amounts reclassified from accumulated other comprehensive income</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186"/>
        </w:trPr>
        <w:tc>
          <w:tcPr>
            <w:tcW w:w="5800" w:type="dxa"/>
            <w:vAlign w:val="bottom"/>
          </w:tcPr>
          <w:p>
            <w:pPr>
              <w:ind w:left="20"/>
              <w:spacing w:after="0" w:line="186" w:lineRule="exact"/>
              <w:rPr>
                <w:sz w:val="20"/>
                <w:szCs w:val="20"/>
                <w:color w:val="auto"/>
              </w:rPr>
            </w:pPr>
            <w:r>
              <w:rPr>
                <w:rFonts w:ascii="Arial" w:cs="Arial" w:eastAsia="Arial" w:hAnsi="Arial"/>
                <w:sz w:val="18"/>
                <w:szCs w:val="18"/>
                <w:color w:val="auto"/>
              </w:rPr>
              <w:t>Less: Net other comprehensive (income) loss attributable to</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our gross assets and liabilities that are measured at fair value on a recurring basis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9"/>
          </w:tcPr>
          <w:p>
            <w:pPr>
              <w:jc w:val="right"/>
              <w:ind w:right="111"/>
              <w:spacing w:after="0"/>
              <w:rPr>
                <w:sz w:val="20"/>
                <w:szCs w:val="20"/>
                <w:color w:val="auto"/>
              </w:rPr>
            </w:pPr>
            <w:r>
              <w:rPr>
                <w:rFonts w:ascii="Arial" w:cs="Arial" w:eastAsia="Arial" w:hAnsi="Arial"/>
                <w:sz w:val="18"/>
                <w:szCs w:val="18"/>
                <w:b w:val="1"/>
                <w:bCs w:val="1"/>
                <w:color w:val="auto"/>
              </w:rPr>
              <w:t>Fair Value Measurements as of June 30, 2022</w:t>
            </w:r>
          </w:p>
        </w:tc>
        <w:tc>
          <w:tcPr>
            <w:tcW w:w="1160" w:type="dxa"/>
            <w:vAlign w:val="bottom"/>
            <w:tcBorders>
              <w:bottom w:val="single" w:sz="8" w:color="auto"/>
            </w:tcBorders>
          </w:tcPr>
          <w:p>
            <w:pPr>
              <w:spacing w:after="0"/>
              <w:rPr>
                <w:sz w:val="20"/>
                <w:szCs w:val="20"/>
                <w:color w:val="auto"/>
              </w:rPr>
            </w:pP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38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1,499.2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951.7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2,459.7</w:t>
            </w:r>
          </w:p>
        </w:tc>
      </w:tr>
      <w:tr>
        <w:trPr>
          <w:trHeight w:val="22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1"/>
        </w:trPr>
        <w:tc>
          <w:tcPr>
            <w:tcW w:w="47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0"/>
        </w:trPr>
        <w:tc>
          <w:tcPr>
            <w:tcW w:w="4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2,404.1</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4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as of December 31, 2021</w:t>
            </w:r>
          </w:p>
        </w:tc>
        <w:tc>
          <w:tcPr>
            <w:tcW w:w="1060" w:type="dxa"/>
            <w:vAlign w:val="bottom"/>
            <w:tcBorders>
              <w:bottom w:val="single" w:sz="8" w:color="auto"/>
            </w:tcBorders>
          </w:tcPr>
          <w:p>
            <w:pPr>
              <w:spacing w:after="0"/>
              <w:rPr>
                <w:sz w:val="20"/>
                <w:szCs w:val="20"/>
                <w:color w:val="auto"/>
              </w:rPr>
            </w:pP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480" w:type="dxa"/>
            <w:vAlign w:val="bottom"/>
          </w:tcPr>
          <w:p>
            <w:pPr>
              <w:spacing w:after="0"/>
              <w:rPr>
                <w:sz w:val="19"/>
                <w:szCs w:val="19"/>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763.5</w:t>
            </w:r>
          </w:p>
        </w:tc>
      </w:tr>
      <w:tr>
        <w:trPr>
          <w:trHeight w:val="22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1"/>
        </w:trPr>
        <w:tc>
          <w:tcPr>
            <w:tcW w:w="47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4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1"/>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Consolidated Balance Sheets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right"/>
              <w:ind w:right="31"/>
              <w:spacing w:after="0"/>
              <w:rPr>
                <w:sz w:val="20"/>
                <w:szCs w:val="20"/>
                <w:color w:val="auto"/>
              </w:rPr>
            </w:pPr>
            <w:r>
              <w:rPr>
                <w:rFonts w:ascii="Arial" w:cs="Arial" w:eastAsia="Arial" w:hAnsi="Arial"/>
                <w:sz w:val="18"/>
                <w:szCs w:val="18"/>
                <w:b w:val="1"/>
                <w:bCs w:val="1"/>
                <w:color w:val="auto"/>
              </w:rPr>
              <w:t>Fair Value as of June 30, 2022</w:t>
            </w: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00"/>
              <w:spacing w:after="0" w:line="168" w:lineRule="exact"/>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line="168" w:lineRule="exact"/>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Net Amounts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5"/>
              </w:rPr>
              <w:t>Cash</w:t>
            </w:r>
          </w:p>
        </w:tc>
        <w:tc>
          <w:tcPr>
            <w:tcW w:w="160" w:type="dxa"/>
            <w:vAlign w:val="bottom"/>
          </w:tcPr>
          <w:p>
            <w:pPr>
              <w:spacing w:after="0"/>
              <w:rPr>
                <w:sz w:val="14"/>
                <w:szCs w:val="14"/>
                <w:color w:val="auto"/>
              </w:rPr>
            </w:pPr>
          </w:p>
        </w:tc>
        <w:tc>
          <w:tcPr>
            <w:tcW w:w="1740" w:type="dxa"/>
            <w:vAlign w:val="bottom"/>
            <w:gridSpan w:val="3"/>
          </w:tcPr>
          <w:p>
            <w:pPr>
              <w:jc w:val="center"/>
              <w:ind w:right="280"/>
              <w:spacing w:after="0" w:line="168" w:lineRule="exact"/>
              <w:rPr>
                <w:sz w:val="20"/>
                <w:szCs w:val="20"/>
                <w:color w:val="auto"/>
              </w:rPr>
            </w:pPr>
            <w:r>
              <w:rPr>
                <w:rFonts w:ascii="Arial" w:cs="Arial" w:eastAsia="Arial" w:hAnsi="Arial"/>
                <w:sz w:val="18"/>
                <w:szCs w:val="18"/>
                <w:b w:val="1"/>
                <w:bCs w:val="1"/>
                <w:color w:val="auto"/>
                <w:w w:val="99"/>
              </w:rPr>
              <w:t>Gross Amounts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00"/>
              <w:spacing w:after="0" w:line="174"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40"/>
              <w:spacing w:after="0" w:line="174"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3"/>
          </w:tcPr>
          <w:p>
            <w:pPr>
              <w:jc w:val="center"/>
              <w:ind w:right="300"/>
              <w:spacing w:after="0" w:line="174" w:lineRule="exact"/>
              <w:rPr>
                <w:sz w:val="20"/>
                <w:szCs w:val="20"/>
                <w:color w:val="auto"/>
              </w:rPr>
            </w:pPr>
            <w:r>
              <w:rPr>
                <w:rFonts w:ascii="Arial" w:cs="Arial" w:eastAsia="Arial" w:hAnsi="Arial"/>
                <w:sz w:val="18"/>
                <w:szCs w:val="18"/>
                <w:b w:val="1"/>
                <w:bCs w:val="1"/>
                <w:color w:val="auto"/>
                <w:w w:val="99"/>
              </w:rPr>
              <w:t>without Right of</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Recognized</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Presented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60" w:type="dxa"/>
            <w:vAlign w:val="bottom"/>
          </w:tcPr>
          <w:p>
            <w:pPr>
              <w:spacing w:after="0"/>
              <w:rPr>
                <w:sz w:val="19"/>
                <w:szCs w:val="19"/>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2,459.7</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1,717.2</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742.5</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2,513.4</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1,734.2</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2,404.1</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1,717.2</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686.9</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line="206" w:lineRule="exact"/>
              <w:rPr>
                <w:sz w:val="20"/>
                <w:szCs w:val="20"/>
                <w:color w:val="auto"/>
              </w:rPr>
            </w:pPr>
            <w:r>
              <w:rPr>
                <w:rFonts w:ascii="Arial" w:cs="Arial" w:eastAsia="Arial" w:hAnsi="Arial"/>
                <w:sz w:val="18"/>
                <w:szCs w:val="18"/>
                <w:color w:val="auto"/>
              </w:rPr>
              <w:t>Total liabilities at fair value</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2,427.3</w:t>
            </w:r>
          </w:p>
        </w:tc>
        <w:tc>
          <w:tcPr>
            <w:tcW w:w="4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w:t>
            </w:r>
          </w:p>
        </w:tc>
        <w:tc>
          <w:tcPr>
            <w:tcW w:w="4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w:t>
            </w:r>
          </w:p>
        </w:tc>
        <w:tc>
          <w:tcPr>
            <w:tcW w:w="6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3"/>
          </w:tcPr>
          <w:p>
            <w:pPr>
              <w:ind w:left="40"/>
              <w:spacing w:after="0"/>
              <w:rPr>
                <w:sz w:val="20"/>
                <w:szCs w:val="20"/>
                <w:color w:val="auto"/>
              </w:rPr>
            </w:pPr>
            <w:r>
              <w:rPr>
                <w:rFonts w:ascii="Arial" w:cs="Arial" w:eastAsia="Arial" w:hAnsi="Arial"/>
                <w:sz w:val="18"/>
                <w:szCs w:val="18"/>
                <w:b w:val="1"/>
                <w:bCs w:val="1"/>
                <w:color w:val="auto"/>
              </w:rPr>
              <w:t>Fair Value as of December 31, 2021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8" w:lineRule="exact"/>
              <w:rPr>
                <w:sz w:val="20"/>
                <w:szCs w:val="20"/>
                <w:color w:val="auto"/>
              </w:rPr>
            </w:pPr>
            <w:r>
              <w:rPr>
                <w:rFonts w:ascii="Arial" w:cs="Arial" w:eastAsia="Arial" w:hAnsi="Arial"/>
                <w:sz w:val="18"/>
                <w:szCs w:val="18"/>
                <w:b w:val="1"/>
                <w:bCs w:val="1"/>
                <w:color w:val="auto"/>
                <w:w w:val="96"/>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8" w:lineRule="exact"/>
              <w:rPr>
                <w:sz w:val="20"/>
                <w:szCs w:val="20"/>
                <w:color w:val="auto"/>
              </w:rPr>
            </w:pPr>
            <w:r>
              <w:rPr>
                <w:rFonts w:ascii="Arial" w:cs="Arial" w:eastAsia="Arial" w:hAnsi="Arial"/>
                <w:sz w:val="18"/>
                <w:szCs w:val="18"/>
                <w:b w:val="1"/>
                <w:bCs w:val="1"/>
                <w:color w:val="auto"/>
                <w:w w:val="96"/>
              </w:rPr>
              <w:t>Gross</w:t>
            </w:r>
          </w:p>
        </w:tc>
        <w:tc>
          <w:tcPr>
            <w:tcW w:w="8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5"/>
              </w:rPr>
              <w:t>Cash</w:t>
            </w:r>
          </w:p>
        </w:tc>
        <w:tc>
          <w:tcPr>
            <w:tcW w:w="160" w:type="dxa"/>
            <w:vAlign w:val="bottom"/>
          </w:tcPr>
          <w:p>
            <w:pPr>
              <w:spacing w:after="0"/>
              <w:rPr>
                <w:sz w:val="14"/>
                <w:szCs w:val="14"/>
                <w:color w:val="auto"/>
              </w:rPr>
            </w:pPr>
          </w:p>
        </w:tc>
        <w:tc>
          <w:tcPr>
            <w:tcW w:w="1740" w:type="dxa"/>
            <w:vAlign w:val="bottom"/>
            <w:gridSpan w:val="3"/>
          </w:tcPr>
          <w:p>
            <w:pPr>
              <w:jc w:val="center"/>
              <w:ind w:right="280"/>
              <w:spacing w:after="0" w:line="168" w:lineRule="exact"/>
              <w:rPr>
                <w:sz w:val="20"/>
                <w:szCs w:val="20"/>
                <w:color w:val="auto"/>
              </w:rPr>
            </w:pPr>
            <w:r>
              <w:rPr>
                <w:rFonts w:ascii="Arial" w:cs="Arial" w:eastAsia="Arial" w:hAnsi="Arial"/>
                <w:sz w:val="18"/>
                <w:szCs w:val="18"/>
                <w:b w:val="1"/>
                <w:bCs w:val="1"/>
                <w:color w:val="auto"/>
                <w:w w:val="99"/>
              </w:rPr>
              <w:t>Gross Amounts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line="174" w:lineRule="exact"/>
              <w:rPr>
                <w:sz w:val="20"/>
                <w:szCs w:val="20"/>
                <w:color w:val="auto"/>
              </w:rPr>
            </w:pPr>
            <w:r>
              <w:rPr>
                <w:rFonts w:ascii="Arial" w:cs="Arial" w:eastAsia="Arial" w:hAnsi="Arial"/>
                <w:sz w:val="18"/>
                <w:szCs w:val="18"/>
                <w:b w:val="1"/>
                <w:bCs w:val="1"/>
                <w:color w:val="auto"/>
                <w:w w:val="99"/>
              </w:rPr>
              <w:t>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74" w:lineRule="exact"/>
              <w:rPr>
                <w:sz w:val="20"/>
                <w:szCs w:val="20"/>
                <w:color w:val="auto"/>
              </w:rPr>
            </w:pPr>
            <w:r>
              <w:rPr>
                <w:rFonts w:ascii="Arial" w:cs="Arial" w:eastAsia="Arial" w:hAnsi="Arial"/>
                <w:sz w:val="18"/>
                <w:szCs w:val="18"/>
                <w:b w:val="1"/>
                <w:bCs w:val="1"/>
                <w:color w:val="auto"/>
                <w:w w:val="99"/>
              </w:rPr>
              <w:t>Amounts</w:t>
            </w:r>
          </w:p>
        </w:tc>
        <w:tc>
          <w:tcPr>
            <w:tcW w:w="8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3"/>
          </w:tcPr>
          <w:p>
            <w:pPr>
              <w:jc w:val="center"/>
              <w:ind w:right="300"/>
              <w:spacing w:after="0" w:line="174" w:lineRule="exact"/>
              <w:rPr>
                <w:sz w:val="20"/>
                <w:szCs w:val="20"/>
                <w:color w:val="auto"/>
              </w:rPr>
            </w:pPr>
            <w:r>
              <w:rPr>
                <w:rFonts w:ascii="Arial" w:cs="Arial" w:eastAsia="Arial" w:hAnsi="Arial"/>
                <w:sz w:val="18"/>
                <w:szCs w:val="18"/>
                <w:b w:val="1"/>
                <w:bCs w:val="1"/>
                <w:color w:val="auto"/>
                <w:w w:val="99"/>
              </w:rPr>
              <w:t>without Right of</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Recognized</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Offset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Presented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Collateral</w:t>
            </w:r>
          </w:p>
        </w:tc>
        <w:tc>
          <w:tcPr>
            <w:tcW w:w="160" w:type="dxa"/>
            <w:vAlign w:val="bottom"/>
          </w:tcPr>
          <w:p>
            <w:pPr>
              <w:spacing w:after="0"/>
              <w:rPr>
                <w:sz w:val="19"/>
                <w:szCs w:val="19"/>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763.5</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513.1</w:t>
            </w:r>
          </w:p>
        </w:tc>
        <w:tc>
          <w:tcPr>
            <w:tcW w:w="40" w:type="dxa"/>
            <w:vAlign w:val="bottom"/>
          </w:tcPr>
          <w:p>
            <w:pPr>
              <w:spacing w:after="0"/>
              <w:rPr>
                <w:sz w:val="19"/>
                <w:szCs w:val="19"/>
                <w:color w:val="auto"/>
              </w:rPr>
            </w:pPr>
          </w:p>
        </w:tc>
        <w:tc>
          <w:tcPr>
            <w:tcW w:w="28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250.4</w:t>
            </w:r>
          </w:p>
        </w:tc>
        <w:tc>
          <w:tcPr>
            <w:tcW w:w="60" w:type="dxa"/>
            <w:vAlign w:val="bottom"/>
          </w:tcPr>
          <w:p>
            <w:pPr>
              <w:spacing w:after="0"/>
              <w:rPr>
                <w:sz w:val="19"/>
                <w:szCs w:val="19"/>
                <w:color w:val="auto"/>
              </w:rPr>
            </w:pPr>
          </w:p>
        </w:tc>
        <w:tc>
          <w:tcPr>
            <w:tcW w:w="28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1"/>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743.9</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513.1</w:t>
            </w:r>
          </w:p>
        </w:tc>
        <w:tc>
          <w:tcPr>
            <w:tcW w:w="40" w:type="dxa"/>
            <w:vAlign w:val="bottom"/>
          </w:tcPr>
          <w:p>
            <w:pPr>
              <w:spacing w:after="0"/>
              <w:rPr>
                <w:sz w:val="19"/>
                <w:szCs w:val="19"/>
                <w:color w:val="auto"/>
              </w:rPr>
            </w:pPr>
          </w:p>
        </w:tc>
        <w:tc>
          <w:tcPr>
            <w:tcW w:w="28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230.8</w:t>
            </w:r>
          </w:p>
        </w:tc>
        <w:tc>
          <w:tcPr>
            <w:tcW w:w="60" w:type="dxa"/>
            <w:vAlign w:val="bottom"/>
          </w:tcPr>
          <w:p>
            <w:pPr>
              <w:spacing w:after="0"/>
              <w:rPr>
                <w:sz w:val="19"/>
                <w:szCs w:val="19"/>
                <w:color w:val="auto"/>
              </w:rPr>
            </w:pPr>
          </w:p>
        </w:tc>
        <w:tc>
          <w:tcPr>
            <w:tcW w:w="28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2022 and December 31, 2021, we did not present any amounts gross on our Condensed Consolidated Balance Sheets where we had the right of offset.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June 30, 2022, one of our counterparties with a total exposure of $86.6 million represented over 10% of our credit exposure to OTC derivative counterparties.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fair values of nonrecurring assets or liabilities measured using Level 3 inputs were not material as of June 30, 2022 and December 31, 2021, respectively. The Flyers assets acquired and liabilities assumed were measured and recorded at their acquisition date fair values during the six months ended June 30, 2022 as discussed in Note 3.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in which we conduct business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3120" w:type="dxa"/>
            <w:vAlign w:val="bottom"/>
            <w:gridSpan w:val="7"/>
          </w:tcPr>
          <w:p>
            <w:pPr>
              <w:ind w:left="60"/>
              <w:spacing w:after="0"/>
              <w:rPr>
                <w:sz w:val="20"/>
                <w:szCs w:val="20"/>
                <w:color w:val="auto"/>
              </w:rPr>
            </w:pPr>
            <w:r>
              <w:rPr>
                <w:rFonts w:ascii="Arial" w:cs="Arial" w:eastAsia="Arial" w:hAnsi="Arial"/>
                <w:sz w:val="18"/>
                <w:szCs w:val="18"/>
                <w:b w:val="1"/>
                <w:bCs w:val="1"/>
                <w:color w:val="auto"/>
              </w:rPr>
              <w:t>For the Three Months Ended June</w:t>
            </w:r>
          </w:p>
        </w:tc>
        <w:tc>
          <w:tcPr>
            <w:tcW w:w="30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w w:val="98"/>
              </w:rPr>
              <w:t>For the Six Months Ended June 30,</w:t>
            </w:r>
          </w:p>
        </w:tc>
        <w:tc>
          <w:tcPr>
            <w:tcW w:w="0" w:type="dxa"/>
            <w:vAlign w:val="bottom"/>
          </w:tcPr>
          <w:p>
            <w:pPr>
              <w:spacing w:after="0"/>
              <w:rPr>
                <w:sz w:val="1"/>
                <w:szCs w:val="1"/>
                <w:color w:val="auto"/>
              </w:rPr>
            </w:pPr>
          </w:p>
        </w:tc>
      </w:tr>
      <w:tr>
        <w:trPr>
          <w:trHeight w:val="227"/>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5"/>
              </w:rPr>
              <w:t>30,</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0" w:type="dxa"/>
            <w:vAlign w:val="bottom"/>
          </w:tcPr>
          <w:p>
            <w:pPr>
              <w:spacing w:after="0"/>
              <w:rPr>
                <w:sz w:val="1"/>
                <w:szCs w:val="1"/>
                <w:color w:val="auto"/>
              </w:rPr>
            </w:pPr>
          </w:p>
        </w:tc>
      </w:tr>
      <w:tr>
        <w:trPr>
          <w:trHeight w:val="220"/>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48"/>
        </w:trPr>
        <w:tc>
          <w:tcPr>
            <w:tcW w:w="5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Aviation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1,943.8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26"/>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1,047.2</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5,902.9</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2,842.9</w:t>
            </w:r>
          </w:p>
        </w:tc>
        <w:tc>
          <w:tcPr>
            <w:tcW w:w="0" w:type="dxa"/>
            <w:vAlign w:val="bottom"/>
          </w:tcPr>
          <w:p>
            <w:pPr>
              <w:spacing w:after="0"/>
              <w:rPr>
                <w:sz w:val="1"/>
                <w:szCs w:val="1"/>
                <w:color w:val="auto"/>
              </w:rPr>
            </w:pPr>
          </w:p>
        </w:tc>
      </w:tr>
      <w:tr>
        <w:trPr>
          <w:trHeight w:val="248"/>
        </w:trPr>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20"/>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LATAM</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1,321.6</w:t>
            </w:r>
          </w:p>
        </w:tc>
        <w:tc>
          <w:tcPr>
            <w:tcW w:w="0" w:type="dxa"/>
            <w:vAlign w:val="bottom"/>
          </w:tcPr>
          <w:p>
            <w:pPr>
              <w:spacing w:after="0"/>
              <w:rPr>
                <w:sz w:val="1"/>
                <w:szCs w:val="1"/>
                <w:color w:val="auto"/>
              </w:rPr>
            </w:pPr>
          </w:p>
        </w:tc>
      </w:tr>
      <w:tr>
        <w:trPr>
          <w:trHeight w:val="248"/>
        </w:trPr>
        <w:tc>
          <w:tcPr>
            <w:tcW w:w="5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100" w:type="dxa"/>
            <w:vAlign w:val="bottom"/>
          </w:tcPr>
          <w:p>
            <w:pPr>
              <w:ind w:left="20"/>
              <w:spacing w:after="0"/>
              <w:rPr>
                <w:sz w:val="20"/>
                <w:szCs w:val="20"/>
                <w:color w:val="auto"/>
              </w:rPr>
            </w:pPr>
            <w:r>
              <w:rPr>
                <w:rFonts w:ascii="Arial" w:cs="Arial" w:eastAsia="Arial" w:hAnsi="Arial"/>
                <w:sz w:val="18"/>
                <w:szCs w:val="18"/>
                <w:color w:val="auto"/>
              </w:rPr>
              <w:t>Aviation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3,211.3</w:t>
            </w:r>
          </w:p>
        </w:tc>
        <w:tc>
          <w:tcPr>
            <w:tcW w:w="0" w:type="dxa"/>
            <w:vAlign w:val="bottom"/>
          </w:tcPr>
          <w:p>
            <w:pPr>
              <w:spacing w:after="0"/>
              <w:rPr>
                <w:sz w:val="1"/>
                <w:szCs w:val="1"/>
                <w:color w:val="auto"/>
              </w:rPr>
            </w:pPr>
          </w:p>
        </w:tc>
      </w:tr>
      <w:tr>
        <w:trPr>
          <w:trHeight w:val="226"/>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9,869.7</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16,770.5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7,131.8</w:t>
            </w:r>
          </w:p>
        </w:tc>
        <w:tc>
          <w:tcPr>
            <w:tcW w:w="0" w:type="dxa"/>
            <w:vAlign w:val="bottom"/>
          </w:tcPr>
          <w:p>
            <w:pPr>
              <w:spacing w:after="0"/>
              <w:rPr>
                <w:sz w:val="1"/>
                <w:szCs w:val="1"/>
                <w:color w:val="auto"/>
              </w:rPr>
            </w:pPr>
          </w:p>
        </w:tc>
      </w:tr>
      <w:tr>
        <w:trPr>
          <w:trHeight w:val="248"/>
        </w:trPr>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7"/>
        </w:trPr>
        <w:tc>
          <w:tcPr>
            <w:tcW w:w="5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13,043.4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80" w:hanging="273"/>
        <w:spacing w:after="0"/>
        <w:tabs>
          <w:tab w:leader="none" w:pos="28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nature of the receivables related to revenue from contracts with customers and other revenues (excluded from ASC 606) are substantially similar, as they are both generated from transactions with the same type of counterparties (e.g., separate fuel sales and storage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Sheets. As of June 30, 2022 and December 31, 2021, the contract assets and contract liabilities recognized by the Company were not material.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the respective effective income tax rates are as follows (in millions, except for income tax rates):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080" w:type="dxa"/>
            <w:vAlign w:val="bottom"/>
            <w:gridSpan w:val="7"/>
          </w:tcPr>
          <w:p>
            <w:pPr>
              <w:ind w:left="40"/>
              <w:spacing w:after="0"/>
              <w:rPr>
                <w:sz w:val="20"/>
                <w:szCs w:val="20"/>
                <w:color w:val="auto"/>
              </w:rPr>
            </w:pPr>
            <w:r>
              <w:rPr>
                <w:rFonts w:ascii="Arial" w:cs="Arial" w:eastAsia="Arial" w:hAnsi="Arial"/>
                <w:sz w:val="18"/>
                <w:szCs w:val="18"/>
                <w:b w:val="1"/>
                <w:bCs w:val="1"/>
                <w:color w:val="auto"/>
              </w:rPr>
              <w:t>For the Three Months Ended June</w:t>
            </w:r>
          </w:p>
        </w:tc>
        <w:tc>
          <w:tcPr>
            <w:tcW w:w="140" w:type="dxa"/>
            <w:vAlign w:val="bottom"/>
          </w:tcPr>
          <w:p>
            <w:pPr>
              <w:spacing w:after="0"/>
              <w:rPr>
                <w:sz w:val="17"/>
                <w:szCs w:val="17"/>
                <w:color w:val="auto"/>
              </w:rPr>
            </w:pPr>
          </w:p>
        </w:tc>
        <w:tc>
          <w:tcPr>
            <w:tcW w:w="2840" w:type="dxa"/>
            <w:vAlign w:val="bottom"/>
            <w:gridSpan w:val="5"/>
          </w:tcPr>
          <w:p>
            <w:pPr>
              <w:jc w:val="center"/>
              <w:ind w:right="51"/>
              <w:spacing w:after="0"/>
              <w:rPr>
                <w:sz w:val="20"/>
                <w:szCs w:val="20"/>
                <w:color w:val="auto"/>
              </w:rPr>
            </w:pPr>
            <w:r>
              <w:rPr>
                <w:rFonts w:ascii="Arial" w:cs="Arial" w:eastAsia="Arial" w:hAnsi="Arial"/>
                <w:sz w:val="18"/>
                <w:szCs w:val="18"/>
                <w:b w:val="1"/>
                <w:bCs w:val="1"/>
                <w:color w:val="auto"/>
                <w:w w:val="98"/>
              </w:rPr>
              <w:t>For the Six Months Ended June</w:t>
            </w:r>
          </w:p>
        </w:tc>
      </w:tr>
      <w:tr>
        <w:trPr>
          <w:trHeight w:val="227"/>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19"/>
                <w:szCs w:val="19"/>
                <w:color w:val="auto"/>
              </w:rPr>
            </w:pPr>
          </w:p>
        </w:tc>
      </w:tr>
      <w:tr>
        <w:trPr>
          <w:trHeight w:val="220"/>
        </w:trPr>
        <w:tc>
          <w:tcPr>
            <w:tcW w:w="5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3.8</w:t>
            </w: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10.8</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w w:val="99"/>
              </w:rPr>
              <w:t>7.0 %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w w:val="99"/>
              </w:rPr>
              <w:t>22.9 %</w:t>
            </w:r>
          </w:p>
        </w:tc>
      </w:tr>
    </w:tbl>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provision for income taxes for the three months ended June 30, 2022 includes a discrete income tax benefit of $10.6 million, net, of which $6.3 million relates to the reversal of a valuation allowance previously recorded against the deferred tax assets of one of our foreign subsidiaries, $3.0 million relates to the remeasurement of an uncertain tax position and expiration of statute of limitation periods for one of our foreign subsidiaries, and $1.2 million, net, relates to other worldwide tax adjustments. For the three months ended June 30, 2021, the provision includes a net discrete income tax benefit of $2.6 million, of which $4.5 million relates to the impact of a change in the United Kingdom's tax rate, reduced by a net discrete tax expense of $1.9 million related to other worldwide tax adjustments.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provision for income taxes for the six months ended June 30, 2022 includes a discrete income tax benefit of $11.8 million, net, of which $7.1 million relates to the remeasurement of an uncertain tax position and expiration of statute of limitation periods for one of our foreign subsidiaries and $6.3 million relates to the reversal of a valuation allowance previously recorded against the deferred tax assets of one of our foreign subsidiaries, reduced by a net tax expense of $1.6 million related to other worldwide tax adjustments. For the six months ended June 30, 2021, the provision includes a net discrete income tax benefit of $3.8 million, which includes a $4.5 million tax benefit related to the impact of a change in the United Kingdom's tax rate and a $1.6 million tax benefit related to an adjustment for the final purchase price allocation on the sale of the MultiService payment solutions business ("MSTS"), offset by a net discrete tax expense of $2.3 million related to other worldwide tax adjustments.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income tax provisions for the three and six months ended June 30, 2022 and 2021 were calculated based on the estimated annual effective income tax rates for the 2022 and 2021 years, respectively. The actual effective income tax rate for the 2022 year may be materially different for several reasons including differences between estimated versus actual results and the geographic tax jurisdictions in which the results are earned.</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for the 2013 - 2019 tax years. One of our subsidiaries in Denmark has been under audit for its 2013 - 2015 tax years since 2018 and was notified in March 2021 that its 2016 - 2019 tax years were also under examination. Through the six months ended June 30, 2022, we have received final tax assessments for the 2013 and 2014 tax years that were immaterial and a proposed tax assessment for the 2015 tax year of approximately $13.6 million (DKK 96.1 million). In April 2022, we received a proposed tax assessment for the 2016 and 2017 tax years of approximately $18.9 million (DKK 133.8 million) and $21.9 million (DKK 155.5 million), respectively. We believe these assessments are without merit and are vigorously defending against the actions. We have not yet received any proposed assessments related to the 2018 - 2019 tax years, which could be materially larger than the previous assessments if a similar methodology is applied.</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March 2022, we received a proposed settlement for the 2011 to 2014 tax years of the Korea branch of one of our subsidiaries related to income tax assessment notices received in 2017 totaling $8.8 million (KRW 11.3 billion) and revised in 2021 to $8.3 million (KRW 10.6 billion). The proposed settlement reduced the total South Korean assessment for the 2011 to 2014 tax years to approximately $1.6 million (KRW 2.0 billion), including tax, interest, and penalties. We agreed to the proposed settlement in the second quarter of 2022.</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U.S. IRS examination for our 2019 tax year was closed in June 2022, without any adjustments. We have not yet received notification that the examinations of our 2017 and 2018 tax years are closed but do not anticipate any changes from what we previously agreed in March 2022.</w:t>
      </w:r>
    </w:p>
    <w:p>
      <w:pPr>
        <w:spacing w:after="0" w:line="7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Business Segments</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(businesses and governmental) and the products and services provided to those customers. As discussed in Note 3. Acquisitions, Flyers is reported as part of our land segment subsequent to the acquisition on January 3, 2022. We use Income from operations as our primary measure of profit as we believe it is the most meaningful measure to allocate resources and assess the performance of our segments.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and Income from operations by reportable segment is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Three Months Ended</w:t>
            </w: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Six Months Ended June</w:t>
            </w:r>
          </w:p>
        </w:tc>
      </w:tr>
      <w:tr>
        <w:trPr>
          <w:trHeight w:val="227"/>
        </w:trPr>
        <w:tc>
          <w:tcPr>
            <w:tcW w:w="5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Borders>
              <w:bottom w:val="single" w:sz="8" w:color="auto"/>
            </w:tcBorders>
          </w:tcPr>
          <w:p>
            <w:pPr>
              <w:spacing w:after="0"/>
              <w:rPr>
                <w:sz w:val="19"/>
                <w:szCs w:val="19"/>
                <w:color w:val="auto"/>
              </w:rPr>
            </w:pPr>
          </w:p>
        </w:tc>
      </w:tr>
      <w:tr>
        <w:trPr>
          <w:trHeight w:val="22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12,854.0</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4,900.8</w:t>
            </w:r>
          </w:p>
        </w:tc>
      </w:tr>
      <w:tr>
        <w:trPr>
          <w:trHeight w:val="226"/>
        </w:trPr>
        <w:tc>
          <w:tcPr>
            <w:tcW w:w="552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9,812.6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4,645.4</w:t>
            </w:r>
          </w:p>
        </w:tc>
      </w:tr>
      <w:tr>
        <w:trPr>
          <w:trHeight w:val="227"/>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3,497.1</w:t>
            </w:r>
          </w:p>
        </w:tc>
      </w:tr>
      <w:tr>
        <w:trPr>
          <w:trHeight w:val="221"/>
        </w:trPr>
        <w:tc>
          <w:tcPr>
            <w:tcW w:w="55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17,122.1</w:t>
            </w:r>
          </w:p>
        </w:tc>
        <w:tc>
          <w:tcPr>
            <w:tcW w:w="12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7,085.5</w:t>
            </w:r>
          </w:p>
        </w:tc>
        <w:tc>
          <w:tcPr>
            <w:tcW w:w="14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29,504.1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13,043.4</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5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6"/>
        </w:trPr>
        <w:tc>
          <w:tcPr>
            <w:tcW w:w="55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6"/>
        </w:trPr>
        <w:tc>
          <w:tcPr>
            <w:tcW w:w="552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8"/>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6"/>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overhead - unallocated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41"/>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concerning our Accounts receivable, net of allowance for credit losses and Total assets by reportable segment is as follows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198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08"/>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740" w:type="dxa"/>
            <w:vAlign w:val="bottom"/>
          </w:tcPr>
          <w:p>
            <w:pPr>
              <w:ind w:left="140"/>
              <w:spacing w:after="0" w:line="186" w:lineRule="exact"/>
              <w:rPr>
                <w:sz w:val="20"/>
                <w:szCs w:val="20"/>
                <w:color w:val="auto"/>
              </w:rPr>
            </w:pPr>
            <w:r>
              <w:rPr>
                <w:rFonts w:ascii="Arial" w:cs="Arial" w:eastAsia="Arial" w:hAnsi="Arial"/>
                <w:sz w:val="18"/>
                <w:szCs w:val="18"/>
                <w:color w:val="auto"/>
              </w:rPr>
              <w:t>Aviation segment, net of allowance for credit losses of $11.4 and $18.4 as of</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Pr>
          <w:p>
            <w:pPr>
              <w:ind w:left="140"/>
              <w:spacing w:after="0"/>
              <w:rPr>
                <w:sz w:val="20"/>
                <w:szCs w:val="20"/>
                <w:color w:val="auto"/>
              </w:rPr>
            </w:pPr>
            <w:r>
              <w:rPr>
                <w:rFonts w:ascii="Arial" w:cs="Arial" w:eastAsia="Arial" w:hAnsi="Arial"/>
                <w:sz w:val="18"/>
                <w:szCs w:val="18"/>
                <w:color w:val="auto"/>
              </w:rPr>
              <w:t>June 30, 2022 and December 31, 2021, respectively</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1,607.0</w:t>
            </w:r>
          </w:p>
        </w:tc>
        <w:tc>
          <w:tcPr>
            <w:tcW w:w="14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187"/>
        </w:trPr>
        <w:tc>
          <w:tcPr>
            <w:tcW w:w="674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rPr>
              <w:t>Land segment, net of allowance for credit losses of $4.0 and $3.8 as of June 30,</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and December 31, 2021, respectively</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186"/>
        </w:trPr>
        <w:tc>
          <w:tcPr>
            <w:tcW w:w="6740" w:type="dxa"/>
            <w:vAlign w:val="bottom"/>
          </w:tcPr>
          <w:p>
            <w:pPr>
              <w:ind w:left="140"/>
              <w:spacing w:after="0" w:line="186" w:lineRule="exact"/>
              <w:rPr>
                <w:sz w:val="20"/>
                <w:szCs w:val="20"/>
                <w:color w:val="auto"/>
              </w:rPr>
            </w:pPr>
            <w:r>
              <w:rPr>
                <w:rFonts w:ascii="Arial" w:cs="Arial" w:eastAsia="Arial" w:hAnsi="Arial"/>
                <w:sz w:val="18"/>
                <w:szCs w:val="18"/>
                <w:color w:val="auto"/>
              </w:rPr>
              <w:t>Marine segment, net of allowance for credit losses of $3.8 and $3.9 as of</w:t>
            </w: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June 30, 2022 and December 31, 2021, respectively</w:t>
            </w: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46"/>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6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3,288.3</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2,305.6</w:t>
            </w: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26"/>
        </w:trPr>
        <w:tc>
          <w:tcPr>
            <w:tcW w:w="6740" w:type="dxa"/>
            <w:vAlign w:val="bottom"/>
          </w:tcPr>
          <w:p>
            <w:pPr>
              <w:ind w:left="140"/>
              <w:spacing w:after="0"/>
              <w:rPr>
                <w:sz w:val="20"/>
                <w:szCs w:val="20"/>
                <w:color w:val="auto"/>
              </w:rPr>
            </w:pPr>
            <w:r>
              <w:rPr>
                <w:rFonts w:ascii="Arial" w:cs="Arial" w:eastAsia="Arial" w:hAnsi="Arial"/>
                <w:sz w:val="18"/>
                <w:szCs w:val="18"/>
                <w:color w:val="auto"/>
              </w:rPr>
              <w:t>Marine segment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1,462.2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1,022.7</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1"/>
        </w:trPr>
        <w:tc>
          <w:tcPr>
            <w:tcW w:w="67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2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3"/>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8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9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Earnings Per Common Share</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780" w:type="dxa"/>
            <w:vAlign w:val="bottom"/>
            <w:gridSpan w:val="5"/>
          </w:tcPr>
          <w:p>
            <w:pPr>
              <w:jc w:val="right"/>
              <w:ind w:right="91"/>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17"/>
                <w:szCs w:val="17"/>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Six Months Ended June</w:t>
            </w:r>
          </w:p>
        </w:tc>
        <w:tc>
          <w:tcPr>
            <w:tcW w:w="0" w:type="dxa"/>
            <w:vAlign w:val="bottom"/>
          </w:tcPr>
          <w:p>
            <w:pPr>
              <w:spacing w:after="0"/>
              <w:rPr>
                <w:sz w:val="1"/>
                <w:szCs w:val="1"/>
                <w:color w:val="auto"/>
              </w:rPr>
            </w:pPr>
          </w:p>
        </w:tc>
      </w:tr>
      <w:tr>
        <w:trPr>
          <w:trHeight w:val="227"/>
        </w:trPr>
        <w:tc>
          <w:tcPr>
            <w:tcW w:w="55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8"/>
                <w:szCs w:val="18"/>
                <w:b w:val="1"/>
                <w:bCs w:val="1"/>
                <w:color w:val="auto"/>
                <w:w w:val="95"/>
              </w:rPr>
              <w:t>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60" w:type="dxa"/>
            <w:vAlign w:val="bottom"/>
          </w:tcPr>
          <w:p>
            <w:pPr>
              <w:ind w:left="140"/>
              <w:spacing w:after="0"/>
              <w:rPr>
                <w:sz w:val="20"/>
                <w:szCs w:val="20"/>
                <w:color w:val="auto"/>
              </w:rPr>
            </w:pPr>
            <w:r>
              <w:rPr>
                <w:rFonts w:ascii="Arial" w:cs="Arial" w:eastAsia="Arial" w:hAnsi="Arial"/>
                <w:sz w:val="18"/>
                <w:szCs w:val="18"/>
                <w:color w:val="auto"/>
              </w:rPr>
              <w:t>Net income attributable to World Fuel</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24.4</w:t>
            </w:r>
          </w:p>
        </w:tc>
        <w:tc>
          <w:tcPr>
            <w:tcW w:w="14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c>
          <w:tcPr>
            <w:tcW w:w="4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50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6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Denominator:</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60" w:type="dxa"/>
            <w:vAlign w:val="bottom"/>
          </w:tcPr>
          <w:p>
            <w:pPr>
              <w:ind w:left="140"/>
              <w:spacing w:after="0" w:line="186" w:lineRule="exact"/>
              <w:rPr>
                <w:sz w:val="20"/>
                <w:szCs w:val="20"/>
                <w:color w:val="auto"/>
              </w:rPr>
            </w:pPr>
            <w:r>
              <w:rPr>
                <w:rFonts w:ascii="Arial" w:cs="Arial" w:eastAsia="Arial" w:hAnsi="Arial"/>
                <w:sz w:val="18"/>
                <w:szCs w:val="18"/>
                <w:color w:val="auto"/>
              </w:rPr>
              <w:t>Weighted average common shares for basic earnings per common</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60" w:type="dxa"/>
            <w:vAlign w:val="bottom"/>
          </w:tcPr>
          <w:p>
            <w:pPr>
              <w:ind w:left="140"/>
              <w:spacing w:after="0"/>
              <w:rPr>
                <w:sz w:val="20"/>
                <w:szCs w:val="20"/>
                <w:color w:val="auto"/>
              </w:rPr>
            </w:pPr>
            <w:r>
              <w:rPr>
                <w:rFonts w:ascii="Arial" w:cs="Arial" w:eastAsia="Arial" w:hAnsi="Arial"/>
                <w:sz w:val="18"/>
                <w:szCs w:val="18"/>
                <w:color w:val="auto"/>
              </w:rPr>
              <w:t>share</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62.2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66"/>
        </w:trPr>
        <w:tc>
          <w:tcPr>
            <w:tcW w:w="5560" w:type="dxa"/>
            <w:vAlign w:val="bottom"/>
          </w:tcPr>
          <w:p>
            <w:pPr>
              <w:ind w:left="140"/>
              <w:spacing w:after="0" w:line="166" w:lineRule="exact"/>
              <w:rPr>
                <w:sz w:val="20"/>
                <w:szCs w:val="20"/>
                <w:color w:val="auto"/>
              </w:rPr>
            </w:pPr>
            <w:r>
              <w:rPr>
                <w:rFonts w:ascii="Arial" w:cs="Arial" w:eastAsia="Arial" w:hAnsi="Arial"/>
                <w:sz w:val="18"/>
                <w:szCs w:val="18"/>
                <w:color w:val="auto"/>
              </w:rPr>
              <w:t>Weighted average common shares for diluted earnings per</w:t>
            </w:r>
          </w:p>
        </w:tc>
        <w:tc>
          <w:tcPr>
            <w:tcW w:w="8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6"/>
              </w:rPr>
              <w:t>62.4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188"/>
        </w:trPr>
        <w:tc>
          <w:tcPr>
            <w:tcW w:w="5560" w:type="dxa"/>
            <w:vAlign w:val="bottom"/>
          </w:tcPr>
          <w:p>
            <w:pPr>
              <w:ind w:left="140"/>
              <w:spacing w:after="0" w:line="188" w:lineRule="exact"/>
              <w:rPr>
                <w:sz w:val="20"/>
                <w:szCs w:val="20"/>
                <w:color w:val="auto"/>
              </w:rPr>
            </w:pPr>
            <w:r>
              <w:rPr>
                <w:rFonts w:ascii="Arial" w:cs="Arial" w:eastAsia="Arial" w:hAnsi="Arial"/>
                <w:sz w:val="18"/>
                <w:szCs w:val="18"/>
                <w:color w:val="auto"/>
              </w:rPr>
              <w:t>common share</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56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880" w:type="dxa"/>
            <w:vAlign w:val="bottom"/>
          </w:tcPr>
          <w:p>
            <w:pPr>
              <w:jc w:val="right"/>
              <w:ind w:right="671"/>
              <w:spacing w:after="0" w:line="201"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96"/>
              </w:rPr>
              <w:t>0.39</w:t>
            </w:r>
          </w:p>
        </w:tc>
        <w:tc>
          <w:tcPr>
            <w:tcW w:w="140" w:type="dxa"/>
            <w:vAlign w:val="bottom"/>
          </w:tcPr>
          <w:p>
            <w:pPr>
              <w:spacing w:after="0"/>
              <w:rPr>
                <w:sz w:val="17"/>
                <w:szCs w:val="17"/>
                <w:color w:val="auto"/>
              </w:rPr>
            </w:pPr>
          </w:p>
        </w:tc>
        <w:tc>
          <w:tcPr>
            <w:tcW w:w="360" w:type="dxa"/>
            <w:vAlign w:val="bottom"/>
          </w:tcPr>
          <w:p>
            <w:pPr>
              <w:jc w:val="right"/>
              <w:ind w:right="171"/>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0.28</w:t>
            </w:r>
          </w:p>
        </w:tc>
        <w:tc>
          <w:tcPr>
            <w:tcW w:w="420" w:type="dxa"/>
            <w:vAlign w:val="bottom"/>
            <w:gridSpan w:val="2"/>
          </w:tcPr>
          <w:p>
            <w:pPr>
              <w:jc w:val="right"/>
              <w:ind w:right="91"/>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0.80</w:t>
            </w:r>
          </w:p>
        </w:tc>
        <w:tc>
          <w:tcPr>
            <w:tcW w:w="500" w:type="dxa"/>
            <w:vAlign w:val="bottom"/>
            <w:gridSpan w:val="3"/>
          </w:tcPr>
          <w:p>
            <w:pPr>
              <w:jc w:val="right"/>
              <w:ind w:right="91"/>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6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color w:val="auto"/>
              </w:rPr>
              <w:t>Weighted average securities which are not included in the</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calculation of diluted earnings per common share because their</w:t>
            </w: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5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impact is anti-dilutive or their performance conditions have not been</w:t>
            </w:r>
          </w:p>
        </w:tc>
        <w:tc>
          <w:tcPr>
            <w:tcW w:w="8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8"/>
        </w:trPr>
        <w:tc>
          <w:tcPr>
            <w:tcW w:w="5560" w:type="dxa"/>
            <w:vAlign w:val="bottom"/>
            <w:tcBorders>
              <w:bottom w:val="single" w:sz="8" w:color="CCEEFF"/>
            </w:tcBorders>
            <w:shd w:val="clear" w:color="auto" w:fill="CCEEFF"/>
          </w:tcPr>
          <w:p>
            <w:pPr>
              <w:ind w:left="20"/>
              <w:spacing w:after="0" w:line="188" w:lineRule="exact"/>
              <w:rPr>
                <w:sz w:val="20"/>
                <w:szCs w:val="20"/>
                <w:color w:val="auto"/>
              </w:rPr>
            </w:pPr>
            <w:r>
              <w:rPr>
                <w:rFonts w:ascii="Arial" w:cs="Arial" w:eastAsia="Arial" w:hAnsi="Arial"/>
                <w:sz w:val="18"/>
                <w:szCs w:val="18"/>
                <w:color w:val="auto"/>
              </w:rPr>
              <w:t>met</w:t>
            </w: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For example, in December 2021, a judgment was entered against one of our subsidiaries in the Singapore High Court in respect of an action filed by a financing bank of two of our subsidiary’s suppliers. The claims arose out of a financing arrangement between the suppliers and the bank and the resulting judgments, including principal and interest, are in the aggregate amount of approximately $33 million. We believe the claims are without merit, have appealed the judgments and are vigorously defending against the claims.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and Brazil, where the amounts under controversy may be material. During 2016 and 2017, the South Korean branch of one of our subsidiaries received assessments totaling approximately $26.6 million (KRW 34.3 billion) from the regional tax authorities of Seoul, South Korea. The assessment primarily consist of fines and penalties for allegedly failing to issue Value Added Tax ("VAT") invoices and report certain transactions during the period 2011-2014. We believe that these assessments are without merit and are currently appealing the actions.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also involved in several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of approximately $11.6 million (BRL 60.8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established loss provisions for claims and other matters in which losses are probable and can be reasonably estimated. As of June 30, 2022, these reserves were not material. For those matters where a reserve has not been established and for which we believe a loss is reasonably possible, we believe that such losses will not have a material adverse effect on our Condensed Consolidated Financial Statements. However, any adverse resolution of one or more such claims, complaints or proceedings during a particular period could have a material adverse effect on our Condensed Consolidated Financial Statements or disclosures for that period.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3" w:name="page24"/>
    <w:bookmarkEnd w:id="23"/>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discussion should be read in conjunction with our 2021 10-K Report and the unaudited Condensed Consolidated Financial Statements and related Notes in Item 1 - Financial Statements of this 10-Q Report. A reference to a "Note" herein refers to the accompanying Notes to the Condensed Consolidated Financial Statements contained in Item 1 - Financial Statements. The following discussion may contain forward-looking statements, and our actual results may differ materially from the results suggested by these forward-looking statements. Some factors that may cause our results to differ are disclosed in Item 1A - Risk Factors of our 2021 10-K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This 10-Q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10-Q Report includes forward-looking statements regarding (i) the conditions in the aviation, land, and marine markets and their impact on our business, (ii) the effectiveness of our initiatives to reduce cost, improve liquidity and drive enhanced operating efficiencies, as well as the impact of such initiatives on our business and long-term shareholder value, (iii) growth strategies, the impact of fuel prices and our working capital, liquidity, and capital expenditure requirements, (iv) the expected benefit of our land segment restructuring and its ability to create efficiencies and allow for greater scalability and quicker integration of new businesses to capture synergies, (v) our expectations and estimates regarding certain tax, legal and accounting matters, including the impact on our financial statements, (vi) our expectations regarding the financial impact and other benefits of previous acquisitions, including estimates of future expenses and our ability to realize estimated synergies, (vii) estimates regarding the financial impact of our derivative contracts, (viii) our role in the transition to lower carbon alternatives and the impact of our services on such transition, and (ix) the effects of the continuing recovery from the coronavirus pandemic, or COVID-19, including our expectations about demand, volume, and profitability. These forward-looking statements are qualified in their entirety by cautionary statements and risk factor disclosures contained in our SEC filings.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96" w:lineRule="exact"/>
        <w:rPr>
          <w:sz w:val="20"/>
          <w:szCs w:val="20"/>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sudden changes in the market price of fuel or extremely high or low fuel prices that continue for an extended period of time;</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 including our financial covenants;</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the current conflict in Eastern Europe;</w:t>
      </w:r>
    </w:p>
    <w:p>
      <w:pPr>
        <w:spacing w:after="0" w:line="95" w:lineRule="exact"/>
        <w:rPr>
          <w:rFonts w:ascii="Arial" w:cs="Arial" w:eastAsia="Arial" w:hAnsi="Arial"/>
          <w:sz w:val="18"/>
          <w:szCs w:val="18"/>
          <w:color w:val="auto"/>
        </w:rPr>
      </w:pPr>
    </w:p>
    <w:p>
      <w:pPr>
        <w:jc w:val="both"/>
        <w:ind w:left="640" w:hanging="313"/>
        <w:spacing w:after="0" w:line="25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greenhouse gas reduction ("GHG")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4" w:name="page25"/>
    <w:bookmarkEnd w:id="24"/>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3" w:lineRule="exact"/>
        <w:rPr>
          <w:rFonts w:ascii="Arial" w:cs="Arial" w:eastAsia="Arial" w:hAnsi="Arial"/>
          <w:sz w:val="18"/>
          <w:szCs w:val="18"/>
          <w:color w:val="auto"/>
        </w:rPr>
      </w:pPr>
    </w:p>
    <w:p>
      <w:pPr>
        <w:ind w:left="3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inflationary pressures and its impact on our customers or the global economy, including sudden or significant increases in interest rates or a global recession;</w:t>
      </w:r>
    </w:p>
    <w:p>
      <w:pPr>
        <w:spacing w:after="0" w:line="95"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3" w:lineRule="exact"/>
        <w:rPr>
          <w:rFonts w:ascii="Arial" w:cs="Arial" w:eastAsia="Arial" w:hAnsi="Arial"/>
          <w:sz w:val="18"/>
          <w:szCs w:val="18"/>
          <w:color w:val="auto"/>
        </w:rPr>
      </w:pPr>
    </w:p>
    <w:p>
      <w:pPr>
        <w:ind w:left="3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95"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3" w:lineRule="exact"/>
        <w:rPr>
          <w:rFonts w:ascii="Arial" w:cs="Arial" w:eastAsia="Arial" w:hAnsi="Arial"/>
          <w:sz w:val="18"/>
          <w:szCs w:val="18"/>
          <w:color w:val="auto"/>
        </w:rPr>
      </w:pPr>
    </w:p>
    <w:p>
      <w:pPr>
        <w:ind w:left="3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95" w:lineRule="exact"/>
        <w:rPr>
          <w:rFonts w:ascii="Arial" w:cs="Arial" w:eastAsia="Arial" w:hAnsi="Arial"/>
          <w:sz w:val="18"/>
          <w:szCs w:val="18"/>
          <w:color w:val="auto"/>
        </w:rPr>
      </w:pPr>
    </w:p>
    <w:p>
      <w:pPr>
        <w:ind w:left="320" w:right="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95"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3" w:lineRule="exact"/>
        <w:rPr>
          <w:rFonts w:ascii="Arial" w:cs="Arial" w:eastAsia="Arial" w:hAnsi="Arial"/>
          <w:sz w:val="18"/>
          <w:szCs w:val="18"/>
          <w:color w:val="auto"/>
        </w:rPr>
      </w:pPr>
    </w:p>
    <w:p>
      <w:pPr>
        <w:ind w:left="320" w:right="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95"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3" w:lineRule="exact"/>
        <w:rPr>
          <w:rFonts w:ascii="Arial" w:cs="Arial" w:eastAsia="Arial" w:hAnsi="Arial"/>
          <w:sz w:val="18"/>
          <w:szCs w:val="18"/>
          <w:color w:val="auto"/>
        </w:rPr>
      </w:pPr>
    </w:p>
    <w:p>
      <w:pPr>
        <w:ind w:left="3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95" w:lineRule="exact"/>
        <w:rPr>
          <w:rFonts w:ascii="Arial" w:cs="Arial" w:eastAsia="Arial" w:hAnsi="Arial"/>
          <w:sz w:val="18"/>
          <w:szCs w:val="18"/>
          <w:color w:val="auto"/>
        </w:rPr>
      </w:pPr>
    </w:p>
    <w:p>
      <w:pPr>
        <w:ind w:left="320" w:right="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95"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U.K.'s exit from the European Union, known as Brexit, on our business, operations and financial condition;</w:t>
      </w:r>
    </w:p>
    <w:p>
      <w:pPr>
        <w:spacing w:after="0" w:line="113" w:lineRule="exact"/>
        <w:rPr>
          <w:rFonts w:ascii="Arial" w:cs="Arial" w:eastAsia="Arial" w:hAnsi="Arial"/>
          <w:sz w:val="18"/>
          <w:szCs w:val="18"/>
          <w:color w:val="auto"/>
        </w:rPr>
      </w:pPr>
    </w:p>
    <w:p>
      <w:pPr>
        <w:ind w:left="3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95" w:lineRule="exact"/>
        <w:rPr>
          <w:rFonts w:ascii="Arial" w:cs="Arial" w:eastAsia="Arial" w:hAnsi="Arial"/>
          <w:sz w:val="18"/>
          <w:szCs w:val="18"/>
          <w:color w:val="auto"/>
        </w:rPr>
      </w:pPr>
    </w:p>
    <w:p>
      <w:pPr>
        <w:ind w:left="3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manage the effects of the COVID-19 pandemic and the extent of the impact of the pandemic on ours and our customers' sales, profitability, operations and supply chains;</w:t>
      </w:r>
    </w:p>
    <w:p>
      <w:pPr>
        <w:spacing w:after="0" w:line="95" w:lineRule="exact"/>
        <w:rPr>
          <w:rFonts w:ascii="Arial" w:cs="Arial" w:eastAsia="Arial" w:hAnsi="Arial"/>
          <w:sz w:val="18"/>
          <w:szCs w:val="18"/>
          <w:color w:val="auto"/>
        </w:rPr>
      </w:pP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 and</w:t>
      </w:r>
    </w:p>
    <w:p>
      <w:pPr>
        <w:spacing w:after="0" w:line="113" w:lineRule="exact"/>
        <w:rPr>
          <w:rFonts w:ascii="Arial" w:cs="Arial" w:eastAsia="Arial" w:hAnsi="Arial"/>
          <w:sz w:val="18"/>
          <w:szCs w:val="18"/>
          <w:color w:val="auto"/>
        </w:rPr>
      </w:pPr>
    </w:p>
    <w:p>
      <w:pPr>
        <w:ind w:left="320" w:hanging="313"/>
        <w:spacing w:after="0" w:line="254"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2021 10-K Report, and those described from time to time in our other filings with the SEC.</w:t>
      </w: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113" w:right="339" w:bottom="1440" w:gutter="0" w:footer="0" w:header="0"/>
        </w:sectPr>
      </w:pPr>
    </w:p>
    <w:bookmarkStart w:id="25" w:name="page26"/>
    <w:bookmarkEnd w:id="25"/>
    <w:p>
      <w:pPr>
        <w:jc w:val="both"/>
        <w:spacing w:after="0" w:line="248"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land and marine transportation industries. In recent years, we have expanded our product and service offerings to include energy advisory services, sustainability and renewable energy solutions, as well as supply fulfillment for natural gas and power to commercial, industrial and government customers. Our intention is to become a leading global energy management company offering a full suite of energy advisory, management and fulfillment services, technology solutions, payment management solutions, as well as sustainability products and services across the energy product spectrum. We believe that we can have a significant impact on advancing the energy transition to lower carbon alternatives through expanding our portfolio of energy solutions and providing customers with greater access to sustainably sourced energy as well as mechanisms to compensate for residual emissions in the near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operate in three reportable segments consisting of aviation, land, and marine. For additional discussion on our reportable segments, see "Reportable Segments" under Part I, Item 1. Business in our 2021 10-K. Selected financial information with respect to our business segments is provided in Note 11. Business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2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aviation segment has benefited from growth in our fuel and related services offerings, as well as our improving logistics capability and the geographic expansion of our aviation fueling operations into additional international airport locations. As part of our growth strategy, we have also increased the level of inventory that we hold for strategic reasons at certain locations. While we generally enter into financial derivative contracts to mitigate price risk exposure associated with our inventory, depending on market pricing dynamics we may experience negative impacts on our results, particularly in a market pricing environment experiencing severe backwardation, such as in the first half of 2022, where oil futures forward prices traded at significantly lower levels than the current market price. Our results of operations in our aviation segment have been significantly affected during the last two fiscal years by the effects of the COVID-19 pandemic, as well as the withdrawal of the troops in Afghanistan by the U.S. and NATO that concluded in the third quarter of 2021. However, the gradual relaxation of global travel restrictions in conjunction with higher vaccination distribution and lower COVID-19 case rates has contributed to a substantial recovery in global aviation volumes as compared to pre-pandemic levels.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our land segment is well positioned to continue growing market share, both organically and through leveraging the capabilities of our acquisitions, serving to further enhance our commercial and industrial platforms to deliver value-added solutions to customers across the U.S. In addition, to participate in accelerating the energy transition, we continue to focus on the expansion of our sustainability offerings, including renewable fuel products, and carbon management and renewable energy solutions through World Kinect, our global energy management brand. In connection with our efforts to sharpen our portfolio of businesses and accelerate growth in our core business activities, we have also divested of certain businesses and focused on investing in businesses that we believe will drive enhanced operating efficiencies and generate long-term shareholder value. With the addition of Flyers', which we acquired in January 2022, we believe our expanded national platform will continue to accelerate the delivery of value-added solutions to commercial and industrial customers across the United States. See Note 3. Acquisitions for additional information.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6" w:name="page27"/>
    <w:bookmarkEnd w:id="26"/>
    <w:p>
      <w:pPr>
        <w:jc w:val="both"/>
        <w:spacing w:after="0" w:line="249" w:lineRule="auto"/>
        <w:rPr>
          <w:sz w:val="20"/>
          <w:szCs w:val="20"/>
          <w:color w:val="auto"/>
        </w:rPr>
      </w:pPr>
      <w:r>
        <w:rPr>
          <w:rFonts w:ascii="Arial" w:cs="Arial" w:eastAsia="Arial" w:hAnsi="Arial"/>
          <w:sz w:val="18"/>
          <w:szCs w:val="18"/>
          <w:color w:val="auto"/>
        </w:rPr>
        <w:t>In addition, results of operations in our land segment can be significantly affected by market volatility and weather conditions. In periods where we experience historically extreme or unseasonable weather conditions, demand for our products may be affected, both positively and negatively. Finally, our land segment has also benefited from sales to NATO in Afghanistan in recent years, however, such activity materially declined and ultimately concluded in 2021 in connection with the withdrawal of the U.S. and NATO troops.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marine segment has traditionally benefited from elevated fuel prices and volatility, supply uncertainty, and a constrained credit environment. Beginning in the latter part of the first quarter of 2020 and continuing through 2021, we experienced a material decline in volume and related profitability primarily due to the impact of the COVID-19 pandemic on the marine transportation industry. However, in the first half of 2022, our marine segment significantly benefited from the constrained credit environment arising from the dramatic increase in global oil prices and higher interest rates, as well as the disruption of traditional supply patterns and related price volatility.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88"/>
        </w:trPr>
        <w:tc>
          <w:tcPr>
            <w:tcW w:w="7400" w:type="dxa"/>
            <w:vAlign w:val="bottom"/>
            <w:gridSpan w:val="4"/>
          </w:tcPr>
          <w:p>
            <w:pPr>
              <w:spacing w:after="0"/>
              <w:rPr>
                <w:sz w:val="20"/>
                <w:szCs w:val="20"/>
                <w:color w:val="auto"/>
              </w:rPr>
            </w:pPr>
            <w:r>
              <w:rPr>
                <w:rFonts w:ascii="Arial" w:cs="Arial" w:eastAsia="Arial" w:hAnsi="Arial"/>
                <w:sz w:val="18"/>
                <w:szCs w:val="18"/>
                <w:color w:val="auto"/>
              </w:rPr>
              <w:t>Three Months Ended June 30, 2022 Compared to Three Months Ended June 30, 2021</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9"/>
        </w:trPr>
        <w:tc>
          <w:tcPr>
            <w:tcW w:w="64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Consolidated Results of Operations</w:t>
            </w: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3"/>
        </w:trPr>
        <w:tc>
          <w:tcPr>
            <w:tcW w:w="6460" w:type="dxa"/>
            <w:vAlign w:val="bottom"/>
          </w:tcPr>
          <w:p>
            <w:pPr>
              <w:spacing w:after="0"/>
              <w:rPr>
                <w:sz w:val="20"/>
                <w:szCs w:val="20"/>
                <w:color w:val="auto"/>
              </w:rPr>
            </w:pPr>
            <w:r>
              <w:rPr>
                <w:rFonts w:ascii="Arial" w:cs="Arial" w:eastAsia="Arial" w:hAnsi="Arial"/>
                <w:sz w:val="18"/>
                <w:szCs w:val="18"/>
                <w:color w:val="auto"/>
              </w:rPr>
              <w:t>The  following  provides  a  summary  of  our  consolidated  results  of</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operations</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for  the  periods</w:t>
            </w: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indicated  (in  millions):</w:t>
            </w:r>
          </w:p>
        </w:tc>
      </w:tr>
      <w:tr>
        <w:trPr>
          <w:trHeight w:val="254"/>
        </w:trPr>
        <w:tc>
          <w:tcPr>
            <w:tcW w:w="6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8"/>
                <w:szCs w:val="18"/>
                <w:b w:val="1"/>
                <w:bCs w:val="1"/>
                <w:color w:val="auto"/>
                <w:w w:val="97"/>
              </w:rPr>
              <w:t>For the Three Months Ended June 30,</w:t>
            </w:r>
          </w:p>
        </w:tc>
      </w:tr>
      <w:tr>
        <w:trPr>
          <w:trHeight w:val="221"/>
        </w:trPr>
        <w:tc>
          <w:tcPr>
            <w:tcW w:w="64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2021</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7,085.5</w:t>
            </w:r>
          </w:p>
        </w:tc>
      </w:tr>
      <w:tr>
        <w:trPr>
          <w:trHeight w:val="22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16,868.7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6,901.6</w:t>
            </w:r>
          </w:p>
        </w:tc>
      </w:tr>
      <w:tr>
        <w:trPr>
          <w:trHeight w:val="22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06"/>
        </w:trPr>
        <w:tc>
          <w:tcPr>
            <w:tcW w:w="6460" w:type="dxa"/>
            <w:vAlign w:val="bottom"/>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28"/>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6"/>
        </w:trPr>
        <w:tc>
          <w:tcPr>
            <w:tcW w:w="64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8"/>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646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0"/>
        </w:trPr>
        <w:tc>
          <w:tcPr>
            <w:tcW w:w="64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2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6"/>
        </w:trPr>
        <w:tc>
          <w:tcPr>
            <w:tcW w:w="64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0"/>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53"/>
        </w:trPr>
        <w:tc>
          <w:tcPr>
            <w:tcW w:w="6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5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5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three months ended June 30, 2022 was $17.1 billion, an increase of $10.0 billion, or 142%,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June 30, 2021, due to higher fuel prices and increased volumes in our aviation, land, and marine segments, respectively, as discussed further below.</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three months ended June 30, 2022 was $253.4 million, an increase of $69.5 million, or 38%,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2021, attributable to increased gross profit of $55.5 million and $48.6 million in the marine and land segments, respectively, partially offset by a decrease of $34.6 million in the aviation segment, as discussed further below.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three months ended June 30, 2022 were $200.6 million, an increase of $47.7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31%, compared to the three months ended June 30, 2021. The increase in operating expenses was partially attributable to the addition of Flyers' operating expenses of $19.1 million, as well as increased compensation and employee benefit costs, together with higher general and administrative costs associated with more normalized levels of business activity. In 2021, total operating expenses were also impacted by asset impairments and restructuring charges, principally in our land segment.</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Non-Operating Income (Expense), net. </w:t>
      </w:r>
      <w:r>
        <w:rPr>
          <w:rFonts w:ascii="Arial" w:cs="Arial" w:eastAsia="Arial" w:hAnsi="Arial"/>
          <w:sz w:val="18"/>
          <w:szCs w:val="18"/>
          <w:color w:val="auto"/>
        </w:rPr>
        <w:t>For the three months ended June 30, 2022, we had net non-operating expense of $30.5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$11.4 million for the three months ended June 30, 2021. The increase of $19.1 million was primarily attributable to a $16.5 million increase in interest expense, driven by higher interest rates and incremental borrowings during the three months ended June 30, 2022 related to the Flyers acquisition and increased working capital requirements as a result of higher fuel prices and volumes, as well as foreign currency losses. These increases were partially offset by higher equity in earnings during the three months ended June 30, 2022.</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three months ended June 30, 2022, we recognized an income tax benefit of $2.5 million,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$2.0 million for the three months ended June 30, 2021. The decrease of $4.5 million was primarily attributable to an increase of $8.0 million in net discrete tax benefits in the three months ended June 30, 2022 compared to three months ended June 30, 2021. The additional discrete tax benefits were offset by an increase of $3.5 million in the tax provision for the three months ended June 30, 2022 compared to three months ended June 30, 2021 primarily due to differences in the results of our subsidiaries in tax jurisdictions with different tax rates. See Note 10. Income Taxes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Aviation Segment Results of Operations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3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2"/>
        </w:trPr>
        <w:tc>
          <w:tcPr>
            <w:tcW w:w="46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2,805.8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5,037.6</w:t>
            </w:r>
          </w:p>
        </w:tc>
      </w:tr>
      <w:tr>
        <w:trPr>
          <w:trHeight w:val="93"/>
        </w:trPr>
        <w:tc>
          <w:tcPr>
            <w:tcW w:w="4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74"/>
        </w:trPr>
        <w:tc>
          <w:tcPr>
            <w:tcW w:w="4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1,373.8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457.4</w:t>
            </w: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bl>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Revenues in our aviation segment were $7.8 billion for the three months ended June 30, 2022, an increase of $5.0 billion, or 180%, compared to the three months ended June 30, 2021. The increase in revenue was driven by higher average prices and increased volumes. Average jet fuel price per gallon sold increased by 115% in the three months ended June 30, 2022 compared to the three months ended June 30, 2021 as a result of the rise in global oil prices. Total aviation volumes increased by 457.4 million gallons, or 33%, to 1.8 billion gallons as demand for air travel continued to recover, particularly in the North American and European markets.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aviation segment gross profit for the three months ended June 30, 2022 was $52.8 million, a decrease of $34.6 million, or 40%, compared to the three months ended June 30, 2021. The decrease in gross profit was primarily attributable to inventory losses driven by extreme backwardation during the three months ended June 30, 2022 and the reduction in our government-related activity in Afghanistan as a result of the military withdrawal which concluded during the third quarter of 2021, partially offset by increased volumes from the continued recovery in demand for air travel.</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Income (loss) from operations in our aviation segment for the three months ended June 30, 2022 was a loss of $6.9 million, a decrease of $40.9 million, or 120%, compared to the three months ended June 30, 2021. In addition to the decrease in gross profit discussed above, income from operations was also impacted by a $6.3 million increase in operating expenses. The increase in operating expenses was driven by higher general and administrative costs, primarily travel and marketing expenses, and higher compensation and employee benefit costs as business activity resumed to more normalized levels.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3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2"/>
        </w:trPr>
        <w:tc>
          <w:tcPr>
            <w:tcW w:w="46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2,457.2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2,974.6</w:t>
            </w:r>
          </w:p>
        </w:tc>
      </w:tr>
      <w:tr>
        <w:trPr>
          <w:trHeight w:val="93"/>
        </w:trPr>
        <w:tc>
          <w:tcPr>
            <w:tcW w:w="4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74"/>
        </w:trPr>
        <w:tc>
          <w:tcPr>
            <w:tcW w:w="4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color w:val="auto"/>
              </w:rPr>
              <w:t>Land segment volumes (gallons)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1,531.7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1,288.5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243.3</w:t>
            </w: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bl>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Revenues in our land segment were $5.4 billion for the three months ended June 30, 2022, an increase of $3.0 billion, or 121%, compared to the three months ended June 30, 2021. The increase in revenue was principally driven by higher average prices and the acquisition of Flyers. The average price per gallon, or gallon equivalent sold, increased by 86% in the three months ended June 30, 2022 compared to the three months ended June 30, 2021 as a result of the rise in global oil prices. Total volumes increased by 243.3 million, or 19%, to 1.5 billion gallons or gallon equivalents in the three months ended June 30, 2022 compared to the three months ended June 30, 2021, primarily due to the acquisition of Flyers in January 2022.</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land segment gross profit for the three months ended June 30, 2022 was $122.4 million, an increase of $48.6 million, or 66%, compared to the three months ended June 30, 2021. The increase in gross profit was primarily attributable to Flyers gross profit of $41.6 million in the three months ended June 30, 2022 and improved performance in the U.K., partially offset by the reduction in our government-related activity in Afghanistan.</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our land segment, income from operations for the three months ended June 30, 2022 was $33.0 million, an increase of $24.9 million, or 308%, compared to the three months ended June 30, 2021. The increase in income from operations attributable to Flyers of $22.5 million during the three months ended June 30, 2022 and the increase in gross profit discussed above were partially offset by an increase in operating expenses. Operating expenses, excluding Flyers, increased as a result of higher compensation and employee benefit costs and higher general and administrative costs, primarily travel and marketing expenses, as business activity resumed to more normalized levels.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following provides a summary of the marine segment results of operations for the periods indicated (in millions, except price per metric ton):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3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2"/>
        </w:trPr>
        <w:tc>
          <w:tcPr>
            <w:tcW w:w="46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1,822.4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w:t>
            </w:r>
          </w:p>
        </w:tc>
      </w:tr>
      <w:tr>
        <w:trPr>
          <w:trHeight w:val="93"/>
        </w:trPr>
        <w:tc>
          <w:tcPr>
            <w:tcW w:w="4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74"/>
        </w:trPr>
        <w:tc>
          <w:tcPr>
            <w:tcW w:w="4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391.14</w:t>
            </w:r>
          </w:p>
        </w:tc>
      </w:tr>
    </w:tbl>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Revenues in our marine segment were $3.8 billion for the three months ended June 30, 2022, an increase of $2.0 billion, or 111%, compared to the three months ended June 30, 2021. The increase in revenue was principally driven by a 98% increase in the average price per metric ton of bunker fuel sold in the three months ended June 30, 2022 compared to the three months ended June 30, 2021. In addition, total volumes increased by 0.3 million metric tons, or 6%, to 4.9 million metric tons in the three months ended June 30, 2022 compared to the three months ended June 30, 2021.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18"/>
          <w:szCs w:val="18"/>
          <w:color w:val="auto"/>
        </w:rPr>
        <w:t>Our marine segment gross profit for the three months ended June 30, 2022 was $78.2 million, an increase of $55.5 million, or 244%, compared to the three months ended June 30, 2021. The increase in gross profit was principally attributable to the impact of higher bunker fuel prices and market volatility, as well as a constrained credit environment.</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marine segment income from operations for the three months ended June 30, 2022 was $52.7 million, an increase of $48.0 million, or 1,003%, compared to the three months ended June 30, 2021, principally due to the increase in gross profit partially offset by a $7.5 million increase in operating expenses largely driven by increased incentive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2022 Compared to Six Months Ended June 30,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sz w:val="20"/>
                <w:szCs w:val="20"/>
                <w:color w:val="auto"/>
              </w:rPr>
            </w:pPr>
          </w:p>
        </w:tc>
        <w:tc>
          <w:tcPr>
            <w:tcW w:w="3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780" w:type="dxa"/>
            <w:vAlign w:val="bottom"/>
            <w:tcBorders>
              <w:bottom w:val="single" w:sz="8" w:color="auto"/>
            </w:tcBorders>
          </w:tcPr>
          <w:p>
            <w:pPr>
              <w:spacing w:after="0"/>
              <w:rPr>
                <w:sz w:val="20"/>
                <w:szCs w:val="20"/>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13,043.4</w:t>
            </w: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29,019.8</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12,667.9</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r>
      <w:tr>
        <w:trPr>
          <w:trHeight w:val="206"/>
        </w:trPr>
        <w:tc>
          <w:tcPr>
            <w:tcW w:w="6720" w:type="dxa"/>
            <w:vAlign w:val="bottom"/>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3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0"/>
        </w:trPr>
        <w:tc>
          <w:tcPr>
            <w:tcW w:w="6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r>
      <w:tr>
        <w:trPr>
          <w:trHeight w:val="22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r>
      <w:tr>
        <w:trPr>
          <w:trHeight w:val="20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0"/>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7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7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six months ended June 30, 2022 was $29.5 billion, an increase of $16.5 billion, or 126%,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six months ended June 30, 2021, due to higher fuel prices and increased volumes in our aviation, land, and marine segments, respectively, as discussed further below.</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six months ended June 30, 2022 was $484.4 million, an increase of $108.9 million, or 29%,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2021, attributable to increased gross profit of $78.9 million and $77.0 million in the land and marine segments, respectively, partially offset by a decrease of $47.1 million in the aviation segment, as discussed further below.</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six months ended June 30, 2022 were $390.3 million, an increase of $83.3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27%, compared to the six months ended June 30, 2021. The increase in operating expenses was partially attributable to the addition of Flyers' operating expenses of $37.5 million, as well as increased compensation and employee benefit costs, together with higher general and administrative costs associated with more normalized levels of business activity. These increases were partially offset by a decrease in asset impairment and restructuring charges compared to the six months ended June 30, 2021, principally in our land segment.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i w:val="1"/>
          <w:iCs w:val="1"/>
          <w:color w:val="auto"/>
        </w:rPr>
        <w:t xml:space="preserve">Non-Operating Income (Expense), net. </w:t>
      </w:r>
      <w:r>
        <w:rPr>
          <w:rFonts w:ascii="Arial" w:cs="Arial" w:eastAsia="Arial" w:hAnsi="Arial"/>
          <w:sz w:val="17"/>
          <w:szCs w:val="17"/>
          <w:color w:val="auto"/>
        </w:rPr>
        <w:t>For the six months ended June 30, 2022, we had net non-operating expense of $39.2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net non-operating expense of $21.3 million the six months ended June 30, 2021. The increase of $17.8 million was primarily attributable to a $22.1 million increase in interest expense, driven by higher interest rates and incremental borrowings during the six months ended June 30, 2022 related to the Flyers acquisition and increased working capital requirements as a result of higher fuel prices and volumes, as well as foreign currency losses. These increases were partially offset by higher equity in earnings during the six months ended June 30, 2022.</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six months ended June 30, 2022, we recognized income tax expense of $3.8 million, compared to $10.8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The decrease of $6.9 million was primarily attributable to an increase of $8.0 million in net discrete tax benefits in the six months ended June 30, 2022 compared to three months ended June 30, 2021. The additional discrete tax benefits were offset by an increase of $1.1 million in the tax provision for the six months ended June 30, 2022 compared to six months ended June 30, 2021 primarily due to differences in the results of our subsidiaries in tax jurisdictions with different tax rates. See Note 10. Income Taxes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Aviation Segment Results of Operations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3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2"/>
        </w:trPr>
        <w:tc>
          <w:tcPr>
            <w:tcW w:w="46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7,953.2</w:t>
            </w:r>
          </w:p>
        </w:tc>
      </w:tr>
      <w:tr>
        <w:trPr>
          <w:trHeight w:val="93"/>
        </w:trPr>
        <w:tc>
          <w:tcPr>
            <w:tcW w:w="4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74"/>
        </w:trPr>
        <w:tc>
          <w:tcPr>
            <w:tcW w:w="46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3,486.6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969.5</w:t>
            </w: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360" w:type="dxa"/>
            <w:vAlign w:val="bottom"/>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bl>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Revenues in our aviation segment were $12.9 billion for the six months ended June 30, 2022, an increase of $8.0 billion, or 162%, compared to the six months ended June 30, 2021. The increase in revenue was driven by higher average prices and increased volume. Average jet fuel price per gallon sold increased by 94% in the six months ended June 30, 2022 compared to the six months ended June 30, 2021. Total aviation volumes increased by 1.0 billion gallons, or 39%, to 3.5 billion gallons as demand for air travel continued to recover, particularly in the North American and European markets.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aviation segment gross profit for the six months ended June 30, 2022 was $117.0 million, a decrease of $47.1 million, or 29%, compared to the six months ended June 30, 2021. The decrease in gross profit was primarily due to inventory losses driven by extreme backwardation and significant price volatility during the six months ended June 30, 2022 and the reduction in our government-related activity in Afghanistan as a result of the military withdrawal which concluded during the third quarter of 2021, partially offset by increased volumes from the continued recovery in demand for air travel.</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Income from operations in our aviation segment for the six months ended June 30, 2022 was $0.7 million, a decrease of $56.4 million, or 99%, compared to the six months ended June 30, 2021. In addition to the decrease in gross profit discussed above, income from operations was also impacted by a $9.3 million increase in operating expenses. The increase in operating expenses was driven by higher general and administrative costs, primarily travel, marketing, and professional fees, as well as higher compensation and employee benefit costs as business activity resumed to more normalized levels.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3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2"/>
        </w:trPr>
        <w:tc>
          <w:tcPr>
            <w:tcW w:w="46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5,167.2</w:t>
            </w:r>
          </w:p>
        </w:tc>
      </w:tr>
      <w:tr>
        <w:trPr>
          <w:trHeight w:val="93"/>
        </w:trPr>
        <w:tc>
          <w:tcPr>
            <w:tcW w:w="4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74"/>
        </w:trPr>
        <w:tc>
          <w:tcPr>
            <w:tcW w:w="4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color w:val="auto"/>
              </w:rPr>
              <w:t>Land segment volumes (gallons)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3,114.3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522.8</w:t>
            </w: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Revenues in our land segment were $9.8 billion for the six months ended June 30, 2022, an increase of $5.2 billion, or 111%, compared to the six months ended June 30, 2021. The increase in revenue was principally driven by higher average prices and the acquisition of Flyers. The average price per gallon sold increased by 76% in the six months ended June 30, 2022 compared to the six months ended June 30, 2021. In addition, total volumes increased by 522.8 million gallons, or 20%, to 3.1 billion gallons or gallon equivalents in the six months ended June 30, 2022 compared to the six months ended June 30, 2021, primarily due the acquisition of Flyers.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land segment gross profit for the six months ended June 30, 2022 was $242.2 million, an increase of $78.9 million, or 48%, compared to the six months ended June 30, 2021. The increase in gross profit was primarily attributable to Flyers gross profit of $77.6 million in the six months ended June 30, 2022 as well as improved results in the U.K.. These increases were partially offset by the reduction in our government-related activity in Afghanistan as well as a decline in our natural gas activities relative to the exceptional results during the six months ended June 30, 2021, which benefited from extreme weather conditions.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our land segment, income from operations for the six months ended June 30, 2022 was $66.3 million, an increase of $25.5 million, or 62%, compared to the six months ended June 30, 2021, primarily attributable to the increase in income from operations attributable to Flyers of $40.1 million during the six months ended June 30, 2022 and the increase in gross profit discussed above. These increases were partially offset by an increase in operating expenses, excluding Flyers, driven by higher compensation and employee benefit costs and general and administrative costs, as described under Consolidated Results of Operations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following provides a summary of the marine segment results of operations for the periods indicated (in millions, except price per metric ton):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3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2"/>
        </w:trPr>
        <w:tc>
          <w:tcPr>
            <w:tcW w:w="46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3,340.3</w:t>
            </w:r>
          </w:p>
        </w:tc>
      </w:tr>
      <w:tr>
        <w:trPr>
          <w:trHeight w:val="93"/>
        </w:trPr>
        <w:tc>
          <w:tcPr>
            <w:tcW w:w="46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2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74"/>
        </w:trPr>
        <w:tc>
          <w:tcPr>
            <w:tcW w:w="4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318.01</w:t>
            </w:r>
          </w:p>
        </w:tc>
      </w:tr>
    </w:tbl>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Revenues in our marine segment were $6.8 billion for the six months ended June 30, 2022, an increase of $3.3 billion, or 96%, compared to the six months ended June 30, 2021. The increase in revenue was principally driven by a 80% increase in the average price per metric ton of bunker fuel sold in the six months ended June 30, 2022 compared to the six months ended June 30, 2021. In addition, total volumes increased by 0.7 million metric tons, or 8%, to 9.6 million metric tons in the six months ended June 30, 2022 compared to the six months ended June 30, 2021.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2" w:name="page33"/>
    <w:bookmarkEnd w:id="32"/>
    <w:p>
      <w:pPr>
        <w:jc w:val="both"/>
        <w:spacing w:after="0" w:line="250" w:lineRule="auto"/>
        <w:rPr>
          <w:sz w:val="20"/>
          <w:szCs w:val="20"/>
          <w:color w:val="auto"/>
        </w:rPr>
      </w:pPr>
      <w:r>
        <w:rPr>
          <w:rFonts w:ascii="Arial" w:cs="Arial" w:eastAsia="Arial" w:hAnsi="Arial"/>
          <w:sz w:val="18"/>
          <w:szCs w:val="18"/>
          <w:color w:val="auto"/>
        </w:rPr>
        <w:t>Our marine segment gross profit for the six months ended June 30, 2022 was $125.2 million, an increase of $77.0 million, or 160%, compared to the six months ended June 30, 2021. The increase in gross profit was principally attributable to the impact of higher bunker fuel prices and market volatility, as well as a constrained credit environment.</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marine segment income from operations for the six months ended June 30, 2022 was $75.9 million, an increase of $64.7 million, or 581%, compared to the six months ended June 30, 2021, principally due to the increase in gross profit partially offset by a $12.2 million increase in operating expenses largely driven by increased incentive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Liquidity to fund working capital, as well as make strategic investments to further our growth strategy, is a significant priority for us. Our views concerning liquidity are based on currently available information and if circumstances change significantly, whether as a result of the COVID-19 pandemic or otherwise, the future availability of trade credit or other sources of financing may be reduced, and our liquidity would be adversely affected accordingly.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principally of cash and availability under our Credit Facility, fluctuates based on a number of factors, including the timing of receipts from our customers and payments to our suppliers, changes in fuel prices, as well as our financial performance.</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Based on the information currently available, we believe that our cash and cash equivalents as of June 30, 2022 and available funds from our Credit Facility, together with cash flows generated by operations, are sufficient to fund our working capital and capital expenditure requirements for at least the next twelve months.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On April 1, 2022, we entered into Amendment No. 8 to Fourth Amended and Restated Credit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to amend certain terms and conditions of our Credit Facility, including: (i) increasing the revolving credit facility to $1.5 billion and providing a term loan of $500 million, thereby replacing the existing Term Loan and increasing the total facilities to $2.0 billion; (ii) modifying the pricing of the loans, including the reference rates for various currencies to reflect the discontinuation of LIBOR; (iii) extending the maturity to April 1, 2027; and (iv) modifying certain financial and other covenants to provide greater operating flexibility. Our availability under our Credit Facility is limited by, among other things, our consolidated total leverage ratio, which is defined in the Credit Agreement and is based, in part, on our adjusted consolidated earnings before interest, taxes, depreciation and amortization, and share-based compensation ("Adjusted EBITDA") for the four immediately preceding fiscal quarters. The Credit Facility generally limits the total amount of indebtedness we may incur to not more than 4.75 to 1.</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result of the foregoing, as well as other covenants and restrictions contained in our Credit Facility, our availability under the Credit Facility may fluctuate from period to period. In addition,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Receivables Purchase Agreements. </w:t>
      </w:r>
      <w:r>
        <w:rPr>
          <w:rFonts w:ascii="Arial" w:cs="Arial" w:eastAsia="Arial" w:hAnsi="Arial"/>
          <w:sz w:val="17"/>
          <w:szCs w:val="17"/>
          <w:color w:val="auto"/>
        </w:rPr>
        <w:t>We also have accounts receivable programs under receivables purchase agreements ("RPAs") that allow</w:t>
      </w:r>
      <w:r>
        <w:rPr>
          <w:rFonts w:ascii="Arial" w:cs="Arial" w:eastAsia="Arial" w:hAnsi="Arial"/>
          <w:sz w:val="17"/>
          <w:szCs w:val="17"/>
          <w:i w:val="1"/>
          <w:iCs w:val="1"/>
          <w:color w:val="auto"/>
        </w:rPr>
        <w:t xml:space="preserve"> </w:t>
      </w:r>
      <w:r>
        <w:rPr>
          <w:rFonts w:ascii="Arial" w:cs="Arial" w:eastAsia="Arial" w:hAnsi="Arial"/>
          <w:sz w:val="17"/>
          <w:szCs w:val="17"/>
          <w:color w:val="auto"/>
        </w:rPr>
        <w:t>us to sell a specified amount of qualifying accounts receivable and receive cash consideration equal to the total balance, less a discount margin, which varies based on the outstanding accounts receivable at any given time. The RPA agreements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During the six months ended June 30, 2022 and 2021, we sold receivables under the RPAs with an aggregate face value of $6.2 billion and $4.3 billion, respectively. See Note 2. Accounts Receivable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There were no material changes in our expected future uses of liquidity from December 31, 2021 to June 30, 2022. For a discussion of these matters, refer to Item 7 - Liquidity and Capital Resources of our 2021 10-K Report.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Cash Flows</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reflects the major categories of cash flows for the six months ended June 30, 2022 and 2021 (in millions). For additional details, please see the unaudited Condensed Consolidated Statements of Cash Flows in this Quarterly Report on Form 10-Q.</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00" w:type="dxa"/>
            <w:vAlign w:val="bottom"/>
          </w:tcPr>
          <w:p>
            <w:pPr>
              <w:spacing w:after="0"/>
              <w:rPr>
                <w:sz w:val="20"/>
                <w:szCs w:val="20"/>
                <w:color w:val="auto"/>
              </w:rPr>
            </w:pPr>
          </w:p>
        </w:tc>
        <w:tc>
          <w:tcPr>
            <w:tcW w:w="38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8"/>
                <w:szCs w:val="18"/>
                <w:b w:val="1"/>
                <w:bCs w:val="1"/>
                <w:color w:val="auto"/>
              </w:rPr>
              <w:t>For the Six Months Ended June 30,</w:t>
            </w:r>
          </w:p>
        </w:tc>
        <w:tc>
          <w:tcPr>
            <w:tcW w:w="660" w:type="dxa"/>
            <w:vAlign w:val="bottom"/>
            <w:tcBorders>
              <w:bottom w:val="single" w:sz="8" w:color="auto"/>
            </w:tcBorders>
          </w:tcPr>
          <w:p>
            <w:pPr>
              <w:spacing w:after="0"/>
              <w:rPr>
                <w:sz w:val="20"/>
                <w:szCs w:val="20"/>
                <w:color w:val="auto"/>
              </w:rPr>
            </w:pPr>
          </w:p>
        </w:tc>
      </w:tr>
      <w:tr>
        <w:trPr>
          <w:trHeight w:val="221"/>
        </w:trPr>
        <w:tc>
          <w:tcPr>
            <w:tcW w:w="67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26"/>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(678.5)</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bl>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six months ended June 30, 2022, net cash used in operating activities was $29.2 million, compared to $140.6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net cash provided during the six months ended June 30, 2021. The $169.8 million decrease in operating cash flows was principally attributable to an increase in working capital driven by higher fuel prices and increased volume and inventory levels during the six months ended June 30, 2022.</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six months ended June 30, 2022, net cash used in investing activities was $678.5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$19.7 million during the six months ended June 30, 2021. The net cash used in investing activities for the six months ended June 30, 2022 was primarily driven by $639.4 million net cash paid for the acquisition of Flyers, as discussed in Note 3. Acquisitions, and $37.7 million for capital expenditures. Net cash used in investing activities for the six months ended June 30, 2021 was principally due to capital expenditures of $14.2 million.</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six months ended June 30, 2022, net cash provided by financing activities was $451.0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of $35.7 million for the six months ended June 30, 2021. The net cash provided by financing activities for the six months ended June 30, 2022 was primarily attributable to net borrowings under our Credit Facility of $528.0 million, primarily driven by incremental borrowings related to the acquisition of Flyers and increased working capital requirements, partially offset by $48.7 million in purchases of our common stock and dividend payments of $15.0 million. Net cash used in financing activities for the six months ended June 30, 2021 was primarily driven by dividend payments on our common stock of $13.6 million and net repayments of debt under our Credit Facility of $8.6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unaudited Condensed Consolidated Financial Statements are prepared in accordance with accounting principles generally accepted in the United States of America ("U.S. GAAP"). The significant accounting policies used are disclosed in Item 15 - Financial Statement Schedules, Note 1. Basis of Presentation, New Accounting Standards and Significant Accounting Policies to the Consolidated Financial Statements in our 2021 10-K report.</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make estimates and assumptions that affect the reported amounts on our unaudited Condensed Consolidated Financial Statements and accompanying Notes as of the date of the unaudited Condensed Consolidated Financial Statements. There have been no material changes to the Critical Accounting Estimates disclosed in our 2021 10-K report.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Assessments of Goodwill, Long-Lived Assets, and Equity Investments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assess accounting estimates that require consideration of forecasted financial information. Significant judgment is involved in performing these estimates as they are developed based on forecasted assumptions. As of June 30, 2022, the assumptions used in these assessments, particularly the expected growth rates, the profitability embedded in the projected cash flows provided by our legacy and newly acquired businesses, the discount rate and the market-based multiples, were defined based on available information considering current market volatility and geopolitical risks.</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the assessments performed, and supported by the available information as of June 30, 2022, we concluded that the carrying value of our long-lived assets and equity investments were recoverable and that the fair value of our land and aviation reporting units were not less than their respective carrying values. If our results differ significantly from our assumptions, such impact could potentially result in impairments.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exposures to commodity price, interest rate, or foreign currency risk since December 31,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our 2021 10-K Report for a complete discussion of our exposure to these risks.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information about our derivative instruments at their respective fair value positions as of June 30, 2022, see Note 5. Derivative Instruments.</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three months ended June 30, 2022.</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5" w:name="page36"/>
    <w:bookmarkEnd w:id="35"/>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including, in particular, Brazil, Denmark, South Korea and the U.S. where the amounts under controversy may be material. See Note 10. Income Taxes and Note 13. Commitments and Contingencies within this 10-Q Report as well as Note 9. Commitments and Contingencies and Note 11. Income Taxes within Part IV. Item 15 - Notes to the Consolidated Financial Statements in our 2021 10-K Report for additional details regarding certain tax matters.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 See Note 13. Commitments and Contingencies for additional information.</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periods presented (in thousands, except average price paid per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Total Number</w:t>
            </w:r>
          </w:p>
        </w:tc>
        <w:tc>
          <w:tcPr>
            <w:tcW w:w="220" w:type="dxa"/>
            <w:vAlign w:val="bottom"/>
          </w:tcPr>
          <w:p>
            <w:pPr>
              <w:spacing w:after="0"/>
              <w:rPr>
                <w:sz w:val="17"/>
                <w:szCs w:val="17"/>
                <w:color w:val="auto"/>
              </w:rPr>
            </w:pPr>
          </w:p>
        </w:tc>
        <w:tc>
          <w:tcPr>
            <w:tcW w:w="2320" w:type="dxa"/>
            <w:vAlign w:val="bottom"/>
          </w:tcPr>
          <w:p>
            <w:pPr>
              <w:jc w:val="center"/>
              <w:ind w:right="151"/>
              <w:spacing w:after="0"/>
              <w:rPr>
                <w:sz w:val="20"/>
                <w:szCs w:val="20"/>
                <w:color w:val="auto"/>
              </w:rPr>
            </w:pPr>
            <w:r>
              <w:rPr>
                <w:rFonts w:ascii="Arial" w:cs="Arial" w:eastAsia="Arial" w:hAnsi="Arial"/>
                <w:sz w:val="18"/>
                <w:szCs w:val="18"/>
                <w:b w:val="1"/>
                <w:bCs w:val="1"/>
                <w:color w:val="auto"/>
                <w:w w:val="98"/>
              </w:rPr>
              <w:t>Approximate Dollar</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2"/>
          </w:tcPr>
          <w:p>
            <w:pPr>
              <w:jc w:val="center"/>
              <w:ind w:right="140"/>
              <w:spacing w:after="0" w:line="174" w:lineRule="exact"/>
              <w:rPr>
                <w:sz w:val="20"/>
                <w:szCs w:val="20"/>
                <w:color w:val="auto"/>
              </w:rPr>
            </w:pPr>
            <w:r>
              <w:rPr>
                <w:rFonts w:ascii="Arial" w:cs="Arial" w:eastAsia="Arial" w:hAnsi="Arial"/>
                <w:sz w:val="18"/>
                <w:szCs w:val="18"/>
                <w:b w:val="1"/>
                <w:bCs w:val="1"/>
                <w:color w:val="auto"/>
                <w:w w:val="98"/>
              </w:rPr>
              <w:t>of Shares Purchased</w:t>
            </w:r>
          </w:p>
        </w:tc>
        <w:tc>
          <w:tcPr>
            <w:tcW w:w="220" w:type="dxa"/>
            <w:vAlign w:val="bottom"/>
          </w:tcPr>
          <w:p>
            <w:pPr>
              <w:spacing w:after="0"/>
              <w:rPr>
                <w:sz w:val="15"/>
                <w:szCs w:val="15"/>
                <w:color w:val="auto"/>
              </w:rPr>
            </w:pPr>
          </w:p>
        </w:tc>
        <w:tc>
          <w:tcPr>
            <w:tcW w:w="2320" w:type="dxa"/>
            <w:vAlign w:val="bottom"/>
          </w:tcPr>
          <w:p>
            <w:pPr>
              <w:jc w:val="center"/>
              <w:ind w:right="131"/>
              <w:spacing w:after="0" w:line="174" w:lineRule="exact"/>
              <w:rPr>
                <w:sz w:val="20"/>
                <w:szCs w:val="20"/>
                <w:color w:val="auto"/>
              </w:rPr>
            </w:pPr>
            <w:r>
              <w:rPr>
                <w:rFonts w:ascii="Arial" w:cs="Arial" w:eastAsia="Arial" w:hAnsi="Arial"/>
                <w:sz w:val="18"/>
                <w:szCs w:val="18"/>
                <w:b w:val="1"/>
                <w:bCs w:val="1"/>
                <w:color w:val="auto"/>
                <w:w w:val="98"/>
              </w:rPr>
              <w:t>Value of Shares that</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8"/>
              </w:rPr>
              <w:t>Average Price</w:t>
            </w:r>
          </w:p>
        </w:tc>
        <w:tc>
          <w:tcPr>
            <w:tcW w:w="2540" w:type="dxa"/>
            <w:vAlign w:val="bottom"/>
            <w:gridSpan w:val="2"/>
          </w:tcPr>
          <w:p>
            <w:pPr>
              <w:jc w:val="center"/>
              <w:ind w:right="160"/>
              <w:spacing w:after="0" w:line="174" w:lineRule="exact"/>
              <w:rPr>
                <w:sz w:val="20"/>
                <w:szCs w:val="20"/>
                <w:color w:val="auto"/>
              </w:rPr>
            </w:pPr>
            <w:r>
              <w:rPr>
                <w:rFonts w:ascii="Arial" w:cs="Arial" w:eastAsia="Arial" w:hAnsi="Arial"/>
                <w:sz w:val="18"/>
                <w:szCs w:val="18"/>
                <w:b w:val="1"/>
                <w:bCs w:val="1"/>
                <w:color w:val="auto"/>
                <w:w w:val="98"/>
              </w:rPr>
              <w:t>as Part of Publicly</w:t>
            </w:r>
          </w:p>
        </w:tc>
        <w:tc>
          <w:tcPr>
            <w:tcW w:w="220" w:type="dxa"/>
            <w:vAlign w:val="bottom"/>
          </w:tcPr>
          <w:p>
            <w:pPr>
              <w:spacing w:after="0"/>
              <w:rPr>
                <w:sz w:val="15"/>
                <w:szCs w:val="15"/>
                <w:color w:val="auto"/>
              </w:rPr>
            </w:pPr>
          </w:p>
        </w:tc>
        <w:tc>
          <w:tcPr>
            <w:tcW w:w="2320" w:type="dxa"/>
            <w:vAlign w:val="bottom"/>
          </w:tcPr>
          <w:p>
            <w:pPr>
              <w:jc w:val="center"/>
              <w:ind w:right="131"/>
              <w:spacing w:after="0" w:line="174" w:lineRule="exact"/>
              <w:rPr>
                <w:sz w:val="20"/>
                <w:szCs w:val="20"/>
                <w:color w:val="auto"/>
              </w:rPr>
            </w:pPr>
            <w:r>
              <w:rPr>
                <w:rFonts w:ascii="Arial" w:cs="Arial" w:eastAsia="Arial" w:hAnsi="Arial"/>
                <w:sz w:val="18"/>
                <w:szCs w:val="18"/>
                <w:b w:val="1"/>
                <w:bCs w:val="1"/>
                <w:color w:val="auto"/>
                <w:w w:val="98"/>
              </w:rPr>
              <w:t>May Yet Be Purchased</w:t>
            </w:r>
          </w:p>
        </w:tc>
        <w:tc>
          <w:tcPr>
            <w:tcW w:w="0" w:type="dxa"/>
            <w:vAlign w:val="bottom"/>
          </w:tcPr>
          <w:p>
            <w:pPr>
              <w:spacing w:after="0"/>
              <w:rPr>
                <w:sz w:val="1"/>
                <w:szCs w:val="1"/>
                <w:color w:val="auto"/>
              </w:rPr>
            </w:pPr>
          </w:p>
        </w:tc>
      </w:tr>
      <w:tr>
        <w:trPr>
          <w:trHeight w:val="173"/>
        </w:trPr>
        <w:tc>
          <w:tcPr>
            <w:tcW w:w="2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20" w:type="dxa"/>
            <w:vAlign w:val="bottom"/>
            <w:gridSpan w:val="2"/>
          </w:tcPr>
          <w:p>
            <w:pPr>
              <w:jc w:val="center"/>
              <w:ind w:right="120"/>
              <w:spacing w:after="0" w:line="174"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540" w:type="dxa"/>
            <w:vAlign w:val="bottom"/>
            <w:gridSpan w:val="2"/>
          </w:tcPr>
          <w:p>
            <w:pPr>
              <w:jc w:val="center"/>
              <w:ind w:right="160"/>
              <w:spacing w:after="0" w:line="174" w:lineRule="exact"/>
              <w:rPr>
                <w:sz w:val="20"/>
                <w:szCs w:val="20"/>
                <w:color w:val="auto"/>
              </w:rPr>
            </w:pPr>
            <w:r>
              <w:rPr>
                <w:rFonts w:ascii="Arial" w:cs="Arial" w:eastAsia="Arial" w:hAnsi="Arial"/>
                <w:sz w:val="18"/>
                <w:szCs w:val="18"/>
                <w:b w:val="1"/>
                <w:bCs w:val="1"/>
                <w:color w:val="auto"/>
                <w:w w:val="98"/>
              </w:rPr>
              <w:t>Announced Plans</w:t>
            </w:r>
          </w:p>
        </w:tc>
        <w:tc>
          <w:tcPr>
            <w:tcW w:w="220" w:type="dxa"/>
            <w:vAlign w:val="bottom"/>
          </w:tcPr>
          <w:p>
            <w:pPr>
              <w:spacing w:after="0"/>
              <w:rPr>
                <w:sz w:val="15"/>
                <w:szCs w:val="15"/>
                <w:color w:val="auto"/>
              </w:rPr>
            </w:pPr>
          </w:p>
        </w:tc>
        <w:tc>
          <w:tcPr>
            <w:tcW w:w="2320" w:type="dxa"/>
            <w:vAlign w:val="bottom"/>
          </w:tcPr>
          <w:p>
            <w:pPr>
              <w:jc w:val="center"/>
              <w:ind w:right="131"/>
              <w:spacing w:after="0" w:line="174" w:lineRule="exact"/>
              <w:rPr>
                <w:sz w:val="20"/>
                <w:szCs w:val="20"/>
                <w:color w:val="auto"/>
              </w:rPr>
            </w:pPr>
            <w:r>
              <w:rPr>
                <w:rFonts w:ascii="Arial" w:cs="Arial" w:eastAsia="Arial" w:hAnsi="Arial"/>
                <w:sz w:val="18"/>
                <w:szCs w:val="18"/>
                <w:b w:val="1"/>
                <w:bCs w:val="1"/>
                <w:color w:val="auto"/>
                <w:w w:val="98"/>
              </w:rPr>
              <w:t>Under the Plans or</w:t>
            </w:r>
          </w:p>
        </w:tc>
        <w:tc>
          <w:tcPr>
            <w:tcW w:w="0" w:type="dxa"/>
            <w:vAlign w:val="bottom"/>
          </w:tcPr>
          <w:p>
            <w:pPr>
              <w:spacing w:after="0"/>
              <w:rPr>
                <w:sz w:val="1"/>
                <w:szCs w:val="1"/>
                <w:color w:val="auto"/>
              </w:rPr>
            </w:pPr>
          </w:p>
        </w:tc>
      </w:tr>
      <w:tr>
        <w:trPr>
          <w:trHeight w:val="227"/>
        </w:trPr>
        <w:tc>
          <w:tcPr>
            <w:tcW w:w="2360" w:type="dxa"/>
            <w:vAlign w:val="bottom"/>
            <w:gridSpan w:val="2"/>
            <w:vMerge w:val="continue"/>
          </w:tcPr>
          <w:p>
            <w:pPr>
              <w:spacing w:after="0"/>
              <w:rPr>
                <w:sz w:val="19"/>
                <w:szCs w:val="19"/>
                <w:color w:val="auto"/>
              </w:rPr>
            </w:pPr>
          </w:p>
        </w:tc>
        <w:tc>
          <w:tcPr>
            <w:tcW w:w="1820" w:type="dxa"/>
            <w:vAlign w:val="bottom"/>
            <w:gridSpan w:val="2"/>
          </w:tcPr>
          <w:p>
            <w:pPr>
              <w:jc w:val="center"/>
              <w:ind w:right="120"/>
              <w:spacing w:after="0" w:line="226" w:lineRule="exact"/>
              <w:rPr>
                <w:sz w:val="20"/>
                <w:szCs w:val="20"/>
                <w:color w:val="auto"/>
              </w:rPr>
            </w:pPr>
            <w:r>
              <w:rPr>
                <w:rFonts w:ascii="Arial" w:cs="Arial" w:eastAsia="Arial" w:hAnsi="Arial"/>
                <w:sz w:val="18"/>
                <w:szCs w:val="18"/>
                <w:b w:val="1"/>
                <w:bCs w:val="1"/>
                <w:color w:val="auto"/>
                <w:w w:val="94"/>
              </w:rPr>
              <w:t xml:space="preserve">Purchased </w:t>
            </w:r>
            <w:r>
              <w:rPr>
                <w:rFonts w:ascii="Arial" w:cs="Arial" w:eastAsia="Arial" w:hAnsi="Arial"/>
                <w:sz w:val="23"/>
                <w:szCs w:val="23"/>
                <w:b w:val="1"/>
                <w:bCs w:val="1"/>
                <w:color w:val="auto"/>
                <w:w w:val="94"/>
                <w:vertAlign w:val="superscript"/>
              </w:rPr>
              <w:t>(1)</w:t>
            </w:r>
          </w:p>
        </w:tc>
        <w:tc>
          <w:tcPr>
            <w:tcW w:w="200" w:type="dxa"/>
            <w:vAlign w:val="bottom"/>
          </w:tcPr>
          <w:p>
            <w:pPr>
              <w:spacing w:after="0"/>
              <w:rPr>
                <w:sz w:val="19"/>
                <w:szCs w:val="19"/>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Paid Per Share</w:t>
            </w:r>
          </w:p>
        </w:tc>
        <w:tc>
          <w:tcPr>
            <w:tcW w:w="2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or Programs</w:t>
            </w:r>
          </w:p>
        </w:tc>
        <w:tc>
          <w:tcPr>
            <w:tcW w:w="220" w:type="dxa"/>
            <w:vAlign w:val="bottom"/>
          </w:tcPr>
          <w:p>
            <w:pPr>
              <w:spacing w:after="0"/>
              <w:rPr>
                <w:sz w:val="19"/>
                <w:szCs w:val="19"/>
                <w:color w:val="auto"/>
              </w:rPr>
            </w:pPr>
          </w:p>
        </w:tc>
        <w:tc>
          <w:tcPr>
            <w:tcW w:w="2320" w:type="dxa"/>
            <w:vAlign w:val="bottom"/>
          </w:tcPr>
          <w:p>
            <w:pPr>
              <w:jc w:val="center"/>
              <w:ind w:right="131"/>
              <w:spacing w:after="0" w:line="226"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4/1/2022 - 4/30/2022</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178,899</w:t>
            </w:r>
          </w:p>
        </w:tc>
        <w:tc>
          <w:tcPr>
            <w:tcW w:w="0" w:type="dxa"/>
            <w:vAlign w:val="bottom"/>
          </w:tcPr>
          <w:p>
            <w:pPr>
              <w:spacing w:after="0"/>
              <w:rPr>
                <w:sz w:val="1"/>
                <w:szCs w:val="1"/>
                <w:color w:val="auto"/>
              </w:rPr>
            </w:pPr>
          </w:p>
        </w:tc>
      </w:tr>
      <w:tr>
        <w:trPr>
          <w:trHeight w:val="226"/>
        </w:trPr>
        <w:tc>
          <w:tcPr>
            <w:tcW w:w="2240" w:type="dxa"/>
            <w:vAlign w:val="bottom"/>
          </w:tcPr>
          <w:p>
            <w:pPr>
              <w:ind w:left="20"/>
              <w:spacing w:after="0"/>
              <w:rPr>
                <w:sz w:val="20"/>
                <w:szCs w:val="20"/>
                <w:color w:val="auto"/>
              </w:rPr>
            </w:pPr>
            <w:r>
              <w:rPr>
                <w:rFonts w:ascii="Arial" w:cs="Arial" w:eastAsia="Arial" w:hAnsi="Arial"/>
                <w:sz w:val="18"/>
                <w:szCs w:val="18"/>
                <w:color w:val="auto"/>
              </w:rPr>
              <w:t>5/1/2022 - 5/31/2022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23.02</w:t>
            </w:r>
          </w:p>
        </w:tc>
        <w:tc>
          <w:tcPr>
            <w:tcW w:w="1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147,053</w:t>
            </w:r>
          </w:p>
        </w:tc>
        <w:tc>
          <w:tcPr>
            <w:tcW w:w="0" w:type="dxa"/>
            <w:vAlign w:val="bottom"/>
          </w:tcPr>
          <w:p>
            <w:pPr>
              <w:spacing w:after="0"/>
              <w:rPr>
                <w:sz w:val="1"/>
                <w:szCs w:val="1"/>
                <w:color w:val="auto"/>
              </w:rPr>
            </w:pPr>
          </w:p>
        </w:tc>
      </w:tr>
      <w:tr>
        <w:trPr>
          <w:trHeight w:val="22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6/1/2022 - 6/30/2022</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147,053</w:t>
            </w:r>
          </w:p>
        </w:tc>
        <w:tc>
          <w:tcPr>
            <w:tcW w:w="0" w:type="dxa"/>
            <w:vAlign w:val="bottom"/>
          </w:tcPr>
          <w:p>
            <w:pPr>
              <w:spacing w:after="0"/>
              <w:rPr>
                <w:sz w:val="1"/>
                <w:szCs w:val="1"/>
                <w:color w:val="auto"/>
              </w:rPr>
            </w:pPr>
          </w:p>
        </w:tc>
      </w:tr>
      <w:tr>
        <w:trPr>
          <w:trHeight w:val="221"/>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9"/>
                <w:szCs w:val="19"/>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147,053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320" w:hanging="313"/>
        <w:spacing w:after="0" w:line="226" w:lineRule="auto"/>
        <w:tabs>
          <w:tab w:leader="none" w:pos="365"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08" w:lineRule="exact"/>
        <w:rPr>
          <w:rFonts w:ascii="Arial" w:cs="Arial" w:eastAsia="Arial" w:hAnsi="Arial"/>
          <w:sz w:val="23"/>
          <w:szCs w:val="23"/>
          <w:color w:val="auto"/>
          <w:vertAlign w:val="superscript"/>
        </w:rPr>
      </w:pPr>
    </w:p>
    <w:p>
      <w:pPr>
        <w:jc w:val="both"/>
        <w:ind w:left="320" w:hanging="313"/>
        <w:spacing w:after="0" w:line="249" w:lineRule="auto"/>
        <w:tabs>
          <w:tab w:leader="none" w:pos="426"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In March 2020, the Board approved a stock repurchase program authorizing $200.0 million in common stock repurchases (the "2020 Repurchase Program"). Our repurchase programs do not require a minimum number of shares of common stock to be purchased, have no expiration date and may be suspended or discontinued at any time. As of June 30, 2022, approximately $147.1 million remains available for purchase under the 2020 Repurchase Program. The timing and amount of shares of common stock to be repurchased under the 2020 Repurchase Program will depend on market conditions, share price, securities law and other legal requirements and factors.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31"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5" w:lineRule="exact"/>
        <w:rPr>
          <w:sz w:val="20"/>
          <w:szCs w:val="20"/>
          <w:color w:val="auto"/>
        </w:rPr>
      </w:pPr>
    </w:p>
    <w:p>
      <w:pPr>
        <w:ind w:left="1440" w:right="200" w:hanging="964"/>
        <w:spacing w:after="0" w:line="212" w:lineRule="auto"/>
        <w:tabs>
          <w:tab w:leader="none" w:pos="142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10.1</w:t>
        </w:r>
      </w:hyperlink>
      <w:r>
        <w:rPr>
          <w:rFonts w:ascii="Arial" w:cs="Arial" w:eastAsia="Arial" w:hAnsi="Arial"/>
          <w:sz w:val="18"/>
          <w:szCs w:val="18"/>
          <w:color w:val="0000FF"/>
        </w:rPr>
        <w:tab/>
        <w:t>Amendment No. 8 to Fourth Amended and Restated Credit Agreement, dated as of April 1, 2022, among World Fuel Services Corporation, World Fuel Services Europe, Ltd., World Fuel Services (Singapore) Pte Ltd, and certain other Subsidiaries, as borrowers, Bank of America, N.A., as administrative agent, and the financial institutions named therein as lenders (incorporated by reference herein from Exhibit 10.1 to our Current Report on Form 8-K filed on April 1, 2022).</w:t>
      </w:r>
    </w:p>
    <w:p>
      <w:pPr>
        <w:spacing w:after="0" w:line="109" w:lineRule="exact"/>
        <w:rPr>
          <w:sz w:val="20"/>
          <w:szCs w:val="20"/>
          <w:color w:val="auto"/>
        </w:rPr>
      </w:pPr>
    </w:p>
    <w:p>
      <w:pPr>
        <w:ind w:left="1440" w:right="200" w:hanging="964"/>
        <w:spacing w:after="0" w:line="212" w:lineRule="auto"/>
        <w:tabs>
          <w:tab w:leader="none" w:pos="1420" w:val="left"/>
        </w:tabs>
        <w:rPr>
          <w:rFonts w:ascii="Arial" w:cs="Arial" w:eastAsia="Arial" w:hAnsi="Arial"/>
          <w:sz w:val="18"/>
          <w:szCs w:val="18"/>
          <w:color w:val="0000FF"/>
        </w:rPr>
      </w:pPr>
      <w:hyperlink w:anchor="page39">
        <w:r>
          <w:rPr>
            <w:rFonts w:ascii="Arial" w:cs="Arial" w:eastAsia="Arial" w:hAnsi="Arial"/>
            <w:sz w:val="18"/>
            <w:szCs w:val="18"/>
            <w:u w:val="single" w:color="auto"/>
            <w:color w:val="0000FF"/>
          </w:rPr>
          <w:t>10.2</w:t>
        </w:r>
      </w:hyperlink>
      <w:r>
        <w:rPr>
          <w:rFonts w:ascii="Arial" w:cs="Arial" w:eastAsia="Arial" w:hAnsi="Arial"/>
          <w:sz w:val="18"/>
          <w:szCs w:val="18"/>
          <w:color w:val="0000FF"/>
        </w:rPr>
        <w:tab/>
        <w:t>Amendment No. 9 to the Fourth Amended and Restated Credit Agreement, dated as of July 12, 2022, among World Fuel Services Corporation, World Fuel Services Europe, Ltd., World Fuel Services (Singapore) Pte Ltd, and certain other Subsidiaries, as borrowers, Bank of America, N.A., as administrative agent, and the financial institutions named therein as lenders.</w:t>
      </w:r>
    </w:p>
    <w:p>
      <w:pPr>
        <w:spacing w:after="0" w:line="109" w:lineRule="exact"/>
        <w:rPr>
          <w:sz w:val="20"/>
          <w:szCs w:val="20"/>
          <w:color w:val="auto"/>
        </w:rPr>
      </w:pPr>
    </w:p>
    <w:p>
      <w:pPr>
        <w:ind w:left="480"/>
        <w:spacing w:after="0"/>
        <w:tabs>
          <w:tab w:leader="none" w:pos="1420" w:val="left"/>
        </w:tabs>
        <w:rPr>
          <w:rFonts w:ascii="Arial" w:cs="Arial" w:eastAsia="Arial" w:hAnsi="Arial"/>
          <w:sz w:val="18"/>
          <w:szCs w:val="18"/>
          <w:color w:val="0000FF"/>
        </w:rPr>
      </w:pPr>
      <w:hyperlink w:anchor="page71">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7"/>
          <w:szCs w:val="17"/>
          <w:color w:val="0000FF"/>
        </w:rPr>
        <w:t>Certification of the Chief Executive Officer pursuant to Rule 13a-14(a) or Rule 15d — 14(a).</w:t>
      </w:r>
    </w:p>
    <w:p>
      <w:pPr>
        <w:spacing w:after="0" w:line="113" w:lineRule="exact"/>
        <w:rPr>
          <w:sz w:val="20"/>
          <w:szCs w:val="20"/>
          <w:color w:val="auto"/>
        </w:rPr>
      </w:pPr>
    </w:p>
    <w:p>
      <w:pPr>
        <w:ind w:left="480"/>
        <w:spacing w:after="0"/>
        <w:tabs>
          <w:tab w:leader="none" w:pos="1420" w:val="left"/>
        </w:tabs>
        <w:rPr>
          <w:rFonts w:ascii="Arial" w:cs="Arial" w:eastAsia="Arial" w:hAnsi="Arial"/>
          <w:sz w:val="18"/>
          <w:szCs w:val="18"/>
          <w:color w:val="0000FF"/>
        </w:rPr>
      </w:pPr>
      <w:hyperlink w:anchor="page72">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7"/>
          <w:szCs w:val="17"/>
          <w:color w:val="0000FF"/>
        </w:rPr>
        <w:t>Certification of the Chief Financial Officer pursuant to Rule 13a-14(a) or Rule 15d — 14(a).</w:t>
      </w:r>
    </w:p>
    <w:p>
      <w:pPr>
        <w:spacing w:after="0" w:line="113" w:lineRule="exact"/>
        <w:rPr>
          <w:sz w:val="20"/>
          <w:szCs w:val="20"/>
          <w:color w:val="auto"/>
        </w:rPr>
      </w:pPr>
    </w:p>
    <w:p>
      <w:pPr>
        <w:ind w:left="480"/>
        <w:spacing w:after="0"/>
        <w:tabs>
          <w:tab w:leader="none" w:pos="1420" w:val="left"/>
        </w:tabs>
        <w:rPr>
          <w:rFonts w:ascii="Arial" w:cs="Arial" w:eastAsia="Arial" w:hAnsi="Arial"/>
          <w:sz w:val="18"/>
          <w:szCs w:val="18"/>
          <w:color w:val="0000FF"/>
        </w:rPr>
      </w:pPr>
      <w:hyperlink w:anchor="page73">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7"/>
          <w:szCs w:val="17"/>
          <w:color w:val="0000FF"/>
        </w:rPr>
        <w:t>Certification of Chief Executive Officer and Chief Financial Officer under Section 906 of the Sarbanes-Oxley Act of 2002.</w:t>
      </w:r>
    </w:p>
    <w:p>
      <w:pPr>
        <w:spacing w:after="0" w:line="113" w:lineRule="exact"/>
        <w:rPr>
          <w:sz w:val="20"/>
          <w:szCs w:val="20"/>
          <w:color w:val="auto"/>
        </w:rPr>
      </w:pPr>
    </w:p>
    <w:p>
      <w:pPr>
        <w:jc w:val="both"/>
        <w:ind w:left="1440" w:hanging="941"/>
        <w:spacing w:after="0" w:line="210"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June 30, 2022, formatted in XBRL (Extensible Business Reporting Language); (i) Condensed Consolidated Balance Sheets, (ii) Condensed Consolidated Statements of Income and Comprehensive Income, (iii) Condensed Consolidated Statements of Shareholders’ Equity, (iv) Condensed Consolidated Statements of Cash Flows, and (v) Notes to the Condensed Consolidated Financial Statements.</w:t>
      </w:r>
    </w:p>
    <w:p>
      <w:pPr>
        <w:spacing w:after="0" w:line="108" w:lineRule="exact"/>
        <w:rPr>
          <w:sz w:val="20"/>
          <w:szCs w:val="20"/>
          <w:color w:val="auto"/>
        </w:rPr>
      </w:pPr>
    </w:p>
    <w:p>
      <w:pPr>
        <w:ind w:left="1440" w:hanging="941"/>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file (formatted in Inline XBRL and contained in Exhibit 101).</w:t>
      </w: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July 29, 2022</w:t>
      </w:r>
      <w:r>
        <w:rPr>
          <w:sz w:val="20"/>
          <w:szCs w:val="20"/>
          <w:color w:val="auto"/>
        </w:rPr>
        <w:tab/>
      </w:r>
      <w:r>
        <w:rPr>
          <w:rFonts w:ascii="Arial" w:cs="Arial" w:eastAsia="Arial" w:hAnsi="Arial"/>
          <w:sz w:val="17"/>
          <w:szCs w:val="17"/>
          <w:color w:val="auto"/>
        </w:rPr>
        <w:t>World Fuel Services Corporation</w:t>
      </w: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4445</wp:posOffset>
            </wp:positionV>
            <wp:extent cx="35585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4445</wp:posOffset>
            </wp:positionV>
            <wp:extent cx="35585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091"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9 TO FOURTH AMENDED AND RESTATED CREDIT AGREEMENT</w:t>
      </w:r>
    </w:p>
    <w:p>
      <w:pPr>
        <w:spacing w:after="0" w:line="197"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9 TO FOURTH AMENDED AND RESTATED CREDIT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dated as of July 12, 2022, is made by and among </w:t>
      </w:r>
      <w:r>
        <w:rPr>
          <w:rFonts w:ascii="Arial" w:cs="Arial" w:eastAsia="Arial" w:hAnsi="Arial"/>
          <w:sz w:val="18"/>
          <w:szCs w:val="18"/>
          <w:b w:val="1"/>
          <w:bCs w:val="1"/>
          <w:color w:val="auto"/>
        </w:rPr>
        <w:t>WORLD FUEL SERVICES CORPORATION</w:t>
      </w:r>
      <w:r>
        <w:rPr>
          <w:rFonts w:ascii="Arial" w:cs="Arial" w:eastAsia="Arial" w:hAnsi="Arial"/>
          <w:sz w:val="18"/>
          <w:szCs w:val="18"/>
          <w:color w:val="auto"/>
        </w:rPr>
        <w:t>, a Florida corporation (“</w:t>
      </w:r>
      <w:r>
        <w:rPr>
          <w:rFonts w:ascii="Arial" w:cs="Arial" w:eastAsia="Arial" w:hAnsi="Arial"/>
          <w:sz w:val="18"/>
          <w:szCs w:val="18"/>
          <w:u w:val="single" w:color="auto"/>
          <w:color w:val="auto"/>
        </w:rPr>
        <w:t>WFS</w:t>
      </w:r>
      <w:r>
        <w:rPr>
          <w:rFonts w:ascii="Arial" w:cs="Arial" w:eastAsia="Arial" w:hAnsi="Arial"/>
          <w:sz w:val="18"/>
          <w:szCs w:val="18"/>
          <w:color w:val="auto"/>
        </w:rPr>
        <w:t xml:space="preserve">”), </w:t>
      </w:r>
      <w:r>
        <w:rPr>
          <w:rFonts w:ascii="Arial" w:cs="Arial" w:eastAsia="Arial" w:hAnsi="Arial"/>
          <w:sz w:val="18"/>
          <w:szCs w:val="18"/>
          <w:b w:val="1"/>
          <w:bCs w:val="1"/>
          <w:color w:val="auto"/>
        </w:rPr>
        <w:t>WORLD FUEL</w:t>
      </w:r>
      <w:r>
        <w:rPr>
          <w:rFonts w:ascii="Arial" w:cs="Arial" w:eastAsia="Arial" w:hAnsi="Arial"/>
          <w:sz w:val="18"/>
          <w:szCs w:val="18"/>
          <w:color w:val="auto"/>
        </w:rPr>
        <w:t xml:space="preserve"> </w:t>
      </w:r>
      <w:r>
        <w:rPr>
          <w:rFonts w:ascii="Arial" w:cs="Arial" w:eastAsia="Arial" w:hAnsi="Arial"/>
          <w:sz w:val="18"/>
          <w:szCs w:val="18"/>
          <w:b w:val="1"/>
          <w:bCs w:val="1"/>
          <w:color w:val="auto"/>
        </w:rPr>
        <w:t>SERVICES EUROPE, LTD.</w:t>
      </w:r>
      <w:r>
        <w:rPr>
          <w:rFonts w:ascii="Arial" w:cs="Arial" w:eastAsia="Arial" w:hAnsi="Arial"/>
          <w:sz w:val="18"/>
          <w:szCs w:val="18"/>
          <w:color w:val="auto"/>
        </w:rPr>
        <w:t>, a corporation organized and existing under the laws of the United Kingdom (“</w:t>
      </w:r>
      <w:r>
        <w:rPr>
          <w:rFonts w:ascii="Arial" w:cs="Arial" w:eastAsia="Arial" w:hAnsi="Arial"/>
          <w:sz w:val="18"/>
          <w:szCs w:val="18"/>
          <w:u w:val="single" w:color="auto"/>
          <w:color w:val="auto"/>
        </w:rPr>
        <w:t>WFS Europe</w:t>
      </w:r>
      <w:r>
        <w:rPr>
          <w:rFonts w:ascii="Arial" w:cs="Arial" w:eastAsia="Arial" w:hAnsi="Arial"/>
          <w:sz w:val="18"/>
          <w:szCs w:val="18"/>
          <w:color w:val="auto"/>
        </w:rPr>
        <w:t>”), and</w:t>
      </w:r>
      <w:r>
        <w:rPr>
          <w:rFonts w:ascii="Arial" w:cs="Arial" w:eastAsia="Arial" w:hAnsi="Arial"/>
          <w:sz w:val="18"/>
          <w:szCs w:val="18"/>
          <w:b w:val="1"/>
          <w:bCs w:val="1"/>
          <w:color w:val="auto"/>
        </w:rPr>
        <w:t xml:space="preserve"> WORLD FUEL SERVICES (SINGAPORE) PTE LTD</w:t>
      </w:r>
      <w:r>
        <w:rPr>
          <w:rFonts w:ascii="Arial" w:cs="Arial" w:eastAsia="Arial" w:hAnsi="Arial"/>
          <w:sz w:val="18"/>
          <w:szCs w:val="18"/>
          <w:color w:val="auto"/>
        </w:rPr>
        <w:t>, a corporation organized and existing under the laws of the Republic of Singapore (“</w:t>
      </w:r>
      <w:r>
        <w:rPr>
          <w:rFonts w:ascii="Arial" w:cs="Arial" w:eastAsia="Arial" w:hAnsi="Arial"/>
          <w:sz w:val="18"/>
          <w:szCs w:val="18"/>
          <w:u w:val="single" w:color="auto"/>
          <w:color w:val="auto"/>
        </w:rPr>
        <w:t>WFS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Singapore</w:t>
      </w:r>
      <w:r>
        <w:rPr>
          <w:rFonts w:ascii="Arial" w:cs="Arial" w:eastAsia="Arial" w:hAnsi="Arial"/>
          <w:sz w:val="18"/>
          <w:szCs w:val="18"/>
          <w:color w:val="auto"/>
        </w:rPr>
        <w:t>”, and together with WFS and WFS Europe, each a “</w:t>
      </w:r>
      <w:r>
        <w:rPr>
          <w:rFonts w:ascii="Arial" w:cs="Arial" w:eastAsia="Arial" w:hAnsi="Arial"/>
          <w:sz w:val="18"/>
          <w:szCs w:val="18"/>
          <w:u w:val="single" w:color="auto"/>
          <w:color w:val="auto"/>
        </w:rPr>
        <w:t>Borrower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xml:space="preserve">”), each of the undersigned Guarantors, </w:t>
      </w: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organized and existing under the laws of the United States (“</w:t>
      </w:r>
      <w:r>
        <w:rPr>
          <w:rFonts w:ascii="Arial" w:cs="Arial" w:eastAsia="Arial" w:hAnsi="Arial"/>
          <w:sz w:val="18"/>
          <w:szCs w:val="18"/>
          <w:u w:val="single" w:color="auto"/>
          <w:color w:val="auto"/>
        </w:rPr>
        <w:t>Bank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America</w:t>
      </w:r>
      <w:r>
        <w:rPr>
          <w:rFonts w:ascii="Arial" w:cs="Arial" w:eastAsia="Arial" w:hAnsi="Arial"/>
          <w:sz w:val="18"/>
          <w:szCs w:val="18"/>
          <w:color w:val="auto"/>
        </w:rPr>
        <w:t>”), in its capacity as administrative agent for the Lenders generally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each of the undersigned Lenders. Except as expressly provided herein, capitalized terms used but not otherwise defined herein have the respective meanings ascribed to them in the Credit Agreement, as defined below after giving effect to this Amendment.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197"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Borrowers, Bank of America, as Administrative Agent, Swing Line Lender and L/C-BA Issuer, and certain banks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have entered into that Fourth Amended and Restated Credit Agreement dated as of October 10, 2013 (as amended by that certain Amendment No. 1 to Fourth Amended and Restated Credit Agreement, and Joinder Agreement dated as of January 30, 2015, that certain Amendment No. 2 to Fourth Amended and Restated Credit Agreement, and Joinder Agreement dated as of October 26, 2016, that certain Amendment No. 3 to Fourth Amended and Restated Credit Agreement dated as of May 12, 2017, that certain Amendment No. 4 to Fourth Amended and Restated Credit Agreement dated as of January 30, 2018, that certain Amendment No. 5 to Fourth Amended and Restated Credit Agreement dated as of July 23, 2019, that certain Amendment No. 6 to Fourth Amended and Restated Credit Agreement dated as of November 24, 202, that certain Amendment No. 7 to Fourth Amended and Restated Credit Agreement dated as of November 26, 2021, that certain Amendment No. 8 to Fourth Amended and Restated Credit Agreement dated as of April 1, 2022 and as further amended,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6" w:lineRule="exact"/>
        <w:rPr>
          <w:sz w:val="20"/>
          <w:szCs w:val="20"/>
          <w:color w:val="auto"/>
        </w:rPr>
      </w:pPr>
    </w:p>
    <w:p>
      <w:pPr>
        <w:jc w:val="both"/>
        <w:ind w:firstLine="640"/>
        <w:spacing w:after="0" w:line="21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Borrowers have requested that the Administrative Agent and the Lenders make certain amendments to the definition</w:t>
      </w:r>
      <w:r>
        <w:rPr>
          <w:rFonts w:ascii="Arial" w:cs="Arial" w:eastAsia="Arial" w:hAnsi="Arial"/>
          <w:sz w:val="20"/>
          <w:szCs w:val="20"/>
          <w:b w:val="1"/>
          <w:bCs w:val="1"/>
          <w:color w:val="auto"/>
        </w:rPr>
        <w:t xml:space="preserve"> </w:t>
      </w:r>
      <w:r>
        <w:rPr>
          <w:rFonts w:ascii="Arial" w:cs="Arial" w:eastAsia="Arial" w:hAnsi="Arial"/>
          <w:sz w:val="20"/>
          <w:szCs w:val="20"/>
          <w:color w:val="auto"/>
        </w:rPr>
        <w:t>of “Consolidated EBITDA” relating to certain losses incurred in connection with its aviation fuel inventory in the second fiscal quarter of 2022; and</w:t>
      </w:r>
    </w:p>
    <w:p>
      <w:pPr>
        <w:spacing w:after="0" w:line="174" w:lineRule="exact"/>
        <w:rPr>
          <w:sz w:val="20"/>
          <w:szCs w:val="20"/>
          <w:color w:val="auto"/>
        </w:rPr>
      </w:pPr>
    </w:p>
    <w:p>
      <w:pPr>
        <w:jc w:val="both"/>
        <w:ind w:firstLine="640"/>
        <w:spacing w:after="0" w:line="23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Administrative Agent and the Required Lenders are willing to effect such amendments on the 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in this Amendment;</w:t>
      </w:r>
    </w:p>
    <w:p>
      <w:pPr>
        <w:spacing w:after="0" w:line="146" w:lineRule="exact"/>
        <w:rPr>
          <w:sz w:val="20"/>
          <w:szCs w:val="20"/>
          <w:color w:val="auto"/>
        </w:rPr>
      </w:pPr>
    </w:p>
    <w:p>
      <w:pPr>
        <w:jc w:val="both"/>
        <w:ind w:firstLine="640"/>
        <w:spacing w:after="0" w:line="230"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mutual covenants contained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agree as follows:</w:t>
      </w:r>
    </w:p>
    <w:p>
      <w:pPr>
        <w:spacing w:after="0" w:line="148" w:lineRule="exact"/>
        <w:rPr>
          <w:sz w:val="20"/>
          <w:szCs w:val="20"/>
          <w:color w:val="auto"/>
        </w:rPr>
      </w:pPr>
    </w:p>
    <w:p>
      <w:pPr>
        <w:ind w:left="1280" w:hanging="633"/>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 Subject to the terms and conditions set forth herein, the Credit Agreement is amended as</w:t>
      </w: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54" w:lineRule="exact"/>
        <w:rPr>
          <w:sz w:val="20"/>
          <w:szCs w:val="20"/>
          <w:color w:val="auto"/>
        </w:rPr>
      </w:pPr>
    </w:p>
    <w:p>
      <w:pPr>
        <w:ind w:left="1600" w:hanging="312"/>
        <w:spacing w:after="0" w:line="227" w:lineRule="auto"/>
        <w:tabs>
          <w:tab w:leader="none" w:pos="159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definition of “Consolidated EBITDA” contained in Section 1.01 of the Credit Agreement is amended and restated in its entirety to read as follows:</w:t>
      </w:r>
    </w:p>
    <w:p>
      <w:pPr>
        <w:spacing w:after="0" w:line="152" w:lineRule="exact"/>
        <w:rPr>
          <w:sz w:val="20"/>
          <w:szCs w:val="20"/>
          <w:color w:val="auto"/>
        </w:rPr>
      </w:pPr>
    </w:p>
    <w:p>
      <w:pPr>
        <w:jc w:val="both"/>
        <w:ind w:left="1280" w:firstLine="640"/>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xml:space="preserve">” means, for any period, for WFS and its Restricted Subsidiaries on a consolidated basis, an amount equal to Consolidated Net 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 the following to the extent deducted in calculating such Consolidated Net Income: (i) Consolidated Interest Charges for such period, (ii) the provision for Federal, state, local and foreign income taxes payable by WFS and its Restricted Subsidiaries for such period, (iii) depreciation and amortization expense for such period, (iv) other non-recurring expenses of WFS and its Restricted Subsidiaries reducing such Consolidated Net Income which do not represent a cash item in such period or any future period, (v) non-cash expenses related to stock-based compensation (other than with</w:t>
      </w:r>
    </w:p>
    <w:p>
      <w:pPr>
        <w:sectPr>
          <w:pgSz w:w="11900" w:h="16838" w:orient="portrait"/>
          <w:cols w:equalWidth="0" w:num="1">
            <w:col w:w="11240"/>
          </w:cols>
          <w:pgMar w:left="320" w:top="104" w:right="339" w:bottom="1440" w:gutter="0" w:footer="0" w:header="0"/>
        </w:sectPr>
      </w:pPr>
    </w:p>
    <w:bookmarkStart w:id="39" w:name="page40"/>
    <w:bookmarkEnd w:id="39"/>
    <w:p>
      <w:pPr>
        <w:jc w:val="both"/>
        <w:ind w:left="1280"/>
        <w:spacing w:after="0" w:line="221" w:lineRule="auto"/>
        <w:rPr>
          <w:sz w:val="20"/>
          <w:szCs w:val="20"/>
          <w:color w:val="auto"/>
        </w:rPr>
      </w:pPr>
      <w:r>
        <w:rPr>
          <w:rFonts w:ascii="Arial" w:cs="Arial" w:eastAsia="Arial" w:hAnsi="Arial"/>
          <w:sz w:val="18"/>
          <w:szCs w:val="18"/>
          <w:color w:val="auto"/>
        </w:rPr>
        <w:t xml:space="preserve">respect to phantom stock), (vi) other non-recurring cash expenses (including severance costs) of WFS and its Restricted Subsidiaries incurred in any fiscal quarter (but without duplication of any amounts included as Pro Forma Costs Savings), in each case to the extent reducing Consolidated Net Income, publicly disclosed and set forth in reasonable detail in the Compliance Certificate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expenses described in this clause (vi) shall only be permitted to be added to Consolidated Net Income for such period to the extent such expenses collectively do not increase Consolidated EBITDA (measured before giving effect to this clause (vi)) by more than 10% with respect to such period; and (vii) losses relating to aircraft fuel inventory incurred during the fiscal quarter ended June 30, 2022 in an aggregate amount not to exceed $56,000,0000,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following to the extent included in calculating such Consolidated Net Income: (i) Federal, state, local and foreign income tax credits of WFS and its Restricted Subsidiaries for such period and (ii) all non-cash items increasing Consolidated Net Income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period that includes a Permitted Acquisition or Material Disposition such calculation shall be subject to the adjustments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provided that the amount of Pro Forma Cost Savings included in such calculation shall only be permitted to the extent that such amount does not increase Consolidated EBITDA (measured before giving effect to such Pro Forma Cost Savings) by more than 10% and no item included in Pro Forma Cost Savings shall be duplicative of any expense included in clause (vi) above and (y) “Consolidated EBITDA” for any such period shall include the aggregate amount of cash actually distributed by any Unrestricted Subsidiary to WFS or any of its Restricted Subsidiaries during such period.</w:t>
      </w:r>
    </w:p>
    <w:p>
      <w:pPr>
        <w:spacing w:after="0" w:line="153" w:lineRule="exact"/>
        <w:rPr>
          <w:sz w:val="20"/>
          <w:szCs w:val="20"/>
          <w:color w:val="auto"/>
        </w:rPr>
      </w:pPr>
    </w:p>
    <w:p>
      <w:pPr>
        <w:ind w:left="1600" w:hanging="312"/>
        <w:spacing w:after="0"/>
        <w:tabs>
          <w:tab w:leader="none" w:pos="16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Section 6.18 is amended and restated in its entirety to read as follows:</w:t>
      </w:r>
    </w:p>
    <w:p>
      <w:pPr>
        <w:spacing w:after="0" w:line="164" w:lineRule="exact"/>
        <w:rPr>
          <w:rFonts w:ascii="Arial" w:cs="Arial" w:eastAsia="Arial" w:hAnsi="Arial"/>
          <w:sz w:val="20"/>
          <w:szCs w:val="20"/>
          <w:color w:val="auto"/>
        </w:rPr>
      </w:pPr>
    </w:p>
    <w:p>
      <w:pPr>
        <w:jc w:val="both"/>
        <w:ind w:left="1600"/>
        <w:spacing w:after="0" w:line="218" w:lineRule="auto"/>
        <w:rPr>
          <w:rFonts w:ascii="Arial" w:cs="Arial" w:eastAsia="Arial" w:hAnsi="Arial"/>
          <w:sz w:val="20"/>
          <w:szCs w:val="20"/>
          <w:color w:val="auto"/>
        </w:rPr>
      </w:pPr>
      <w:r>
        <w:rPr>
          <w:rFonts w:ascii="Arial" w:cs="Arial" w:eastAsia="Arial" w:hAnsi="Arial"/>
          <w:sz w:val="20"/>
          <w:szCs w:val="20"/>
          <w:b w:val="1"/>
          <w:bCs w:val="1"/>
          <w:color w:val="auto"/>
        </w:rPr>
        <w:t>Post-Closing</w:t>
      </w:r>
      <w:r>
        <w:rPr>
          <w:rFonts w:ascii="Arial" w:cs="Arial" w:eastAsia="Arial" w:hAnsi="Arial"/>
          <w:sz w:val="20"/>
          <w:szCs w:val="20"/>
          <w:color w:val="auto"/>
        </w:rPr>
        <w:t>. (a) Comply with each post-closing obligation included in Amendment No. 8 and (b) by not later than</w:t>
      </w:r>
      <w:r>
        <w:rPr>
          <w:rFonts w:ascii="Arial" w:cs="Arial" w:eastAsia="Arial" w:hAnsi="Arial"/>
          <w:sz w:val="20"/>
          <w:szCs w:val="20"/>
          <w:b w:val="1"/>
          <w:bCs w:val="1"/>
          <w:color w:val="auto"/>
        </w:rPr>
        <w:t xml:space="preserve"> </w:t>
      </w:r>
      <w:r>
        <w:rPr>
          <w:rFonts w:ascii="Arial" w:cs="Arial" w:eastAsia="Arial" w:hAnsi="Arial"/>
          <w:sz w:val="20"/>
          <w:szCs w:val="20"/>
          <w:color w:val="auto"/>
        </w:rPr>
        <w:t>August 15, 2022 deliver evidence of the incumbency of certain officers and their specimen signatures with respect to such Guarantors as the Administrative Agent may reasonably request.</w:t>
      </w:r>
    </w:p>
    <w:p>
      <w:pPr>
        <w:spacing w:after="0" w:line="153" w:lineRule="exact"/>
        <w:rPr>
          <w:rFonts w:ascii="Arial" w:cs="Arial" w:eastAsia="Arial" w:hAnsi="Arial"/>
          <w:sz w:val="20"/>
          <w:szCs w:val="20"/>
          <w:color w:val="auto"/>
        </w:rPr>
      </w:pPr>
    </w:p>
    <w:p>
      <w:pPr>
        <w:ind w:firstLine="647"/>
        <w:spacing w:after="0" w:line="294" w:lineRule="auto"/>
        <w:tabs>
          <w:tab w:leader="none" w:pos="103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Effectiveness; Conditions Precedent</w:t>
      </w:r>
      <w:r>
        <w:rPr>
          <w:rFonts w:ascii="Arial" w:cs="Arial" w:eastAsia="Arial" w:hAnsi="Arial"/>
          <w:sz w:val="17"/>
          <w:szCs w:val="17"/>
          <w:color w:val="auto"/>
        </w:rPr>
        <w:t>. The effectiveness of this Amendment and the amendments to the Credit Agreement herein provided are subject to the satisfaction of the following conditions precedent (the date of such satisfaction,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w:t>
      </w:r>
    </w:p>
    <w:p>
      <w:pPr>
        <w:spacing w:after="0" w:line="108" w:lineRule="exact"/>
        <w:rPr>
          <w:rFonts w:ascii="Arial" w:cs="Arial" w:eastAsia="Arial" w:hAnsi="Arial"/>
          <w:sz w:val="17"/>
          <w:szCs w:val="17"/>
          <w:color w:val="auto"/>
        </w:rPr>
      </w:pPr>
    </w:p>
    <w:p>
      <w:pPr>
        <w:ind w:left="1280" w:firstLine="8"/>
        <w:spacing w:after="0" w:line="227" w:lineRule="auto"/>
        <w:tabs>
          <w:tab w:leader="none" w:pos="1763"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Administrative Agent shall have received counterparts of this Amendment, duly executed by each Borrower, each Guarantor, the Administrative Agent, and the Required Lenders;</w:t>
      </w:r>
    </w:p>
    <w:p>
      <w:pPr>
        <w:spacing w:after="0" w:line="152" w:lineRule="exact"/>
        <w:rPr>
          <w:rFonts w:ascii="Arial" w:cs="Arial" w:eastAsia="Arial" w:hAnsi="Arial"/>
          <w:sz w:val="20"/>
          <w:szCs w:val="20"/>
          <w:color w:val="auto"/>
        </w:rPr>
      </w:pPr>
    </w:p>
    <w:p>
      <w:pPr>
        <w:ind w:left="1720" w:hanging="432"/>
        <w:spacing w:after="0"/>
        <w:tabs>
          <w:tab w:leader="none" w:pos="17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each of the representations and warranties set forth in </w:t>
      </w:r>
      <w:r>
        <w:rPr>
          <w:rFonts w:ascii="Arial" w:cs="Arial" w:eastAsia="Arial" w:hAnsi="Arial"/>
          <w:sz w:val="20"/>
          <w:szCs w:val="20"/>
          <w:u w:val="single" w:color="auto"/>
          <w:color w:val="auto"/>
        </w:rPr>
        <w:t>Sections 6(a)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(d)</w:t>
      </w:r>
      <w:r>
        <w:rPr>
          <w:rFonts w:ascii="Arial" w:cs="Arial" w:eastAsia="Arial" w:hAnsi="Arial"/>
          <w:sz w:val="20"/>
          <w:szCs w:val="20"/>
          <w:color w:val="auto"/>
        </w:rPr>
        <w:t xml:space="preserve"> below is true and correct;</w:t>
      </w:r>
    </w:p>
    <w:p>
      <w:pPr>
        <w:spacing w:after="0" w:line="170" w:lineRule="exact"/>
        <w:rPr>
          <w:rFonts w:ascii="Arial" w:cs="Arial" w:eastAsia="Arial" w:hAnsi="Arial"/>
          <w:sz w:val="20"/>
          <w:szCs w:val="20"/>
          <w:color w:val="auto"/>
        </w:rPr>
      </w:pPr>
    </w:p>
    <w:p>
      <w:pPr>
        <w:jc w:val="both"/>
        <w:ind w:left="1280" w:firstLine="8"/>
        <w:spacing w:after="0" w:line="216" w:lineRule="auto"/>
        <w:tabs>
          <w:tab w:leader="none" w:pos="1866"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for the benefit of each Lender party hereto, an amendment fee in an amount equal to (i) such Lender’s Revolving Commitment plus its Applicable Percentage of the Outstanding Amount of Term Loans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(ii) 0.075%; and</w:t>
      </w:r>
    </w:p>
    <w:p>
      <w:pPr>
        <w:spacing w:after="0" w:line="152" w:lineRule="exact"/>
        <w:rPr>
          <w:rFonts w:ascii="Arial" w:cs="Arial" w:eastAsia="Arial" w:hAnsi="Arial"/>
          <w:sz w:val="20"/>
          <w:szCs w:val="20"/>
          <w:color w:val="auto"/>
        </w:rPr>
      </w:pPr>
    </w:p>
    <w:p>
      <w:pPr>
        <w:ind w:left="1280" w:firstLine="8"/>
        <w:spacing w:after="0" w:line="264" w:lineRule="auto"/>
        <w:tabs>
          <w:tab w:leader="none" w:pos="174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reasonable fees and expenses of counsel to the Administrative Agent to the extent invoiced prior to the date hereof) shall have been paid in full (without prejudice to final settling of accounts for such fees and expenses).</w:t>
      </w:r>
    </w:p>
    <w:p>
      <w:pPr>
        <w:spacing w:after="0" w:line="131" w:lineRule="exact"/>
        <w:rPr>
          <w:rFonts w:ascii="Arial" w:cs="Arial" w:eastAsia="Arial" w:hAnsi="Arial"/>
          <w:sz w:val="18"/>
          <w:szCs w:val="18"/>
          <w:color w:val="auto"/>
        </w:rPr>
      </w:pPr>
    </w:p>
    <w:p>
      <w:pPr>
        <w:ind w:right="20" w:firstLine="647"/>
        <w:spacing w:after="0" w:line="227" w:lineRule="auto"/>
        <w:tabs>
          <w:tab w:leader="none" w:pos="1281"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In order to induce the Administrative Agent and the Lenders to enter into this Amendment, the Borrowers represent and warrant to the Administrative Agent and the Lenders as follows:</w:t>
      </w:r>
    </w:p>
    <w:p>
      <w:pPr>
        <w:spacing w:after="0" w:line="152" w:lineRule="exact"/>
        <w:rPr>
          <w:rFonts w:ascii="Arial" w:cs="Arial" w:eastAsia="Arial" w:hAnsi="Arial"/>
          <w:sz w:val="20"/>
          <w:szCs w:val="20"/>
          <w:color w:val="auto"/>
        </w:rPr>
      </w:pPr>
    </w:p>
    <w:p>
      <w:pPr>
        <w:jc w:val="both"/>
        <w:ind w:left="640" w:firstLine="648"/>
        <w:spacing w:after="0" w:line="216" w:lineRule="auto"/>
        <w:tabs>
          <w:tab w:leader="none" w:pos="1911" w:val="left"/>
        </w:tabs>
        <w:numPr>
          <w:ilvl w:val="1"/>
          <w:numId w:val="16"/>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of the Credit Agreement and in the other Loan Documents are true and correct in all material respects (except for those representations and warranties of the Borrowers that are qualified by materiality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90" w:right="339" w:bottom="1440" w:gutter="0" w:footer="0" w:header="0"/>
        </w:sectPr>
      </w:pPr>
    </w:p>
    <w:bookmarkStart w:id="40" w:name="page41"/>
    <w:bookmarkEnd w:id="40"/>
    <w:p>
      <w:pPr>
        <w:jc w:val="both"/>
        <w:ind w:left="640"/>
        <w:spacing w:after="0" w:line="234" w:lineRule="auto"/>
        <w:rPr>
          <w:sz w:val="20"/>
          <w:szCs w:val="20"/>
          <w:color w:val="auto"/>
        </w:rPr>
      </w:pPr>
      <w:r>
        <w:rPr>
          <w:rFonts w:ascii="Arial" w:cs="Arial" w:eastAsia="Arial" w:hAnsi="Arial"/>
          <w:sz w:val="18"/>
          <w:szCs w:val="18"/>
          <w:color w:val="auto"/>
        </w:rPr>
        <w:t>Material Adverse Effect qualifier, which representations and warranties shall be true in all respects) on and as of the date hereof, except to the extent that such representations and warranties specifically refer to an earlier date, in which case they are true and correct in all material respects (except for those representations and warranties of the Borrowers that are qualified by materiality or a Material Adverse Effect qualifier, which representations and warranties shall be true in all respects) as of such earlier date;</w:t>
      </w:r>
    </w:p>
    <w:p>
      <w:pPr>
        <w:spacing w:after="0" w:line="153" w:lineRule="exact"/>
        <w:rPr>
          <w:sz w:val="20"/>
          <w:szCs w:val="20"/>
          <w:color w:val="auto"/>
        </w:rPr>
      </w:pPr>
    </w:p>
    <w:p>
      <w:pPr>
        <w:jc w:val="both"/>
        <w:ind w:left="640" w:firstLine="648"/>
        <w:spacing w:after="0" w:line="216" w:lineRule="auto"/>
        <w:tabs>
          <w:tab w:leader="none" w:pos="1909"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Persons appearing as Guarantors on the signature pages to this Amendment constitute all Persons who are required to be Guarantors pursuant to the terms of the Credit Agreement and the other Loan Documents, and each of such Persons has become and remains a party to the Guaranty as a Guarantor;</w:t>
      </w:r>
    </w:p>
    <w:p>
      <w:pPr>
        <w:spacing w:after="0" w:line="152" w:lineRule="exact"/>
        <w:rPr>
          <w:rFonts w:ascii="Arial" w:cs="Arial" w:eastAsia="Arial" w:hAnsi="Arial"/>
          <w:sz w:val="20"/>
          <w:szCs w:val="20"/>
          <w:color w:val="auto"/>
        </w:rPr>
      </w:pPr>
    </w:p>
    <w:p>
      <w:pPr>
        <w:jc w:val="both"/>
        <w:ind w:left="640" w:firstLine="648"/>
        <w:spacing w:after="0" w:line="261" w:lineRule="auto"/>
        <w:tabs>
          <w:tab w:leader="none" w:pos="1911"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This Amendment has been duly authorized, executed and delivered by the Borrowers and the Guarantors party hereto and constitutes a legal, valid and binding obligation of such parties, except as may be limited by general principles of equity or by the effect of any applicable bankruptcy, insolvency, reorganization, moratorium or similar law affecting creditors’ rights generally; and</w:t>
      </w:r>
    </w:p>
    <w:p>
      <w:pPr>
        <w:spacing w:after="0" w:line="136" w:lineRule="exact"/>
        <w:rPr>
          <w:rFonts w:ascii="Arial" w:cs="Arial" w:eastAsia="Arial" w:hAnsi="Arial"/>
          <w:sz w:val="17"/>
          <w:szCs w:val="17"/>
          <w:color w:val="auto"/>
        </w:rPr>
      </w:pPr>
    </w:p>
    <w:p>
      <w:pPr>
        <w:ind w:left="1920" w:hanging="632"/>
        <w:spacing w:after="0"/>
        <w:tabs>
          <w:tab w:leader="none" w:pos="1920" w:val="left"/>
        </w:tabs>
        <w:numPr>
          <w:ilvl w:val="1"/>
          <w:numId w:val="17"/>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170" w:lineRule="exact"/>
        <w:rPr>
          <w:rFonts w:ascii="Arial" w:cs="Arial" w:eastAsia="Arial" w:hAnsi="Arial"/>
          <w:sz w:val="20"/>
          <w:szCs w:val="20"/>
          <w:color w:val="auto"/>
        </w:rPr>
      </w:pPr>
    </w:p>
    <w:p>
      <w:pPr>
        <w:jc w:val="both"/>
        <w:ind w:firstLine="647"/>
        <w:spacing w:after="0" w:line="225" w:lineRule="auto"/>
        <w:tabs>
          <w:tab w:leader="none" w:pos="128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Loan Documents (collectively, the “</w:t>
      </w:r>
      <w:r>
        <w:rPr>
          <w:rFonts w:ascii="Arial" w:cs="Arial" w:eastAsia="Arial" w:hAnsi="Arial"/>
          <w:sz w:val="18"/>
          <w:szCs w:val="18"/>
          <w:u w:val="single" w:color="auto"/>
          <w:color w:val="auto"/>
        </w:rPr>
        <w:t>Relevant Documents</w:t>
      </w:r>
      <w:r>
        <w:rPr>
          <w:rFonts w:ascii="Arial" w:cs="Arial" w:eastAsia="Arial" w:hAnsi="Arial"/>
          <w:sz w:val="18"/>
          <w:szCs w:val="18"/>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w:t>
      </w:r>
    </w:p>
    <w:p>
      <w:pPr>
        <w:spacing w:after="0" w:line="155" w:lineRule="exact"/>
        <w:rPr>
          <w:rFonts w:ascii="Arial" w:cs="Arial" w:eastAsia="Arial" w:hAnsi="Arial"/>
          <w:sz w:val="18"/>
          <w:szCs w:val="18"/>
          <w:color w:val="auto"/>
        </w:rPr>
      </w:pPr>
    </w:p>
    <w:p>
      <w:pPr>
        <w:jc w:val="both"/>
        <w:ind w:firstLine="647"/>
        <w:spacing w:after="0" w:line="210" w:lineRule="auto"/>
        <w:tabs>
          <w:tab w:leader="none" w:pos="1281"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Full Force and Effect of Amendment</w:t>
      </w:r>
      <w:r>
        <w:rPr>
          <w:rFonts w:ascii="Arial" w:cs="Arial" w:eastAsia="Arial" w:hAnsi="Arial"/>
          <w:sz w:val="20"/>
          <w:szCs w:val="20"/>
          <w:color w:val="auto"/>
        </w:rPr>
        <w:t xml:space="preserve">. Except as hereby specifically amended, modified or supplemented, the Credit Agreement and all other Loan Documents are hereby confirmed and ratified in all respects and shall be and remain in full force and effect according to their respective terms. The parties hereto agree and understand that the amendment to the Credit Agreement provided by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shall be deemed effective on the Amendment Effective Date.</w:t>
      </w:r>
    </w:p>
    <w:p>
      <w:pPr>
        <w:spacing w:after="0" w:line="155" w:lineRule="exact"/>
        <w:rPr>
          <w:rFonts w:ascii="Arial" w:cs="Arial" w:eastAsia="Arial" w:hAnsi="Arial"/>
          <w:sz w:val="20"/>
          <w:szCs w:val="20"/>
          <w:color w:val="auto"/>
        </w:rPr>
      </w:pPr>
    </w:p>
    <w:p>
      <w:pPr>
        <w:jc w:val="both"/>
        <w:ind w:firstLine="647"/>
        <w:spacing w:after="0" w:line="210" w:lineRule="auto"/>
        <w:tabs>
          <w:tab w:leader="none" w:pos="1281"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55" w:lineRule="exact"/>
        <w:rPr>
          <w:rFonts w:ascii="Arial" w:cs="Arial" w:eastAsia="Arial" w:hAnsi="Arial"/>
          <w:sz w:val="20"/>
          <w:szCs w:val="20"/>
          <w:color w:val="auto"/>
        </w:rPr>
      </w:pPr>
    </w:p>
    <w:p>
      <w:pPr>
        <w:ind w:left="1280" w:hanging="633"/>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in all respects be governed by, and construed in accordance with, the laws of the State</w:t>
      </w:r>
    </w:p>
    <w:p>
      <w:pPr>
        <w:spacing w:after="0" w:line="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of New York.</w:t>
      </w:r>
    </w:p>
    <w:p>
      <w:pPr>
        <w:spacing w:after="0" w:line="154" w:lineRule="exact"/>
        <w:rPr>
          <w:rFonts w:ascii="Arial" w:cs="Arial" w:eastAsia="Arial" w:hAnsi="Arial"/>
          <w:sz w:val="17"/>
          <w:szCs w:val="17"/>
          <w:color w:val="auto"/>
        </w:rPr>
      </w:pPr>
    </w:p>
    <w:p>
      <w:pPr>
        <w:ind w:firstLine="647"/>
        <w:spacing w:after="0" w:line="264" w:lineRule="auto"/>
        <w:tabs>
          <w:tab w:leader="none" w:pos="128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31" w:lineRule="exact"/>
        <w:rPr>
          <w:rFonts w:ascii="Arial" w:cs="Arial" w:eastAsia="Arial" w:hAnsi="Arial"/>
          <w:sz w:val="18"/>
          <w:szCs w:val="18"/>
          <w:color w:val="auto"/>
        </w:rPr>
      </w:pPr>
    </w:p>
    <w:p>
      <w:pPr>
        <w:ind w:firstLine="647"/>
        <w:spacing w:after="0" w:line="227" w:lineRule="auto"/>
        <w:tabs>
          <w:tab w:leader="none" w:pos="1281"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All references in any of the Loan Documents (other than this Amendment) to the “Credit Agreement” shall mean the Credit Agreement, as amended hereby.</w:t>
      </w:r>
    </w:p>
    <w:p>
      <w:pPr>
        <w:spacing w:after="0" w:line="152" w:lineRule="exact"/>
        <w:rPr>
          <w:rFonts w:ascii="Arial" w:cs="Arial" w:eastAsia="Arial" w:hAnsi="Arial"/>
          <w:sz w:val="20"/>
          <w:szCs w:val="20"/>
          <w:color w:val="auto"/>
        </w:rPr>
      </w:pPr>
    </w:p>
    <w:p>
      <w:pPr>
        <w:jc w:val="both"/>
        <w:ind w:firstLine="647"/>
        <w:spacing w:after="0" w:line="216" w:lineRule="auto"/>
        <w:tabs>
          <w:tab w:leader="none" w:pos="1272"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Amendment shall be binding upon and inure to the benefit of the Borrowers, the Administrative Agent, the Guarantors, the Lenders and their respective successors and assignees to the extent such assignees are permitted assignees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90" w:right="339" w:bottom="1440" w:gutter="0" w:footer="0" w:header="0"/>
        </w:sectPr>
      </w:pPr>
    </w:p>
    <w:bookmarkStart w:id="41" w:name="page42"/>
    <w:bookmarkEnd w:id="41"/>
    <w:p>
      <w:pPr>
        <w:ind w:left="1280" w:hanging="633"/>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Amendment shall constitute a “Loan Document” under and as defined in the Credit Agreement.</w:t>
      </w:r>
    </w:p>
    <w:p>
      <w:pPr>
        <w:spacing w:after="0" w:line="193" w:lineRule="exact"/>
        <w:rPr>
          <w:rFonts w:ascii="Arial" w:cs="Arial" w:eastAsia="Arial" w:hAnsi="Arial"/>
          <w:sz w:val="18"/>
          <w:szCs w:val="18"/>
          <w:color w:val="auto"/>
        </w:rPr>
      </w:pPr>
    </w:p>
    <w:p>
      <w:pPr>
        <w:jc w:val="both"/>
        <w:ind w:firstLine="647"/>
        <w:spacing w:after="0" w:line="205" w:lineRule="auto"/>
        <w:tabs>
          <w:tab w:leader="none" w:pos="1272"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Reaffirmation</w:t>
      </w:r>
      <w:r>
        <w:rPr>
          <w:rFonts w:ascii="Arial" w:cs="Arial" w:eastAsia="Arial" w:hAnsi="Arial"/>
          <w:sz w:val="20"/>
          <w:szCs w:val="20"/>
          <w:color w:val="auto"/>
        </w:rPr>
        <w:t>. Each Loan Party (a) acknowledges and consents to all of the terms and conditions of this Amendment, (b) affirms all of its obligations under the Loan Documents as amended hereby, (c) agrees that this Amendment and all documents executed in connection herewith do not operate to reduce or discharge any Loan Party’s obligations under the Loan Documents, (d) affirms that it has the right, power and authority and has taken all necessary corporate and other action to authorize the execution, delivery and performance of this Amendment, and (e) confirms that the Collateral Documents and the Liens granted thereunder remain in full force and effect notwithstanding the entry into this Amendment.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90" w:right="339" w:bottom="1440" w:gutter="0" w:footer="0" w:header="0"/>
        </w:sectPr>
      </w:pPr>
    </w:p>
    <w:bookmarkStart w:id="42" w:name="page43"/>
    <w:bookmarkEnd w:id="42"/>
    <w:p>
      <w:pPr>
        <w:ind w:firstLine="640"/>
        <w:spacing w:after="0" w:line="230"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instrument to be made, executed and delivered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day and year first above written.</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0"/>
          <w:szCs w:val="20"/>
          <w:b w:val="1"/>
          <w:bCs w:val="1"/>
          <w:u w:val="single" w:color="auto"/>
          <w:color w:val="auto"/>
        </w:rPr>
        <w:t>BORROWERS</w:t>
      </w:r>
      <w:r>
        <w:rPr>
          <w:rFonts w:ascii="Arial" w:cs="Arial" w:eastAsia="Arial" w:hAnsi="Arial"/>
          <w:sz w:val="20"/>
          <w:szCs w:val="20"/>
          <w:b w:val="1"/>
          <w:bCs w:val="1"/>
          <w:color w:val="auto"/>
        </w:rPr>
        <w:t>:</w:t>
      </w:r>
    </w:p>
    <w:p>
      <w:pPr>
        <w:spacing w:after="0" w:line="197"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WORLD FUEL SERVICES CORPORATION</w:t>
      </w:r>
    </w:p>
    <w:p>
      <w:pPr>
        <w:spacing w:after="0" w:line="17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 /s/ Glenn Klevitz</w:t>
      </w:r>
    </w:p>
    <w:p>
      <w:pPr>
        <w:ind w:left="384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-116840</wp:posOffset>
            </wp:positionV>
            <wp:extent cx="9721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WORLD FUEL SERVICES EUROPE, LTD.</w:t>
      </w:r>
    </w:p>
    <w:p>
      <w:pPr>
        <w:spacing w:after="0" w:line="17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 /s/ Michael J. Ranger</w:t>
      </w:r>
    </w:p>
    <w:p>
      <w:pPr>
        <w:ind w:left="3840"/>
        <w:spacing w:after="0" w:line="194" w:lineRule="auto"/>
        <w:rPr>
          <w:sz w:val="20"/>
          <w:szCs w:val="20"/>
          <w:color w:val="auto"/>
        </w:rPr>
      </w:pPr>
      <w:r>
        <w:rPr>
          <w:rFonts w:ascii="Arial" w:cs="Arial" w:eastAsia="Arial" w:hAnsi="Arial"/>
          <w:sz w:val="20"/>
          <w:szCs w:val="20"/>
          <w:color w:val="auto"/>
        </w:rPr>
        <w:t>Name: Michael J. 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-116840</wp:posOffset>
            </wp:positionV>
            <wp:extent cx="11791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WORLD FUEL SERVICES (SINGAPORE) PTE LTD</w:t>
      </w:r>
    </w:p>
    <w:p>
      <w:pPr>
        <w:spacing w:after="0" w:line="17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 /s/ Francis Lee Boon Meng</w:t>
      </w:r>
    </w:p>
    <w:p>
      <w:pPr>
        <w:ind w:left="3840"/>
        <w:spacing w:after="0" w:line="194" w:lineRule="auto"/>
        <w:rPr>
          <w:sz w:val="20"/>
          <w:szCs w:val="20"/>
          <w:color w:val="auto"/>
        </w:rPr>
      </w:pPr>
      <w:r>
        <w:rPr>
          <w:rFonts w:ascii="Arial" w:cs="Arial" w:eastAsia="Arial" w:hAnsi="Arial"/>
          <w:sz w:val="20"/>
          <w:szCs w:val="20"/>
          <w:color w:val="auto"/>
        </w:rPr>
        <w:t>Name: Francis Lee Boon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-116840</wp:posOffset>
            </wp:positionV>
            <wp:extent cx="1476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World Fuel Services Corporation</w:t>
      </w:r>
    </w:p>
    <w:p>
      <w:pPr>
        <w:jc w:val="center"/>
        <w:ind w:right="-19"/>
        <w:spacing w:after="0" w:line="201" w:lineRule="auto"/>
        <w:rPr>
          <w:sz w:val="20"/>
          <w:szCs w:val="20"/>
          <w:color w:val="auto"/>
        </w:rPr>
      </w:pPr>
      <w:r>
        <w:rPr>
          <w:rFonts w:ascii="Arial" w:cs="Arial" w:eastAsia="Arial" w:hAnsi="Arial"/>
          <w:sz w:val="18"/>
          <w:szCs w:val="18"/>
          <w:color w:val="auto"/>
        </w:rPr>
        <w:t>Amendment No. 9</w:t>
      </w: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240"/>
          </w:cols>
          <w:pgMar w:left="320" w:top="1384" w:right="339" w:bottom="1440" w:gutter="0" w:footer="0" w:header="0"/>
        </w:sectPr>
      </w:pPr>
    </w:p>
    <w:bookmarkStart w:id="43" w:name="page44"/>
    <w:bookmarkEnd w:id="43"/>
    <w:p>
      <w:pPr>
        <w:ind w:left="2720"/>
        <w:spacing w:after="0"/>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b w:val="1"/>
          <w:bCs w:val="1"/>
          <w:color w:val="auto"/>
        </w:rPr>
        <w:t>:</w:t>
      </w:r>
    </w:p>
    <w:p>
      <w:pPr>
        <w:spacing w:after="0" w:line="197"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CORPORATION</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 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9721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EUROPE, LTD.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Michael J. Ranger</w:t>
      </w:r>
    </w:p>
    <w:p>
      <w:pPr>
        <w:ind w:left="2720"/>
        <w:spacing w:after="0" w:line="194" w:lineRule="auto"/>
        <w:rPr>
          <w:sz w:val="20"/>
          <w:szCs w:val="20"/>
          <w:color w:val="auto"/>
        </w:rPr>
      </w:pPr>
      <w:r>
        <w:rPr>
          <w:rFonts w:ascii="Arial" w:cs="Arial" w:eastAsia="Arial" w:hAnsi="Arial"/>
          <w:sz w:val="20"/>
          <w:szCs w:val="20"/>
          <w:color w:val="auto"/>
        </w:rPr>
        <w:t>Name: Michael J. 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1791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WORLD FUEL SERVICES (SINGAPORE) PTE LTD</w:t>
      </w:r>
    </w:p>
    <w:p>
      <w:pPr>
        <w:spacing w:after="0" w:line="19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Francis Lee Boon Meng</w:t>
      </w:r>
    </w:p>
    <w:p>
      <w:pPr>
        <w:ind w:left="2720"/>
        <w:spacing w:after="0" w:line="194" w:lineRule="auto"/>
        <w:rPr>
          <w:sz w:val="20"/>
          <w:szCs w:val="20"/>
          <w:color w:val="auto"/>
        </w:rPr>
      </w:pPr>
      <w:r>
        <w:rPr>
          <w:rFonts w:ascii="Arial" w:cs="Arial" w:eastAsia="Arial" w:hAnsi="Arial"/>
          <w:sz w:val="20"/>
          <w:szCs w:val="20"/>
          <w:color w:val="auto"/>
        </w:rPr>
        <w:t>Name: Francis Lee Boon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476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019"/>
          </w:cols>
          <w:pgMar w:left="1440" w:top="1384" w:right="1440" w:bottom="1440" w:gutter="0" w:footer="0" w:header="0"/>
        </w:sectPr>
      </w:pPr>
    </w:p>
    <w:bookmarkStart w:id="44" w:name="page45"/>
    <w:bookmarkEnd w:id="44"/>
    <w:p>
      <w:pPr>
        <w:ind w:left="2720"/>
        <w:spacing w:after="0"/>
        <w:rPr>
          <w:sz w:val="20"/>
          <w:szCs w:val="20"/>
          <w:color w:val="auto"/>
        </w:rPr>
      </w:pPr>
      <w:r>
        <w:rPr>
          <w:rFonts w:ascii="Arial" w:cs="Arial" w:eastAsia="Arial" w:hAnsi="Arial"/>
          <w:sz w:val="20"/>
          <w:szCs w:val="20"/>
          <w:b w:val="1"/>
          <w:bCs w:val="1"/>
          <w:u w:val="single" w:color="auto"/>
          <w:color w:val="auto"/>
        </w:rPr>
        <w:t>DOMESTIC SUBSIDIARIES</w:t>
      </w:r>
      <w:r>
        <w:rPr>
          <w:rFonts w:ascii="Arial" w:cs="Arial" w:eastAsia="Arial" w:hAnsi="Arial"/>
          <w:sz w:val="20"/>
          <w:szCs w:val="20"/>
          <w:b w:val="1"/>
          <w:bCs w:val="1"/>
          <w:color w:val="auto"/>
        </w:rPr>
        <w:t>:</w:t>
      </w:r>
    </w:p>
    <w:p>
      <w:pPr>
        <w:spacing w:after="0" w:line="197"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ADVANCE PETROLEUM, LLC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 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003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ALTA FUELS, LLC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ALTA TRANSPORTATION, LLC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ASCENT AVIATION GROUP, INC.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ASSOCIATED PETROLEUM PRODUCTS, INC.</w:t>
      </w:r>
    </w:p>
    <w:p>
      <w:pPr>
        <w:spacing w:after="0" w:line="19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AVINODE, INC.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BASEOPS INTERNATIONAL, INC.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COLT INTERNATIONAL, L.L.C.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200" w:lineRule="exact"/>
        <w:rPr>
          <w:sz w:val="20"/>
          <w:szCs w:val="20"/>
          <w:color w:val="auto"/>
        </w:rPr>
      </w:pPr>
    </w:p>
    <w:p>
      <w:pPr>
        <w:spacing w:after="0" w:line="21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KINECT ENERGY, INC.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ectPr>
          <w:pgSz w:w="11900" w:h="16838" w:orient="portrait"/>
          <w:cols w:equalWidth="0" w:num="1">
            <w:col w:w="9019"/>
          </w:cols>
          <w:pgMar w:left="1440" w:top="13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384" w:right="1440" w:bottom="1440" w:gutter="0" w:footer="0" w:header="0"/>
          <w:type w:val="continuous"/>
        </w:sectPr>
      </w:pPr>
    </w:p>
    <w:bookmarkStart w:id="45" w:name="page46"/>
    <w:bookmarkEnd w:id="45"/>
    <w:p>
      <w:pPr>
        <w:ind w:left="2720"/>
        <w:spacing w:after="0"/>
        <w:rPr>
          <w:sz w:val="20"/>
          <w:szCs w:val="20"/>
          <w:color w:val="auto"/>
        </w:rPr>
      </w:pPr>
      <w:r>
        <w:rPr>
          <w:rFonts w:ascii="Arial" w:cs="Arial" w:eastAsia="Arial" w:hAnsi="Arial"/>
          <w:sz w:val="20"/>
          <w:szCs w:val="20"/>
          <w:b w:val="1"/>
          <w:bCs w:val="1"/>
          <w:color w:val="auto"/>
        </w:rPr>
        <w:t>PAPCO, INC.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THE HILLER GROUP INCORPORATED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WESTERN PETROLEUM COMPANY</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COMPANY, LLC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WORLD FUEL SERVICES CORPORATE AVIATION SUPPORT SERVICES, INC.</w:t>
      </w:r>
    </w:p>
    <w:p>
      <w:pPr>
        <w:spacing w:after="0" w:line="19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INC.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GlennKlevitz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721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860"/>
          </w:cols>
          <w:pgMar w:left="1440" w:top="1384" w:right="599" w:bottom="1440" w:gutter="0" w:footer="0" w:header="0"/>
        </w:sectPr>
      </w:pPr>
    </w:p>
    <w:bookmarkStart w:id="46" w:name="page47"/>
    <w:bookmarkEnd w:id="46"/>
    <w:p>
      <w:pPr>
        <w:ind w:left="2720"/>
        <w:spacing w:after="0"/>
        <w:rPr>
          <w:sz w:val="20"/>
          <w:szCs w:val="20"/>
          <w:color w:val="auto"/>
        </w:rPr>
      </w:pPr>
      <w:r>
        <w:rPr>
          <w:rFonts w:ascii="Arial" w:cs="Arial" w:eastAsia="Arial" w:hAnsi="Arial"/>
          <w:sz w:val="20"/>
          <w:szCs w:val="20"/>
          <w:b w:val="1"/>
          <w:bCs w:val="1"/>
          <w:u w:val="single" w:color="auto"/>
          <w:color w:val="auto"/>
        </w:rPr>
        <w:t>FOREIGN SUBSIDIARIES</w:t>
      </w:r>
      <w:r>
        <w:rPr>
          <w:rFonts w:ascii="Arial" w:cs="Arial" w:eastAsia="Arial" w:hAnsi="Arial"/>
          <w:sz w:val="20"/>
          <w:szCs w:val="20"/>
          <w:b w:val="1"/>
          <w:bCs w:val="1"/>
          <w:color w:val="auto"/>
        </w:rPr>
        <w:t>:</w:t>
      </w:r>
    </w:p>
    <w:p>
      <w:pPr>
        <w:spacing w:after="0" w:line="197"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AVINODE AKTIEBOLAG</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Michael J. Ranger</w:t>
      </w:r>
    </w:p>
    <w:p>
      <w:pPr>
        <w:ind w:left="2720"/>
        <w:spacing w:after="0" w:line="194" w:lineRule="auto"/>
        <w:rPr>
          <w:sz w:val="20"/>
          <w:szCs w:val="20"/>
          <w:color w:val="auto"/>
        </w:rPr>
      </w:pPr>
      <w:r>
        <w:rPr>
          <w:rFonts w:ascii="Arial" w:cs="Arial" w:eastAsia="Arial" w:hAnsi="Arial"/>
          <w:sz w:val="20"/>
          <w:szCs w:val="20"/>
          <w:color w:val="auto"/>
        </w:rPr>
        <w:t>Name: Michael J. 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2414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FALMOUTH PETROLEUM LIMITED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GIB OIL LIMITED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Harry Murphy</w:t>
      </w:r>
    </w:p>
    <w:p>
      <w:pPr>
        <w:ind w:left="2720"/>
        <w:spacing w:after="0" w:line="194" w:lineRule="auto"/>
        <w:rPr>
          <w:sz w:val="20"/>
          <w:szCs w:val="20"/>
          <w:color w:val="auto"/>
        </w:rPr>
      </w:pPr>
      <w:r>
        <w:rPr>
          <w:rFonts w:ascii="Arial" w:cs="Arial" w:eastAsia="Arial" w:hAnsi="Arial"/>
          <w:sz w:val="20"/>
          <w:szCs w:val="20"/>
          <w:color w:val="auto"/>
        </w:rPr>
        <w:t>Name: Harry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024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HENTY OIL LIMITED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Paul T. Vian</w:t>
      </w:r>
    </w:p>
    <w:p>
      <w:pPr>
        <w:ind w:left="2720"/>
        <w:spacing w:after="0" w:line="194" w:lineRule="auto"/>
        <w:rPr>
          <w:sz w:val="20"/>
          <w:szCs w:val="20"/>
          <w:color w:val="auto"/>
        </w:rPr>
      </w:pPr>
      <w:r>
        <w:rPr>
          <w:rFonts w:ascii="Arial" w:cs="Arial" w:eastAsia="Arial" w:hAnsi="Arial"/>
          <w:sz w:val="20"/>
          <w:szCs w:val="20"/>
          <w:color w:val="auto"/>
        </w:rPr>
        <w:t>Name: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17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KINECT ENERGY AS</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Paul T. Vian</w:t>
      </w:r>
    </w:p>
    <w:p>
      <w:pPr>
        <w:ind w:left="2720"/>
        <w:spacing w:after="0" w:line="194" w:lineRule="auto"/>
        <w:rPr>
          <w:sz w:val="20"/>
          <w:szCs w:val="20"/>
          <w:color w:val="auto"/>
        </w:rPr>
      </w:pPr>
      <w:r>
        <w:rPr>
          <w:rFonts w:ascii="Arial" w:cs="Arial" w:eastAsia="Arial" w:hAnsi="Arial"/>
          <w:sz w:val="20"/>
          <w:szCs w:val="20"/>
          <w:color w:val="auto"/>
        </w:rPr>
        <w:t>Name: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18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KINECT ENERGY GREEN SERVICES AS</w:t>
      </w:r>
    </w:p>
    <w:p>
      <w:pPr>
        <w:spacing w:after="0" w:line="19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Paul T. Vian</w:t>
      </w:r>
    </w:p>
    <w:p>
      <w:pPr>
        <w:ind w:left="2720"/>
        <w:spacing w:after="0" w:line="194" w:lineRule="auto"/>
        <w:rPr>
          <w:sz w:val="20"/>
          <w:szCs w:val="20"/>
          <w:color w:val="auto"/>
        </w:rPr>
      </w:pPr>
      <w:r>
        <w:rPr>
          <w:rFonts w:ascii="Arial" w:cs="Arial" w:eastAsia="Arial" w:hAnsi="Arial"/>
          <w:sz w:val="20"/>
          <w:szCs w:val="20"/>
          <w:color w:val="auto"/>
        </w:rPr>
        <w:t>Name: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17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019"/>
          </w:cols>
          <w:pgMar w:left="1440" w:top="1384" w:right="1440" w:bottom="1440" w:gutter="0" w:footer="0" w:header="0"/>
        </w:sectPr>
      </w:pPr>
    </w:p>
    <w:bookmarkStart w:id="47" w:name="page48"/>
    <w:bookmarkEnd w:id="47"/>
    <w:p>
      <w:pPr>
        <w:ind w:left="2720"/>
        <w:spacing w:after="0"/>
        <w:rPr>
          <w:sz w:val="20"/>
          <w:szCs w:val="20"/>
          <w:color w:val="auto"/>
        </w:rPr>
      </w:pPr>
      <w:r>
        <w:rPr>
          <w:rFonts w:ascii="Arial" w:cs="Arial" w:eastAsia="Arial" w:hAnsi="Arial"/>
          <w:sz w:val="20"/>
          <w:szCs w:val="20"/>
          <w:b w:val="1"/>
          <w:bCs w:val="1"/>
          <w:color w:val="auto"/>
        </w:rPr>
        <w:t>KINECT ENERGY NETHERLANDS B.V.</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82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KINECT ENERGY SWEDEN AB</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Michael J. Ranger</w:t>
      </w:r>
    </w:p>
    <w:p>
      <w:pPr>
        <w:ind w:left="2720"/>
        <w:spacing w:after="0" w:line="194" w:lineRule="auto"/>
        <w:rPr>
          <w:sz w:val="20"/>
          <w:szCs w:val="20"/>
          <w:color w:val="auto"/>
        </w:rPr>
      </w:pPr>
      <w:r>
        <w:rPr>
          <w:rFonts w:ascii="Arial" w:cs="Arial" w:eastAsia="Arial" w:hAnsi="Arial"/>
          <w:sz w:val="20"/>
          <w:szCs w:val="20"/>
          <w:color w:val="auto"/>
        </w:rPr>
        <w:t>Name: Michael J. 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2414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394"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NCS FUEL IQ LIMITED</w:t>
      </w:r>
    </w:p>
    <w:p>
      <w:pPr>
        <w:ind w:left="2720"/>
        <w:spacing w:after="0"/>
        <w:rPr>
          <w:sz w:val="20"/>
          <w:szCs w:val="20"/>
          <w:color w:val="auto"/>
        </w:rPr>
      </w:pPr>
      <w:r>
        <w:rPr>
          <w:rFonts w:ascii="Arial" w:cs="Arial" w:eastAsia="Arial" w:hAnsi="Arial"/>
          <w:sz w:val="20"/>
          <w:szCs w:val="20"/>
          <w:b w:val="1"/>
          <w:bCs w:val="1"/>
          <w:color w:val="auto"/>
        </w:rPr>
        <w:t>(f/k/a Gib Oil (UK) Limited)</w:t>
      </w:r>
    </w:p>
    <w:p>
      <w:pPr>
        <w:spacing w:after="0" w:line="1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NORDIC CAMP SUPPLY APS</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Ruth Giansante</w:t>
      </w:r>
    </w:p>
    <w:p>
      <w:pPr>
        <w:ind w:left="2720"/>
        <w:spacing w:after="0" w:line="194" w:lineRule="auto"/>
        <w:rPr>
          <w:sz w:val="20"/>
          <w:szCs w:val="20"/>
          <w:color w:val="auto"/>
        </w:rPr>
      </w:pPr>
      <w:r>
        <w:rPr>
          <w:rFonts w:ascii="Arial" w:cs="Arial" w:eastAsia="Arial" w:hAnsi="Arial"/>
          <w:sz w:val="20"/>
          <w:szCs w:val="20"/>
          <w:color w:val="auto"/>
        </w:rPr>
        <w:t>Name: Ruth Giansante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072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54"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NORDIC CAMP SUPPLY B.V.</w:t>
      </w:r>
    </w:p>
    <w:p>
      <w:pPr>
        <w:ind w:left="2720"/>
        <w:spacing w:after="0"/>
        <w:rPr>
          <w:sz w:val="20"/>
          <w:szCs w:val="20"/>
          <w:color w:val="auto"/>
        </w:rPr>
      </w:pPr>
      <w:r>
        <w:rPr>
          <w:rFonts w:ascii="Arial" w:cs="Arial" w:eastAsia="Arial" w:hAnsi="Arial"/>
          <w:sz w:val="18"/>
          <w:szCs w:val="18"/>
          <w:color w:val="auto"/>
        </w:rPr>
        <w:t>By its Managing Director, The Lubricant Company Limited</w:t>
      </w:r>
    </w:p>
    <w:p>
      <w:pPr>
        <w:spacing w:after="0" w:line="177"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PETRO AIR, CORP.</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Glen Klevitz</w:t>
      </w:r>
    </w:p>
    <w:p>
      <w:pPr>
        <w:ind w:left="2720"/>
        <w:spacing w:after="0" w:line="194"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410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 Treasurer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TOBRAS DISTRIBUIDORA DE COMBUSTIVEIS LTDA.</w:t>
      </w:r>
    </w:p>
    <w:p>
      <w:pPr>
        <w:spacing w:after="0" w:line="19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Carlos de Carvalho</w:t>
      </w:r>
    </w:p>
    <w:p>
      <w:pPr>
        <w:ind w:left="2720"/>
        <w:spacing w:after="0" w:line="194" w:lineRule="auto"/>
        <w:rPr>
          <w:sz w:val="20"/>
          <w:szCs w:val="20"/>
          <w:color w:val="auto"/>
        </w:rPr>
      </w:pPr>
      <w:r>
        <w:rPr>
          <w:rFonts w:ascii="Arial" w:cs="Arial" w:eastAsia="Arial" w:hAnsi="Arial"/>
          <w:sz w:val="20"/>
          <w:szCs w:val="20"/>
          <w:color w:val="auto"/>
        </w:rPr>
        <w:t>Name: Carlos de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2623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019"/>
          </w:cols>
          <w:pgMar w:left="1440" w:top="1384" w:right="1440" w:bottom="1440" w:gutter="0" w:footer="0" w:header="0"/>
        </w:sectPr>
      </w:pPr>
    </w:p>
    <w:bookmarkStart w:id="48" w:name="page49"/>
    <w:bookmarkEnd w:id="48"/>
    <w:p>
      <w:pPr>
        <w:ind w:left="2720"/>
        <w:spacing w:after="0"/>
        <w:rPr>
          <w:sz w:val="20"/>
          <w:szCs w:val="20"/>
          <w:color w:val="auto"/>
        </w:rPr>
      </w:pPr>
      <w:r>
        <w:rPr>
          <w:rFonts w:ascii="Arial" w:cs="Arial" w:eastAsia="Arial" w:hAnsi="Arial"/>
          <w:sz w:val="20"/>
          <w:szCs w:val="20"/>
          <w:b w:val="1"/>
          <w:bCs w:val="1"/>
          <w:color w:val="auto"/>
        </w:rPr>
        <w:t>TRAMP OIL (BRASIL) LTDA.</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Joey M. Rodriguez</w:t>
      </w:r>
    </w:p>
    <w:p>
      <w:pPr>
        <w:ind w:left="2720"/>
        <w:spacing w:after="0" w:line="194" w:lineRule="auto"/>
        <w:rPr>
          <w:sz w:val="20"/>
          <w:szCs w:val="20"/>
          <w:color w:val="auto"/>
        </w:rPr>
      </w:pPr>
      <w:r>
        <w:rPr>
          <w:rFonts w:ascii="Arial" w:cs="Arial" w:eastAsia="Arial" w:hAnsi="Arial"/>
          <w:sz w:val="20"/>
          <w:szCs w:val="20"/>
          <w:color w:val="auto"/>
        </w:rPr>
        <w:t>Name: Joey M.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2515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Manager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TRANS-TEC MUNDIAL S.R.L.</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Manager 1</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WFL (UK) LIMITED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Shaun Galvin</w:t>
      </w:r>
    </w:p>
    <w:p>
      <w:pPr>
        <w:ind w:left="2720"/>
        <w:spacing w:after="0" w:line="194" w:lineRule="auto"/>
        <w:rPr>
          <w:sz w:val="20"/>
          <w:szCs w:val="20"/>
          <w:color w:val="auto"/>
        </w:rPr>
      </w:pPr>
      <w:r>
        <w:rPr>
          <w:rFonts w:ascii="Arial" w:cs="Arial" w:eastAsia="Arial" w:hAnsi="Arial"/>
          <w:sz w:val="20"/>
          <w:szCs w:val="20"/>
          <w:color w:val="auto"/>
        </w:rPr>
        <w:t>Name: Shaun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982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98298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54"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WFS UK HOLDING PARTNERSHIP LP</w:t>
      </w:r>
    </w:p>
    <w:p>
      <w:pPr>
        <w:ind w:left="2720"/>
        <w:spacing w:after="0" w:line="194" w:lineRule="auto"/>
        <w:rPr>
          <w:sz w:val="20"/>
          <w:szCs w:val="20"/>
          <w:color w:val="auto"/>
        </w:rPr>
      </w:pPr>
      <w:r>
        <w:rPr>
          <w:rFonts w:ascii="Arial" w:cs="Arial" w:eastAsia="Arial" w:hAnsi="Arial"/>
          <w:sz w:val="20"/>
          <w:szCs w:val="20"/>
          <w:color w:val="auto"/>
        </w:rPr>
        <w:t>By its General partner, WFS US HOLDING</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COMPANY I LLC</w:t>
      </w:r>
    </w:p>
    <w:p>
      <w:pPr>
        <w:spacing w:after="0" w:line="1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President</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(AUSTRALIA) PTY LTD.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Donald McMichael</w:t>
      </w:r>
    </w:p>
    <w:p>
      <w:pPr>
        <w:ind w:left="2720"/>
        <w:spacing w:after="0" w:line="194" w:lineRule="auto"/>
        <w:rPr>
          <w:sz w:val="20"/>
          <w:szCs w:val="20"/>
          <w:color w:val="auto"/>
        </w:rPr>
      </w:pPr>
      <w:r>
        <w:rPr>
          <w:rFonts w:ascii="Arial" w:cs="Arial" w:eastAsia="Arial" w:hAnsi="Arial"/>
          <w:sz w:val="20"/>
          <w:szCs w:val="20"/>
          <w:color w:val="auto"/>
        </w:rPr>
        <w:t>Name: Richard Donald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696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69672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COMMODITIES SERVICES (IRELAND) LIMITED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line="195" w:lineRule="auto"/>
        <w:rPr>
          <w:sz w:val="20"/>
          <w:szCs w:val="20"/>
          <w:color w:val="auto"/>
        </w:rPr>
      </w:pPr>
      <w:r>
        <w:rPr>
          <w:rFonts w:ascii="Arial" w:cs="Arial" w:eastAsia="Arial" w:hAnsi="Arial"/>
          <w:sz w:val="20"/>
          <w:szCs w:val="20"/>
          <w:color w:val="auto"/>
        </w:rPr>
        <w:t>Title: Director</w:t>
      </w:r>
    </w:p>
    <w:p>
      <w:pPr>
        <w:ind w:left="2720"/>
        <w:spacing w:after="0" w:line="195" w:lineRule="auto"/>
        <w:rPr>
          <w:sz w:val="20"/>
          <w:szCs w:val="20"/>
          <w:color w:val="auto"/>
        </w:rPr>
      </w:pPr>
      <w:r>
        <w:rPr>
          <w:rFonts w:ascii="Arial" w:cs="Arial" w:eastAsia="Arial" w:hAnsi="Arial"/>
          <w:sz w:val="20"/>
          <w:szCs w:val="20"/>
          <w:color w:val="auto"/>
        </w:rPr>
        <w:t>By: /s/ Amy Quintana Avalos</w:t>
      </w:r>
    </w:p>
    <w:p>
      <w:pPr>
        <w:ind w:left="2720"/>
        <w:spacing w:after="0" w:line="195" w:lineRule="auto"/>
        <w:rPr>
          <w:sz w:val="20"/>
          <w:szCs w:val="20"/>
          <w:color w:val="auto"/>
        </w:rPr>
      </w:pPr>
      <w:r>
        <w:rPr>
          <w:rFonts w:ascii="Arial" w:cs="Arial" w:eastAsia="Arial" w:hAnsi="Arial"/>
          <w:sz w:val="20"/>
          <w:szCs w:val="20"/>
          <w:color w:val="auto"/>
        </w:rPr>
        <w:t>Name: Amy Quintana Avalos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535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53543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019"/>
          </w:cols>
          <w:pgMar w:left="1440" w:top="1384" w:right="1440" w:bottom="1440" w:gutter="0" w:footer="0" w:header="0"/>
        </w:sectPr>
      </w:pPr>
    </w:p>
    <w:bookmarkStart w:id="49" w:name="page50"/>
    <w:bookmarkEnd w:id="49"/>
    <w:p>
      <w:pPr>
        <w:ind w:left="2720"/>
        <w:spacing w:after="0"/>
        <w:rPr>
          <w:sz w:val="20"/>
          <w:szCs w:val="20"/>
          <w:color w:val="auto"/>
        </w:rPr>
      </w:pPr>
      <w:r>
        <w:rPr>
          <w:rFonts w:ascii="Arial" w:cs="Arial" w:eastAsia="Arial" w:hAnsi="Arial"/>
          <w:sz w:val="20"/>
          <w:szCs w:val="20"/>
          <w:b w:val="1"/>
          <w:bCs w:val="1"/>
          <w:color w:val="auto"/>
        </w:rPr>
        <w:t>WORLD FUEL SERVICES AVIATION LIMITED</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CANADA, ULC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FRANCE SAS</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Michael J. Ranger</w:t>
      </w:r>
    </w:p>
    <w:p>
      <w:pPr>
        <w:ind w:left="2720"/>
        <w:spacing w:after="0" w:line="194" w:lineRule="auto"/>
        <w:rPr>
          <w:sz w:val="20"/>
          <w:szCs w:val="20"/>
          <w:color w:val="auto"/>
        </w:rPr>
      </w:pPr>
      <w:r>
        <w:rPr>
          <w:rFonts w:ascii="Arial" w:cs="Arial" w:eastAsia="Arial" w:hAnsi="Arial"/>
          <w:sz w:val="20"/>
          <w:szCs w:val="20"/>
          <w:color w:val="auto"/>
        </w:rPr>
        <w:t>Name: Michael J. 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2414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President</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ITALY S.R.L.</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WORLD FUEL SERVICES MÉXICO, S. DE R.L. DE C.V.</w:t>
      </w:r>
    </w:p>
    <w:p>
      <w:pPr>
        <w:spacing w:after="0" w:line="19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Member</w:t>
      </w:r>
    </w:p>
    <w:p>
      <w:pPr>
        <w:spacing w:after="0" w:line="175"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WORLD FUEL SERVICES TRADING DMCC</w:t>
      </w:r>
    </w:p>
    <w:p>
      <w:pPr>
        <w:spacing w:after="0" w:line="17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Richard D. McMichael</w:t>
      </w:r>
    </w:p>
    <w:p>
      <w:pPr>
        <w:ind w:left="2720"/>
        <w:spacing w:after="0" w:line="194"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4516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019"/>
          </w:cols>
          <w:pgMar w:left="1440" w:top="1384" w:right="1440" w:bottom="1440" w:gutter="0" w:footer="0" w:header="0"/>
        </w:sectPr>
      </w:pPr>
    </w:p>
    <w:bookmarkStart w:id="50" w:name="page51"/>
    <w:bookmarkEnd w:id="50"/>
    <w:p>
      <w:pPr>
        <w:ind w:left="27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3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Felicia Brinson</w:t>
      </w:r>
    </w:p>
    <w:p>
      <w:pPr>
        <w:ind w:left="2720"/>
        <w:spacing w:after="0" w:line="194" w:lineRule="auto"/>
        <w:rPr>
          <w:sz w:val="20"/>
          <w:szCs w:val="20"/>
          <w:color w:val="auto"/>
        </w:rPr>
      </w:pPr>
      <w:r>
        <w:rPr>
          <w:rFonts w:ascii="Arial" w:cs="Arial" w:eastAsia="Arial" w:hAnsi="Arial"/>
          <w:sz w:val="20"/>
          <w:szCs w:val="20"/>
          <w:color w:val="auto"/>
        </w:rPr>
        <w:t>Name: 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0344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019"/>
          </w:cols>
          <w:pgMar w:left="1440" w:top="1384" w:right="1440" w:bottom="1440" w:gutter="0" w:footer="0" w:header="0"/>
        </w:sectPr>
      </w:pPr>
    </w:p>
    <w:bookmarkStart w:id="51" w:name="page52"/>
    <w:bookmarkEnd w:id="51"/>
    <w:p>
      <w:pPr>
        <w:ind w:left="2720"/>
        <w:spacing w:after="0"/>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w:t>
      </w:r>
    </w:p>
    <w:p>
      <w:pPr>
        <w:spacing w:after="0" w:line="197" w:lineRule="exact"/>
        <w:rPr>
          <w:sz w:val="20"/>
          <w:szCs w:val="20"/>
          <w:color w:val="auto"/>
        </w:rPr>
      </w:pPr>
    </w:p>
    <w:p>
      <w:pPr>
        <w:ind w:left="2720"/>
        <w:spacing w:after="0" w:line="230"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Revolving Lender, Term Loan Lender, Swing Line Lender</w:t>
      </w:r>
      <w:r>
        <w:rPr>
          <w:rFonts w:ascii="Arial" w:cs="Arial" w:eastAsia="Arial" w:hAnsi="Arial"/>
          <w:sz w:val="20"/>
          <w:szCs w:val="20"/>
          <w:b w:val="1"/>
          <w:bCs w:val="1"/>
          <w:color w:val="auto"/>
        </w:rPr>
        <w:t xml:space="preserve"> </w:t>
      </w:r>
      <w:r>
        <w:rPr>
          <w:rFonts w:ascii="Arial" w:cs="Arial" w:eastAsia="Arial" w:hAnsi="Arial"/>
          <w:sz w:val="20"/>
          <w:szCs w:val="20"/>
          <w:color w:val="auto"/>
        </w:rPr>
        <w:t>and L/C-BA Issuer</w:t>
      </w:r>
    </w:p>
    <w:p>
      <w:pPr>
        <w:spacing w:after="0" w:line="392"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Julia H. Greenwell</w:t>
      </w:r>
    </w:p>
    <w:p>
      <w:pPr>
        <w:ind w:left="2720"/>
        <w:spacing w:after="0" w:line="194" w:lineRule="auto"/>
        <w:rPr>
          <w:sz w:val="20"/>
          <w:szCs w:val="20"/>
          <w:color w:val="auto"/>
        </w:rPr>
      </w:pPr>
      <w:r>
        <w:rPr>
          <w:rFonts w:ascii="Arial" w:cs="Arial" w:eastAsia="Arial" w:hAnsi="Arial"/>
          <w:sz w:val="20"/>
          <w:szCs w:val="20"/>
          <w:color w:val="auto"/>
        </w:rPr>
        <w:t>Name: Julia H.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2071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20"/>
          </w:cols>
          <w:pgMar w:left="1440" w:top="1384" w:right="339" w:bottom="1440" w:gutter="0" w:footer="0" w:header="0"/>
        </w:sectPr>
      </w:pPr>
    </w:p>
    <w:bookmarkStart w:id="52" w:name="page53"/>
    <w:bookmarkEnd w:id="52"/>
    <w:p>
      <w:pPr>
        <w:ind w:left="2720"/>
        <w:spacing w:after="0"/>
        <w:rPr>
          <w:sz w:val="20"/>
          <w:szCs w:val="20"/>
          <w:color w:val="auto"/>
        </w:rPr>
      </w:pPr>
      <w:r>
        <w:rPr>
          <w:rFonts w:ascii="Arial" w:cs="Arial" w:eastAsia="Arial" w:hAnsi="Arial"/>
          <w:sz w:val="18"/>
          <w:szCs w:val="18"/>
          <w:color w:val="auto"/>
        </w:rPr>
        <w:t>JPMORGAN CHASE BANK, N.A.,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Laura Woodward</w:t>
      </w:r>
    </w:p>
    <w:p>
      <w:pPr>
        <w:ind w:left="2720"/>
        <w:spacing w:after="0" w:line="194" w:lineRule="auto"/>
        <w:rPr>
          <w:sz w:val="20"/>
          <w:szCs w:val="20"/>
          <w:color w:val="auto"/>
        </w:rPr>
      </w:pPr>
      <w:r>
        <w:rPr>
          <w:rFonts w:ascii="Arial" w:cs="Arial" w:eastAsia="Arial" w:hAnsi="Arial"/>
          <w:sz w:val="20"/>
          <w:szCs w:val="20"/>
          <w:color w:val="auto"/>
        </w:rPr>
        <w:t>Name: Laura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1347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9400"/>
          </w:cols>
          <w:pgMar w:left="1440" w:top="1390" w:right="1059" w:bottom="1440" w:gutter="0" w:footer="0" w:header="0"/>
        </w:sectPr>
      </w:pPr>
    </w:p>
    <w:bookmarkStart w:id="53" w:name="page54"/>
    <w:bookmarkEnd w:id="53"/>
    <w:p>
      <w:pPr>
        <w:ind w:left="2720"/>
        <w:spacing w:after="0"/>
        <w:rPr>
          <w:sz w:val="20"/>
          <w:szCs w:val="20"/>
          <w:color w:val="auto"/>
        </w:rPr>
      </w:pPr>
      <w:r>
        <w:rPr>
          <w:rFonts w:ascii="Arial" w:cs="Arial" w:eastAsia="Arial" w:hAnsi="Arial"/>
          <w:sz w:val="18"/>
          <w:szCs w:val="18"/>
          <w:color w:val="auto"/>
        </w:rPr>
        <w:t>TD BANK, N.A.,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Steve Levi</w:t>
      </w:r>
    </w:p>
    <w:p>
      <w:pPr>
        <w:ind w:left="2720"/>
        <w:spacing w:after="0" w:line="194" w:lineRule="auto"/>
        <w:rPr>
          <w:sz w:val="20"/>
          <w:szCs w:val="20"/>
          <w:color w:val="auto"/>
        </w:rPr>
      </w:pPr>
      <w:r>
        <w:rPr>
          <w:rFonts w:ascii="Arial" w:cs="Arial" w:eastAsia="Arial" w:hAnsi="Arial"/>
          <w:sz w:val="20"/>
          <w:szCs w:val="20"/>
          <w:color w:val="auto"/>
        </w:rPr>
        <w:t>Name: Steve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8070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0708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9019"/>
          </w:cols>
          <w:pgMar w:left="1440" w:top="1390" w:right="1440" w:bottom="1440" w:gutter="0" w:footer="0" w:header="0"/>
        </w:sectPr>
      </w:pPr>
    </w:p>
    <w:bookmarkStart w:id="54" w:name="page55"/>
    <w:bookmarkEnd w:id="54"/>
    <w:p>
      <w:pPr>
        <w:ind w:left="2720"/>
        <w:spacing w:after="0"/>
        <w:rPr>
          <w:sz w:val="20"/>
          <w:szCs w:val="20"/>
          <w:color w:val="auto"/>
        </w:rPr>
      </w:pPr>
      <w:r>
        <w:rPr>
          <w:rFonts w:ascii="Arial" w:cs="Arial" w:eastAsia="Arial" w:hAnsi="Arial"/>
          <w:sz w:val="18"/>
          <w:szCs w:val="18"/>
          <w:color w:val="auto"/>
        </w:rPr>
        <w:t>WELLS FARGO BANK, NATIONAL ASSOCIATION,</w:t>
      </w:r>
    </w:p>
    <w:p>
      <w:pPr>
        <w:ind w:left="2720"/>
        <w:spacing w:after="0"/>
        <w:rPr>
          <w:sz w:val="20"/>
          <w:szCs w:val="20"/>
          <w:color w:val="auto"/>
        </w:rPr>
      </w:pPr>
      <w:r>
        <w:rPr>
          <w:rFonts w:ascii="Arial" w:cs="Arial" w:eastAsia="Arial" w:hAnsi="Arial"/>
          <w:sz w:val="20"/>
          <w:szCs w:val="20"/>
          <w:color w:val="auto"/>
        </w:rPr>
        <w:t>as a Revolving Lender and a Term Loan Lender</w:t>
      </w:r>
    </w:p>
    <w:p>
      <w:pPr>
        <w:spacing w:after="0" w:line="367"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Misty C. Johnson</w:t>
      </w:r>
    </w:p>
    <w:p>
      <w:pPr>
        <w:ind w:left="2720"/>
        <w:spacing w:after="0" w:line="194" w:lineRule="auto"/>
        <w:rPr>
          <w:sz w:val="20"/>
          <w:szCs w:val="20"/>
          <w:color w:val="auto"/>
        </w:rPr>
      </w:pPr>
      <w:r>
        <w:rPr>
          <w:rFonts w:ascii="Arial" w:cs="Arial" w:eastAsia="Arial" w:hAnsi="Arial"/>
          <w:sz w:val="20"/>
          <w:szCs w:val="20"/>
          <w:color w:val="auto"/>
        </w:rPr>
        <w:t>Name: Misty C.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1455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9019"/>
          </w:cols>
          <w:pgMar w:left="1440" w:top="1386" w:right="1440" w:bottom="1440" w:gutter="0" w:footer="0" w:header="0"/>
        </w:sectPr>
      </w:pPr>
    </w:p>
    <w:bookmarkStart w:id="55" w:name="page56"/>
    <w:bookmarkEnd w:id="55"/>
    <w:p>
      <w:pPr>
        <w:spacing w:after="0" w:line="5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HSBC BANK USA, NATIONAL ASSOCIATION,</w:t>
      </w:r>
    </w:p>
    <w:p>
      <w:pPr>
        <w:ind w:left="2720"/>
        <w:spacing w:after="0"/>
        <w:rPr>
          <w:sz w:val="20"/>
          <w:szCs w:val="20"/>
          <w:color w:val="auto"/>
        </w:rPr>
      </w:pPr>
      <w:r>
        <w:rPr>
          <w:rFonts w:ascii="Arial" w:cs="Arial" w:eastAsia="Arial" w:hAnsi="Arial"/>
          <w:sz w:val="18"/>
          <w:szCs w:val="18"/>
          <w:color w:val="auto"/>
        </w:rPr>
        <w:t>as a Revolving Lender and a Term Loan Lender</w:t>
      </w:r>
    </w:p>
    <w:p>
      <w:pPr>
        <w:spacing w:after="0" w:line="39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Jay Fort</w:t>
      </w:r>
    </w:p>
    <w:p>
      <w:pPr>
        <w:ind w:left="2720"/>
        <w:spacing w:after="0" w:line="194" w:lineRule="auto"/>
        <w:rPr>
          <w:sz w:val="20"/>
          <w:szCs w:val="20"/>
          <w:color w:val="auto"/>
        </w:rPr>
      </w:pPr>
      <w:r>
        <w:rPr>
          <w:rFonts w:ascii="Arial" w:cs="Arial" w:eastAsia="Arial" w:hAnsi="Arial"/>
          <w:sz w:val="20"/>
          <w:szCs w:val="20"/>
          <w:color w:val="auto"/>
        </w:rPr>
        <w:t>Name: Jay 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676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7627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30"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HSBC UK BANK, PLC</w:t>
      </w:r>
      <w:r>
        <w:rPr>
          <w:rFonts w:ascii="Arial" w:cs="Arial" w:eastAsia="Arial" w:hAnsi="Arial"/>
          <w:sz w:val="20"/>
          <w:szCs w:val="20"/>
          <w:color w:val="auto"/>
        </w:rPr>
        <w:t>,</w:t>
      </w:r>
    </w:p>
    <w:p>
      <w:pPr>
        <w:ind w:left="2720"/>
        <w:spacing w:after="0"/>
        <w:rPr>
          <w:sz w:val="20"/>
          <w:szCs w:val="20"/>
          <w:color w:val="auto"/>
        </w:rPr>
      </w:pPr>
      <w:r>
        <w:rPr>
          <w:rFonts w:ascii="Arial" w:cs="Arial" w:eastAsia="Arial" w:hAnsi="Arial"/>
          <w:sz w:val="20"/>
          <w:szCs w:val="20"/>
          <w:color w:val="auto"/>
        </w:rPr>
        <w:t>as a Term Loan Lender</w:t>
      </w:r>
    </w:p>
    <w:p>
      <w:pPr>
        <w:spacing w:after="0" w:line="367"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Mike North</w:t>
      </w:r>
    </w:p>
    <w:p>
      <w:pPr>
        <w:ind w:left="2720"/>
        <w:spacing w:after="0" w:line="194" w:lineRule="auto"/>
        <w:rPr>
          <w:sz w:val="20"/>
          <w:szCs w:val="20"/>
          <w:color w:val="auto"/>
        </w:rPr>
      </w:pPr>
      <w:r>
        <w:rPr>
          <w:rFonts w:ascii="Arial" w:cs="Arial" w:eastAsia="Arial" w:hAnsi="Arial"/>
          <w:sz w:val="20"/>
          <w:szCs w:val="20"/>
          <w:color w:val="auto"/>
        </w:rPr>
        <w:t>Name: Mike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8553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18"/>
          <w:szCs w:val="18"/>
          <w:color w:val="auto"/>
        </w:rPr>
        <w:t>Title: Relationship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9019"/>
          </w:cols>
          <w:pgMar w:left="1440" w:top="1440" w:right="1440" w:bottom="1440" w:gutter="0" w:footer="0" w:header="0"/>
        </w:sectPr>
      </w:pPr>
    </w:p>
    <w:bookmarkStart w:id="57" w:name="page58"/>
    <w:bookmarkEnd w:id="57"/>
    <w:p>
      <w:pPr>
        <w:ind w:left="2720"/>
        <w:spacing w:after="0"/>
        <w:rPr>
          <w:sz w:val="20"/>
          <w:szCs w:val="20"/>
          <w:color w:val="auto"/>
        </w:rPr>
      </w:pPr>
      <w:r>
        <w:rPr>
          <w:rFonts w:ascii="Arial" w:cs="Arial" w:eastAsia="Arial" w:hAnsi="Arial"/>
          <w:sz w:val="18"/>
          <w:szCs w:val="18"/>
          <w:color w:val="auto"/>
        </w:rPr>
        <w:t>CITIBANK, N.A.,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Michael Leonard</w:t>
      </w:r>
    </w:p>
    <w:p>
      <w:pPr>
        <w:ind w:left="2720"/>
        <w:spacing w:after="0" w:line="194" w:lineRule="auto"/>
        <w:rPr>
          <w:sz w:val="20"/>
          <w:szCs w:val="20"/>
          <w:color w:val="auto"/>
        </w:rPr>
      </w:pPr>
      <w:r>
        <w:rPr>
          <w:rFonts w:ascii="Arial" w:cs="Arial" w:eastAsia="Arial" w:hAnsi="Arial"/>
          <w:sz w:val="20"/>
          <w:szCs w:val="20"/>
          <w:color w:val="auto"/>
        </w:rPr>
        <w:t>Name: Michael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123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9019"/>
          </w:cols>
          <w:pgMar w:left="1440" w:top="1390" w:right="1440" w:bottom="1440" w:gutter="0" w:footer="0" w:header="0"/>
        </w:sectPr>
      </w:pPr>
    </w:p>
    <w:bookmarkStart w:id="58" w:name="page59"/>
    <w:bookmarkEnd w:id="58"/>
    <w:p>
      <w:pPr>
        <w:ind w:left="27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Revolving Lender and a Term Loan Lender</w:t>
      </w:r>
    </w:p>
    <w:p>
      <w:pPr>
        <w:spacing w:after="0" w:line="200" w:lineRule="exact"/>
        <w:rPr>
          <w:sz w:val="20"/>
          <w:szCs w:val="20"/>
          <w:color w:val="auto"/>
        </w:rPr>
      </w:pPr>
    </w:p>
    <w:p>
      <w:pPr>
        <w:spacing w:after="0" w:line="212"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Donna DeMagistris</w:t>
      </w:r>
    </w:p>
    <w:p>
      <w:pPr>
        <w:ind w:left="2720"/>
        <w:spacing w:after="0" w:line="194" w:lineRule="auto"/>
        <w:rPr>
          <w:sz w:val="20"/>
          <w:szCs w:val="20"/>
          <w:color w:val="auto"/>
        </w:rPr>
      </w:pPr>
      <w:r>
        <w:rPr>
          <w:rFonts w:ascii="Arial" w:cs="Arial" w:eastAsia="Arial" w:hAnsi="Arial"/>
          <w:sz w:val="20"/>
          <w:szCs w:val="20"/>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2484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9019"/>
          </w:cols>
          <w:pgMar w:left="1440" w:top="1384" w:right="1440" w:bottom="1440" w:gutter="0" w:footer="0" w:header="0"/>
        </w:sectPr>
      </w:pPr>
    </w:p>
    <w:bookmarkStart w:id="59" w:name="page60"/>
    <w:bookmarkEnd w:id="59"/>
    <w:p>
      <w:pPr>
        <w:ind w:left="2720"/>
        <w:spacing w:after="0"/>
        <w:rPr>
          <w:sz w:val="20"/>
          <w:szCs w:val="20"/>
          <w:color w:val="auto"/>
        </w:rPr>
      </w:pPr>
      <w:r>
        <w:rPr>
          <w:rFonts w:ascii="Arial" w:cs="Arial" w:eastAsia="Arial" w:hAnsi="Arial"/>
          <w:sz w:val="18"/>
          <w:szCs w:val="18"/>
          <w:color w:val="auto"/>
        </w:rPr>
        <w:t>PNC BANK, NATIONAL ASSOCIATION,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James L. Cullen</w:t>
      </w:r>
    </w:p>
    <w:p>
      <w:pPr>
        <w:ind w:left="2720"/>
        <w:spacing w:after="0" w:line="194" w:lineRule="auto"/>
        <w:rPr>
          <w:sz w:val="20"/>
          <w:szCs w:val="20"/>
          <w:color w:val="auto"/>
        </w:rPr>
      </w:pPr>
      <w:r>
        <w:rPr>
          <w:rFonts w:ascii="Arial" w:cs="Arial" w:eastAsia="Arial" w:hAnsi="Arial"/>
          <w:sz w:val="20"/>
          <w:szCs w:val="20"/>
          <w:color w:val="auto"/>
        </w:rPr>
        <w:t>Name: James L.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1068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9980"/>
          </w:cols>
          <w:pgMar w:left="1440" w:top="1390" w:right="479" w:bottom="1440" w:gutter="0" w:footer="0" w:header="0"/>
        </w:sectPr>
      </w:pPr>
    </w:p>
    <w:bookmarkStart w:id="60" w:name="page61"/>
    <w:bookmarkEnd w:id="60"/>
    <w:p>
      <w:pPr>
        <w:ind w:left="2720"/>
        <w:spacing w:after="0"/>
        <w:rPr>
          <w:sz w:val="20"/>
          <w:szCs w:val="20"/>
          <w:color w:val="auto"/>
        </w:rPr>
      </w:pPr>
      <w:r>
        <w:rPr>
          <w:rFonts w:ascii="Arial" w:cs="Arial" w:eastAsia="Arial" w:hAnsi="Arial"/>
          <w:sz w:val="18"/>
          <w:szCs w:val="18"/>
          <w:color w:val="auto"/>
        </w:rPr>
        <w:t>TRUIST BANK,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Chris Hursey</w:t>
      </w:r>
    </w:p>
    <w:p>
      <w:pPr>
        <w:ind w:left="2720"/>
        <w:spacing w:after="0" w:line="194" w:lineRule="auto"/>
        <w:rPr>
          <w:sz w:val="20"/>
          <w:szCs w:val="20"/>
          <w:color w:val="auto"/>
        </w:rPr>
      </w:pPr>
      <w:r>
        <w:rPr>
          <w:rFonts w:ascii="Arial" w:cs="Arial" w:eastAsia="Arial" w:hAnsi="Arial"/>
          <w:sz w:val="20"/>
          <w:szCs w:val="20"/>
          <w:color w:val="auto"/>
        </w:rPr>
        <w:t>Name: Chris Hursey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9315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9019"/>
          </w:cols>
          <w:pgMar w:left="1440" w:top="1390" w:right="1440" w:bottom="1440" w:gutter="0" w:footer="0" w:header="0"/>
        </w:sectPr>
      </w:pPr>
    </w:p>
    <w:bookmarkStart w:id="61" w:name="page62"/>
    <w:bookmarkEnd w:id="61"/>
    <w:p>
      <w:pPr>
        <w:ind w:left="2720"/>
        <w:spacing w:after="0"/>
        <w:rPr>
          <w:sz w:val="20"/>
          <w:szCs w:val="20"/>
          <w:color w:val="auto"/>
        </w:rPr>
      </w:pPr>
      <w:r>
        <w:rPr>
          <w:rFonts w:ascii="Arial" w:cs="Arial" w:eastAsia="Arial" w:hAnsi="Arial"/>
          <w:sz w:val="18"/>
          <w:szCs w:val="18"/>
          <w:b w:val="1"/>
          <w:bCs w:val="1"/>
          <w:color w:val="auto"/>
        </w:rPr>
        <w:t>FIRST HORIZON BANK</w:t>
      </w:r>
      <w:r>
        <w:rPr>
          <w:rFonts w:ascii="Arial" w:cs="Arial" w:eastAsia="Arial" w:hAnsi="Arial"/>
          <w:sz w:val="18"/>
          <w:szCs w:val="18"/>
          <w:color w:val="auto"/>
        </w:rPr>
        <w:t>, as a Revolving Lender and a Term Loan Lender</w:t>
      </w:r>
    </w:p>
    <w:p>
      <w:pPr>
        <w:spacing w:after="0" w:line="200" w:lineRule="exact"/>
        <w:rPr>
          <w:sz w:val="20"/>
          <w:szCs w:val="20"/>
          <w:color w:val="auto"/>
        </w:rPr>
      </w:pPr>
    </w:p>
    <w:p>
      <w:pPr>
        <w:spacing w:after="0" w:line="23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Demetrio Papatriantafyllou</w:t>
      </w:r>
    </w:p>
    <w:p>
      <w:pPr>
        <w:ind w:left="2720"/>
        <w:spacing w:after="0" w:line="194" w:lineRule="auto"/>
        <w:rPr>
          <w:sz w:val="20"/>
          <w:szCs w:val="20"/>
          <w:color w:val="auto"/>
        </w:rPr>
      </w:pPr>
      <w:r>
        <w:rPr>
          <w:rFonts w:ascii="Arial" w:cs="Arial" w:eastAsia="Arial" w:hAnsi="Arial"/>
          <w:sz w:val="20"/>
          <w:szCs w:val="20"/>
          <w:color w:val="auto"/>
        </w:rPr>
        <w:t>Name: Demetrio Papatriantafyllou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6275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VP – Corporate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9019"/>
          </w:cols>
          <w:pgMar w:left="1440" w:top="1384" w:right="1440" w:bottom="1440" w:gutter="0" w:footer="0" w:header="0"/>
        </w:sectPr>
      </w:pPr>
    </w:p>
    <w:bookmarkStart w:id="62" w:name="page63"/>
    <w:bookmarkEnd w:id="62"/>
    <w:p>
      <w:pPr>
        <w:ind w:left="2720"/>
        <w:spacing w:after="0"/>
        <w:rPr>
          <w:sz w:val="20"/>
          <w:szCs w:val="20"/>
          <w:color w:val="auto"/>
        </w:rPr>
      </w:pPr>
      <w:r>
        <w:rPr>
          <w:rFonts w:ascii="Arial" w:cs="Arial" w:eastAsia="Arial" w:hAnsi="Arial"/>
          <w:sz w:val="18"/>
          <w:szCs w:val="18"/>
          <w:color w:val="auto"/>
        </w:rPr>
        <w:t>MUFG BANK, LTD.,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Christopher Taylor</w:t>
      </w:r>
    </w:p>
    <w:p>
      <w:pPr>
        <w:ind w:left="2720"/>
        <w:spacing w:after="0" w:line="194" w:lineRule="auto"/>
        <w:rPr>
          <w:sz w:val="20"/>
          <w:szCs w:val="20"/>
          <w:color w:val="auto"/>
        </w:rPr>
      </w:pPr>
      <w:r>
        <w:rPr>
          <w:rFonts w:ascii="Arial" w:cs="Arial" w:eastAsia="Arial" w:hAnsi="Arial"/>
          <w:sz w:val="20"/>
          <w:szCs w:val="20"/>
          <w:color w:val="auto"/>
        </w:rPr>
        <w:t>Name: Christopher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2122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9019"/>
          </w:cols>
          <w:pgMar w:left="1440" w:top="1390" w:right="1440" w:bottom="1440" w:gutter="0" w:footer="0" w:header="0"/>
        </w:sectPr>
      </w:pPr>
    </w:p>
    <w:bookmarkStart w:id="63" w:name="page64"/>
    <w:bookmarkEnd w:id="63"/>
    <w:p>
      <w:pPr>
        <w:ind w:left="2720"/>
        <w:spacing w:after="0"/>
        <w:rPr>
          <w:sz w:val="20"/>
          <w:szCs w:val="20"/>
          <w:color w:val="auto"/>
        </w:rPr>
      </w:pPr>
      <w:r>
        <w:rPr>
          <w:rFonts w:ascii="Arial" w:cs="Arial" w:eastAsia="Arial" w:hAnsi="Arial"/>
          <w:sz w:val="18"/>
          <w:szCs w:val="18"/>
          <w:color w:val="auto"/>
        </w:rPr>
        <w:t>STANDARD CHARTERED BANK,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Kristopher Tracy</w:t>
      </w:r>
    </w:p>
    <w:p>
      <w:pPr>
        <w:ind w:left="2720"/>
        <w:spacing w:after="0" w:line="194" w:lineRule="auto"/>
        <w:rPr>
          <w:sz w:val="20"/>
          <w:szCs w:val="20"/>
          <w:color w:val="auto"/>
        </w:rPr>
      </w:pPr>
      <w:r>
        <w:rPr>
          <w:rFonts w:ascii="Arial" w:cs="Arial" w:eastAsia="Arial" w:hAnsi="Arial"/>
          <w:sz w:val="20"/>
          <w:szCs w:val="20"/>
          <w:color w:val="auto"/>
        </w:rPr>
        <w:t>Name: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1195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 Financing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9440"/>
          </w:cols>
          <w:pgMar w:left="1440" w:top="1390" w:right="1019" w:bottom="1440" w:gutter="0" w:footer="0" w:header="0"/>
        </w:sectPr>
      </w:pPr>
    </w:p>
    <w:bookmarkStart w:id="64" w:name="page65"/>
    <w:bookmarkEnd w:id="64"/>
    <w:p>
      <w:pPr>
        <w:ind w:left="2720"/>
        <w:spacing w:after="0" w:line="227" w:lineRule="auto"/>
        <w:rPr>
          <w:sz w:val="20"/>
          <w:szCs w:val="20"/>
          <w:color w:val="auto"/>
        </w:rPr>
      </w:pPr>
      <w:r>
        <w:rPr>
          <w:rFonts w:ascii="Arial" w:cs="Arial" w:eastAsia="Arial" w:hAnsi="Arial"/>
          <w:sz w:val="20"/>
          <w:szCs w:val="20"/>
          <w:color w:val="auto"/>
        </w:rPr>
        <w:t>MORGAN STANLEY SENIOR FUNDING, INC., as a Revolving Lender and a Term Loan Lender</w:t>
      </w:r>
    </w:p>
    <w:p>
      <w:pPr>
        <w:spacing w:after="0" w:line="36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Rikin Pandya</w:t>
      </w:r>
    </w:p>
    <w:p>
      <w:pPr>
        <w:ind w:left="2720"/>
        <w:spacing w:after="0" w:line="194" w:lineRule="auto"/>
        <w:rPr>
          <w:sz w:val="20"/>
          <w:szCs w:val="20"/>
          <w:color w:val="auto"/>
        </w:rPr>
      </w:pPr>
      <w:r>
        <w:rPr>
          <w:rFonts w:ascii="Arial" w:cs="Arial" w:eastAsia="Arial" w:hAnsi="Arial"/>
          <w:sz w:val="20"/>
          <w:szCs w:val="20"/>
          <w:color w:val="auto"/>
        </w:rPr>
        <w:t>Name: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9448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9920"/>
          </w:cols>
          <w:pgMar w:left="1440" w:top="1390" w:right="539" w:bottom="1440" w:gutter="0" w:footer="0" w:header="0"/>
        </w:sectPr>
      </w:pPr>
    </w:p>
    <w:bookmarkStart w:id="65" w:name="page66"/>
    <w:bookmarkEnd w:id="65"/>
    <w:p>
      <w:pPr>
        <w:ind w:left="2720"/>
        <w:spacing w:after="0"/>
        <w:rPr>
          <w:sz w:val="20"/>
          <w:szCs w:val="20"/>
          <w:color w:val="auto"/>
        </w:rPr>
      </w:pPr>
      <w:r>
        <w:rPr>
          <w:rFonts w:ascii="Arial" w:cs="Arial" w:eastAsia="Arial" w:hAnsi="Arial"/>
          <w:sz w:val="18"/>
          <w:szCs w:val="18"/>
          <w:color w:val="auto"/>
        </w:rPr>
        <w:t>BANKUNITED N.A., as a Revolving Lender and a Term Loan Lender</w:t>
      </w:r>
    </w:p>
    <w:p>
      <w:pPr>
        <w:spacing w:after="0" w:line="200" w:lineRule="exact"/>
        <w:rPr>
          <w:sz w:val="20"/>
          <w:szCs w:val="20"/>
          <w:color w:val="auto"/>
        </w:rPr>
      </w:pP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Jennifer Garcia-Barbon</w:t>
      </w:r>
    </w:p>
    <w:p>
      <w:pPr>
        <w:ind w:left="2720"/>
        <w:spacing w:after="0" w:line="194" w:lineRule="auto"/>
        <w:rPr>
          <w:sz w:val="20"/>
          <w:szCs w:val="20"/>
          <w:color w:val="auto"/>
        </w:rPr>
      </w:pPr>
      <w:r>
        <w:rPr>
          <w:rFonts w:ascii="Arial" w:cs="Arial" w:eastAsia="Arial" w:hAnsi="Arial"/>
          <w:sz w:val="20"/>
          <w:szCs w:val="20"/>
          <w:color w:val="auto"/>
        </w:rPr>
        <w:t>Name: Jennifer Garcia-Barbon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4414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9019"/>
          </w:cols>
          <w:pgMar w:left="1440" w:top="1390" w:right="1440" w:bottom="1440" w:gutter="0" w:footer="0" w:header="0"/>
        </w:sectPr>
      </w:pPr>
    </w:p>
    <w:bookmarkStart w:id="66" w:name="page67"/>
    <w:bookmarkEnd w:id="66"/>
    <w:p>
      <w:pPr>
        <w:ind w:left="2720"/>
        <w:spacing w:after="0"/>
        <w:rPr>
          <w:sz w:val="20"/>
          <w:szCs w:val="20"/>
          <w:color w:val="auto"/>
        </w:rPr>
      </w:pPr>
      <w:r>
        <w:rPr>
          <w:rFonts w:ascii="Arial" w:cs="Arial" w:eastAsia="Arial" w:hAnsi="Arial"/>
          <w:sz w:val="18"/>
          <w:szCs w:val="18"/>
          <w:b w:val="1"/>
          <w:bCs w:val="1"/>
          <w:color w:val="auto"/>
        </w:rPr>
        <w:t>SYNOVUS BANK</w:t>
      </w:r>
      <w:r>
        <w:rPr>
          <w:rFonts w:ascii="Arial" w:cs="Arial" w:eastAsia="Arial" w:hAnsi="Arial"/>
          <w:sz w:val="18"/>
          <w:szCs w:val="18"/>
          <w:color w:val="auto"/>
        </w:rPr>
        <w:t>, as a Revolving Lender and a Term Loan Lender</w:t>
      </w:r>
    </w:p>
    <w:p>
      <w:pPr>
        <w:spacing w:after="0" w:line="200" w:lineRule="exact"/>
        <w:rPr>
          <w:sz w:val="20"/>
          <w:szCs w:val="20"/>
          <w:color w:val="auto"/>
        </w:rPr>
      </w:pPr>
    </w:p>
    <w:p>
      <w:pPr>
        <w:spacing w:after="0" w:line="23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Michael Sawicki</w:t>
      </w:r>
    </w:p>
    <w:p>
      <w:pPr>
        <w:ind w:left="2720"/>
        <w:spacing w:after="0" w:line="194" w:lineRule="auto"/>
        <w:rPr>
          <w:sz w:val="20"/>
          <w:szCs w:val="20"/>
          <w:color w:val="auto"/>
        </w:rPr>
      </w:pPr>
      <w:r>
        <w:rPr>
          <w:rFonts w:ascii="Arial" w:cs="Arial" w:eastAsia="Arial" w:hAnsi="Arial"/>
          <w:sz w:val="20"/>
          <w:szCs w:val="20"/>
          <w:color w:val="auto"/>
        </w:rPr>
        <w:t>Name: Michael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110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9019"/>
          </w:cols>
          <w:pgMar w:left="1440" w:top="1384" w:right="1440" w:bottom="1440" w:gutter="0" w:footer="0" w:header="0"/>
        </w:sectPr>
      </w:pPr>
    </w:p>
    <w:bookmarkStart w:id="67" w:name="page68"/>
    <w:bookmarkEnd w:id="67"/>
    <w:p>
      <w:pPr>
        <w:ind w:left="272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a Revolving Lender and a Term Loan Lender</w:t>
      </w:r>
    </w:p>
    <w:p>
      <w:pPr>
        <w:spacing w:after="0" w:line="200" w:lineRule="exact"/>
        <w:rPr>
          <w:sz w:val="20"/>
          <w:szCs w:val="20"/>
          <w:color w:val="auto"/>
        </w:rPr>
      </w:pPr>
    </w:p>
    <w:p>
      <w:pPr>
        <w:spacing w:after="0" w:line="212"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Gerald R. Finney, Jr.</w:t>
      </w:r>
    </w:p>
    <w:p>
      <w:pPr>
        <w:ind w:left="2720"/>
        <w:spacing w:after="0" w:line="194" w:lineRule="auto"/>
        <w:rPr>
          <w:sz w:val="20"/>
          <w:szCs w:val="20"/>
          <w:color w:val="auto"/>
        </w:rPr>
      </w:pPr>
      <w:r>
        <w:rPr>
          <w:rFonts w:ascii="Arial" w:cs="Arial" w:eastAsia="Arial" w:hAnsi="Arial"/>
          <w:sz w:val="20"/>
          <w:szCs w:val="20"/>
          <w:color w:val="auto"/>
        </w:rPr>
        <w:t>Name Gerald R. Finney,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299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9019"/>
          </w:cols>
          <w:pgMar w:left="1440" w:top="1384" w:right="1440" w:bottom="1440" w:gutter="0" w:footer="0" w:header="0"/>
        </w:sectPr>
      </w:pPr>
    </w:p>
    <w:bookmarkStart w:id="68" w:name="page69"/>
    <w:bookmarkEnd w:id="68"/>
    <w:p>
      <w:pPr>
        <w:ind w:left="2720"/>
        <w:spacing w:after="0"/>
        <w:rPr>
          <w:sz w:val="20"/>
          <w:szCs w:val="20"/>
          <w:color w:val="auto"/>
        </w:rPr>
      </w:pPr>
      <w:r>
        <w:rPr>
          <w:rFonts w:ascii="Arial" w:cs="Arial" w:eastAsia="Arial" w:hAnsi="Arial"/>
          <w:sz w:val="18"/>
          <w:szCs w:val="18"/>
          <w:b w:val="1"/>
          <w:bCs w:val="1"/>
          <w:color w:val="auto"/>
        </w:rPr>
        <w:t>STIFEL BANK &amp; TRUST</w:t>
      </w:r>
      <w:r>
        <w:rPr>
          <w:rFonts w:ascii="Arial" w:cs="Arial" w:eastAsia="Arial" w:hAnsi="Arial"/>
          <w:sz w:val="18"/>
          <w:szCs w:val="18"/>
          <w:color w:val="auto"/>
        </w:rPr>
        <w:t>, as a Revolving Lender and a Term Loan Lender</w:t>
      </w:r>
    </w:p>
    <w:p>
      <w:pPr>
        <w:spacing w:after="0" w:line="200" w:lineRule="exact"/>
        <w:rPr>
          <w:sz w:val="20"/>
          <w:szCs w:val="20"/>
          <w:color w:val="auto"/>
        </w:rPr>
      </w:pPr>
    </w:p>
    <w:p>
      <w:pPr>
        <w:spacing w:after="0" w:line="23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Matthew L. Diehl</w:t>
      </w:r>
    </w:p>
    <w:p>
      <w:pPr>
        <w:ind w:left="2720"/>
        <w:spacing w:after="0" w:line="194" w:lineRule="auto"/>
        <w:rPr>
          <w:sz w:val="20"/>
          <w:szCs w:val="20"/>
          <w:color w:val="auto"/>
        </w:rPr>
      </w:pPr>
      <w:r>
        <w:rPr>
          <w:rFonts w:ascii="Arial" w:cs="Arial" w:eastAsia="Arial" w:hAnsi="Arial"/>
          <w:sz w:val="20"/>
          <w:szCs w:val="20"/>
          <w:color w:val="auto"/>
        </w:rPr>
        <w:t>Name: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-116840</wp:posOffset>
            </wp:positionV>
            <wp:extent cx="11588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9019"/>
          </w:cols>
          <w:pgMar w:left="1440" w:top="1384" w:right="1440" w:bottom="1440" w:gutter="0" w:footer="0" w:header="0"/>
        </w:sectPr>
      </w:pPr>
    </w:p>
    <w:bookmarkStart w:id="69" w:name="page70"/>
    <w:bookmarkEnd w:id="69"/>
    <w:p>
      <w:pPr>
        <w:ind w:left="2720"/>
        <w:spacing w:after="0" w:line="230" w:lineRule="auto"/>
        <w:rPr>
          <w:sz w:val="20"/>
          <w:szCs w:val="20"/>
          <w:color w:val="auto"/>
        </w:rPr>
      </w:pPr>
      <w:r>
        <w:rPr>
          <w:rFonts w:ascii="Arial" w:cs="Arial" w:eastAsia="Arial" w:hAnsi="Arial"/>
          <w:sz w:val="20"/>
          <w:szCs w:val="20"/>
          <w:b w:val="1"/>
          <w:bCs w:val="1"/>
          <w:color w:val="auto"/>
        </w:rPr>
        <w:t>BANCO de SABADELL, S.A., MIAMI BRANCH</w:t>
      </w:r>
      <w:r>
        <w:rPr>
          <w:rFonts w:ascii="Arial" w:cs="Arial" w:eastAsia="Arial" w:hAnsi="Arial"/>
          <w:sz w:val="20"/>
          <w:szCs w:val="20"/>
          <w:color w:val="auto"/>
        </w:rPr>
        <w:t>, as a Revolving Lender and a Term</w:t>
      </w:r>
      <w:r>
        <w:rPr>
          <w:rFonts w:ascii="Arial" w:cs="Arial" w:eastAsia="Arial" w:hAnsi="Arial"/>
          <w:sz w:val="20"/>
          <w:szCs w:val="20"/>
          <w:b w:val="1"/>
          <w:bCs w:val="1"/>
          <w:color w:val="auto"/>
        </w:rPr>
        <w:t xml:space="preserve"> </w:t>
      </w:r>
      <w:r>
        <w:rPr>
          <w:rFonts w:ascii="Arial" w:cs="Arial" w:eastAsia="Arial" w:hAnsi="Arial"/>
          <w:sz w:val="20"/>
          <w:szCs w:val="20"/>
          <w:color w:val="auto"/>
        </w:rPr>
        <w:t>Loan Lender</w:t>
      </w:r>
    </w:p>
    <w:p>
      <w:pPr>
        <w:spacing w:after="0" w:line="36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 /s/ Enrique Castillo</w:t>
      </w:r>
    </w:p>
    <w:p>
      <w:pPr>
        <w:ind w:left="2720"/>
        <w:spacing w:after="0" w:line="194" w:lineRule="auto"/>
        <w:rPr>
          <w:sz w:val="20"/>
          <w:szCs w:val="20"/>
          <w:color w:val="auto"/>
        </w:rPr>
      </w:pPr>
      <w:r>
        <w:rPr>
          <w:rFonts w:ascii="Arial" w:cs="Arial" w:eastAsia="Arial" w:hAnsi="Arial"/>
          <w:sz w:val="20"/>
          <w:szCs w:val="20"/>
          <w:color w:val="auto"/>
        </w:rPr>
        <w:t>Name: Enrique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-116840</wp:posOffset>
            </wp:positionV>
            <wp:extent cx="11137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Title: Head of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9680"/>
          </w:cols>
          <w:pgMar w:left="1440" w:top="1384" w:right="7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80" w:lineRule="exact"/>
        <w:rPr>
          <w:sz w:val="20"/>
          <w:szCs w:val="20"/>
          <w:color w:val="auto"/>
        </w:rPr>
      </w:pPr>
    </w:p>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2022;</w:t>
      </w:r>
    </w:p>
    <w:p>
      <w:pPr>
        <w:spacing w:after="0" w:line="193" w:lineRule="exact"/>
        <w:rPr>
          <w:rFonts w:ascii="Arial" w:cs="Arial" w:eastAsia="Arial" w:hAnsi="Arial"/>
          <w:sz w:val="18"/>
          <w:szCs w:val="18"/>
          <w:color w:val="auto"/>
        </w:rPr>
      </w:pPr>
    </w:p>
    <w:p>
      <w:pPr>
        <w:jc w:val="both"/>
        <w:ind w:left="640" w:right="240" w:hanging="313"/>
        <w:spacing w:after="0" w:line="25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8"/>
          <w:szCs w:val="18"/>
          <w:color w:val="auto"/>
        </w:rPr>
      </w:pPr>
    </w:p>
    <w:p>
      <w:pPr>
        <w:ind w:left="640" w:right="220" w:hanging="313"/>
        <w:spacing w:after="0" w:line="300"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7"/>
          <w:szCs w:val="17"/>
          <w:color w:val="auto"/>
        </w:rPr>
      </w:pPr>
    </w:p>
    <w:p>
      <w:pPr>
        <w:ind w:left="640" w:right="200" w:hanging="313"/>
        <w:spacing w:after="0" w:line="25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9" w:lineRule="exact"/>
        <w:rPr>
          <w:rFonts w:ascii="Arial" w:cs="Arial" w:eastAsia="Arial" w:hAnsi="Arial"/>
          <w:sz w:val="18"/>
          <w:szCs w:val="18"/>
          <w:color w:val="auto"/>
        </w:rPr>
      </w:pPr>
    </w:p>
    <w:p>
      <w:pPr>
        <w:ind w:left="1280" w:right="60" w:hanging="313"/>
        <w:spacing w:after="0" w:line="258" w:lineRule="auto"/>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280" w:right="180" w:hanging="313"/>
        <w:spacing w:after="0" w:line="258" w:lineRule="auto"/>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280" w:right="340" w:hanging="313"/>
        <w:spacing w:after="0" w:line="415" w:lineRule="auto"/>
        <w:tabs>
          <w:tab w:leader="none" w:pos="1270"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4"/>
          <w:szCs w:val="14"/>
          <w:color w:val="auto"/>
        </w:rPr>
      </w:pPr>
    </w:p>
    <w:p>
      <w:pPr>
        <w:ind w:left="1280" w:right="40" w:hanging="313"/>
        <w:spacing w:after="0" w:line="258" w:lineRule="auto"/>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8"/>
          <w:szCs w:val="18"/>
          <w:color w:val="auto"/>
        </w:rPr>
      </w:pPr>
    </w:p>
    <w:p>
      <w:pPr>
        <w:ind w:left="640" w:right="140" w:hanging="313"/>
        <w:spacing w:after="0" w:line="300"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7"/>
          <w:szCs w:val="17"/>
          <w:color w:val="auto"/>
        </w:rPr>
      </w:pPr>
    </w:p>
    <w:p>
      <w:pPr>
        <w:ind w:left="1280" w:right="600" w:hanging="313"/>
        <w:spacing w:after="0" w:line="333" w:lineRule="auto"/>
        <w:tabs>
          <w:tab w:leader="none" w:pos="127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6"/>
          <w:szCs w:val="16"/>
          <w:color w:val="auto"/>
        </w:rPr>
      </w:pPr>
    </w:p>
    <w:p>
      <w:pPr>
        <w:ind w:left="1280" w:right="280" w:hanging="313"/>
        <w:spacing w:after="0" w:line="270" w:lineRule="auto"/>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29, 2022</w:t>
      </w:r>
    </w:p>
    <w:p>
      <w:pPr>
        <w:spacing w:after="0" w:line="3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13335</wp:posOffset>
            </wp:positionV>
            <wp:extent cx="30416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1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80" w:lineRule="exact"/>
        <w:rPr>
          <w:sz w:val="20"/>
          <w:szCs w:val="20"/>
          <w:color w:val="auto"/>
        </w:rPr>
      </w:pPr>
    </w:p>
    <w:p>
      <w:pPr>
        <w:ind w:left="640" w:hanging="31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2022;</w:t>
      </w:r>
    </w:p>
    <w:p>
      <w:pPr>
        <w:spacing w:after="0" w:line="193" w:lineRule="exact"/>
        <w:rPr>
          <w:rFonts w:ascii="Arial" w:cs="Arial" w:eastAsia="Arial" w:hAnsi="Arial"/>
          <w:sz w:val="18"/>
          <w:szCs w:val="18"/>
          <w:color w:val="auto"/>
        </w:rPr>
      </w:pPr>
    </w:p>
    <w:p>
      <w:pPr>
        <w:jc w:val="both"/>
        <w:ind w:left="640" w:right="240" w:hanging="313"/>
        <w:spacing w:after="0" w:line="25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8"/>
          <w:szCs w:val="18"/>
          <w:color w:val="auto"/>
        </w:rPr>
      </w:pPr>
    </w:p>
    <w:p>
      <w:pPr>
        <w:ind w:left="640" w:right="220" w:hanging="313"/>
        <w:spacing w:after="0" w:line="300"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7"/>
          <w:szCs w:val="17"/>
          <w:color w:val="auto"/>
        </w:rPr>
      </w:pPr>
    </w:p>
    <w:p>
      <w:pPr>
        <w:ind w:left="640" w:right="200" w:hanging="313"/>
        <w:spacing w:after="0" w:line="25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9" w:lineRule="exact"/>
        <w:rPr>
          <w:rFonts w:ascii="Arial" w:cs="Arial" w:eastAsia="Arial" w:hAnsi="Arial"/>
          <w:sz w:val="18"/>
          <w:szCs w:val="18"/>
          <w:color w:val="auto"/>
        </w:rPr>
      </w:pPr>
    </w:p>
    <w:p>
      <w:pPr>
        <w:ind w:left="1280" w:right="60" w:hanging="313"/>
        <w:spacing w:after="0" w:line="258" w:lineRule="auto"/>
        <w:tabs>
          <w:tab w:leader="none" w:pos="12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280" w:right="180" w:hanging="313"/>
        <w:spacing w:after="0" w:line="258"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280" w:right="340" w:hanging="313"/>
        <w:spacing w:after="0" w:line="415" w:lineRule="auto"/>
        <w:tabs>
          <w:tab w:leader="none" w:pos="1270"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4"/>
          <w:szCs w:val="14"/>
          <w:color w:val="auto"/>
        </w:rPr>
      </w:pPr>
    </w:p>
    <w:p>
      <w:pPr>
        <w:ind w:left="1280" w:right="40" w:hanging="313"/>
        <w:spacing w:after="0" w:line="258"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8"/>
          <w:szCs w:val="18"/>
          <w:color w:val="auto"/>
        </w:rPr>
      </w:pPr>
    </w:p>
    <w:p>
      <w:pPr>
        <w:ind w:left="640" w:right="140" w:hanging="313"/>
        <w:spacing w:after="0" w:line="300"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7"/>
          <w:szCs w:val="17"/>
          <w:color w:val="auto"/>
        </w:rPr>
      </w:pPr>
    </w:p>
    <w:p>
      <w:pPr>
        <w:ind w:left="1280" w:right="600" w:hanging="313"/>
        <w:spacing w:after="0" w:line="333" w:lineRule="auto"/>
        <w:tabs>
          <w:tab w:leader="none" w:pos="127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6"/>
          <w:szCs w:val="16"/>
          <w:color w:val="auto"/>
        </w:rPr>
      </w:pPr>
    </w:p>
    <w:p>
      <w:pPr>
        <w:ind w:left="1280" w:right="280" w:hanging="313"/>
        <w:spacing w:after="0" w:line="270" w:lineRule="auto"/>
        <w:tabs>
          <w:tab w:leader="none" w:pos="1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July 29, 2022</w:t>
      </w:r>
    </w:p>
    <w:p>
      <w:pPr>
        <w:spacing w:after="0" w:line="3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13335</wp:posOffset>
            </wp:positionV>
            <wp:extent cx="3338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07" w:lineRule="exact"/>
        <w:rPr>
          <w:sz w:val="20"/>
          <w:szCs w:val="20"/>
          <w:color w:val="auto"/>
        </w:rPr>
      </w:pPr>
    </w:p>
    <w:p>
      <w:pPr>
        <w:jc w:val="both"/>
        <w:ind w:right="80" w:firstLine="175"/>
        <w:spacing w:after="0" w:line="258"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146" w:lineRule="exact"/>
        <w:rPr>
          <w:sz w:val="20"/>
          <w:szCs w:val="20"/>
          <w:color w:val="auto"/>
        </w:rPr>
      </w:pPr>
    </w:p>
    <w:p>
      <w:pPr>
        <w:ind w:left="640" w:right="440" w:hanging="313"/>
        <w:spacing w:after="0" w:line="270" w:lineRule="auto"/>
        <w:tabs>
          <w:tab w:leader="none" w:pos="6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2022 (the “Report”) fully complies with the requirements of Section 13(a) or 15(d), as applicable, of the Securities Exchange Act of 1934; and</w:t>
      </w:r>
    </w:p>
    <w:p>
      <w:pPr>
        <w:spacing w:after="0" w:line="148" w:lineRule="exact"/>
        <w:rPr>
          <w:rFonts w:ascii="Arial" w:cs="Arial" w:eastAsia="Arial" w:hAnsi="Arial"/>
          <w:sz w:val="18"/>
          <w:szCs w:val="18"/>
          <w:color w:val="auto"/>
        </w:rPr>
      </w:pPr>
    </w:p>
    <w:p>
      <w:pPr>
        <w:ind w:left="640" w:hanging="313"/>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29, 2022</w:t>
      </w: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35585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35585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40"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187325</wp:posOffset>
            </wp:positionV>
            <wp:extent cx="69303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93039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Roman"/>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01"/>
    </w:lvl>
  </w:abstractNum>
  <w:abstractNum w:abstractNumId="10">
    <w:nsid w:val="4E6AFB66"/>
    <w:multiLevelType w:val="hybridMultilevel"/>
    <w:lvl w:ilvl="0">
      <w:lvlJc w:val="left"/>
      <w:lvlText w:val="%1"/>
      <w:numFmt w:val="decimal"/>
      <w:start w:val="104"/>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1"/>
    </w:lvl>
    <w:lvl w:ilvl="1">
      <w:lvlJc w:val="left"/>
      <w:lvlText w:val="(%2)"/>
      <w:numFmt w:val="lowerLetter"/>
      <w:start w:val="3"/>
    </w:lvl>
  </w:abstractNum>
  <w:abstractNum w:abstractNumId="16">
    <w:nsid w:val="257130A3"/>
    <w:multiLevelType w:val="hybridMultilevel"/>
    <w:lvl w:ilvl="0">
      <w:lvlJc w:val="left"/>
      <w:lvlText w:val="%1"/>
      <w:numFmt w:val="decimal"/>
      <w:start w:val="1"/>
    </w:lvl>
    <w:lvl w:ilvl="1">
      <w:lvlJc w:val="left"/>
      <w:lvlText w:val="(%2)"/>
      <w:numFmt w:val="lowerLetter"/>
      <w:start w:val="4"/>
    </w:lvl>
  </w:abstractNum>
  <w:abstractNum w:abstractNumId="17">
    <w:nsid w:val="62BBD95A"/>
    <w:multiLevelType w:val="hybridMultilevel"/>
    <w:lvl w:ilvl="0">
      <w:lvlJc w:val="left"/>
      <w:lvlText w:val="%1."/>
      <w:numFmt w:val="decimal"/>
      <w:start w:val="4"/>
    </w:lvl>
    <w:lvl w:ilvl="1">
      <w:lvlJc w:val="left"/>
      <w:lvlText w:val="%2"/>
      <w:numFmt w:val="lowerLetter"/>
      <w:start w:val="1"/>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50" Type="http://schemas.openxmlformats.org/officeDocument/2006/relationships/hyperlink" Target="https://www.sec.gov/Archives/edgar/data/789460/000162828022008268/exhibit101_creditfacilit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2022-07-29T13:06:46Z</dcterms:created>
  <dcterms:modified xsi:type="dcterms:W3CDTF">2022-07-29T13:06:46Z</dcterms:modified>
</cp:coreProperties>
</file>