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April 25, 2019</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25, 2019, World Fuel Services Corporation (the “Company”) issued a press release reporting its financial results for the first quarter ended March 31, 2019.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88"/>
              </w:rPr>
              <w:t>Press Release, dated April 25, 2019</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April 25, 2019</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April 25, 2019</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Treasury &amp; Investor Relations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First Quarter 2019 Results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MIAMI—April 25, 2019--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2019 Highlights</w:t>
      </w:r>
    </w:p>
    <w:p>
      <w:pPr>
        <w:spacing w:after="0" w:line="23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gross profit of $251.1 million, up 3% year-over-year</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of $42.8 million, or $0.64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$44.5 million, or $0.66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$94.8 million, up 17% year-over-year</w:t>
      </w:r>
    </w:p>
    <w:p>
      <w:pPr>
        <w:spacing w:after="0" w:line="213"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“We are pleased to announce a solid start to the year with all three segments delivering strong results,” stated Michael J. Kasbar, Chairman and Chief Executive Officer of World Fuel Services Corporation. “The actions we took during the past year are driving improvements in operating leverage and profitability.”</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Our aviation segment generated gross profit of $114.3 million in the first quarter, an increase of 4% year-over-year, primarily driven by strong results in our government-related and international fueling operations. Our marine segment generated gross profit of $35.2 million, an increase of 13% year-over-year, principally related to solid performance in our core resale operations. Our land segment generated gross profit of $101.5 million, essentially flat year-over-year due to a decline in activity in the United Kingdom as a result of warm winter weather, which was offset by higher profitability in our Kinect global energy services platform, and our retail, commercial and industrial operations.</w:t>
      </w:r>
    </w:p>
    <w:p>
      <w:pPr>
        <w:spacing w:after="0" w:line="179" w:lineRule="exact"/>
        <w:rPr>
          <w:sz w:val="20"/>
          <w:szCs w:val="20"/>
          <w:color w:val="auto"/>
        </w:rPr>
      </w:pPr>
    </w:p>
    <w:p>
      <w:pPr>
        <w:jc w:val="both"/>
        <w:ind w:right="60"/>
        <w:spacing w:after="0" w:line="263" w:lineRule="auto"/>
        <w:rPr>
          <w:sz w:val="20"/>
          <w:szCs w:val="20"/>
          <w:color w:val="auto"/>
        </w:rPr>
      </w:pPr>
      <w:r>
        <w:rPr>
          <w:rFonts w:ascii="Arial" w:cs="Arial" w:eastAsia="Arial" w:hAnsi="Arial"/>
          <w:sz w:val="19"/>
          <w:szCs w:val="19"/>
          <w:color w:val="auto"/>
        </w:rPr>
        <w:t>Our GAAP net income of $42.8 million, or $0.64 per diluted share, includes a discrete tax benefit of $8.8 million which corrects a prior period with respect to a foreign tax filing. Additionally, our results include $3.4 million of operating income ($2.3 million after-tax) to correct an item that should have also been recognized in a prior period. Excluding these items, which we have determined were not material to current or prior periods, our net income would have been $31.7 million, or $0.47 per diluted share.</w:t>
      </w:r>
    </w:p>
    <w:p>
      <w:pPr>
        <w:spacing w:after="0" w:line="19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Excluding the items above and acquisition and restructuring-related charges, our adjusted net income would have been $33.4 million, or $0.50 per diluted share.</w:t>
      </w:r>
    </w:p>
    <w:p>
      <w:pPr>
        <w:spacing w:after="0" w:line="190"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“We have now delivered year-over-year increases in our adjusted EBITDA for eight consecutive quarters,” said Ira M. Birns, Executive Vice President and Chief Financial Officer. “This demonstrates the significant progress we have made in sharpening our portfolio and controlling costs to drive enhanced returns.”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Financial Information</w:t>
      </w:r>
    </w:p>
    <w:p>
      <w:pPr>
        <w:spacing w:after="0" w:line="262"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Cash flow generated from operating activities was $21.9 million for the first quarter of 2019 compared to a use of $228.8 million in the first quarter of 2018, which had included approximately $120.0 million resulting from a statement of cash flows accounting standard adopted in 2018.</w:t>
      </w:r>
    </w:p>
    <w:p>
      <w:pPr>
        <w:sectPr>
          <w:pgSz w:w="11900" w:h="16838" w:orient="portrait"/>
          <w:cols w:equalWidth="0" w:num="1">
            <w:col w:w="11420"/>
          </w:cols>
          <w:pgMar w:left="240" w:top="576" w:right="239" w:bottom="1440" w:gutter="0" w:footer="0" w:header="0"/>
        </w:sectPr>
      </w:pPr>
    </w:p>
    <w:bookmarkStart w:id="5" w:name="page6"/>
    <w:bookmarkEnd w:id="5"/>
    <w:p>
      <w:pPr>
        <w:spacing w:after="0" w:line="260" w:lineRule="auto"/>
        <w:rPr>
          <w:sz w:val="20"/>
          <w:szCs w:val="20"/>
          <w:color w:val="auto"/>
        </w:rPr>
      </w:pPr>
      <w:r>
        <w:rPr>
          <w:rFonts w:ascii="Arial" w:cs="Arial" w:eastAsia="Arial" w:hAnsi="Arial"/>
          <w:sz w:val="20"/>
          <w:szCs w:val="20"/>
          <w:color w:val="auto"/>
        </w:rPr>
        <w:t>Total operating expenses, excluding acquisition and restructuring-related costs, were $178.8 million in the first quarter of 2019 and our operating expense ratio declined to 71.1% from 74.5% in the first quarter of 2018.</w:t>
      </w:r>
    </w:p>
    <w:p>
      <w:pPr>
        <w:sectPr>
          <w:pgSz w:w="11900" w:h="16838" w:orient="portrait"/>
          <w:cols w:equalWidth="0" w:num="1">
            <w:col w:w="10700"/>
          </w:cols>
          <w:pgMar w:left="240" w:top="811" w:right="9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acquisition related charges and restructuring costs primarily because we do not believe they are reflective of the Company’s core operating results.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97"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This release includes forward-looking statements within the meaning of the Private Securities Litigation Reform Act of 1995, including statements regarding our beliefs and expectations with respect to our actions taken in the past year and their impact on operating leverage and returns, as well as our expectations about our progress in sharpening our portfolio and controlling costs to drive enhanced returns.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00"/>
          </w:cols>
          <w:pgMar w:left="240" w:top="580" w:right="259" w:bottom="1440" w:gutter="0" w:footer="0" w:header="0"/>
        </w:sectPr>
      </w:pPr>
    </w:p>
    <w:bookmarkStart w:id="7" w:name="page8"/>
    <w:bookmarkEnd w:id="7"/>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204.4</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211.7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2,728.7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523.1</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155.2</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1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3,905.2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3,974.8</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350.3</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852.7</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5,739.4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5,676.9</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2,376.6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2,399.6</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377.0</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2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2,881.2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2,935.9</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659.9</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3,877.9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3,845.3</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8"/>
              </w:rPr>
              <w:t>Common stock, $0.01 par value; 100.0 shares authorized, 67.1 and 67.0 issued and outstanding as of March 31, 2019 and</w:t>
            </w: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2018, respectively</w:t>
            </w:r>
          </w:p>
        </w:tc>
        <w:tc>
          <w:tcPr>
            <w:tcW w:w="1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1,644.9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1,606.1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1,846.0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1,815.4</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1,861.5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1,831.6</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5,739.4</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ind w:left="2360" w:right="2360"/>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and employee benefits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Non-operating expenses,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Interest expense and other 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 including noncontrolling interest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655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4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8,678.8</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9,181.3</w:t>
            </w:r>
          </w:p>
        </w:tc>
      </w:tr>
      <w:tr>
        <w:trPr>
          <w:trHeight w:val="27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8,427.7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8,937.9</w:t>
            </w:r>
          </w:p>
        </w:tc>
      </w:tr>
      <w:tr>
        <w:trPr>
          <w:trHeight w:val="250"/>
        </w:trPr>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243.4</w:t>
            </w:r>
          </w:p>
        </w:tc>
      </w:tr>
      <w:tr>
        <w:trPr>
          <w:trHeight w:val="541"/>
        </w:trPr>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113.9</w:t>
            </w:r>
          </w:p>
        </w:tc>
      </w:tr>
      <w:tr>
        <w:trPr>
          <w:trHeight w:val="27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w:t>
            </w:r>
          </w:p>
        </w:tc>
      </w:tr>
      <w:tr>
        <w:trPr>
          <w:trHeight w:val="250"/>
        </w:trPr>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186.2</w:t>
            </w:r>
          </w:p>
        </w:tc>
      </w:tr>
      <w:tr>
        <w:trPr>
          <w:trHeight w:val="250"/>
        </w:trPr>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r>
      <w:tr>
        <w:trPr>
          <w:trHeight w:val="541"/>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7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50"/>
        </w:trPr>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r>
      <w:tr>
        <w:trPr>
          <w:trHeight w:val="244"/>
        </w:trPr>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38.6</w:t>
            </w:r>
          </w:p>
        </w:tc>
      </w:tr>
      <w:tr>
        <w:trPr>
          <w:trHeight w:val="27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r>
      <w:tr>
        <w:trPr>
          <w:trHeight w:val="244"/>
        </w:trPr>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7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6"/>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96" w:right="239" w:bottom="1440" w:gutter="0" w:footer="0" w:header="0"/>
          <w:type w:val="continuous"/>
        </w:sectPr>
      </w:pP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9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7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flow hedges, net of income tax benefit of $4.1 and $4.2 for the three months ended March 31, 2019 and 2018, respectively</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50"/>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3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8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r>
      <w:tr>
        <w:trPr>
          <w:trHeight w:val="283"/>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Foreign currency losses, net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78"/>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97"/>
              </w:rPr>
              <w:t>Accounts receivable, net (reduced by beneficial interests received in exchange for accounts receivables sold of $120.0 for the three months</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ended March 31, 2018)</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(84.8)</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70"/>
        </w:trPr>
        <w:tc>
          <w:tcPr>
            <w:tcW w:w="8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50"/>
        </w:trPr>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r>
      <w:tr>
        <w:trPr>
          <w:trHeight w:val="27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w:t>
            </w:r>
          </w:p>
        </w:tc>
      </w:tr>
      <w:tr>
        <w:trPr>
          <w:trHeight w:val="27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1,468.9</w:t>
            </w: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(1,545.1)</w:t>
            </w: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r>
      <w:tr>
        <w:trPr>
          <w:trHeight w:val="25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the beginning of the period</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372.3</w:t>
            </w:r>
          </w:p>
        </w:tc>
      </w:tr>
      <w:tr>
        <w:trPr>
          <w:trHeight w:val="23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152.9</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The adoption of ASU 2016-15 resulted in operating cash flow decreases and investing cash flow increases of $120.0 million for the three months ended March 31, 2018.</w:t>
      </w:r>
    </w:p>
    <w:p>
      <w:pPr>
        <w:sectPr>
          <w:pgSz w:w="11900" w:h="16838" w:orient="portrait"/>
          <w:cols w:equalWidth="0" w:num="1">
            <w:col w:w="11420"/>
          </w:cols>
          <w:pgMar w:left="240" w:top="918" w:right="239" w:bottom="1440" w:gutter="0" w:footer="0" w:header="0"/>
        </w:sectPr>
      </w:pPr>
    </w:p>
    <w:bookmarkStart w:id="10" w:name="page11"/>
    <w:bookmarkEnd w:id="10"/>
    <w:p>
      <w:pPr>
        <w:jc w:val="center"/>
        <w:ind w:left="300" w:right="2700"/>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r>
      <w:tr>
        <w:trPr>
          <w:trHeight w:val="317"/>
        </w:trPr>
        <w:tc>
          <w:tcPr>
            <w:tcW w:w="8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24"/>
                <w:szCs w:val="24"/>
                <w:color w:val="auto"/>
              </w:rPr>
            </w:pPr>
          </w:p>
        </w:tc>
      </w:tr>
      <w:tr>
        <w:trPr>
          <w:trHeight w:val="264"/>
        </w:trPr>
        <w:tc>
          <w:tcPr>
            <w:tcW w:w="8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r>
      <w:tr>
        <w:trPr>
          <w:trHeight w:val="256"/>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64"/>
        </w:trPr>
        <w:tc>
          <w:tcPr>
            <w:tcW w:w="87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87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Restructuring-related costs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8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6"/>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70"/>
        </w:trPr>
        <w:tc>
          <w:tcPr>
            <w:tcW w:w="8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r>
      <w:tr>
        <w:trPr>
          <w:trHeight w:val="264"/>
        </w:trPr>
        <w:tc>
          <w:tcPr>
            <w:tcW w:w="87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76"/>
        </w:trPr>
        <w:tc>
          <w:tcPr>
            <w:tcW w:w="87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Restructuring-related costs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r>
      <w:tr>
        <w:trPr>
          <w:trHeight w:val="264"/>
        </w:trPr>
        <w:tc>
          <w:tcPr>
            <w:tcW w:w="8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237"/>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r>
      <w:tr>
        <w:trPr>
          <w:trHeight w:val="20"/>
        </w:trPr>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For the Three Months Ended</w:t>
      </w:r>
    </w:p>
    <w:p>
      <w:pPr>
        <w:spacing w:after="0" w:line="150"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p>
      <w:pPr>
        <w:spacing w:after="0" w:line="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5143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2019</w:t>
      </w:r>
    </w:p>
    <w:p>
      <w:pPr>
        <w:spacing w:after="0" w:line="113" w:lineRule="exact"/>
        <w:rPr>
          <w:sz w:val="20"/>
          <w:szCs w:val="20"/>
          <w:color w:val="auto"/>
        </w:rPr>
      </w:pPr>
    </w:p>
    <w:p>
      <w:pPr>
        <w:ind w:left="860" w:hanging="860"/>
        <w:spacing w:after="0"/>
        <w:tabs>
          <w:tab w:leader="none" w:pos="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70.4</w:t>
      </w:r>
    </w:p>
    <w:p>
      <w:pPr>
        <w:spacing w:after="0" w:line="120"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3"/>
          <w:szCs w:val="13"/>
          <w:color w:val="auto"/>
        </w:rPr>
        <w:t>22.3</w:t>
      </w:r>
    </w:p>
    <w:p>
      <w:pPr>
        <w:spacing w:after="0" w:line="120"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2"/>
          <w:szCs w:val="12"/>
          <w:color w:val="auto"/>
        </w:rPr>
        <w:t>0.4</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96" w:lineRule="exact"/>
        <w:rPr>
          <w:sz w:val="20"/>
          <w:szCs w:val="20"/>
          <w:color w:val="auto"/>
        </w:rPr>
      </w:pPr>
    </w:p>
    <w:p>
      <w:pPr>
        <w:ind w:left="860" w:hanging="860"/>
        <w:spacing w:after="0"/>
        <w:tabs>
          <w:tab w:leader="none" w:pos="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975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2018</w:t>
      </w:r>
    </w:p>
    <w:p>
      <w:pPr>
        <w:spacing w:after="0" w:line="113" w:lineRule="exact"/>
        <w:rPr>
          <w:sz w:val="20"/>
          <w:szCs w:val="20"/>
          <w:color w:val="auto"/>
        </w:rPr>
      </w:pPr>
    </w:p>
    <w:p>
      <w:pPr>
        <w:ind w:left="860" w:hanging="856"/>
        <w:spacing w:after="0"/>
        <w:tabs>
          <w:tab w:leader="none" w:pos="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57.2</w:t>
      </w:r>
    </w:p>
    <w:p>
      <w:pPr>
        <w:spacing w:after="0" w:line="120"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3"/>
          <w:szCs w:val="13"/>
          <w:color w:val="auto"/>
        </w:rPr>
        <w:t>18.8</w:t>
      </w:r>
    </w:p>
    <w:p>
      <w:pPr>
        <w:spacing w:after="0" w:line="120"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2"/>
          <w:szCs w:val="12"/>
          <w:color w:val="auto"/>
        </w:rPr>
        <w:t>0.6</w:t>
      </w:r>
    </w:p>
    <w:p>
      <w:pPr>
        <w:spacing w:after="0" w:line="13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4.3</w:t>
      </w:r>
    </w:p>
    <w:p>
      <w:pPr>
        <w:spacing w:after="0" w:line="96" w:lineRule="exact"/>
        <w:rPr>
          <w:sz w:val="20"/>
          <w:szCs w:val="20"/>
          <w:color w:val="auto"/>
        </w:rPr>
      </w:pPr>
    </w:p>
    <w:p>
      <w:pPr>
        <w:ind w:left="860" w:hanging="856"/>
        <w:spacing w:after="0"/>
        <w:tabs>
          <w:tab w:leader="none" w:pos="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45720</wp:posOffset>
            </wp:positionV>
            <wp:extent cx="7886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8120" w:space="720"/>
            <w:col w:w="1120" w:space="240"/>
            <w:col w:w="1160"/>
          </w:cols>
          <w:pgMar w:left="240" w:top="796" w:right="299" w:bottom="1440" w:gutter="0" w:footer="0" w:header="0"/>
          <w:type w:val="continuous"/>
        </w:sectPr>
      </w:pPr>
    </w:p>
    <w:p>
      <w:pPr>
        <w:spacing w:after="0" w:line="71" w:lineRule="exact"/>
        <w:rPr>
          <w:sz w:val="20"/>
          <w:szCs w:val="20"/>
          <w:color w:val="auto"/>
        </w:rPr>
      </w:pPr>
    </w:p>
    <w:p>
      <w:pPr>
        <w:ind w:left="660" w:right="120" w:hanging="328"/>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acquisition related charges and restructuring costs.</w:t>
      </w:r>
    </w:p>
    <w:p>
      <w:pPr>
        <w:sectPr>
          <w:pgSz w:w="11900" w:h="16838" w:orient="portrait"/>
          <w:cols w:equalWidth="0" w:num="1">
            <w:col w:w="11360"/>
          </w:cols>
          <w:pgMar w:left="240" w:top="796" w:right="29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9"/>
              </w:rPr>
              <w:t>For the Three Months Ended</w:t>
            </w:r>
          </w:p>
        </w:tc>
      </w:tr>
      <w:tr>
        <w:trPr>
          <w:trHeight w:val="276"/>
        </w:trPr>
        <w:tc>
          <w:tcPr>
            <w:tcW w:w="8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0"/>
        </w:trPr>
        <w:tc>
          <w:tcPr>
            <w:tcW w:w="90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4,252.7</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4,292.9</w:t>
            </w:r>
          </w:p>
        </w:tc>
      </w:tr>
      <w:tr>
        <w:trPr>
          <w:trHeight w:val="276"/>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2,860.7</w:t>
            </w:r>
          </w:p>
        </w:tc>
      </w:tr>
      <w:tr>
        <w:trPr>
          <w:trHeight w:val="264"/>
        </w:trPr>
        <w:tc>
          <w:tcPr>
            <w:tcW w:w="90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1,932.5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2,027.7</w:t>
            </w:r>
          </w:p>
        </w:tc>
      </w:tr>
      <w:tr>
        <w:trPr>
          <w:trHeight w:val="237"/>
        </w:trPr>
        <w:tc>
          <w:tcPr>
            <w:tcW w:w="89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9,181.3</w:t>
            </w: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904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r>
      <w:tr>
        <w:trPr>
          <w:trHeight w:val="264"/>
        </w:trPr>
        <w:tc>
          <w:tcPr>
            <w:tcW w:w="904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102.2</w:t>
            </w:r>
          </w:p>
        </w:tc>
      </w:tr>
      <w:tr>
        <w:trPr>
          <w:trHeight w:val="270"/>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77"/>
        </w:trPr>
        <w:tc>
          <w:tcPr>
            <w:tcW w:w="89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251.1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243.4</w:t>
            </w:r>
          </w:p>
        </w:tc>
      </w:tr>
      <w:tr>
        <w:trPr>
          <w:trHeight w:val="270"/>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bl>
    <w:p>
      <w:pPr>
        <w:spacing w:after="0" w:line="76" w:lineRule="exact"/>
        <w:rPr>
          <w:sz w:val="20"/>
          <w:szCs w:val="20"/>
          <w:color w:val="auto"/>
        </w:rPr>
      </w:pPr>
    </w:p>
    <w:p>
      <w:pPr>
        <w:sectPr>
          <w:pgSz w:w="11900" w:h="16838" w:orient="portrait"/>
          <w:cols w:equalWidth="0" w:num="1">
            <w:col w:w="11420"/>
          </w:cols>
          <w:pgMar w:left="240" w:top="796" w:right="239" w:bottom="1440" w:gutter="0" w:footer="0" w:header="0"/>
        </w:sectPr>
      </w:pPr>
    </w:p>
    <w:p>
      <w:pPr>
        <w:ind w:left="180"/>
        <w:spacing w:after="0"/>
        <w:rPr>
          <w:sz w:val="20"/>
          <w:szCs w:val="20"/>
          <w:color w:val="auto"/>
        </w:rPr>
      </w:pPr>
      <w:r>
        <w:rPr>
          <w:rFonts w:ascii="Arial" w:cs="Arial" w:eastAsia="Arial" w:hAnsi="Arial"/>
          <w:sz w:val="14"/>
          <w:szCs w:val="14"/>
          <w:color w:val="auto"/>
        </w:rPr>
        <w:t>Aviation segment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Land segment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Marine segment</w:t>
      </w:r>
    </w:p>
    <w:p>
      <w:pPr>
        <w:spacing w:after="0" w:line="37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Corporate overhead - 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5659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47.8</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19.6</w:t>
            </w:r>
          </w:p>
        </w:tc>
      </w:tr>
      <w:tr>
        <w:trPr>
          <w:trHeight w:val="27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r>
      <w:tr>
        <w:trPr>
          <w:trHeight w:val="244"/>
        </w:trPr>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75.9</w:t>
            </w:r>
          </w:p>
        </w:tc>
      </w:tr>
      <w:tr>
        <w:trPr>
          <w:trHeight w:val="27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237"/>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-874395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-187960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-530860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720"/>
            <w:col w:w="2380"/>
          </w:cols>
          <w:pgMar w:left="240" w:top="796" w:right="2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276"/>
        </w:trPr>
        <w:tc>
          <w:tcPr>
            <w:tcW w:w="8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jc w:val="center"/>
              <w:ind w:left="74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9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1,967.1</w:t>
            </w:r>
          </w:p>
        </w:tc>
      </w:tr>
      <w:tr>
        <w:trPr>
          <w:trHeight w:val="264"/>
        </w:trPr>
        <w:tc>
          <w:tcPr>
            <w:tcW w:w="904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1,458.3</w:t>
            </w:r>
          </w:p>
        </w:tc>
      </w:tr>
      <w:tr>
        <w:trPr>
          <w:trHeight w:val="270"/>
        </w:trPr>
        <w:tc>
          <w:tcPr>
            <w:tcW w:w="89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1,372.4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1,524.6</w:t>
            </w:r>
          </w:p>
        </w:tc>
      </w:tr>
      <w:tr>
        <w:trPr>
          <w:trHeight w:val="237"/>
        </w:trPr>
        <w:tc>
          <w:tcPr>
            <w:tcW w:w="904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4,949.9</w:t>
            </w:r>
          </w:p>
        </w:tc>
      </w:tr>
      <w:tr>
        <w:trPr>
          <w:trHeight w:val="20"/>
        </w:trPr>
        <w:tc>
          <w:tcPr>
            <w:tcW w:w="8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Converted from metric tons to gallons at a rate of 264 gallons per metric ton. Marine segment metric tons was 5.2 for the three months ended March 31,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Treasury &amp; Investor Relations</w:t>
      </w:r>
    </w:p>
    <w:sectPr>
      <w:pgSz w:w="11900" w:h="16838" w:orient="portrait"/>
      <w:cols w:equalWidth="0" w:num="1">
        <w:col w:w="11420"/>
      </w:cols>
      <w:pgMar w:left="240" w:top="79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2019-12-28T13:39:04Z</dcterms:created>
  <dcterms:modified xsi:type="dcterms:W3CDTF">2019-12-28T13:39:04Z</dcterms:modified>
</cp:coreProperties>
</file>