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153"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2004</w:t>
      </w:r>
    </w:p>
    <w:p>
      <w:pPr>
        <w:spacing w:after="0" w:line="145" w:lineRule="exact"/>
        <w:rPr>
          <w:sz w:val="24"/>
          <w:szCs w:val="24"/>
          <w:color w:val="auto"/>
        </w:rPr>
      </w:pPr>
    </w:p>
    <w:p>
      <w:pPr>
        <w:ind w:left="580" w:right="1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8" w:lineRule="exact"/>
        <w:rPr>
          <w:sz w:val="24"/>
          <w:szCs w:val="24"/>
          <w:color w:val="auto"/>
        </w:rPr>
      </w:pPr>
    </w:p>
    <w:p>
      <w:pPr>
        <w:ind w:left="580"/>
        <w:spacing w:after="0"/>
        <w:tabs>
          <w:tab w:leader="none" w:pos="4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-10160</wp:posOffset>
            </wp:positionV>
            <wp:extent cx="883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3920" cy="8890"/>
                    </a:xfrm>
                    <a:prstGeom prst="rect">
                      <a:avLst/>
                    </a:prstGeom>
                    <a:noFill/>
                  </pic:spPr>
                </pic:pic>
              </a:graphicData>
            </a:graphic>
          </wp:anchor>
        </w:drawing>
      </w:r>
    </w:p>
    <w:p>
      <w:pPr>
        <w:spacing w:after="0" w:line="13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1440"/>
        <w:spacing w:after="0"/>
        <w:rPr>
          <w:sz w:val="20"/>
          <w:szCs w:val="20"/>
          <w:color w:val="auto"/>
        </w:rPr>
      </w:pPr>
      <w:r>
        <w:rPr>
          <w:rFonts w:ascii="Arial" w:cs="Arial" w:eastAsia="Arial" w:hAnsi="Arial"/>
          <w:sz w:val="43"/>
          <w:szCs w:val="43"/>
          <w:b w:val="1"/>
          <w:bCs w:val="1"/>
          <w:color w:val="auto"/>
        </w:rPr>
        <w:t>WORLD FUEL SERVICES CORPORATION</w:t>
      </w:r>
    </w:p>
    <w:p>
      <w:pPr>
        <w:spacing w:after="0" w:line="50" w:lineRule="exact"/>
        <w:rPr>
          <w:sz w:val="24"/>
          <w:szCs w:val="24"/>
          <w:color w:val="auto"/>
        </w:rPr>
      </w:pPr>
    </w:p>
    <w:tbl>
      <w:tblPr>
        <w:tblLayout w:type="fixed"/>
        <w:tblInd w:w="1480" w:type="dxa"/>
        <w:tblCellMar>
          <w:top w:w="0" w:type="dxa"/>
          <w:left w:w="0" w:type="dxa"/>
          <w:bottom w:w="0" w:type="dxa"/>
          <w:right w:w="0" w:type="dxa"/>
        </w:tblCellMar>
      </w:tblPr>
      <w:tr>
        <w:trPr>
          <w:trHeight w:val="174"/>
        </w:trPr>
        <w:tc>
          <w:tcPr>
            <w:tcW w:w="6200" w:type="dxa"/>
            <w:vAlign w:val="bottom"/>
            <w:gridSpan w:val="3"/>
          </w:tcPr>
          <w:p>
            <w:pPr>
              <w:ind w:left="2740"/>
              <w:spacing w:after="0"/>
              <w:rPr>
                <w:sz w:val="20"/>
                <w:szCs w:val="20"/>
                <w:color w:val="auto"/>
              </w:rPr>
            </w:pPr>
            <w:r>
              <w:rPr>
                <w:rFonts w:ascii="Arial" w:cs="Arial" w:eastAsia="Arial" w:hAnsi="Arial"/>
                <w:sz w:val="14"/>
                <w:szCs w:val="14"/>
                <w:b w:val="1"/>
                <w:bCs w:val="1"/>
                <w:color w:val="auto"/>
                <w:w w:val="99"/>
              </w:rPr>
              <w:t>(Exact name of registrant as specified in its charter)</w:t>
            </w:r>
          </w:p>
        </w:tc>
        <w:tc>
          <w:tcPr>
            <w:tcW w:w="1540" w:type="dxa"/>
            <w:vAlign w:val="bottom"/>
          </w:tcPr>
          <w:p>
            <w:pPr>
              <w:spacing w:after="0"/>
              <w:rPr>
                <w:sz w:val="15"/>
                <w:szCs w:val="15"/>
                <w:color w:val="auto"/>
              </w:rPr>
            </w:pPr>
          </w:p>
        </w:tc>
      </w:tr>
      <w:tr>
        <w:trPr>
          <w:trHeight w:val="230"/>
        </w:trPr>
        <w:tc>
          <w:tcPr>
            <w:tcW w:w="3260" w:type="dxa"/>
            <w:vAlign w:val="bottom"/>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53"/>
        </w:trPr>
        <w:tc>
          <w:tcPr>
            <w:tcW w:w="6200" w:type="dxa"/>
            <w:vAlign w:val="bottom"/>
            <w:gridSpan w:val="3"/>
          </w:tcPr>
          <w:p>
            <w:pPr>
              <w:jc w:val="center"/>
              <w:ind w:right="3440"/>
              <w:spacing w:after="0"/>
              <w:rPr>
                <w:sz w:val="20"/>
                <w:szCs w:val="20"/>
                <w:color w:val="auto"/>
              </w:rPr>
            </w:pPr>
            <w:r>
              <w:rPr>
                <w:rFonts w:ascii="Arial" w:cs="Arial" w:eastAsia="Arial" w:hAnsi="Arial"/>
                <w:sz w:val="18"/>
                <w:szCs w:val="18"/>
                <w:b w:val="1"/>
                <w:bCs w:val="1"/>
                <w:color w:val="auto"/>
                <w:w w:val="93"/>
              </w:rPr>
              <w:t>Florida</w:t>
            </w:r>
          </w:p>
        </w:tc>
        <w:tc>
          <w:tcPr>
            <w:tcW w:w="1540" w:type="dxa"/>
            <w:vAlign w:val="bottom"/>
          </w:tcPr>
          <w:p>
            <w:pPr>
              <w:jc w:val="right"/>
              <w:ind w:right="44"/>
              <w:spacing w:after="0"/>
              <w:rPr>
                <w:sz w:val="20"/>
                <w:szCs w:val="20"/>
                <w:color w:val="auto"/>
              </w:rPr>
            </w:pPr>
            <w:r>
              <w:rPr>
                <w:rFonts w:ascii="Arial" w:cs="Arial" w:eastAsia="Arial" w:hAnsi="Arial"/>
                <w:sz w:val="18"/>
                <w:szCs w:val="18"/>
                <w:b w:val="1"/>
                <w:bCs w:val="1"/>
                <w:color w:val="auto"/>
              </w:rPr>
              <w:t>59-2459427</w:t>
            </w:r>
          </w:p>
        </w:tc>
      </w:tr>
      <w:tr>
        <w:trPr>
          <w:trHeight w:val="149"/>
        </w:trPr>
        <w:tc>
          <w:tcPr>
            <w:tcW w:w="6200" w:type="dxa"/>
            <w:vAlign w:val="bottom"/>
            <w:gridSpan w:val="3"/>
          </w:tcPr>
          <w:p>
            <w:pPr>
              <w:jc w:val="center"/>
              <w:ind w:right="34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40" w:type="dxa"/>
            <w:vAlign w:val="bottom"/>
          </w:tcPr>
          <w:p>
            <w:pPr>
              <w:jc w:val="center"/>
              <w:ind w:left="4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20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w w:val="88"/>
              </w:rPr>
              <w:t>incorporation or organization)</w:t>
            </w:r>
          </w:p>
        </w:tc>
        <w:tc>
          <w:tcPr>
            <w:tcW w:w="1540" w:type="dxa"/>
            <w:vAlign w:val="bottom"/>
          </w:tcPr>
          <w:p>
            <w:pPr>
              <w:jc w:val="center"/>
              <w:ind w:left="4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200" w:type="dxa"/>
            <w:vAlign w:val="bottom"/>
            <w:gridSpan w:val="3"/>
          </w:tcPr>
          <w:p>
            <w:pPr>
              <w:jc w:val="center"/>
              <w:ind w:right="3420"/>
              <w:spacing w:after="0"/>
              <w:rPr>
                <w:sz w:val="20"/>
                <w:szCs w:val="20"/>
                <w:color w:val="auto"/>
              </w:rPr>
            </w:pPr>
            <w:r>
              <w:rPr>
                <w:rFonts w:ascii="Arial" w:cs="Arial" w:eastAsia="Arial" w:hAnsi="Arial"/>
                <w:sz w:val="18"/>
                <w:szCs w:val="18"/>
                <w:b w:val="1"/>
                <w:bCs w:val="1"/>
                <w:color w:val="auto"/>
                <w:w w:val="87"/>
              </w:rPr>
              <w:t>9800 Northwest 41st Street, Suite 400</w:t>
            </w:r>
          </w:p>
        </w:tc>
        <w:tc>
          <w:tcPr>
            <w:tcW w:w="1540" w:type="dxa"/>
            <w:vAlign w:val="bottom"/>
          </w:tcPr>
          <w:p>
            <w:pPr>
              <w:spacing w:after="0"/>
              <w:rPr>
                <w:sz w:val="24"/>
                <w:szCs w:val="24"/>
                <w:color w:val="auto"/>
              </w:rPr>
            </w:pPr>
          </w:p>
        </w:tc>
      </w:tr>
      <w:tr>
        <w:trPr>
          <w:trHeight w:val="231"/>
        </w:trPr>
        <w:tc>
          <w:tcPr>
            <w:tcW w:w="6200" w:type="dxa"/>
            <w:vAlign w:val="bottom"/>
            <w:gridSpan w:val="3"/>
          </w:tcPr>
          <w:p>
            <w:pPr>
              <w:jc w:val="center"/>
              <w:ind w:right="3420"/>
              <w:spacing w:after="0"/>
              <w:rPr>
                <w:sz w:val="20"/>
                <w:szCs w:val="20"/>
                <w:color w:val="auto"/>
              </w:rPr>
            </w:pPr>
            <w:r>
              <w:rPr>
                <w:rFonts w:ascii="Arial" w:cs="Arial" w:eastAsia="Arial" w:hAnsi="Arial"/>
                <w:sz w:val="18"/>
                <w:szCs w:val="18"/>
                <w:b w:val="1"/>
                <w:bCs w:val="1"/>
                <w:color w:val="auto"/>
                <w:w w:val="94"/>
              </w:rPr>
              <w:t>Miami, Florida</w:t>
            </w:r>
          </w:p>
        </w:tc>
        <w:tc>
          <w:tcPr>
            <w:tcW w:w="1540" w:type="dxa"/>
            <w:vAlign w:val="bottom"/>
          </w:tcPr>
          <w:p>
            <w:pPr>
              <w:jc w:val="right"/>
              <w:ind w:right="244"/>
              <w:spacing w:after="0"/>
              <w:rPr>
                <w:sz w:val="20"/>
                <w:szCs w:val="20"/>
                <w:color w:val="auto"/>
              </w:rPr>
            </w:pPr>
            <w:r>
              <w:rPr>
                <w:rFonts w:ascii="Arial" w:cs="Arial" w:eastAsia="Arial" w:hAnsi="Arial"/>
                <w:sz w:val="18"/>
                <w:szCs w:val="18"/>
                <w:b w:val="1"/>
                <w:bCs w:val="1"/>
                <w:color w:val="auto"/>
              </w:rPr>
              <w:t>33178</w:t>
            </w:r>
          </w:p>
        </w:tc>
      </w:tr>
      <w:tr>
        <w:trPr>
          <w:trHeight w:val="174"/>
        </w:trPr>
        <w:tc>
          <w:tcPr>
            <w:tcW w:w="620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540" w:type="dxa"/>
            <w:vAlign w:val="bottom"/>
          </w:tcPr>
          <w:p>
            <w:pPr>
              <w:jc w:val="center"/>
              <w:ind w:left="404"/>
              <w:spacing w:after="0"/>
              <w:rPr>
                <w:sz w:val="20"/>
                <w:szCs w:val="20"/>
                <w:color w:val="auto"/>
              </w:rPr>
            </w:pPr>
            <w:r>
              <w:rPr>
                <w:rFonts w:ascii="Arial" w:cs="Arial" w:eastAsia="Arial" w:hAnsi="Arial"/>
                <w:sz w:val="14"/>
                <w:szCs w:val="14"/>
                <w:b w:val="1"/>
                <w:bCs w:val="1"/>
                <w:color w:val="auto"/>
                <w:w w:val="89"/>
              </w:rPr>
              <w:t>(Zip Code)</w:t>
            </w:r>
          </w:p>
        </w:tc>
      </w:tr>
    </w:tbl>
    <w:p>
      <w:pPr>
        <w:spacing w:after="0" w:line="1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Registrant’s Telephone Number, including area code: (305) 428-8000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7" w:lineRule="exact"/>
        <w:rPr>
          <w:sz w:val="24"/>
          <w:szCs w:val="24"/>
          <w:color w:val="auto"/>
        </w:rPr>
      </w:pPr>
    </w:p>
    <w:tbl>
      <w:tblPr>
        <w:tblLayout w:type="fixed"/>
        <w:tblInd w:w="130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Name of each exchange</w:t>
            </w:r>
          </w:p>
        </w:tc>
      </w:tr>
      <w:tr>
        <w:trPr>
          <w:trHeight w:val="174"/>
        </w:trPr>
        <w:tc>
          <w:tcPr>
            <w:tcW w:w="880" w:type="dxa"/>
            <w:vAlign w:val="bottom"/>
          </w:tcPr>
          <w:p>
            <w:pPr>
              <w:spacing w:after="0"/>
              <w:rPr>
                <w:sz w:val="15"/>
                <w:szCs w:val="15"/>
                <w:color w:val="auto"/>
              </w:rPr>
            </w:pPr>
          </w:p>
        </w:tc>
        <w:tc>
          <w:tcPr>
            <w:tcW w:w="3880" w:type="dxa"/>
            <w:vAlign w:val="bottom"/>
            <w:gridSpan w:val="2"/>
          </w:tcPr>
          <w:p>
            <w:pPr>
              <w:jc w:val="center"/>
              <w:ind w:right="2500"/>
              <w:spacing w:after="0"/>
              <w:rPr>
                <w:sz w:val="20"/>
                <w:szCs w:val="20"/>
                <w:color w:val="auto"/>
              </w:rPr>
            </w:pPr>
            <w:r>
              <w:rPr>
                <w:rFonts w:ascii="Arial" w:cs="Arial" w:eastAsia="Arial" w:hAnsi="Arial"/>
                <w:sz w:val="14"/>
                <w:szCs w:val="14"/>
                <w:b w:val="1"/>
                <w:bCs w:val="1"/>
                <w:color w:val="auto"/>
                <w:w w:val="84"/>
              </w:rPr>
              <w:t>Title of each class:</w:t>
            </w:r>
          </w:p>
        </w:tc>
        <w:tc>
          <w:tcPr>
            <w:tcW w:w="188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on which registered:</w:t>
            </w:r>
          </w:p>
        </w:tc>
      </w:tr>
      <w:tr>
        <w:trPr>
          <w:trHeight w:val="95"/>
        </w:trPr>
        <w:tc>
          <w:tcPr>
            <w:tcW w:w="88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r>
      <w:tr>
        <w:trPr>
          <w:trHeight w:val="316"/>
        </w:trPr>
        <w:tc>
          <w:tcPr>
            <w:tcW w:w="4760" w:type="dxa"/>
            <w:vAlign w:val="bottom"/>
            <w:gridSpan w:val="3"/>
          </w:tcPr>
          <w:p>
            <w:pPr>
              <w:jc w:val="center"/>
              <w:ind w:right="1620"/>
              <w:spacing w:after="0"/>
              <w:rPr>
                <w:sz w:val="20"/>
                <w:szCs w:val="20"/>
                <w:color w:val="auto"/>
              </w:rPr>
            </w:pPr>
            <w:r>
              <w:rPr>
                <w:rFonts w:ascii="Arial" w:cs="Arial" w:eastAsia="Arial" w:hAnsi="Arial"/>
                <w:sz w:val="18"/>
                <w:szCs w:val="18"/>
                <w:b w:val="1"/>
                <w:bCs w:val="1"/>
                <w:color w:val="auto"/>
                <w:w w:val="87"/>
              </w:rPr>
              <w:t>Common Stock, par value $0.01 per share</w:t>
            </w:r>
          </w:p>
        </w:tc>
        <w:tc>
          <w:tcPr>
            <w:tcW w:w="3620" w:type="dxa"/>
            <w:vAlign w:val="bottom"/>
            <w:gridSpan w:val="3"/>
          </w:tcPr>
          <w:p>
            <w:pPr>
              <w:jc w:val="center"/>
              <w:ind w:left="1552"/>
              <w:spacing w:after="0"/>
              <w:rPr>
                <w:sz w:val="20"/>
                <w:szCs w:val="20"/>
                <w:color w:val="auto"/>
              </w:rPr>
            </w:pPr>
            <w:r>
              <w:rPr>
                <w:rFonts w:ascii="Arial" w:cs="Arial" w:eastAsia="Arial" w:hAnsi="Arial"/>
                <w:sz w:val="18"/>
                <w:szCs w:val="18"/>
                <w:b w:val="1"/>
                <w:bCs w:val="1"/>
                <w:color w:val="auto"/>
                <w:w w:val="87"/>
              </w:rPr>
              <w:t>New York Stock Exchange</w:t>
            </w:r>
          </w:p>
        </w:tc>
      </w:tr>
    </w:tbl>
    <w:p>
      <w:pPr>
        <w:spacing w:after="0" w:line="13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ind w:right="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24"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the Form 10-K. </w:t>
      </w:r>
      <w:r>
        <w:rPr>
          <w:rFonts w:ascii="MS PGothic" w:cs="MS PGothic" w:eastAsia="MS PGothic" w:hAnsi="MS PGothic"/>
          <w:sz w:val="18"/>
          <w:szCs w:val="18"/>
          <w:color w:val="auto"/>
        </w:rPr>
        <w:t>☐</w:t>
      </w:r>
    </w:p>
    <w:p>
      <w:pPr>
        <w:spacing w:after="0" w:line="92" w:lineRule="exact"/>
        <w:rPr>
          <w:sz w:val="24"/>
          <w:szCs w:val="24"/>
          <w:color w:val="auto"/>
        </w:rPr>
      </w:pPr>
    </w:p>
    <w:p>
      <w:pPr>
        <w:ind w:left="460"/>
        <w:spacing w:after="0" w:line="207" w:lineRule="exact"/>
        <w:tabs>
          <w:tab w:leader="none" w:pos="8040" w:val="left"/>
          <w:tab w:leader="none" w:pos="872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90" w:lineRule="exact"/>
        <w:rPr>
          <w:sz w:val="24"/>
          <w:szCs w:val="24"/>
          <w:color w:val="auto"/>
        </w:rPr>
      </w:pPr>
    </w:p>
    <w:p>
      <w:pPr>
        <w:ind w:right="320" w:firstLine="456"/>
        <w:spacing w:after="0" w:line="268" w:lineRule="auto"/>
        <w:rPr>
          <w:sz w:val="20"/>
          <w:szCs w:val="20"/>
          <w:color w:val="auto"/>
        </w:rPr>
      </w:pPr>
      <w:r>
        <w:rPr>
          <w:rFonts w:ascii="Arial" w:cs="Arial" w:eastAsia="Arial" w:hAnsi="Arial"/>
          <w:sz w:val="18"/>
          <w:szCs w:val="18"/>
          <w:color w:val="auto"/>
        </w:rPr>
        <w:t>The aggregate market value of the voting stock (which consists solely of shares of common stock) held by non-affiliates of the registrant was $572.0 million (computed by reference to the closing sale price as of March 24, 2005).</w:t>
      </w:r>
    </w:p>
    <w:p>
      <w:pPr>
        <w:spacing w:after="0" w:line="118" w:lineRule="exact"/>
        <w:rPr>
          <w:sz w:val="24"/>
          <w:szCs w:val="24"/>
          <w:color w:val="auto"/>
        </w:rPr>
      </w:pPr>
    </w:p>
    <w:p>
      <w:pPr>
        <w:jc w:val="center"/>
        <w:ind w:left="360" w:right="340"/>
        <w:spacing w:after="0" w:line="422" w:lineRule="auto"/>
        <w:rPr>
          <w:sz w:val="20"/>
          <w:szCs w:val="20"/>
          <w:color w:val="auto"/>
        </w:rPr>
      </w:pPr>
      <w:r>
        <w:rPr>
          <w:rFonts w:ascii="Arial" w:cs="Arial" w:eastAsia="Arial" w:hAnsi="Arial"/>
          <w:sz w:val="18"/>
          <w:szCs w:val="18"/>
          <w:color w:val="auto"/>
        </w:rPr>
        <w:t xml:space="preserve">The registrant had 22,867,000 shares of common stock, par value $.01 per share, net of treasury stock, issued and outstanding as of March 24, 2005. </w:t>
      </w:r>
      <w:r>
        <w:rPr>
          <w:rFonts w:ascii="Arial" w:cs="Arial" w:eastAsia="Arial" w:hAnsi="Arial"/>
          <w:sz w:val="18"/>
          <w:szCs w:val="18"/>
          <w:b w:val="1"/>
          <w:bCs w:val="1"/>
          <w:color w:val="auto"/>
        </w:rPr>
        <w:t>Documents incorporated by reference:</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Part III – Specified Portions of the Registrant’s Definitive Proxy Statement for the 2005 Annual Meeting of Shareholders.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EXPLANATORY NOTE</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Form 10-K reflects the restatement of our previously reported financial statements for the years ended December 31, 2003 and 2002, the nine months ended December 31, 2002, and the year ended March 31, 2002. The restatement reflects the correction of the cutoff procedures used by the Company for recognizing sales and sales related costs. The restatement is described in more detail in Note 2 to “Item 8 – Financial Statements and Supplementary Data.”</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0" w:type="dxa"/>
            <w:vAlign w:val="bottom"/>
            <w:gridSpan w:val="7"/>
          </w:tcPr>
          <w:p>
            <w:pPr>
              <w:ind w:left="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580" w:type="dxa"/>
            <w:vAlign w:val="bottom"/>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PART I.</w:t>
              </w:r>
            </w:hyperlink>
          </w:p>
        </w:tc>
        <w:tc>
          <w:tcPr>
            <w:tcW w:w="120" w:type="dxa"/>
            <w:vAlign w:val="bottom"/>
            <w:gridSpan w:val="3"/>
            <w:vMerge w:val="restart"/>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580" w:type="dxa"/>
            <w:vAlign w:val="bottom"/>
            <w:tcBorders>
              <w:bottom w:val="single" w:sz="8" w:color="0000EE"/>
            </w:tcBorders>
            <w:vMerge w:val="continue"/>
          </w:tcPr>
          <w:p>
            <w:pPr>
              <w:spacing w:after="0"/>
              <w:rPr>
                <w:sz w:val="24"/>
                <w:szCs w:val="24"/>
                <w:color w:val="auto"/>
              </w:rPr>
            </w:pPr>
          </w:p>
        </w:tc>
        <w:tc>
          <w:tcPr>
            <w:tcW w:w="120" w:type="dxa"/>
            <w:vAlign w:val="bottom"/>
            <w:gridSpan w:val="3"/>
            <w:vMerge w:val="continue"/>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520" w:type="dxa"/>
            <w:vAlign w:val="bottom"/>
          </w:tcPr>
          <w:p>
            <w:pPr>
              <w:ind w:left="20"/>
              <w:spacing w:after="0"/>
              <w:rPr>
                <w:sz w:val="20"/>
                <w:szCs w:val="20"/>
                <w:color w:val="auto"/>
              </w:rPr>
            </w:pPr>
            <w:r>
              <w:rPr>
                <w:rFonts w:ascii="Arial" w:cs="Arial" w:eastAsia="Arial" w:hAnsi="Arial"/>
                <w:sz w:val="18"/>
                <w:szCs w:val="18"/>
                <w:color w:val="auto"/>
              </w:rPr>
              <w:t>1.</w:t>
            </w: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4">
              <w:r>
                <w:rPr>
                  <w:rFonts w:ascii="Arial" w:cs="Arial" w:eastAsia="Arial" w:hAnsi="Arial"/>
                  <w:sz w:val="18"/>
                  <w:szCs w:val="18"/>
                  <w:color w:val="0000EE"/>
                  <w:w w:val="82"/>
                </w:rPr>
                <w:t>Business</w:t>
              </w:r>
            </w:hyperlink>
          </w:p>
        </w:tc>
        <w:tc>
          <w:tcPr>
            <w:tcW w:w="930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520" w:type="dxa"/>
            <w:vAlign w:val="bottom"/>
          </w:tcPr>
          <w:p>
            <w:pPr>
              <w:ind w:left="20"/>
              <w:spacing w:after="0"/>
              <w:rPr>
                <w:sz w:val="20"/>
                <w:szCs w:val="20"/>
                <w:color w:val="auto"/>
              </w:rPr>
            </w:pPr>
            <w:r>
              <w:rPr>
                <w:rFonts w:ascii="Arial" w:cs="Arial" w:eastAsia="Arial" w:hAnsi="Arial"/>
                <w:sz w:val="18"/>
                <w:szCs w:val="18"/>
                <w:color w:val="auto"/>
              </w:rPr>
              <w:t>2.</w:t>
            </w:r>
          </w:p>
        </w:tc>
        <w:tc>
          <w:tcPr>
            <w:tcW w:w="9920" w:type="dxa"/>
            <w:vAlign w:val="bottom"/>
            <w:gridSpan w:val="1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Properties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520" w:type="dxa"/>
            <w:vAlign w:val="bottom"/>
          </w:tcPr>
          <w:p>
            <w:pPr>
              <w:ind w:left="20"/>
              <w:spacing w:after="0"/>
              <w:rPr>
                <w:sz w:val="20"/>
                <w:szCs w:val="20"/>
                <w:color w:val="auto"/>
              </w:rPr>
            </w:pPr>
            <w:r>
              <w:rPr>
                <w:rFonts w:ascii="Arial" w:cs="Arial" w:eastAsia="Arial" w:hAnsi="Arial"/>
                <w:sz w:val="18"/>
                <w:szCs w:val="18"/>
                <w:color w:val="auto"/>
              </w:rPr>
              <w:t>3.</w:t>
            </w:r>
          </w:p>
        </w:tc>
        <w:tc>
          <w:tcPr>
            <w:tcW w:w="130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14">
              <w:r>
                <w:rPr>
                  <w:rFonts w:ascii="Arial" w:cs="Arial" w:eastAsia="Arial" w:hAnsi="Arial"/>
                  <w:sz w:val="18"/>
                  <w:szCs w:val="18"/>
                  <w:color w:val="0000EE"/>
                  <w:w w:val="85"/>
                </w:rPr>
                <w:t>Legal Proceedings</w:t>
              </w:r>
            </w:hyperlink>
          </w:p>
        </w:tc>
        <w:tc>
          <w:tcPr>
            <w:tcW w:w="862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520" w:type="dxa"/>
            <w:vAlign w:val="bottom"/>
          </w:tcPr>
          <w:p>
            <w:pPr>
              <w:ind w:left="20"/>
              <w:spacing w:after="0"/>
              <w:rPr>
                <w:sz w:val="20"/>
                <w:szCs w:val="20"/>
                <w:color w:val="auto"/>
              </w:rPr>
            </w:pPr>
            <w:r>
              <w:rPr>
                <w:rFonts w:ascii="Arial" w:cs="Arial" w:eastAsia="Arial" w:hAnsi="Arial"/>
                <w:sz w:val="18"/>
                <w:szCs w:val="18"/>
                <w:color w:val="auto"/>
              </w:rPr>
              <w:t>4.</w:t>
            </w:r>
          </w:p>
        </w:tc>
        <w:tc>
          <w:tcPr>
            <w:tcW w:w="9920" w:type="dxa"/>
            <w:vAlign w:val="bottom"/>
            <w:gridSpan w:val="1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64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5">
              <w:r>
                <w:rPr>
                  <w:rFonts w:ascii="Arial" w:cs="Arial" w:eastAsia="Arial" w:hAnsi="Arial"/>
                  <w:sz w:val="18"/>
                  <w:szCs w:val="18"/>
                  <w:color w:val="0000EE"/>
                  <w:w w:val="91"/>
                </w:rPr>
                <w:t>PART II.</w:t>
              </w:r>
            </w:hyperlink>
          </w:p>
        </w:tc>
        <w:tc>
          <w:tcPr>
            <w:tcW w:w="6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520" w:type="dxa"/>
            <w:vAlign w:val="bottom"/>
          </w:tcPr>
          <w:p>
            <w:pPr>
              <w:ind w:left="20"/>
              <w:spacing w:after="0"/>
              <w:rPr>
                <w:sz w:val="20"/>
                <w:szCs w:val="20"/>
                <w:color w:val="auto"/>
              </w:rPr>
            </w:pPr>
            <w:r>
              <w:rPr>
                <w:rFonts w:ascii="Arial" w:cs="Arial" w:eastAsia="Arial" w:hAnsi="Arial"/>
                <w:sz w:val="18"/>
                <w:szCs w:val="18"/>
                <w:color w:val="auto"/>
              </w:rPr>
              <w:t>5.</w:t>
            </w:r>
          </w:p>
        </w:tc>
        <w:tc>
          <w:tcPr>
            <w:tcW w:w="9920" w:type="dxa"/>
            <w:vAlign w:val="bottom"/>
            <w:gridSpan w:val="19"/>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520" w:type="dxa"/>
            <w:vAlign w:val="bottom"/>
          </w:tcPr>
          <w:p>
            <w:pPr>
              <w:ind w:left="20"/>
              <w:spacing w:after="0"/>
              <w:rPr>
                <w:sz w:val="20"/>
                <w:szCs w:val="20"/>
                <w:color w:val="auto"/>
              </w:rPr>
            </w:pPr>
            <w:r>
              <w:rPr>
                <w:rFonts w:ascii="Arial" w:cs="Arial" w:eastAsia="Arial" w:hAnsi="Arial"/>
                <w:sz w:val="18"/>
                <w:szCs w:val="18"/>
                <w:color w:val="auto"/>
              </w:rPr>
              <w:t>6.</w:t>
            </w:r>
          </w:p>
        </w:tc>
        <w:tc>
          <w:tcPr>
            <w:tcW w:w="16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6"/>
              </w:rPr>
            </w:pPr>
            <w:hyperlink w:anchor="page16">
              <w:r>
                <w:rPr>
                  <w:rFonts w:ascii="Arial" w:cs="Arial" w:eastAsia="Arial" w:hAnsi="Arial"/>
                  <w:sz w:val="18"/>
                  <w:szCs w:val="18"/>
                  <w:color w:val="0000EE"/>
                  <w:w w:val="86"/>
                </w:rPr>
                <w:t>Selected Financial Data</w:t>
              </w:r>
            </w:hyperlink>
          </w:p>
        </w:tc>
        <w:tc>
          <w:tcPr>
            <w:tcW w:w="6200" w:type="dxa"/>
            <w:vAlign w:val="bottom"/>
            <w:tcBorders>
              <w:top w:val="single" w:sz="8" w:color="0000EE"/>
            </w:tcBorders>
            <w:gridSpan w:val="12"/>
          </w:tcPr>
          <w:p>
            <w:pPr>
              <w:spacing w:after="0"/>
              <w:rPr>
                <w:sz w:val="24"/>
                <w:szCs w:val="24"/>
                <w:color w:val="auto"/>
              </w:rPr>
            </w:pPr>
          </w:p>
        </w:tc>
        <w:tc>
          <w:tcPr>
            <w:tcW w:w="20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520" w:type="dxa"/>
            <w:vAlign w:val="bottom"/>
          </w:tcPr>
          <w:p>
            <w:pPr>
              <w:ind w:left="20"/>
              <w:spacing w:after="0"/>
              <w:rPr>
                <w:sz w:val="20"/>
                <w:szCs w:val="20"/>
                <w:color w:val="auto"/>
              </w:rPr>
            </w:pPr>
            <w:r>
              <w:rPr>
                <w:rFonts w:ascii="Arial" w:cs="Arial" w:eastAsia="Arial" w:hAnsi="Arial"/>
                <w:sz w:val="18"/>
                <w:szCs w:val="18"/>
                <w:color w:val="auto"/>
              </w:rPr>
              <w:t>7.</w:t>
            </w:r>
          </w:p>
        </w:tc>
        <w:tc>
          <w:tcPr>
            <w:tcW w:w="9920" w:type="dxa"/>
            <w:vAlign w:val="bottom"/>
            <w:gridSpan w:val="1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520" w:type="dxa"/>
            <w:vAlign w:val="bottom"/>
          </w:tcPr>
          <w:p>
            <w:pPr>
              <w:ind w:left="20"/>
              <w:spacing w:after="0"/>
              <w:rPr>
                <w:sz w:val="20"/>
                <w:szCs w:val="20"/>
                <w:color w:val="auto"/>
              </w:rPr>
            </w:pPr>
            <w:r>
              <w:rPr>
                <w:rFonts w:ascii="Arial" w:cs="Arial" w:eastAsia="Arial" w:hAnsi="Arial"/>
                <w:sz w:val="18"/>
                <w:szCs w:val="18"/>
                <w:color w:val="auto"/>
              </w:rPr>
              <w:t>7A.</w:t>
            </w:r>
          </w:p>
        </w:tc>
        <w:tc>
          <w:tcPr>
            <w:tcW w:w="628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36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520" w:type="dxa"/>
            <w:vAlign w:val="bottom"/>
          </w:tcPr>
          <w:p>
            <w:pPr>
              <w:ind w:left="20"/>
              <w:spacing w:after="0"/>
              <w:rPr>
                <w:sz w:val="20"/>
                <w:szCs w:val="20"/>
                <w:color w:val="auto"/>
              </w:rPr>
            </w:pPr>
            <w:r>
              <w:rPr>
                <w:rFonts w:ascii="Arial" w:cs="Arial" w:eastAsia="Arial" w:hAnsi="Arial"/>
                <w:sz w:val="18"/>
                <w:szCs w:val="18"/>
                <w:color w:val="auto"/>
              </w:rPr>
              <w:t>8.</w:t>
            </w:r>
          </w:p>
        </w:tc>
        <w:tc>
          <w:tcPr>
            <w:tcW w:w="324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8"/>
                <w:szCs w:val="18"/>
                <w:color w:val="0000EE"/>
                <w:w w:val="86"/>
              </w:rPr>
              <w:t>Financial Statements and Supplementary Data</w:t>
            </w:r>
          </w:p>
        </w:tc>
        <w:tc>
          <w:tcPr>
            <w:tcW w:w="1000" w:type="dxa"/>
            <w:vAlign w:val="bottom"/>
            <w:tcBorders>
              <w:top w:val="single" w:sz="8" w:color="0000EE"/>
            </w:tcBorders>
            <w:gridSpan w:val="4"/>
          </w:tcPr>
          <w:p>
            <w:pPr>
              <w:spacing w:after="0"/>
              <w:rPr>
                <w:sz w:val="24"/>
                <w:szCs w:val="24"/>
                <w:color w:val="auto"/>
              </w:rPr>
            </w:pPr>
          </w:p>
        </w:tc>
        <w:tc>
          <w:tcPr>
            <w:tcW w:w="568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520" w:type="dxa"/>
            <w:vAlign w:val="bottom"/>
          </w:tcPr>
          <w:p>
            <w:pPr>
              <w:ind w:left="20"/>
              <w:spacing w:after="0"/>
              <w:rPr>
                <w:sz w:val="20"/>
                <w:szCs w:val="20"/>
                <w:color w:val="auto"/>
              </w:rPr>
            </w:pPr>
            <w:r>
              <w:rPr>
                <w:rFonts w:ascii="Arial" w:cs="Arial" w:eastAsia="Arial" w:hAnsi="Arial"/>
                <w:sz w:val="18"/>
                <w:szCs w:val="18"/>
                <w:color w:val="auto"/>
              </w:rPr>
              <w:t>9.</w:t>
            </w:r>
          </w:p>
        </w:tc>
        <w:tc>
          <w:tcPr>
            <w:tcW w:w="884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88"/>
              </w:rPr>
              <w:t>Changes in and Disagreements with Independent Registered Public Accounting Firm on Accounting and Financial Disclosure</w:t>
            </w:r>
          </w:p>
        </w:tc>
        <w:tc>
          <w:tcPr>
            <w:tcW w:w="10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520" w:type="dxa"/>
            <w:vAlign w:val="bottom"/>
          </w:tcPr>
          <w:p>
            <w:pPr>
              <w:ind w:left="20"/>
              <w:spacing w:after="0"/>
              <w:rPr>
                <w:sz w:val="20"/>
                <w:szCs w:val="20"/>
                <w:color w:val="auto"/>
              </w:rPr>
            </w:pPr>
            <w:r>
              <w:rPr>
                <w:rFonts w:ascii="Arial" w:cs="Arial" w:eastAsia="Arial" w:hAnsi="Arial"/>
                <w:sz w:val="18"/>
                <w:szCs w:val="18"/>
                <w:color w:val="auto"/>
              </w:rPr>
              <w:t>9A.</w:t>
            </w:r>
          </w:p>
        </w:tc>
        <w:tc>
          <w:tcPr>
            <w:tcW w:w="17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5"/>
              </w:rPr>
              <w:t>Controls and Procedures</w:t>
            </w:r>
          </w:p>
        </w:tc>
        <w:tc>
          <w:tcPr>
            <w:tcW w:w="820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520" w:type="dxa"/>
            <w:vAlign w:val="bottom"/>
          </w:tcPr>
          <w:p>
            <w:pPr>
              <w:ind w:left="20"/>
              <w:spacing w:after="0"/>
              <w:rPr>
                <w:sz w:val="20"/>
                <w:szCs w:val="20"/>
                <w:color w:val="auto"/>
              </w:rPr>
            </w:pPr>
            <w:r>
              <w:rPr>
                <w:rFonts w:ascii="Arial" w:cs="Arial" w:eastAsia="Arial" w:hAnsi="Arial"/>
                <w:sz w:val="18"/>
                <w:szCs w:val="18"/>
                <w:color w:val="auto"/>
              </w:rPr>
              <w:t>9B.</w:t>
            </w:r>
          </w:p>
        </w:tc>
        <w:tc>
          <w:tcPr>
            <w:tcW w:w="9920" w:type="dxa"/>
            <w:vAlign w:val="bottom"/>
            <w:gridSpan w:val="19"/>
          </w:tcPr>
          <w:p>
            <w:pPr>
              <w:spacing w:after="0"/>
              <w:rPr>
                <w:sz w:val="20"/>
                <w:szCs w:val="20"/>
                <w:color w:val="auto"/>
              </w:rPr>
            </w:pPr>
            <w:r>
              <w:rPr>
                <w:rFonts w:ascii="Arial" w:cs="Arial" w:eastAsia="Arial" w:hAnsi="Arial"/>
                <w:sz w:val="18"/>
                <w:szCs w:val="18"/>
                <w:color w:val="0000EE"/>
              </w:rPr>
              <w:t>Other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700" w:type="dxa"/>
            <w:vAlign w:val="bottom"/>
            <w:tcBorders>
              <w:bottom w:val="single" w:sz="8" w:color="0000EE"/>
            </w:tcBorders>
            <w:gridSpan w:val="4"/>
          </w:tcPr>
          <w:p>
            <w:pPr>
              <w:jc w:val="right"/>
              <w:spacing w:after="0"/>
              <w:rPr>
                <w:sz w:val="20"/>
                <w:szCs w:val="20"/>
                <w:color w:val="auto"/>
              </w:rPr>
            </w:pPr>
            <w:r>
              <w:rPr>
                <w:rFonts w:ascii="Arial" w:cs="Arial" w:eastAsia="Arial" w:hAnsi="Arial"/>
                <w:sz w:val="18"/>
                <w:szCs w:val="18"/>
                <w:color w:val="0000EE"/>
                <w:w w:val="93"/>
              </w:rPr>
              <w:t>PART III.</w:t>
            </w:r>
          </w:p>
        </w:tc>
        <w:tc>
          <w:tcPr>
            <w:tcW w:w="5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520" w:type="dxa"/>
            <w:vAlign w:val="bottom"/>
          </w:tcPr>
          <w:p>
            <w:pPr>
              <w:ind w:left="20"/>
              <w:spacing w:after="0"/>
              <w:rPr>
                <w:sz w:val="20"/>
                <w:szCs w:val="20"/>
                <w:color w:val="auto"/>
              </w:rPr>
            </w:pPr>
            <w:r>
              <w:rPr>
                <w:rFonts w:ascii="Arial" w:cs="Arial" w:eastAsia="Arial" w:hAnsi="Arial"/>
                <w:sz w:val="18"/>
                <w:szCs w:val="18"/>
                <w:color w:val="auto"/>
              </w:rPr>
              <w:t>10.</w:t>
            </w:r>
          </w:p>
        </w:tc>
        <w:tc>
          <w:tcPr>
            <w:tcW w:w="35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8"/>
              </w:rPr>
              <w:t>Directors and Executive Officers of the Registrant</w:t>
            </w:r>
          </w:p>
        </w:tc>
        <w:tc>
          <w:tcPr>
            <w:tcW w:w="640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520" w:type="dxa"/>
            <w:vAlign w:val="bottom"/>
          </w:tcPr>
          <w:p>
            <w:pPr>
              <w:ind w:left="20"/>
              <w:spacing w:after="0"/>
              <w:rPr>
                <w:sz w:val="20"/>
                <w:szCs w:val="20"/>
                <w:color w:val="auto"/>
              </w:rPr>
            </w:pPr>
            <w:r>
              <w:rPr>
                <w:rFonts w:ascii="Arial" w:cs="Arial" w:eastAsia="Arial" w:hAnsi="Arial"/>
                <w:sz w:val="18"/>
                <w:szCs w:val="18"/>
                <w:color w:val="auto"/>
              </w:rPr>
              <w:t>11.</w:t>
            </w:r>
          </w:p>
        </w:tc>
        <w:tc>
          <w:tcPr>
            <w:tcW w:w="17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7"/>
              </w:rPr>
              <w:t>Executive Compensation</w:t>
            </w:r>
          </w:p>
        </w:tc>
        <w:tc>
          <w:tcPr>
            <w:tcW w:w="816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520" w:type="dxa"/>
            <w:vAlign w:val="bottom"/>
          </w:tcPr>
          <w:p>
            <w:pPr>
              <w:ind w:left="20"/>
              <w:spacing w:after="0"/>
              <w:rPr>
                <w:sz w:val="20"/>
                <w:szCs w:val="20"/>
                <w:color w:val="auto"/>
              </w:rPr>
            </w:pPr>
            <w:r>
              <w:rPr>
                <w:rFonts w:ascii="Arial" w:cs="Arial" w:eastAsia="Arial" w:hAnsi="Arial"/>
                <w:sz w:val="18"/>
                <w:szCs w:val="18"/>
                <w:color w:val="auto"/>
              </w:rPr>
              <w:t>12.</w:t>
            </w:r>
          </w:p>
        </w:tc>
        <w:tc>
          <w:tcPr>
            <w:tcW w:w="9920" w:type="dxa"/>
            <w:vAlign w:val="bottom"/>
            <w:gridSpan w:val="19"/>
          </w:tcPr>
          <w:p>
            <w:pPr>
              <w:spacing w:after="0"/>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520" w:type="dxa"/>
            <w:vAlign w:val="bottom"/>
          </w:tcPr>
          <w:p>
            <w:pPr>
              <w:ind w:left="20"/>
              <w:spacing w:after="0"/>
              <w:rPr>
                <w:sz w:val="20"/>
                <w:szCs w:val="20"/>
                <w:color w:val="auto"/>
              </w:rPr>
            </w:pPr>
            <w:r>
              <w:rPr>
                <w:rFonts w:ascii="Arial" w:cs="Arial" w:eastAsia="Arial" w:hAnsi="Arial"/>
                <w:sz w:val="18"/>
                <w:szCs w:val="18"/>
                <w:color w:val="auto"/>
              </w:rPr>
              <w:t>13.</w:t>
            </w:r>
          </w:p>
        </w:tc>
        <w:tc>
          <w:tcPr>
            <w:tcW w:w="332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8"/>
                <w:szCs w:val="18"/>
                <w:color w:val="0000EE"/>
                <w:w w:val="86"/>
              </w:rPr>
              <w:t>Certain Relationships and Related Transactions</w:t>
            </w:r>
          </w:p>
        </w:tc>
        <w:tc>
          <w:tcPr>
            <w:tcW w:w="3780" w:type="dxa"/>
            <w:vAlign w:val="bottom"/>
            <w:tcBorders>
              <w:top w:val="single" w:sz="8" w:color="0000EE"/>
            </w:tcBorders>
            <w:gridSpan w:val="5"/>
          </w:tcPr>
          <w:p>
            <w:pPr>
              <w:spacing w:after="0"/>
              <w:rPr>
                <w:sz w:val="24"/>
                <w:szCs w:val="24"/>
                <w:color w:val="auto"/>
              </w:rPr>
            </w:pPr>
          </w:p>
        </w:tc>
        <w:tc>
          <w:tcPr>
            <w:tcW w:w="2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520" w:type="dxa"/>
            <w:vAlign w:val="bottom"/>
          </w:tcPr>
          <w:p>
            <w:pPr>
              <w:ind w:left="20"/>
              <w:spacing w:after="0"/>
              <w:rPr>
                <w:sz w:val="20"/>
                <w:szCs w:val="20"/>
                <w:color w:val="auto"/>
              </w:rPr>
            </w:pPr>
            <w:r>
              <w:rPr>
                <w:rFonts w:ascii="Arial" w:cs="Arial" w:eastAsia="Arial" w:hAnsi="Arial"/>
                <w:sz w:val="18"/>
                <w:szCs w:val="18"/>
                <w:color w:val="auto"/>
              </w:rPr>
              <w:t>14.</w:t>
            </w:r>
          </w:p>
        </w:tc>
        <w:tc>
          <w:tcPr>
            <w:tcW w:w="9920" w:type="dxa"/>
            <w:vAlign w:val="bottom"/>
            <w:gridSpan w:val="19"/>
          </w:tcPr>
          <w:p>
            <w:pPr>
              <w:spacing w:after="0"/>
              <w:rPr>
                <w:sz w:val="20"/>
                <w:szCs w:val="20"/>
                <w:color w:val="auto"/>
              </w:rPr>
            </w:pPr>
            <w:r>
              <w:rPr>
                <w:rFonts w:ascii="Arial" w:cs="Arial" w:eastAsia="Arial" w:hAnsi="Arial"/>
                <w:sz w:val="18"/>
                <w:szCs w:val="18"/>
                <w:color w:val="0000EE"/>
              </w:rPr>
              <w:t>Principal Accountant Fees and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680" w:type="dxa"/>
            <w:vAlign w:val="bottom"/>
            <w:tcBorders>
              <w:bottom w:val="single" w:sz="8" w:color="0000EE"/>
            </w:tcBorders>
            <w:gridSpan w:val="3"/>
          </w:tcPr>
          <w:p>
            <w:pPr>
              <w:jc w:val="right"/>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PART IV.</w:t>
              </w:r>
            </w:hyperlink>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520" w:type="dxa"/>
            <w:vAlign w:val="bottom"/>
          </w:tcPr>
          <w:p>
            <w:pPr>
              <w:ind w:left="20"/>
              <w:spacing w:after="0"/>
              <w:rPr>
                <w:sz w:val="20"/>
                <w:szCs w:val="20"/>
                <w:color w:val="auto"/>
              </w:rPr>
            </w:pPr>
            <w:r>
              <w:rPr>
                <w:rFonts w:ascii="Arial" w:cs="Arial" w:eastAsia="Arial" w:hAnsi="Arial"/>
                <w:sz w:val="18"/>
                <w:szCs w:val="18"/>
                <w:color w:val="auto"/>
              </w:rPr>
              <w:t>15.</w:t>
            </w:r>
          </w:p>
        </w:tc>
        <w:tc>
          <w:tcPr>
            <w:tcW w:w="30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Exhibits and Financial Statement Schedules</w:t>
              </w:r>
            </w:hyperlink>
          </w:p>
        </w:tc>
        <w:tc>
          <w:tcPr>
            <w:tcW w:w="684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World Fuel Services Corporation (the “Company”) was incorporated in Florida in July 1984 and along with its consolidated subsidiaries is referred to collectively in this Annual Report on Form 10-K as “World Fuel,” “we,” “our” and “us.” We market fuel and related services to marine and aviation customers throughout the world. In our marine fuel services business, we offer marine fuel and related services to a broad base of customers, including international container and tanker fleets, and time-charter operators, as well as to the United States and foreign governments. In our aviation fuel services business, we offer aviation fuel and related services to passenger, cargo and charter airlines, as well as corporate customers and the United States and foreign governments. We provide competitive prices, credit terms, fuel management and price risk management services, and single-supplier convenience. We also offer flight plans and weather reports to our corporate aviation customers.</w:t>
      </w:r>
    </w:p>
    <w:p>
      <w:pPr>
        <w:spacing w:after="0" w:line="105" w:lineRule="exact"/>
        <w:rPr>
          <w:sz w:val="20"/>
          <w:szCs w:val="20"/>
          <w:color w:val="auto"/>
        </w:rPr>
      </w:pPr>
    </w:p>
    <w:p>
      <w:pPr>
        <w:jc w:val="both"/>
        <w:ind w:right="140" w:firstLine="456"/>
        <w:spacing w:after="0" w:line="323" w:lineRule="auto"/>
        <w:rPr>
          <w:sz w:val="20"/>
          <w:szCs w:val="20"/>
          <w:color w:val="auto"/>
        </w:rPr>
      </w:pPr>
      <w:r>
        <w:rPr>
          <w:rFonts w:ascii="Arial" w:cs="Arial" w:eastAsia="Arial" w:hAnsi="Arial"/>
          <w:sz w:val="15"/>
          <w:szCs w:val="15"/>
          <w:color w:val="auto"/>
        </w:rPr>
        <w:t>In August 2002, we changed our fiscal year-end from March 31st to a calendar year-end of December 31st. We initiated this change so we could be more directly comparable to other public companies that use a calendar year for their fiscal year. This change was first effective with respect to the nine months ended December 31, 2002. The results for the calendar year ended December 31, 2002, presented in this Form 10-K for comparison, are unaudited. The 2002 calendar year results combined the audited results for the nine months ended December 31, 2002 and the unaudited results for the three months ended March 31, 2002.</w:t>
      </w:r>
    </w:p>
    <w:p>
      <w:pPr>
        <w:spacing w:after="0" w:line="8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corrected its cutoff procedures to recognize revenues and sales related costs at the time fuel deliveries are made and related services are performed. The Company had historically recorded revenue and sales related costs when supporting documentation relating to fuel deliveries and related services had been received from third parties utilized by the Company to provide fuel and related services. As a result, we have restated our previously reported financial statements for the years ended December 31, 2003 and 2002, and the nine months ended December 31, 2002. The restatement is described in more detail in Note 2 to “Item 8 – Financial Statements and Supplementary Data.”</w:t>
      </w:r>
    </w:p>
    <w:p>
      <w:pPr>
        <w:spacing w:after="0" w:line="102"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color w:val="auto"/>
        </w:rPr>
        <w:t xml:space="preserve">Our executive offices are located at 9800 Northwest 41st Street, Suite 400, Miami, Florida 33178 and our telephone number at this address is (305) 428-8000. Our website is located at </w:t>
      </w:r>
      <w:r>
        <w:rPr>
          <w:rFonts w:ascii="Arial" w:cs="Arial" w:eastAsia="Arial" w:hAnsi="Arial"/>
          <w:sz w:val="16"/>
          <w:szCs w:val="16"/>
          <w:i w:val="1"/>
          <w:iCs w:val="1"/>
          <w:u w:val="single" w:color="auto"/>
          <w:color w:val="auto"/>
        </w:rPr>
        <w:t>www.wfscorp.com</w:t>
      </w:r>
      <w:r>
        <w:rPr>
          <w:rFonts w:ascii="Arial" w:cs="Arial" w:eastAsia="Arial" w:hAnsi="Arial"/>
          <w:sz w:val="16"/>
          <w:szCs w:val="16"/>
          <w:color w:val="auto"/>
        </w:rPr>
        <w:t>. Our website and information contained on our website are not part of this Annual Report on Form 10-K and are not incorporated by reference in this Annual Report on Form 10-K. A copy of our latest Form 10-K, Form 10-Q, and other SEC filings can be obtained, free of charge, on our website. These SEC filings are added to the website as soon as reasonably practicable. In addition, our Code of Corporate Conduct and Ethics, Board of Directors’ committee charters, and Corporate Governance Principles are available on our website.</w:t>
      </w:r>
    </w:p>
    <w:p>
      <w:pPr>
        <w:spacing w:after="0" w:line="102"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 xml:space="preserve">The public may read and copy any materials we file with the SEC at the SEC’s Public Reference Room at 450 Fifth Street, N.W., Washington, D.C. 20549. The public may obtain information about the operation of the Public Reference Room by calling the SEC at 1-800-SEC-0330.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reports, proxy and information statements and other information related to issuers that file electronically with the SEC.</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marine fuel services business is conducted from offices located in the United States, United Kingdom, Denmark, Norway, Russia, Germany, Costa Rica, Brazil, Chile, Argentina, Greece, Turkey, South Africa, China, South Korea, Singapore, Japan, Hong Kong, The Netherlands, and the United Arab Emirates. Our aviation fuel services business is conducted from offices located in the United States, United Kingdom, Russia, China, Singapore, Mexico, Brazil, Colombia and Costa Rica. See “Item 2 - Properties” for a list of principal offices by business segment and “Exhibit 21.1 - Subsidiaries of the Registrant” included in this Form 10-K for a list of our subsidiaries.</w:t>
      </w:r>
    </w:p>
    <w:p>
      <w:pPr>
        <w:spacing w:after="0" w:line="129"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Financial information with respect to our business segments and the geographic areas of our business is provided in Note 9 to the accompanying consolidated financial statements included in this Form 10-K.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 of 72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Form 10-K and the information incorporated by reference in it include “forward-looking statements” within the meaning of the federal securities laws. In addition, we, or our executive officers on our behalf, may from time to time make forward-looking statements in reports and other documents we file with the SEC or in oral statements made to the press, potential investors or others. All statements that are not historical facts are “forward-looking statements.” The words “estimate,” “project,” “intend,” “expect,” “believe,” “anticipate,” “plan,” and similar expressions identify forward-looking statements. These forward-looking statements include statements regarding our expected financial position, business, financing plans, business strategy, business prospects, revenues, working capital, liquidity, capital needs, interest costs and income, in each case relating to subsidiaries or business segments within our company or to our company as a whole, as well as statements regarding acquisitions, potential acquisitions and the benefits of acquisitions.</w:t>
      </w:r>
    </w:p>
    <w:p>
      <w:pPr>
        <w:spacing w:after="0" w:line="10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Forward-looking statements are estimates and projections reflecting our best judgment and involve a number of risks and uncertainties that could cause actual results to differ materially from those suggested by the forward-looking statements. These statements are based on our management’s beliefs and assumptions, which in turn are based on currently available information. Examples of forward looking statements in this report include but are not limited to our expectations regarding our ability to generate operating cash flows and to fund our working capital and capital expenditure requirements. Important assumptions relating to the forward-looking statements include, among others, assumptions regarding demand for our products, the cost and availability of fuel from suppliers, pricing levels, the timing and cost of capital expenditures, outcomes of pending litigation, competitive conditions, general economic conditions and synergies relating to acquisitions, joint ventures and alliances. These assumptions could prove inaccurate. Although we believe that the estimates and projections reflected in the forward-looking statements are reasonable, our expectations may prove to be incorrect. Important factors that could cause actual results to differ materially from the results and events anticipated or implied by such forward-looking statements include:</w:t>
      </w:r>
    </w:p>
    <w:p>
      <w:pPr>
        <w:spacing w:after="0" w:line="25"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collect accounts receivable;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political, economic or regulatory conditions in the markets in which we operate;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non-performance of third party service providers;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hedge certain financial risks associated with our business and our price risk management services;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non-performance by counterparties to derivatives contracts;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uninsured losses;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growth;</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or regulatory proceedings to which we are or may become a party;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conditions in the shipping and aviation industries;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material disruptions in the availability or supply of oil;</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market price of petroleum;</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levels of competition;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or lack of compliance with various environmental and other applicable laws and regulations;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comply with restrictions in our credit agreements;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interest rates;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described below in “— Risk Factors” and from time to time in our other SEC filings.</w:t>
      </w:r>
    </w:p>
    <w:p>
      <w:pPr>
        <w:spacing w:after="0" w:line="1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believe these forward-looking statements are reasonable. However, you should not place undue reliance on any forward-looking statements, which are based on current expectations. Further, forward-looking statements speak only as of the date they are made, and we undertake no obligation to update publicly any of them in light of new information or future events.</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and Section 21E of the Securities Exchange Act of 1934.</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 of 72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principal business consists of providing marine fuel services to a broad base of international shipping companies and to the United States and foreign governments, and aviation fuel services to passenger, cargo and charter airlines, as well as corporate customers and the United States and foreign governments. We currently employ 606 people worldwide, of which 218 are employed in our marine fuel services business, 267 are employed in our aviation fuel services business, and 121 are employed in corporate.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Marine Fuel Services</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market marine fuel and related services to a broad base of customers, including international container and tanker fleets, and time charter operators, as well as to the United States and foreign governments. Marine fuel and related services are provided throughout most of the world under the following trade names: World Fuel, Trans-Tec, Bunkerfuels, Oil Shipping, Marine Energy, Norse Bunker, Casa Petro, and Tramp Oil.</w:t>
      </w:r>
    </w:p>
    <w:p>
      <w:pPr>
        <w:spacing w:after="0" w:line="9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Through our extensive network of strategically located sales offices, we provide our customers global market intelligence and rapid access to quality and competitively priced marine fuel, 24-hours a day, every day of the year. Our marine related services include management services for the procurement of fuel, cost control through the use of price hedging instruments, quality control and claims management. Our customers need cost effective and professional fuel services because the cost of fuel is a major component of a vessel’s operating overhead.</w:t>
      </w:r>
    </w:p>
    <w:p>
      <w:pPr>
        <w:spacing w:after="0" w:line="9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an increasing number of ship owners, time charter operators, and suppliers continue to outsource their marine fuel purchasing and/or marketing needs, our value added services have become an integral part of the oil and transportation industries’ push to shed non-core functions and reduce costs. Suppliers use our global sales, marketing and financial infrastructure to sell a spot or ratable volume of product to a diverse, international purchasing community. End customers use our real time analysis of the availability, quality, and price of marine fuels in ports worldwide to maximize their competitive position.</w:t>
      </w:r>
    </w:p>
    <w:p>
      <w:pPr>
        <w:spacing w:after="0" w:line="9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our marine operations, we primarily act as a reseller. When acting as a reseller, we purchase fuel from a supplier, mark it up, and resell the fuel to a customer. We extend unsecured credit to most of our customers. We also act as a broker and as a source of market information for the end user, negotiate the transaction by arranging the fuel purchase contract between the supplier and the end user, and expedite the arrangements for the delivery of fuel. For this service, we are paid a commission from the supplier.</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purchase our marine fuel from suppliers worldwide. Our cost of fuel is generally tied to spot pricing, market-based formulas or is governmentally controlled. We are usually extended unsecured trade credit from our suppliers for our fuel purchases. However, certain suppliers require us to provide a letter of credit. We may prepay our fuel purchases to take advantage of financial discounts, when limited by amount of credit extended to us by suppliers or as required to transact business in certain countries.</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we arrange to have fuel delivered by our suppliers directly to our customers, inventory is maintained only for competitive reasons and at minimum operating levels. Currently, inventory is maintained at two seaport locations in the United Kingdom. We have arrangements with our suppliers and other third parties for the storage and delivery of fuel.</w:t>
      </w:r>
    </w:p>
    <w:p>
      <w:pPr>
        <w:spacing w:after="0" w:line="12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utilize subcontractors to provide various services to customers, including fueling of vessels in port and at sea, and transportation of fuel and fuel products.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During each of the periods presented in the accompanying consolidated statements of income, none of our marine customers accounted for more than 10% of total consolidated revenue.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Aviation Fuel Services</w:t>
      </w:r>
    </w:p>
    <w:p>
      <w:pPr>
        <w:spacing w:after="0" w:line="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market aviation fuel and related services to passenger, cargo and charter airlines, as well as corporate customers and the United States and foreign governments. Our aviation related services include fuel management, price risk management, flight plans, weather reports, ground handling, and flight permits. We have developed an extensive network that enables us to provide aviation fuel and related services throughout most of the world under the following trade names: World Fuel, Baseops, Airdata, PetroServicios de Mexico, and PetroServicios de Costa Rica.</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 of 72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general, the aviation industry is capital intensive and highly leveraged. Recognizing the financial risks of the airline industry, fuel suppliers generally refrain from extending unsecured lines of credit to airlines and avoid doing business with airlines directly. Consequently, most carriers are required to post a cash collateralized letter of credit or prepay for fuel purchases. This impacts the airlines’ working capital. We recognize that the extension of credit is a risk, but also a significant area of opportunity. Accordingly, we extend unsecured credit to most of our customers.</w:t>
      </w:r>
    </w:p>
    <w:p>
      <w:pPr>
        <w:spacing w:after="0" w:line="99"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purchase our aviation fuel from suppliers worldwide. Our cost of fuel is generally tied to market-based formulas or is government controlled. We are usually extended unsecured trade credit from our suppliers for our fuel purchases. However, certain suppliers require us to provide a letter of credit. We may prepay our fuel purchases to take advantage of financial discounts, or as required to transact business in certain countries.</w:t>
      </w:r>
    </w:p>
    <w:p>
      <w:pPr>
        <w:spacing w:after="0" w:line="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Outside of the United States, we do not maintain fuel inventory since we arrange to have the fuel delivered into our customers’ aircraft directly from our suppliers. In the United States, fuel is delivered into our customers’ aircraft or designated storage directly from our suppliers or from our fuel inventory. Inventory is held at multiple airport locations in the United States for competitive reasons and inventory levels are kept at an operating minimum. Inventory is purchased at airport locations or shipped via pipelines. Inventory in pipelines is fully hedged against price risks. We have arrangements with our suppliers and other third parties for the storage and delivery of fuel.</w:t>
      </w:r>
    </w:p>
    <w:p>
      <w:pPr>
        <w:spacing w:after="0" w:line="12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utilize subcontractors to provide various services to customers, including into-plane fueling at airports, and transportation and storage of fuel and fuel products.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each of the periods presented in the accompanying consolidated statements of income, none of our aviation customers accounted for more than 10% of total consolidated revenue.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Risks Related to Our Business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We extend unsecured credit to most of our customers and our business will be adversely affected if we are unable to collect accounts receivable.</w:t>
      </w:r>
    </w:p>
    <w:p>
      <w:pPr>
        <w:spacing w:after="0" w:line="100" w:lineRule="exact"/>
        <w:rPr>
          <w:sz w:val="20"/>
          <w:szCs w:val="20"/>
          <w:color w:val="auto"/>
        </w:rPr>
      </w:pPr>
    </w:p>
    <w:p>
      <w:pPr>
        <w:ind w:left="460" w:right="40" w:firstLine="438"/>
        <w:spacing w:after="0" w:line="290" w:lineRule="auto"/>
        <w:rPr>
          <w:sz w:val="20"/>
          <w:szCs w:val="20"/>
          <w:color w:val="auto"/>
        </w:rPr>
      </w:pPr>
      <w:r>
        <w:rPr>
          <w:rFonts w:ascii="Arial" w:cs="Arial" w:eastAsia="Arial" w:hAnsi="Arial"/>
          <w:sz w:val="16"/>
          <w:szCs w:val="16"/>
          <w:color w:val="auto"/>
        </w:rPr>
        <w:t>We extend unsecured credit to most of our marine and aviation fuel customers. Our success in attracting business has been due, in part, to our willingness to extend credit on an unsecured basis to customers that exhibit a high credit risk profile and would otherwise be required to prepay or post letters of credit with their suppliers of fuel and related services. We do not insure our receivables. Diversification of credit risk is limited because we sell primarily within the marine and aviation industries. In our marine fuel services segment, we have extended individual lines of credit of at least $6.0 million to 20 non-governmental customers, and seven of these customers have lines of credit ranging from $15.0 to $28.0 million (currently, our largest credit lines). In our aviation fuel services segment, we have extended lines of credit of at least $4.0 million to five non-governmental customers, and one of these customers has a credit line of $14.0 million.</w:t>
      </w:r>
    </w:p>
    <w:p>
      <w:pPr>
        <w:spacing w:after="0" w:line="24"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Credit losses may be influenced by other factors, including deteriorating conditions in the world economy or in the shipping or aviation industries, political instability, terrorist activities and military action in our market areas. Any credit losses, if significant, would have a material adverse effect on our financial position and results of operations.</w:t>
      </w:r>
    </w:p>
    <w:p>
      <w:pPr>
        <w:spacing w:after="0" w:line="46"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i w:val="1"/>
          <w:iCs w:val="1"/>
          <w:color w:val="auto"/>
        </w:rPr>
        <w:t>Business conducted outside of the United States subjects us to legal, monetary and political risks, as well as currency exchange risks, and may cause unpredictability in a significant source of our cash flows</w:t>
      </w:r>
      <w:r>
        <w:rPr>
          <w:rFonts w:ascii="Arial" w:cs="Arial" w:eastAsia="Arial" w:hAnsi="Arial"/>
          <w:sz w:val="18"/>
          <w:szCs w:val="18"/>
          <w:b w:val="1"/>
          <w:bCs w:val="1"/>
          <w:color w:val="auto"/>
        </w:rPr>
        <w:t>.</w:t>
      </w:r>
    </w:p>
    <w:p>
      <w:pPr>
        <w:spacing w:after="0" w:line="37" w:lineRule="exact"/>
        <w:rPr>
          <w:sz w:val="20"/>
          <w:szCs w:val="20"/>
          <w:color w:val="auto"/>
        </w:rPr>
      </w:pPr>
    </w:p>
    <w:p>
      <w:pPr>
        <w:ind w:left="460" w:right="180" w:firstLine="438"/>
        <w:spacing w:after="0" w:line="268" w:lineRule="auto"/>
        <w:rPr>
          <w:sz w:val="20"/>
          <w:szCs w:val="20"/>
          <w:color w:val="auto"/>
        </w:rPr>
      </w:pPr>
      <w:r>
        <w:rPr>
          <w:rFonts w:ascii="Arial" w:cs="Arial" w:eastAsia="Arial" w:hAnsi="Arial"/>
          <w:sz w:val="18"/>
          <w:szCs w:val="18"/>
          <w:color w:val="auto"/>
        </w:rPr>
        <w:t>We conduct business in many foreign countries which subjects us to various political and other risks that are different from and in addition to those relating to conducting business in the United States, including:</w:t>
      </w:r>
    </w:p>
    <w:p>
      <w:pPr>
        <w:spacing w:after="0" w:line="37" w:lineRule="exact"/>
        <w:rPr>
          <w:sz w:val="20"/>
          <w:szCs w:val="20"/>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enactment of laws prohibiting or restricting foreign business;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laws restricting us from repatriating profits earned from activities within the foreign country, including the payment of distributions;</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terrorism, war or civil unrest.</w:t>
      </w:r>
    </w:p>
    <w:p>
      <w:pPr>
        <w:spacing w:after="0" w:line="77" w:lineRule="exact"/>
        <w:rPr>
          <w:sz w:val="20"/>
          <w:szCs w:val="20"/>
          <w:color w:val="auto"/>
        </w:rPr>
      </w:pPr>
    </w:p>
    <w:p>
      <w:pPr>
        <w:ind w:left="460" w:right="80" w:firstLine="438"/>
        <w:spacing w:after="0" w:line="268" w:lineRule="auto"/>
        <w:rPr>
          <w:sz w:val="20"/>
          <w:szCs w:val="20"/>
          <w:color w:val="auto"/>
        </w:rPr>
      </w:pPr>
      <w:r>
        <w:rPr>
          <w:rFonts w:ascii="Arial" w:cs="Arial" w:eastAsia="Arial" w:hAnsi="Arial"/>
          <w:sz w:val="18"/>
          <w:szCs w:val="18"/>
          <w:color w:val="auto"/>
        </w:rPr>
        <w:t>Unfavorable legal, regulatory, economic or political changes such as those described above could adversely affect our financial condition and results of operations.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72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business and our customers’ businesses are subject to currency exchange risks.</w:t>
      </w:r>
    </w:p>
    <w:p>
      <w:pPr>
        <w:spacing w:after="0" w:line="77" w:lineRule="exact"/>
        <w:rPr>
          <w:sz w:val="20"/>
          <w:szCs w:val="20"/>
          <w:color w:val="auto"/>
        </w:rPr>
      </w:pPr>
    </w:p>
    <w:p>
      <w:pPr>
        <w:ind w:left="460" w:right="40" w:firstLine="438"/>
        <w:spacing w:after="0" w:line="298" w:lineRule="auto"/>
        <w:rPr>
          <w:sz w:val="20"/>
          <w:szCs w:val="20"/>
          <w:color w:val="auto"/>
        </w:rPr>
      </w:pPr>
      <w:r>
        <w:rPr>
          <w:rFonts w:ascii="Arial" w:cs="Arial" w:eastAsia="Arial" w:hAnsi="Arial"/>
          <w:sz w:val="16"/>
          <w:szCs w:val="16"/>
          <w:color w:val="auto"/>
        </w:rPr>
        <w:t>The majority of our business transactions are denominated in U.S. dollars. However, in certain markets, primarily in Mexico, Colombia and the United Kingdom, payments to our fuel suppliers and from some of our customers are denominated in local currency. This subjects us to foreign currency exchange risk. Although we use hedging strategies to manage and minimize the impact of foreign currency exchange risk, at any given time, only a portion of such risk may be hedged. As a result, fluctuations in foreign exchange rates could adversely affect our profitability.</w:t>
      </w:r>
    </w:p>
    <w:p>
      <w:pPr>
        <w:spacing w:after="0" w:line="18"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In addition, many of our customers are foreign customers and may be required to purchase U.S. dollars to pay for our products and services. A rapid depreciation or devaluation in currency affecting our customers could have an adverse effect on our customers’ operations and their ability to convert local currency to U.S. dollars to make the required payments to us. This would in turn result in higher credit losses for us which would adversely affect our business.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Third parties who fail to provide services to us and our customers as agreed could harm our business</w:t>
      </w:r>
    </w:p>
    <w:p>
      <w:pPr>
        <w:spacing w:after="0" w:line="77" w:lineRule="exact"/>
        <w:rPr>
          <w:sz w:val="20"/>
          <w:szCs w:val="20"/>
          <w:color w:val="auto"/>
        </w:rPr>
      </w:pPr>
    </w:p>
    <w:p>
      <w:pPr>
        <w:ind w:left="460" w:firstLine="438"/>
        <w:spacing w:after="0" w:line="256" w:lineRule="auto"/>
        <w:rPr>
          <w:sz w:val="20"/>
          <w:szCs w:val="20"/>
          <w:color w:val="auto"/>
        </w:rPr>
      </w:pPr>
      <w:r>
        <w:rPr>
          <w:rFonts w:ascii="Arial" w:cs="Arial" w:eastAsia="Arial" w:hAnsi="Arial"/>
          <w:sz w:val="18"/>
          <w:szCs w:val="18"/>
          <w:color w:val="auto"/>
        </w:rPr>
        <w:t>We use third parties to provide various services to our customers, including into-plane fueling at airports and fueling of vessels in port and at sea. The failure of these third parties to perform these services in accordance with the terms we have agreed with them and our customers could affect our relationships with our customers and subject us to claims and other liabilities which might have a material adverse effect on our business or our financial results.</w:t>
      </w:r>
    </w:p>
    <w:p>
      <w:pPr>
        <w:spacing w:after="0" w:line="49" w:lineRule="exact"/>
        <w:rPr>
          <w:sz w:val="20"/>
          <w:szCs w:val="20"/>
          <w:color w:val="auto"/>
        </w:rPr>
      </w:pPr>
    </w:p>
    <w:p>
      <w:pPr>
        <w:ind w:left="460" w:right="180" w:firstLine="438"/>
        <w:spacing w:after="0" w:line="259" w:lineRule="auto"/>
        <w:rPr>
          <w:sz w:val="20"/>
          <w:szCs w:val="20"/>
          <w:color w:val="auto"/>
        </w:rPr>
      </w:pPr>
      <w:r>
        <w:rPr>
          <w:rFonts w:ascii="Arial" w:cs="Arial" w:eastAsia="Arial" w:hAnsi="Arial"/>
          <w:sz w:val="18"/>
          <w:szCs w:val="18"/>
          <w:color w:val="auto"/>
        </w:rPr>
        <w:t>We also use third parties to store our fuel inventory and to transport fuel. If these third parties become bankrupt or otherwise fail to meet their commitments to creditors, our fuel could be seized and applied against amounts owed to such creditors. This could cause both disruptions in our business and financial losses.</w:t>
      </w:r>
    </w:p>
    <w:p>
      <w:pPr>
        <w:spacing w:after="0" w:line="46" w:lineRule="exact"/>
        <w:rPr>
          <w:sz w:val="20"/>
          <w:szCs w:val="20"/>
          <w:color w:val="auto"/>
        </w:rPr>
      </w:pPr>
    </w:p>
    <w:p>
      <w:pPr>
        <w:ind w:left="460" w:right="220" w:firstLine="438"/>
        <w:spacing w:after="0" w:line="259" w:lineRule="auto"/>
        <w:rPr>
          <w:sz w:val="20"/>
          <w:szCs w:val="20"/>
          <w:color w:val="auto"/>
        </w:rPr>
      </w:pPr>
      <w:r>
        <w:rPr>
          <w:rFonts w:ascii="Arial" w:cs="Arial" w:eastAsia="Arial" w:hAnsi="Arial"/>
          <w:sz w:val="18"/>
          <w:szCs w:val="18"/>
          <w:color w:val="auto"/>
        </w:rPr>
        <w:t>Fuel sold to our customers is purchased by us from various suppliers. If the fuel we purchase from our suppliers fails to meet the specifications we have agreed to supply to our customers, our relationship with our customers could be adversely affected and we could be subject to claims and other liabilities which could have a material adverse effect on our business or our financial results.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We are exposed to various risks in connection with the price risk management services we offer to our customers.</w:t>
      </w:r>
    </w:p>
    <w:p>
      <w:pPr>
        <w:spacing w:after="0" w:line="77" w:lineRule="exact"/>
        <w:rPr>
          <w:sz w:val="20"/>
          <w:szCs w:val="20"/>
          <w:color w:val="auto"/>
        </w:rPr>
      </w:pPr>
    </w:p>
    <w:p>
      <w:pPr>
        <w:ind w:left="460" w:right="100" w:firstLine="438"/>
        <w:spacing w:after="0" w:line="288" w:lineRule="auto"/>
        <w:rPr>
          <w:sz w:val="20"/>
          <w:szCs w:val="20"/>
          <w:color w:val="auto"/>
        </w:rPr>
      </w:pPr>
      <w:r>
        <w:rPr>
          <w:rFonts w:ascii="Arial" w:cs="Arial" w:eastAsia="Arial" w:hAnsi="Arial"/>
          <w:sz w:val="16"/>
          <w:szCs w:val="16"/>
          <w:color w:val="auto"/>
        </w:rPr>
        <w:t>As part of our price risk management services, we offer our customers various pricing structures on future purchases of fuel, as well as derivatives products designed to assist our customers in hedging their exposure to fluctuations in fuel prices. In connection with offering our customers these services, we are exposed to financial risk associated with fluctuations in fuel prices. We typically hedge this risk by entering into a commodity based derivative instrument with a counterparty on substantially the same terms and conditions as those entered into with our customer. Should we fail to adequately hedge the risks associated with offering these services, or should a customer or counterparty to a derivative instrument fail to honor its obligations under our agreements with them, we could sustain significant losses which could have a material adverse effect on our profitability and financial position. Also, the failure of our employees to comply with our policies and procedures concerning the administration of our price risk management services, for example by failing to hedge a specific financial risk, could subject us to significant financial losses which could have a material adverse effect on our business and financial condition.</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Insurance coverage for some of our operations may be insufficient to cover losses.</w:t>
      </w:r>
    </w:p>
    <w:p>
      <w:pPr>
        <w:spacing w:after="0" w:line="77"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We lack insurance coverage for various risks, including environmental claims. Although we generally require our subcontractors to carry liability insurance, not all subcontractors carry adequate insurance. Our marine business does not have liability insurance to cover the acts or omissions of our subcontractors. None of our liability insurance covers acts of war and terrorism. A significant uninsured claim would have a material adverse effect on our financial position and results of operations.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72</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If we are unable to retain our senior management and key employees, our business and results of operations could be harmed.</w:t>
      </w:r>
    </w:p>
    <w:p>
      <w:pPr>
        <w:spacing w:after="0" w:line="77" w:lineRule="exact"/>
        <w:rPr>
          <w:sz w:val="20"/>
          <w:szCs w:val="20"/>
          <w:color w:val="auto"/>
        </w:rPr>
      </w:pPr>
    </w:p>
    <w:p>
      <w:pPr>
        <w:ind w:left="460" w:right="40" w:firstLine="438"/>
        <w:spacing w:after="0" w:line="259" w:lineRule="auto"/>
        <w:rPr>
          <w:sz w:val="20"/>
          <w:szCs w:val="20"/>
          <w:color w:val="auto"/>
        </w:rPr>
      </w:pPr>
      <w:r>
        <w:rPr>
          <w:rFonts w:ascii="Arial" w:cs="Arial" w:eastAsia="Arial" w:hAnsi="Arial"/>
          <w:sz w:val="18"/>
          <w:szCs w:val="18"/>
          <w:color w:val="auto"/>
        </w:rPr>
        <w:t>Our ability to maintain our competitive position is dependent largely on the services of our senior management and professional team. If we are unable to retain the existing senior management and professional personnel, or to attract other qualified senior management and professional personnel, our businesses will be adversely affected.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failure to effectively manage our rapid growth could have an adverse effect on our business.</w:t>
      </w:r>
    </w:p>
    <w:p>
      <w:pPr>
        <w:spacing w:after="0" w:line="77"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We have rapidly expanded our operations in recent years and we intend to continue to pursue existing and potential market opportunities. This rapid growth places a significant demand on our management and operational resources. If we are unable to manage our growth effectively, our business, financial condition, and results of operations will be adversely affected.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integration of an acquired company may have an adverse effect on our operations.</w:t>
      </w:r>
    </w:p>
    <w:p>
      <w:pPr>
        <w:spacing w:after="0" w:line="77" w:lineRule="exact"/>
        <w:rPr>
          <w:sz w:val="20"/>
          <w:szCs w:val="20"/>
          <w:color w:val="auto"/>
        </w:rPr>
      </w:pPr>
    </w:p>
    <w:p>
      <w:pPr>
        <w:ind w:left="460" w:right="120" w:firstLine="438"/>
        <w:spacing w:after="0" w:line="318" w:lineRule="auto"/>
        <w:rPr>
          <w:sz w:val="20"/>
          <w:szCs w:val="20"/>
          <w:color w:val="auto"/>
        </w:rPr>
      </w:pPr>
      <w:r>
        <w:rPr>
          <w:rFonts w:ascii="Arial" w:cs="Arial" w:eastAsia="Arial" w:hAnsi="Arial"/>
          <w:sz w:val="15"/>
          <w:szCs w:val="15"/>
          <w:color w:val="auto"/>
        </w:rPr>
        <w:t>Our business has grown, in part, as a result of our acquisition of other companies. On April 2, 2004, we acquired Tramp Oil and, since that time, we have been integrating this business with our existing operations. The integration of an acquisition typically involves a number of risks that may adversely affect our operations. These risks include diversion of management’s attention, difficulties in the integration of acquired operations and retention of personnel, entry into unfamiliar markets, unanticipated problems or legal liabilities, and tax and accounting issues. Furthermore, once we have integrated an acquired company, the business may not achieve the same levels of revenue or profitability as our other operations, or otherwise perform as expected.</w:t>
      </w:r>
    </w:p>
    <w:p>
      <w:pPr>
        <w:spacing w:after="0" w:line="86"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i w:val="1"/>
          <w:iCs w:val="1"/>
          <w:color w:val="auto"/>
        </w:rPr>
        <w:t>We are involved from time to time in legal proceedings and commercial or contractual disputes, which could have an adverse impact on our profitability and consolidated financial position.</w:t>
      </w:r>
    </w:p>
    <w:p>
      <w:pPr>
        <w:spacing w:after="0" w:line="37" w:lineRule="exact"/>
        <w:rPr>
          <w:sz w:val="20"/>
          <w:szCs w:val="20"/>
          <w:color w:val="auto"/>
        </w:rPr>
      </w:pPr>
    </w:p>
    <w:p>
      <w:pPr>
        <w:jc w:val="both"/>
        <w:ind w:left="460" w:right="80" w:firstLine="438"/>
        <w:spacing w:after="0" w:line="306" w:lineRule="auto"/>
        <w:rPr>
          <w:sz w:val="20"/>
          <w:szCs w:val="20"/>
          <w:color w:val="auto"/>
        </w:rPr>
      </w:pPr>
      <w:r>
        <w:rPr>
          <w:rFonts w:ascii="Arial" w:cs="Arial" w:eastAsia="Arial" w:hAnsi="Arial"/>
          <w:sz w:val="16"/>
          <w:szCs w:val="16"/>
          <w:color w:val="auto"/>
        </w:rPr>
        <w:t>We are involved in legal proceedings and commercial or contractual disputes that, from time to time, are significant. These are typically commercial or contractual claims that arise in the normal course of business including, without limitation, disputes with our suppliers and customers. Such proceedings and claims could have a material adverse effect on our profitability and consolidated financial position if decided adversely.</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Risks Related to Our Industry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Adverse conditions in the shipping and aviation industries may have an adverse effect on our business.</w:t>
      </w:r>
    </w:p>
    <w:p>
      <w:pPr>
        <w:spacing w:after="0" w:line="77" w:lineRule="exact"/>
        <w:rPr>
          <w:sz w:val="20"/>
          <w:szCs w:val="20"/>
          <w:color w:val="auto"/>
        </w:rPr>
      </w:pPr>
    </w:p>
    <w:p>
      <w:pPr>
        <w:ind w:left="460" w:right="80" w:firstLine="438"/>
        <w:spacing w:after="0" w:line="294" w:lineRule="auto"/>
        <w:rPr>
          <w:sz w:val="20"/>
          <w:szCs w:val="20"/>
          <w:color w:val="auto"/>
        </w:rPr>
      </w:pPr>
      <w:r>
        <w:rPr>
          <w:rFonts w:ascii="Arial" w:cs="Arial" w:eastAsia="Arial" w:hAnsi="Arial"/>
          <w:sz w:val="16"/>
          <w:szCs w:val="16"/>
          <w:color w:val="auto"/>
        </w:rPr>
        <w:t>Our business is focused on the marketing of fuel and fuel-related services to the shipping and aviation industries. Therefore, any adverse economic conditions in these industries may have an adverse effect on our business. In addition, any political instability, terrorist activity or military action that disrupts shipping or flight operations will adversely affect our customers and may reduce the demand for our products and services. Our business could also be adversely affected by increased merger activity in the airline and shipping industries, which may reduce the number of customers that purchase our products and services, as well as the prices we are able to charge for such products and services.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Material disruptions in the availability or supply of oil may adversely affect our business.</w:t>
      </w:r>
    </w:p>
    <w:p>
      <w:pPr>
        <w:spacing w:after="0" w:line="77" w:lineRule="exact"/>
        <w:rPr>
          <w:sz w:val="20"/>
          <w:szCs w:val="20"/>
          <w:color w:val="auto"/>
        </w:rPr>
      </w:pPr>
    </w:p>
    <w:p>
      <w:pPr>
        <w:jc w:val="both"/>
        <w:ind w:left="460" w:right="160" w:firstLine="438"/>
        <w:spacing w:after="0" w:line="259" w:lineRule="auto"/>
        <w:rPr>
          <w:sz w:val="20"/>
          <w:szCs w:val="20"/>
          <w:color w:val="auto"/>
        </w:rPr>
      </w:pPr>
      <w:r>
        <w:rPr>
          <w:rFonts w:ascii="Arial" w:cs="Arial" w:eastAsia="Arial" w:hAnsi="Arial"/>
          <w:sz w:val="18"/>
          <w:szCs w:val="18"/>
          <w:color w:val="auto"/>
        </w:rPr>
        <w:t>The success of our business depends on our ability to purchase, sell and deliver fuel and fuel-related services to our customers. Our business would be adversely affected to the extent that political instability, natural disasters, terrorist activity, military action or other conditions disrupt the availability or supply of oil.</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Changes in the market price of petroleum may have a material adverse effect on our business.</w:t>
      </w:r>
    </w:p>
    <w:p>
      <w:pPr>
        <w:spacing w:after="0" w:line="77" w:lineRule="exact"/>
        <w:rPr>
          <w:sz w:val="20"/>
          <w:szCs w:val="20"/>
          <w:color w:val="auto"/>
        </w:rPr>
      </w:pPr>
    </w:p>
    <w:p>
      <w:pPr>
        <w:ind w:left="460" w:firstLine="438"/>
        <w:spacing w:after="0" w:line="298" w:lineRule="auto"/>
        <w:rPr>
          <w:sz w:val="20"/>
          <w:szCs w:val="20"/>
          <w:color w:val="auto"/>
        </w:rPr>
      </w:pPr>
      <w:r>
        <w:rPr>
          <w:rFonts w:ascii="Arial" w:cs="Arial" w:eastAsia="Arial" w:hAnsi="Arial"/>
          <w:sz w:val="16"/>
          <w:szCs w:val="16"/>
          <w:color w:val="auto"/>
        </w:rPr>
        <w:t>Increases in fuel prices can adversely affect our customers’ businesses, and consequently increase our credit losses. Increases in fuel prices could also affect the credit limits extended to us by our suppliers, potentially affecting our liquidity and profitability. In addition, increases in oil prices will make it more difficult for our clients to operate and could reduce demand for our services. Conversely, a rapid decline in fuel prices could adversely affect our profitability because inventory purchased by us when fuel prices were high may have to be sold at lower prices.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 of 72</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business is subject to aggressive competition.</w:t>
      </w:r>
    </w:p>
    <w:p>
      <w:pPr>
        <w:spacing w:after="0" w:line="77" w:lineRule="exact"/>
        <w:rPr>
          <w:sz w:val="20"/>
          <w:szCs w:val="20"/>
          <w:color w:val="auto"/>
        </w:rPr>
      </w:pPr>
    </w:p>
    <w:p>
      <w:pPr>
        <w:ind w:left="460" w:right="140" w:firstLine="438"/>
        <w:spacing w:after="0" w:line="255" w:lineRule="auto"/>
        <w:rPr>
          <w:sz w:val="20"/>
          <w:szCs w:val="20"/>
          <w:color w:val="auto"/>
        </w:rPr>
      </w:pPr>
      <w:r>
        <w:rPr>
          <w:rFonts w:ascii="Arial" w:cs="Arial" w:eastAsia="Arial" w:hAnsi="Arial"/>
          <w:sz w:val="18"/>
          <w:szCs w:val="18"/>
          <w:color w:val="auto"/>
        </w:rPr>
        <w:t>We are subject to aggressive competition in all areas of our business. Our competitors are numerous, ranging from large multinational corporations, which have significantly greater capital resources, to relatively small and specialized firms. In addition to competing with fuel resellers, we also compete with the major oil producers that market fuel directly to the large commercial airlines and shipping companies. Our business could be adversely affected because of increased competition from the larger oil companies who may choose to directly market to smaller airlines and shipping companies, or to provide less advantageous price and credit terms to us.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operations are subject to various environmental laws and regulations, the violation of which could result in liability, fines or penalties.</w:t>
      </w:r>
    </w:p>
    <w:p>
      <w:pPr>
        <w:spacing w:after="0" w:line="77" w:lineRule="exact"/>
        <w:rPr>
          <w:sz w:val="20"/>
          <w:szCs w:val="20"/>
          <w:color w:val="auto"/>
        </w:rPr>
      </w:pPr>
    </w:p>
    <w:p>
      <w:pPr>
        <w:ind w:left="460" w:right="20" w:firstLine="438"/>
        <w:spacing w:after="0" w:line="253" w:lineRule="auto"/>
        <w:rPr>
          <w:sz w:val="20"/>
          <w:szCs w:val="20"/>
          <w:color w:val="auto"/>
        </w:rPr>
      </w:pPr>
      <w:r>
        <w:rPr>
          <w:rFonts w:ascii="Arial" w:cs="Arial" w:eastAsia="Arial" w:hAnsi="Arial"/>
          <w:sz w:val="18"/>
          <w:szCs w:val="18"/>
          <w:color w:val="auto"/>
        </w:rPr>
        <w:t>We are subject to various environmental laws and regulations dealing with the handling of fuel and fuel products. We also maintain fuel inventories at several locations. Our operations involve the risks of fuel spillage or seepage, environmental damage, and hazardous waste disposal, among others. If we are involved in a spill or other accident involving hazardous substances, if there are releases of fuel and fuel products we own, or if we are found to be in violation of environmental laws or regulations, we could be subject to liabilities that could have a materially adverse effect on our business and operating results. We are also subject to possible claims by customers, employees and others who may be injured by a fuel spill, exposure to fuel, or other accidents. If we should fail to comply with applicable environmental regulations, we could be subject to substantial fines or penalties and to civil and criminal liability.</w:t>
      </w:r>
    </w:p>
    <w:p>
      <w:pPr>
        <w:spacing w:after="0" w:line="53"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We have exited several businesses that handled hazardous and non-hazardous waste. We treated and/or transported this waste to various disposal facilities. We may be held liable as a potentially responsible party for the clean-up of such disposal facilities, or be required to clean-up facilities previously operated by us, pursuant to current U.S. federal and state laws and regulations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Risks Related to our Credit Facility.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failure to comply with the restrictions of our credit facility could adversely affect our operations.</w:t>
      </w:r>
    </w:p>
    <w:p>
      <w:pPr>
        <w:spacing w:after="0" w:line="77" w:lineRule="exact"/>
        <w:rPr>
          <w:sz w:val="20"/>
          <w:szCs w:val="20"/>
          <w:color w:val="auto"/>
        </w:rPr>
      </w:pPr>
    </w:p>
    <w:p>
      <w:pPr>
        <w:ind w:left="460" w:firstLine="438"/>
        <w:spacing w:after="0" w:line="255" w:lineRule="auto"/>
        <w:rPr>
          <w:sz w:val="20"/>
          <w:szCs w:val="20"/>
          <w:color w:val="auto"/>
        </w:rPr>
      </w:pPr>
      <w:r>
        <w:rPr>
          <w:rFonts w:ascii="Arial" w:cs="Arial" w:eastAsia="Arial" w:hAnsi="Arial"/>
          <w:sz w:val="18"/>
          <w:szCs w:val="18"/>
          <w:color w:val="auto"/>
        </w:rPr>
        <w:t>We borrow money pursuant to a credit agreement that imposes certain operating and financial restrictions on us, including restrictions on the payment of dividends in excess of specified amounts. Our failure to comply with obligations under the credit agreement, including meeting certain financial ratios, could result in an event of default. An event of default, if not cured or waived, would permit acceleration of any outstanding indebtedness under the credit agreement, and impair our ability to receive working capital advances and issue letters of credit, which could have a material adverse effect on our ability to operate our business.</w:t>
      </w:r>
    </w:p>
    <w:p>
      <w:pPr>
        <w:spacing w:after="0" w:line="129"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i w:val="1"/>
          <w:iCs w:val="1"/>
          <w:color w:val="auto"/>
        </w:rPr>
        <w:t>Increases in interest rates and/or the failure of our interest rate protection arrangements to reduce our interest rate volatility may increase our interest expense and adversely affect our cash flow and our ability to service our indebtedness.</w:t>
      </w:r>
    </w:p>
    <w:p>
      <w:pPr>
        <w:spacing w:after="0" w:line="37" w:lineRule="exact"/>
        <w:rPr>
          <w:sz w:val="20"/>
          <w:szCs w:val="20"/>
          <w:color w:val="auto"/>
        </w:rPr>
      </w:pPr>
    </w:p>
    <w:p>
      <w:pPr>
        <w:ind w:left="460" w:right="20" w:firstLine="438"/>
        <w:spacing w:after="0" w:line="294" w:lineRule="auto"/>
        <w:rPr>
          <w:sz w:val="20"/>
          <w:szCs w:val="20"/>
          <w:color w:val="auto"/>
        </w:rPr>
      </w:pPr>
      <w:r>
        <w:rPr>
          <w:rFonts w:ascii="Arial" w:cs="Arial" w:eastAsia="Arial" w:hAnsi="Arial"/>
          <w:sz w:val="16"/>
          <w:szCs w:val="16"/>
          <w:color w:val="auto"/>
        </w:rPr>
        <w:t>Almost all of our credit facility debt is subject to variable interest rates. On March 9, 2005, we entered into interest rate protection arrangements that, in effect, fix the rate of interest on $20.0 million of our debt at a weighted average interest rate of 5.45% per annum. The amount of debt covered by these arrangements may change depending on our working capital needs. An increase in interest rates and/or our failure to maintain adequate interest rate protection arrangements would increase our interest expense and adversely affect our cash flow and our ability to service our indebtedness. At December 31, 2004, we had a total of $50.0 million of debt bearing a weighted average interest rate of approximately 4.27% per annum.</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 of 72</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laws and regulations affecting our businesses are as follows:</w:t>
      </w:r>
    </w:p>
    <w:p>
      <w:pPr>
        <w:spacing w:after="0" w:line="158"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i w:val="1"/>
          <w:iCs w:val="1"/>
          <w:color w:val="auto"/>
        </w:rPr>
        <w:t>Environmental Regulations</w:t>
      </w:r>
      <w:r>
        <w:rPr>
          <w:rFonts w:ascii="Arial" w:cs="Arial" w:eastAsia="Arial" w:hAnsi="Arial"/>
          <w:sz w:val="16"/>
          <w:szCs w:val="16"/>
          <w:color w:val="auto"/>
        </w:rPr>
        <w:t>. Our activities, including discontinued operations, are subject to substantial regulation by federal, state and local government</w:t>
      </w:r>
      <w:r>
        <w:rPr>
          <w:rFonts w:ascii="Arial" w:cs="Arial" w:eastAsia="Arial" w:hAnsi="Arial"/>
          <w:sz w:val="16"/>
          <w:szCs w:val="16"/>
          <w:i w:val="1"/>
          <w:iCs w:val="1"/>
          <w:color w:val="auto"/>
        </w:rPr>
        <w:t xml:space="preserve"> </w:t>
      </w:r>
      <w:r>
        <w:rPr>
          <w:rFonts w:ascii="Arial" w:cs="Arial" w:eastAsia="Arial" w:hAnsi="Arial"/>
          <w:sz w:val="16"/>
          <w:szCs w:val="16"/>
          <w:color w:val="auto"/>
        </w:rPr>
        <w:t>agencies, inside and outside the United States, which enforce laws and regulations governing the transportation, sale, storage and disposal of fuel and the collection, transportation, processing, storage, use and disposal of hazardous substances and wastes, including waste oil and petroleum products. For example, United States Federal and state environmental laws applicable to us include statutes that: (i) allocate the cost of remedying contamination among specifically identified parties, and prevent future contamination; (ii) impose national ambient standards and, in some cases, emission standards, for air pollutants which present a risk to public health or welfare; (iii) govern the management, treatment, storage and disposal of hazardous wastes; and (iv) regulate the discharge of pollutants into waterways. International treaties also prohibit the discharge of petroleum products at sea. The penalties for violations of environmental laws include injunctive relief, recovery of damages for injury to air, water or property, and fines for non-compliance. See “Risk Factors,” above, and “Item 3 – Legal Proceedings.”</w:t>
      </w:r>
    </w:p>
    <w:p>
      <w:pPr>
        <w:spacing w:after="0" w:line="106"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i w:val="1"/>
          <w:iCs w:val="1"/>
          <w:color w:val="auto"/>
        </w:rPr>
        <w:t xml:space="preserve">Taxes on Fuel. </w:t>
      </w:r>
      <w:r>
        <w:rPr>
          <w:rFonts w:ascii="Arial" w:cs="Arial" w:eastAsia="Arial" w:hAnsi="Arial"/>
          <w:sz w:val="18"/>
          <w:szCs w:val="18"/>
          <w:color w:val="auto"/>
        </w:rPr>
        <w:t>Our marine and aviation segments are affected by various taxes imposed on the purchase and sale of marine and aviation fuel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These taxes include sales, excise, goods and services taxes (“GST”), value added taxes (“VAT”) and other taxes, and are collectively referred to as “transaction taxes.” The transaction taxes imposed on marine and aviation fuel purchasers and sellers are also subject to various full and partial exemptions. Subject to exemptions available at the time of the transaction, in general, we pay the appropriate transaction tax to the supplier or charge the appropriate transaction tax to the customer. We continuously review our compliance with U.S. and foreign laws that impose transaction taxes on our operations. However, in certain cases, we may be responsible for additional transaction taxes if the customer or we do not qualify for an exemption believed to be available at the time of purchase and/or sale.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pages set forth our principal leased properties by segment as of March 24, 2005. We consider our properties and facilities to be suitable and adequate for our present needs.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PROPERTIES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40" w:type="dxa"/>
            <w:vAlign w:val="bottom"/>
            <w:gridSpan w:val="4"/>
          </w:tcPr>
          <w:p>
            <w:pPr>
              <w:spacing w:after="0"/>
              <w:rPr>
                <w:sz w:val="20"/>
                <w:szCs w:val="20"/>
                <w:color w:val="auto"/>
              </w:rPr>
            </w:pPr>
            <w:r>
              <w:rPr>
                <w:rFonts w:ascii="Arial" w:cs="Arial" w:eastAsia="Arial" w:hAnsi="Arial"/>
                <w:sz w:val="14"/>
                <w:szCs w:val="14"/>
                <w:b w:val="1"/>
                <w:bCs w:val="1"/>
                <w:color w:val="auto"/>
              </w:rPr>
              <w:t>Location</w:t>
            </w:r>
          </w:p>
        </w:tc>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Principal Use</w:t>
            </w:r>
          </w:p>
        </w:tc>
        <w:tc>
          <w:tcPr>
            <w:tcW w:w="2240" w:type="dxa"/>
            <w:vAlign w:val="bottom"/>
            <w:gridSpan w:val="2"/>
          </w:tcPr>
          <w:p>
            <w:pPr>
              <w:ind w:left="940"/>
              <w:spacing w:after="0"/>
              <w:rPr>
                <w:sz w:val="20"/>
                <w:szCs w:val="20"/>
                <w:color w:val="auto"/>
              </w:rPr>
            </w:pPr>
            <w:r>
              <w:rPr>
                <w:rFonts w:ascii="Arial" w:cs="Arial" w:eastAsia="Arial" w:hAnsi="Arial"/>
                <w:sz w:val="14"/>
                <w:szCs w:val="14"/>
                <w:b w:val="1"/>
                <w:bCs w:val="1"/>
                <w:color w:val="auto"/>
              </w:rPr>
              <w:t>Lease Expiration</w:t>
            </w:r>
          </w:p>
        </w:tc>
      </w:tr>
      <w:tr>
        <w:trPr>
          <w:trHeight w:val="95"/>
        </w:trPr>
        <w:tc>
          <w:tcPr>
            <w:tcW w:w="6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r>
        <w:trPr>
          <w:trHeight w:val="277"/>
        </w:trPr>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Corporate</w:t>
            </w:r>
          </w:p>
        </w:tc>
        <w:tc>
          <w:tcPr>
            <w:tcW w:w="4520" w:type="dxa"/>
            <w:vAlign w:val="bottom"/>
            <w:gridSpan w:val="2"/>
          </w:tcPr>
          <w:p>
            <w:pPr>
              <w:spacing w:after="0"/>
              <w:rPr>
                <w:sz w:val="24"/>
                <w:szCs w:val="24"/>
                <w:color w:val="auto"/>
              </w:rPr>
            </w:pPr>
          </w:p>
        </w:tc>
        <w:tc>
          <w:tcPr>
            <w:tcW w:w="10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5240" w:type="dxa"/>
            <w:vAlign w:val="bottom"/>
            <w:gridSpan w:val="4"/>
          </w:tcPr>
          <w:p>
            <w:pPr>
              <w:spacing w:after="0"/>
              <w:rPr>
                <w:sz w:val="20"/>
                <w:szCs w:val="20"/>
                <w:color w:val="auto"/>
              </w:rPr>
            </w:pPr>
            <w:r>
              <w:rPr>
                <w:rFonts w:ascii="Arial" w:cs="Arial" w:eastAsia="Arial" w:hAnsi="Arial"/>
                <w:sz w:val="18"/>
                <w:szCs w:val="18"/>
                <w:color w:val="auto"/>
              </w:rPr>
              <w:t>9800 Northwest 41st Street, Suite 400</w:t>
            </w:r>
          </w:p>
        </w:tc>
        <w:tc>
          <w:tcPr>
            <w:tcW w:w="3940" w:type="dxa"/>
            <w:vAlign w:val="bottom"/>
            <w:gridSpan w:val="2"/>
          </w:tcPr>
          <w:p>
            <w:pPr>
              <w:spacing w:after="0"/>
              <w:rPr>
                <w:sz w:val="20"/>
                <w:szCs w:val="20"/>
                <w:color w:val="auto"/>
              </w:rPr>
            </w:pPr>
            <w:r>
              <w:rPr>
                <w:rFonts w:ascii="Arial" w:cs="Arial" w:eastAsia="Arial" w:hAnsi="Arial"/>
                <w:sz w:val="18"/>
                <w:szCs w:val="18"/>
                <w:color w:val="auto"/>
              </w:rPr>
              <w:t>Executive and administrative office</w:t>
            </w:r>
          </w:p>
        </w:tc>
        <w:tc>
          <w:tcPr>
            <w:tcW w:w="2240" w:type="dxa"/>
            <w:vAlign w:val="bottom"/>
            <w:gridSpan w:val="2"/>
          </w:tcPr>
          <w:p>
            <w:pPr>
              <w:ind w:left="940"/>
              <w:spacing w:after="0"/>
              <w:rPr>
                <w:sz w:val="20"/>
                <w:szCs w:val="20"/>
                <w:color w:val="auto"/>
              </w:rPr>
            </w:pPr>
            <w:r>
              <w:rPr>
                <w:rFonts w:ascii="Arial" w:cs="Arial" w:eastAsia="Arial" w:hAnsi="Arial"/>
                <w:sz w:val="18"/>
                <w:szCs w:val="18"/>
                <w:color w:val="auto"/>
              </w:rPr>
              <w:t>March 2013</w:t>
            </w:r>
          </w:p>
        </w:tc>
      </w:tr>
      <w:tr>
        <w:trPr>
          <w:trHeight w:val="222"/>
        </w:trPr>
        <w:tc>
          <w:tcPr>
            <w:tcW w:w="5240" w:type="dxa"/>
            <w:vAlign w:val="bottom"/>
            <w:gridSpan w:val="4"/>
          </w:tcPr>
          <w:p>
            <w:pPr>
              <w:spacing w:after="0"/>
              <w:rPr>
                <w:sz w:val="20"/>
                <w:szCs w:val="20"/>
                <w:color w:val="auto"/>
              </w:rPr>
            </w:pPr>
            <w:r>
              <w:rPr>
                <w:rFonts w:ascii="Arial" w:cs="Arial" w:eastAsia="Arial" w:hAnsi="Arial"/>
                <w:sz w:val="18"/>
                <w:szCs w:val="18"/>
                <w:color w:val="auto"/>
              </w:rPr>
              <w:t>Miami, FL 33178, USA</w:t>
            </w:r>
          </w:p>
        </w:tc>
        <w:tc>
          <w:tcPr>
            <w:tcW w:w="10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99"/>
        </w:trPr>
        <w:tc>
          <w:tcPr>
            <w:tcW w:w="5240" w:type="dxa"/>
            <w:vAlign w:val="bottom"/>
            <w:gridSpan w:val="4"/>
          </w:tcPr>
          <w:p>
            <w:pPr>
              <w:spacing w:after="0"/>
              <w:rPr>
                <w:sz w:val="20"/>
                <w:szCs w:val="20"/>
                <w:color w:val="auto"/>
              </w:rPr>
            </w:pPr>
            <w:r>
              <w:rPr>
                <w:rFonts w:ascii="Arial" w:cs="Arial" w:eastAsia="Arial" w:hAnsi="Arial"/>
                <w:sz w:val="18"/>
                <w:szCs w:val="18"/>
                <w:color w:val="auto"/>
              </w:rPr>
              <w:t>Marine Fuel Services</w:t>
            </w:r>
          </w:p>
        </w:tc>
        <w:tc>
          <w:tcPr>
            <w:tcW w:w="10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500" w:type="dxa"/>
            <w:vAlign w:val="bottom"/>
            <w:gridSpan w:val="3"/>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r>
      <w:tr>
        <w:trPr>
          <w:trHeight w:val="228"/>
        </w:trPr>
        <w:tc>
          <w:tcPr>
            <w:tcW w:w="5240" w:type="dxa"/>
            <w:vAlign w:val="bottom"/>
            <w:gridSpan w:val="4"/>
          </w:tcPr>
          <w:p>
            <w:pPr>
              <w:spacing w:after="0"/>
              <w:rPr>
                <w:sz w:val="20"/>
                <w:szCs w:val="20"/>
                <w:color w:val="auto"/>
              </w:rPr>
            </w:pPr>
            <w:r>
              <w:rPr>
                <w:rFonts w:ascii="Arial" w:cs="Arial" w:eastAsia="Arial" w:hAnsi="Arial"/>
                <w:sz w:val="18"/>
                <w:szCs w:val="18"/>
                <w:color w:val="auto"/>
              </w:rPr>
              <w:t>9800 Northwest 41st Street, Suite 400</w:t>
            </w:r>
          </w:p>
        </w:tc>
        <w:tc>
          <w:tcPr>
            <w:tcW w:w="3940" w:type="dxa"/>
            <w:vAlign w:val="bottom"/>
            <w:gridSpan w:val="2"/>
          </w:tcPr>
          <w:p>
            <w:pPr>
              <w:spacing w:after="0"/>
              <w:rPr>
                <w:sz w:val="20"/>
                <w:szCs w:val="20"/>
                <w:color w:val="auto"/>
              </w:rPr>
            </w:pPr>
            <w:r>
              <w:rPr>
                <w:rFonts w:ascii="Arial" w:cs="Arial" w:eastAsia="Arial" w:hAnsi="Arial"/>
                <w:sz w:val="18"/>
                <w:szCs w:val="18"/>
                <w:color w:val="auto"/>
              </w:rPr>
              <w:t>Executive and administrative office</w:t>
            </w:r>
          </w:p>
        </w:tc>
        <w:tc>
          <w:tcPr>
            <w:tcW w:w="2240" w:type="dxa"/>
            <w:vAlign w:val="bottom"/>
            <w:gridSpan w:val="2"/>
          </w:tcPr>
          <w:p>
            <w:pPr>
              <w:ind w:left="940"/>
              <w:spacing w:after="0"/>
              <w:rPr>
                <w:sz w:val="20"/>
                <w:szCs w:val="20"/>
                <w:color w:val="auto"/>
              </w:rPr>
            </w:pPr>
            <w:r>
              <w:rPr>
                <w:rFonts w:ascii="Arial" w:cs="Arial" w:eastAsia="Arial" w:hAnsi="Arial"/>
                <w:sz w:val="18"/>
                <w:szCs w:val="18"/>
                <w:color w:val="auto"/>
              </w:rPr>
              <w:t>March 2013</w:t>
            </w:r>
          </w:p>
        </w:tc>
      </w:tr>
      <w:tr>
        <w:trPr>
          <w:trHeight w:val="222"/>
        </w:trPr>
        <w:tc>
          <w:tcPr>
            <w:tcW w:w="5240" w:type="dxa"/>
            <w:vAlign w:val="bottom"/>
            <w:gridSpan w:val="4"/>
          </w:tcPr>
          <w:p>
            <w:pPr>
              <w:spacing w:after="0"/>
              <w:rPr>
                <w:sz w:val="20"/>
                <w:szCs w:val="20"/>
                <w:color w:val="auto"/>
              </w:rPr>
            </w:pPr>
            <w:r>
              <w:rPr>
                <w:rFonts w:ascii="Arial" w:cs="Arial" w:eastAsia="Arial" w:hAnsi="Arial"/>
                <w:sz w:val="18"/>
                <w:szCs w:val="18"/>
                <w:color w:val="auto"/>
              </w:rPr>
              <w:t>Miami, FL 33178, USA</w:t>
            </w:r>
          </w:p>
        </w:tc>
        <w:tc>
          <w:tcPr>
            <w:tcW w:w="10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1"/>
        </w:trPr>
        <w:tc>
          <w:tcPr>
            <w:tcW w:w="5240" w:type="dxa"/>
            <w:vAlign w:val="bottom"/>
            <w:gridSpan w:val="4"/>
          </w:tcPr>
          <w:p>
            <w:pPr>
              <w:spacing w:after="0"/>
              <w:rPr>
                <w:sz w:val="20"/>
                <w:szCs w:val="20"/>
                <w:color w:val="auto"/>
              </w:rPr>
            </w:pPr>
            <w:r>
              <w:rPr>
                <w:rFonts w:ascii="Arial" w:cs="Arial" w:eastAsia="Arial" w:hAnsi="Arial"/>
                <w:sz w:val="18"/>
                <w:szCs w:val="18"/>
                <w:color w:val="auto"/>
              </w:rPr>
              <w:t>Raritan Plaza III</w:t>
            </w:r>
          </w:p>
        </w:tc>
        <w:tc>
          <w:tcPr>
            <w:tcW w:w="3940" w:type="dxa"/>
            <w:vAlign w:val="bottom"/>
            <w:gridSpan w:val="2"/>
          </w:tcPr>
          <w:p>
            <w:pPr>
              <w:spacing w:after="0"/>
              <w:rPr>
                <w:sz w:val="20"/>
                <w:szCs w:val="20"/>
                <w:color w:val="auto"/>
              </w:rPr>
            </w:pPr>
            <w:r>
              <w:rPr>
                <w:rFonts w:ascii="Arial" w:cs="Arial" w:eastAsia="Arial" w:hAnsi="Arial"/>
                <w:sz w:val="18"/>
                <w:szCs w:val="18"/>
                <w:color w:val="auto"/>
              </w:rPr>
              <w:t>Administrative, operations and sales office</w:t>
            </w:r>
          </w:p>
        </w:tc>
        <w:tc>
          <w:tcPr>
            <w:tcW w:w="2240" w:type="dxa"/>
            <w:vAlign w:val="bottom"/>
            <w:gridSpan w:val="2"/>
          </w:tcPr>
          <w:p>
            <w:pPr>
              <w:ind w:left="940"/>
              <w:spacing w:after="0"/>
              <w:rPr>
                <w:sz w:val="20"/>
                <w:szCs w:val="20"/>
                <w:color w:val="auto"/>
              </w:rPr>
            </w:pPr>
            <w:r>
              <w:rPr>
                <w:rFonts w:ascii="Arial" w:cs="Arial" w:eastAsia="Arial" w:hAnsi="Arial"/>
                <w:sz w:val="18"/>
                <w:szCs w:val="18"/>
                <w:color w:val="auto"/>
              </w:rPr>
              <w:t>January 2010</w:t>
            </w:r>
          </w:p>
        </w:tc>
      </w:tr>
      <w:tr>
        <w:trPr>
          <w:trHeight w:val="216"/>
        </w:trPr>
        <w:tc>
          <w:tcPr>
            <w:tcW w:w="5240" w:type="dxa"/>
            <w:vAlign w:val="bottom"/>
            <w:gridSpan w:val="4"/>
          </w:tcPr>
          <w:p>
            <w:pPr>
              <w:spacing w:after="0"/>
              <w:rPr>
                <w:sz w:val="20"/>
                <w:szCs w:val="20"/>
                <w:color w:val="auto"/>
              </w:rPr>
            </w:pPr>
            <w:r>
              <w:rPr>
                <w:rFonts w:ascii="Arial" w:cs="Arial" w:eastAsia="Arial" w:hAnsi="Arial"/>
                <w:sz w:val="18"/>
                <w:szCs w:val="18"/>
                <w:color w:val="auto"/>
              </w:rPr>
              <w:t>101 Fieldcrest Avenue Suite 2B</w:t>
            </w:r>
          </w:p>
        </w:tc>
        <w:tc>
          <w:tcPr>
            <w:tcW w:w="10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2"/>
        </w:trPr>
        <w:tc>
          <w:tcPr>
            <w:tcW w:w="5240" w:type="dxa"/>
            <w:vAlign w:val="bottom"/>
            <w:gridSpan w:val="4"/>
          </w:tcPr>
          <w:p>
            <w:pPr>
              <w:spacing w:after="0"/>
              <w:rPr>
                <w:sz w:val="20"/>
                <w:szCs w:val="20"/>
                <w:color w:val="auto"/>
              </w:rPr>
            </w:pPr>
            <w:r>
              <w:rPr>
                <w:rFonts w:ascii="Arial" w:cs="Arial" w:eastAsia="Arial" w:hAnsi="Arial"/>
                <w:sz w:val="18"/>
                <w:szCs w:val="18"/>
                <w:color w:val="auto"/>
              </w:rPr>
              <w:t>Edison, NJ 08837, USA</w:t>
            </w:r>
          </w:p>
        </w:tc>
        <w:tc>
          <w:tcPr>
            <w:tcW w:w="10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1"/>
        </w:trPr>
        <w:tc>
          <w:tcPr>
            <w:tcW w:w="5240" w:type="dxa"/>
            <w:vAlign w:val="bottom"/>
            <w:gridSpan w:val="4"/>
          </w:tcPr>
          <w:p>
            <w:pPr>
              <w:spacing w:after="0"/>
              <w:rPr>
                <w:sz w:val="20"/>
                <w:szCs w:val="20"/>
                <w:color w:val="auto"/>
              </w:rPr>
            </w:pPr>
            <w:r>
              <w:rPr>
                <w:rFonts w:ascii="Arial" w:cs="Arial" w:eastAsia="Arial" w:hAnsi="Arial"/>
                <w:sz w:val="18"/>
                <w:szCs w:val="18"/>
                <w:color w:val="auto"/>
              </w:rPr>
              <w:t>2 Greenwich Office Park</w:t>
            </w:r>
          </w:p>
        </w:tc>
        <w:tc>
          <w:tcPr>
            <w:tcW w:w="3940" w:type="dxa"/>
            <w:vAlign w:val="bottom"/>
            <w:gridSpan w:val="2"/>
          </w:tcPr>
          <w:p>
            <w:pPr>
              <w:spacing w:after="0"/>
              <w:rPr>
                <w:sz w:val="20"/>
                <w:szCs w:val="20"/>
                <w:color w:val="auto"/>
              </w:rPr>
            </w:pPr>
            <w:r>
              <w:rPr>
                <w:rFonts w:ascii="Arial" w:cs="Arial" w:eastAsia="Arial" w:hAnsi="Arial"/>
                <w:sz w:val="18"/>
                <w:szCs w:val="18"/>
                <w:color w:val="auto"/>
              </w:rPr>
              <w:t>Administrative, operations and sales office</w:t>
            </w:r>
          </w:p>
        </w:tc>
        <w:tc>
          <w:tcPr>
            <w:tcW w:w="2240" w:type="dxa"/>
            <w:vAlign w:val="bottom"/>
            <w:gridSpan w:val="2"/>
          </w:tcPr>
          <w:p>
            <w:pPr>
              <w:ind w:left="940"/>
              <w:spacing w:after="0"/>
              <w:rPr>
                <w:sz w:val="20"/>
                <w:szCs w:val="20"/>
                <w:color w:val="auto"/>
              </w:rPr>
            </w:pPr>
            <w:r>
              <w:rPr>
                <w:rFonts w:ascii="Arial" w:cs="Arial" w:eastAsia="Arial" w:hAnsi="Arial"/>
                <w:sz w:val="18"/>
                <w:szCs w:val="18"/>
                <w:color w:val="auto"/>
                <w:w w:val="99"/>
              </w:rPr>
              <w:t>December 2006</w:t>
            </w:r>
          </w:p>
        </w:tc>
      </w:tr>
      <w:tr>
        <w:trPr>
          <w:trHeight w:val="222"/>
        </w:trPr>
        <w:tc>
          <w:tcPr>
            <w:tcW w:w="5240" w:type="dxa"/>
            <w:vAlign w:val="bottom"/>
            <w:gridSpan w:val="4"/>
          </w:tcPr>
          <w:p>
            <w:pPr>
              <w:spacing w:after="0"/>
              <w:rPr>
                <w:sz w:val="20"/>
                <w:szCs w:val="20"/>
                <w:color w:val="auto"/>
              </w:rPr>
            </w:pPr>
            <w:r>
              <w:rPr>
                <w:rFonts w:ascii="Arial" w:cs="Arial" w:eastAsia="Arial" w:hAnsi="Arial"/>
                <w:sz w:val="18"/>
                <w:szCs w:val="18"/>
                <w:color w:val="auto"/>
              </w:rPr>
              <w:t>Greenwich, CT 06830, USA</w:t>
            </w:r>
          </w:p>
        </w:tc>
        <w:tc>
          <w:tcPr>
            <w:tcW w:w="10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1"/>
        </w:trPr>
        <w:tc>
          <w:tcPr>
            <w:tcW w:w="5240" w:type="dxa"/>
            <w:vAlign w:val="bottom"/>
            <w:gridSpan w:val="4"/>
          </w:tcPr>
          <w:p>
            <w:pPr>
              <w:spacing w:after="0"/>
              <w:rPr>
                <w:sz w:val="20"/>
                <w:szCs w:val="20"/>
                <w:color w:val="auto"/>
              </w:rPr>
            </w:pPr>
            <w:r>
              <w:rPr>
                <w:rFonts w:ascii="Arial" w:cs="Arial" w:eastAsia="Arial" w:hAnsi="Arial"/>
                <w:sz w:val="18"/>
                <w:szCs w:val="18"/>
                <w:color w:val="auto"/>
              </w:rPr>
              <w:t>1101 Fifth Avenue, Suite 280</w:t>
            </w:r>
          </w:p>
        </w:tc>
        <w:tc>
          <w:tcPr>
            <w:tcW w:w="3940" w:type="dxa"/>
            <w:vAlign w:val="bottom"/>
            <w:gridSpan w:val="2"/>
          </w:tcPr>
          <w:p>
            <w:pPr>
              <w:spacing w:after="0"/>
              <w:rPr>
                <w:sz w:val="20"/>
                <w:szCs w:val="20"/>
                <w:color w:val="auto"/>
              </w:rPr>
            </w:pPr>
            <w:r>
              <w:rPr>
                <w:rFonts w:ascii="Arial" w:cs="Arial" w:eastAsia="Arial" w:hAnsi="Arial"/>
                <w:sz w:val="18"/>
                <w:szCs w:val="18"/>
                <w:color w:val="auto"/>
              </w:rPr>
              <w:t>Administrative, operations and sales office</w:t>
            </w:r>
          </w:p>
        </w:tc>
        <w:tc>
          <w:tcPr>
            <w:tcW w:w="2240" w:type="dxa"/>
            <w:vAlign w:val="bottom"/>
            <w:gridSpan w:val="2"/>
          </w:tcPr>
          <w:p>
            <w:pPr>
              <w:ind w:left="940"/>
              <w:spacing w:after="0"/>
              <w:rPr>
                <w:sz w:val="20"/>
                <w:szCs w:val="20"/>
                <w:color w:val="auto"/>
              </w:rPr>
            </w:pPr>
            <w:r>
              <w:rPr>
                <w:rFonts w:ascii="Arial" w:cs="Arial" w:eastAsia="Arial" w:hAnsi="Arial"/>
                <w:sz w:val="18"/>
                <w:szCs w:val="18"/>
                <w:color w:val="auto"/>
              </w:rPr>
              <w:t>July 2008</w:t>
            </w:r>
          </w:p>
        </w:tc>
      </w:tr>
      <w:tr>
        <w:trPr>
          <w:trHeight w:val="222"/>
        </w:trPr>
        <w:tc>
          <w:tcPr>
            <w:tcW w:w="5240" w:type="dxa"/>
            <w:vAlign w:val="bottom"/>
            <w:gridSpan w:val="4"/>
          </w:tcPr>
          <w:p>
            <w:pPr>
              <w:spacing w:after="0"/>
              <w:rPr>
                <w:sz w:val="20"/>
                <w:szCs w:val="20"/>
                <w:color w:val="auto"/>
              </w:rPr>
            </w:pPr>
            <w:r>
              <w:rPr>
                <w:rFonts w:ascii="Arial" w:cs="Arial" w:eastAsia="Arial" w:hAnsi="Arial"/>
                <w:sz w:val="18"/>
                <w:szCs w:val="18"/>
                <w:color w:val="auto"/>
              </w:rPr>
              <w:t>San Rafeal, CA 94901, USA</w:t>
            </w:r>
          </w:p>
        </w:tc>
        <w:tc>
          <w:tcPr>
            <w:tcW w:w="10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1"/>
        </w:trPr>
        <w:tc>
          <w:tcPr>
            <w:tcW w:w="5240" w:type="dxa"/>
            <w:vAlign w:val="bottom"/>
            <w:gridSpan w:val="4"/>
          </w:tcPr>
          <w:p>
            <w:pPr>
              <w:spacing w:after="0"/>
              <w:rPr>
                <w:sz w:val="20"/>
                <w:szCs w:val="20"/>
                <w:color w:val="auto"/>
              </w:rPr>
            </w:pPr>
            <w:r>
              <w:rPr>
                <w:rFonts w:ascii="Arial" w:cs="Arial" w:eastAsia="Arial" w:hAnsi="Arial"/>
                <w:sz w:val="18"/>
                <w:szCs w:val="18"/>
                <w:color w:val="auto"/>
              </w:rPr>
              <w:t>238A Thompson Road #17-08</w:t>
            </w:r>
          </w:p>
        </w:tc>
        <w:tc>
          <w:tcPr>
            <w:tcW w:w="3940" w:type="dxa"/>
            <w:vAlign w:val="bottom"/>
            <w:gridSpan w:val="2"/>
          </w:tcPr>
          <w:p>
            <w:pPr>
              <w:spacing w:after="0"/>
              <w:rPr>
                <w:sz w:val="20"/>
                <w:szCs w:val="20"/>
                <w:color w:val="auto"/>
              </w:rPr>
            </w:pPr>
            <w:r>
              <w:rPr>
                <w:rFonts w:ascii="Arial" w:cs="Arial" w:eastAsia="Arial" w:hAnsi="Arial"/>
                <w:sz w:val="18"/>
                <w:szCs w:val="18"/>
                <w:color w:val="auto"/>
              </w:rPr>
              <w:t>Administrative, operations and sales office</w:t>
            </w:r>
          </w:p>
        </w:tc>
        <w:tc>
          <w:tcPr>
            <w:tcW w:w="2240" w:type="dxa"/>
            <w:vAlign w:val="bottom"/>
            <w:gridSpan w:val="2"/>
          </w:tcPr>
          <w:p>
            <w:pPr>
              <w:ind w:left="940"/>
              <w:spacing w:after="0"/>
              <w:rPr>
                <w:sz w:val="20"/>
                <w:szCs w:val="20"/>
                <w:color w:val="auto"/>
              </w:rPr>
            </w:pPr>
            <w:r>
              <w:rPr>
                <w:rFonts w:ascii="Arial" w:cs="Arial" w:eastAsia="Arial" w:hAnsi="Arial"/>
                <w:sz w:val="18"/>
                <w:szCs w:val="18"/>
                <w:color w:val="auto"/>
                <w:w w:val="99"/>
              </w:rPr>
              <w:t>December 2006</w:t>
            </w:r>
          </w:p>
        </w:tc>
      </w:tr>
      <w:tr>
        <w:trPr>
          <w:trHeight w:val="222"/>
        </w:trPr>
        <w:tc>
          <w:tcPr>
            <w:tcW w:w="5240" w:type="dxa"/>
            <w:vAlign w:val="bottom"/>
            <w:gridSpan w:val="4"/>
          </w:tcPr>
          <w:p>
            <w:pPr>
              <w:spacing w:after="0"/>
              <w:rPr>
                <w:sz w:val="20"/>
                <w:szCs w:val="20"/>
                <w:color w:val="auto"/>
              </w:rPr>
            </w:pPr>
            <w:r>
              <w:rPr>
                <w:rFonts w:ascii="Arial" w:cs="Arial" w:eastAsia="Arial" w:hAnsi="Arial"/>
                <w:sz w:val="18"/>
                <w:szCs w:val="18"/>
                <w:color w:val="auto"/>
              </w:rPr>
              <w:t>Novena Square Tower A, Singapore 307684</w:t>
            </w:r>
          </w:p>
        </w:tc>
        <w:tc>
          <w:tcPr>
            <w:tcW w:w="10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1"/>
        </w:trPr>
        <w:tc>
          <w:tcPr>
            <w:tcW w:w="5240" w:type="dxa"/>
            <w:vAlign w:val="bottom"/>
            <w:gridSpan w:val="4"/>
          </w:tcPr>
          <w:p>
            <w:pPr>
              <w:spacing w:after="0"/>
              <w:rPr>
                <w:sz w:val="20"/>
                <w:szCs w:val="20"/>
                <w:color w:val="auto"/>
              </w:rPr>
            </w:pPr>
            <w:r>
              <w:rPr>
                <w:rFonts w:ascii="Arial" w:cs="Arial" w:eastAsia="Arial" w:hAnsi="Arial"/>
                <w:sz w:val="18"/>
                <w:szCs w:val="18"/>
                <w:color w:val="auto"/>
              </w:rPr>
              <w:t>9 F/L., Dongwon-Bldg., 128-27</w:t>
            </w:r>
          </w:p>
        </w:tc>
        <w:tc>
          <w:tcPr>
            <w:tcW w:w="3940" w:type="dxa"/>
            <w:vAlign w:val="bottom"/>
            <w:gridSpan w:val="2"/>
          </w:tcPr>
          <w:p>
            <w:pPr>
              <w:spacing w:after="0"/>
              <w:rPr>
                <w:sz w:val="20"/>
                <w:szCs w:val="20"/>
                <w:color w:val="auto"/>
              </w:rPr>
            </w:pPr>
            <w:r>
              <w:rPr>
                <w:rFonts w:ascii="Arial" w:cs="Arial" w:eastAsia="Arial" w:hAnsi="Arial"/>
                <w:sz w:val="18"/>
                <w:szCs w:val="18"/>
                <w:color w:val="auto"/>
              </w:rPr>
              <w:t>Sales office</w:t>
            </w:r>
          </w:p>
        </w:tc>
        <w:tc>
          <w:tcPr>
            <w:tcW w:w="2240" w:type="dxa"/>
            <w:vAlign w:val="bottom"/>
            <w:gridSpan w:val="2"/>
          </w:tcPr>
          <w:p>
            <w:pPr>
              <w:ind w:left="940"/>
              <w:spacing w:after="0"/>
              <w:rPr>
                <w:sz w:val="20"/>
                <w:szCs w:val="20"/>
                <w:color w:val="auto"/>
              </w:rPr>
            </w:pPr>
            <w:r>
              <w:rPr>
                <w:rFonts w:ascii="Arial" w:cs="Arial" w:eastAsia="Arial" w:hAnsi="Arial"/>
                <w:sz w:val="18"/>
                <w:szCs w:val="18"/>
                <w:color w:val="auto"/>
              </w:rPr>
              <w:t>October 2007</w:t>
            </w:r>
          </w:p>
        </w:tc>
      </w:tr>
      <w:tr>
        <w:trPr>
          <w:trHeight w:val="216"/>
        </w:trPr>
        <w:tc>
          <w:tcPr>
            <w:tcW w:w="5240" w:type="dxa"/>
            <w:vAlign w:val="bottom"/>
            <w:gridSpan w:val="4"/>
          </w:tcPr>
          <w:p>
            <w:pPr>
              <w:spacing w:after="0"/>
              <w:rPr>
                <w:sz w:val="20"/>
                <w:szCs w:val="20"/>
                <w:color w:val="auto"/>
              </w:rPr>
            </w:pPr>
            <w:r>
              <w:rPr>
                <w:rFonts w:ascii="Arial" w:cs="Arial" w:eastAsia="Arial" w:hAnsi="Arial"/>
                <w:sz w:val="18"/>
                <w:szCs w:val="18"/>
                <w:color w:val="auto"/>
              </w:rPr>
              <w:t>Dangju - Dong, Chongno - Ku</w:t>
            </w:r>
          </w:p>
        </w:tc>
        <w:tc>
          <w:tcPr>
            <w:tcW w:w="10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2"/>
        </w:trPr>
        <w:tc>
          <w:tcPr>
            <w:tcW w:w="5240" w:type="dxa"/>
            <w:vAlign w:val="bottom"/>
            <w:gridSpan w:val="4"/>
          </w:tcPr>
          <w:p>
            <w:pPr>
              <w:spacing w:after="0"/>
              <w:rPr>
                <w:sz w:val="20"/>
                <w:szCs w:val="20"/>
                <w:color w:val="auto"/>
              </w:rPr>
            </w:pPr>
            <w:r>
              <w:rPr>
                <w:rFonts w:ascii="Arial" w:cs="Arial" w:eastAsia="Arial" w:hAnsi="Arial"/>
                <w:sz w:val="18"/>
                <w:szCs w:val="18"/>
                <w:color w:val="auto"/>
              </w:rPr>
              <w:t>Seoul, 110-759 South Korea</w:t>
            </w:r>
          </w:p>
        </w:tc>
        <w:tc>
          <w:tcPr>
            <w:tcW w:w="10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78"/>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940" w:type="dxa"/>
            <w:vAlign w:val="bottom"/>
            <w:gridSpan w:val="2"/>
          </w:tcPr>
          <w:p>
            <w:pPr>
              <w:ind w:left="40"/>
              <w:spacing w:after="0"/>
              <w:rPr>
                <w:sz w:val="20"/>
                <w:szCs w:val="20"/>
                <w:color w:val="auto"/>
              </w:rPr>
            </w:pPr>
            <w:r>
              <w:rPr>
                <w:rFonts w:ascii="Arial" w:cs="Arial" w:eastAsia="Arial" w:hAnsi="Arial"/>
                <w:sz w:val="18"/>
                <w:szCs w:val="18"/>
                <w:color w:val="auto"/>
              </w:rPr>
              <w:t>(Continued)</w:t>
            </w: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5"/>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940" w:type="dxa"/>
            <w:vAlign w:val="bottom"/>
            <w:gridSpan w:val="2"/>
          </w:tcPr>
          <w:p>
            <w:pPr>
              <w:ind w:left="40"/>
              <w:spacing w:after="0"/>
              <w:rPr>
                <w:sz w:val="20"/>
                <w:szCs w:val="20"/>
                <w:color w:val="auto"/>
              </w:rPr>
            </w:pPr>
            <w:r>
              <w:rPr>
                <w:rFonts w:ascii="Arial" w:cs="Arial" w:eastAsia="Arial" w:hAnsi="Arial"/>
                <w:sz w:val="18"/>
                <w:szCs w:val="18"/>
                <w:color w:val="auto"/>
              </w:rPr>
              <w:t>Page 8 of 72</w:t>
            </w: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PROPERTIES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2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Principal Use</w:t>
            </w:r>
          </w:p>
        </w:tc>
        <w:tc>
          <w:tcPr>
            <w:tcW w:w="2240" w:type="dxa"/>
            <w:vAlign w:val="bottom"/>
            <w:gridSpan w:val="2"/>
          </w:tcPr>
          <w:p>
            <w:pPr>
              <w:ind w:left="940"/>
              <w:spacing w:after="0"/>
              <w:rPr>
                <w:sz w:val="20"/>
                <w:szCs w:val="20"/>
                <w:color w:val="auto"/>
              </w:rPr>
            </w:pPr>
            <w:r>
              <w:rPr>
                <w:rFonts w:ascii="Arial" w:cs="Arial" w:eastAsia="Arial" w:hAnsi="Arial"/>
                <w:sz w:val="14"/>
                <w:szCs w:val="14"/>
                <w:b w:val="1"/>
                <w:bCs w:val="1"/>
                <w:color w:val="auto"/>
              </w:rPr>
              <w:t>Lease Expiration</w:t>
            </w:r>
          </w:p>
        </w:tc>
      </w:tr>
      <w:tr>
        <w:trPr>
          <w:trHeight w:val="95"/>
        </w:trPr>
        <w:tc>
          <w:tcPr>
            <w:tcW w:w="68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r>
        <w:trPr>
          <w:trHeight w:val="277"/>
        </w:trPr>
        <w:tc>
          <w:tcPr>
            <w:tcW w:w="5120" w:type="dxa"/>
            <w:vAlign w:val="bottom"/>
            <w:gridSpan w:val="3"/>
          </w:tcPr>
          <w:p>
            <w:pPr>
              <w:spacing w:after="0"/>
              <w:rPr>
                <w:sz w:val="20"/>
                <w:szCs w:val="20"/>
                <w:color w:val="auto"/>
              </w:rPr>
            </w:pPr>
            <w:r>
              <w:rPr>
                <w:rFonts w:ascii="Arial" w:cs="Arial" w:eastAsia="Arial" w:hAnsi="Arial"/>
                <w:sz w:val="18"/>
                <w:szCs w:val="18"/>
                <w:color w:val="auto"/>
              </w:rPr>
              <w:t>Marine Fuel Services</w:t>
            </w:r>
          </w:p>
        </w:tc>
        <w:tc>
          <w:tcPr>
            <w:tcW w:w="10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500" w:type="dxa"/>
            <w:vAlign w:val="bottom"/>
            <w:gridSpan w:val="2"/>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r>
      <w:tr>
        <w:trPr>
          <w:trHeight w:val="228"/>
        </w:trPr>
        <w:tc>
          <w:tcPr>
            <w:tcW w:w="5120" w:type="dxa"/>
            <w:vAlign w:val="bottom"/>
            <w:gridSpan w:val="3"/>
          </w:tcPr>
          <w:p>
            <w:pPr>
              <w:spacing w:after="0"/>
              <w:rPr>
                <w:sz w:val="20"/>
                <w:szCs w:val="20"/>
                <w:color w:val="auto"/>
              </w:rPr>
            </w:pPr>
            <w:r>
              <w:rPr>
                <w:rFonts w:ascii="Arial" w:cs="Arial" w:eastAsia="Arial" w:hAnsi="Arial"/>
                <w:sz w:val="18"/>
                <w:szCs w:val="18"/>
                <w:color w:val="auto"/>
              </w:rPr>
              <w:t>4th floor, Tozan Building, 4-4-2</w:t>
            </w:r>
          </w:p>
        </w:tc>
        <w:tc>
          <w:tcPr>
            <w:tcW w:w="3960" w:type="dxa"/>
            <w:vAlign w:val="bottom"/>
            <w:gridSpan w:val="2"/>
          </w:tcPr>
          <w:p>
            <w:pPr>
              <w:spacing w:after="0"/>
              <w:rPr>
                <w:sz w:val="20"/>
                <w:szCs w:val="20"/>
                <w:color w:val="auto"/>
              </w:rPr>
            </w:pPr>
            <w:r>
              <w:rPr>
                <w:rFonts w:ascii="Arial" w:cs="Arial" w:eastAsia="Arial" w:hAnsi="Arial"/>
                <w:sz w:val="18"/>
                <w:szCs w:val="18"/>
                <w:color w:val="auto"/>
              </w:rPr>
              <w:t>Sales office</w:t>
            </w:r>
          </w:p>
        </w:tc>
        <w:tc>
          <w:tcPr>
            <w:tcW w:w="2240" w:type="dxa"/>
            <w:vAlign w:val="bottom"/>
            <w:gridSpan w:val="2"/>
          </w:tcPr>
          <w:p>
            <w:pPr>
              <w:ind w:left="940"/>
              <w:spacing w:after="0"/>
              <w:rPr>
                <w:sz w:val="20"/>
                <w:szCs w:val="20"/>
                <w:color w:val="auto"/>
              </w:rPr>
            </w:pPr>
            <w:r>
              <w:rPr>
                <w:rFonts w:ascii="Arial" w:cs="Arial" w:eastAsia="Arial" w:hAnsi="Arial"/>
                <w:sz w:val="18"/>
                <w:szCs w:val="18"/>
                <w:color w:val="auto"/>
              </w:rPr>
              <w:t>March 2006</w:t>
            </w: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Nihonbashi Hon-Cho, Chuo-Ku</w:t>
            </w:r>
          </w:p>
        </w:tc>
        <w:tc>
          <w:tcPr>
            <w:tcW w:w="10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2"/>
        </w:trPr>
        <w:tc>
          <w:tcPr>
            <w:tcW w:w="5120" w:type="dxa"/>
            <w:vAlign w:val="bottom"/>
            <w:gridSpan w:val="3"/>
          </w:tcPr>
          <w:p>
            <w:pPr>
              <w:spacing w:after="0"/>
              <w:rPr>
                <w:sz w:val="20"/>
                <w:szCs w:val="20"/>
                <w:color w:val="auto"/>
              </w:rPr>
            </w:pPr>
            <w:r>
              <w:rPr>
                <w:rFonts w:ascii="Arial" w:cs="Arial" w:eastAsia="Arial" w:hAnsi="Arial"/>
                <w:sz w:val="18"/>
                <w:szCs w:val="18"/>
                <w:color w:val="auto"/>
              </w:rPr>
              <w:t>Tokyo 103-0023, Japan</w:t>
            </w:r>
          </w:p>
        </w:tc>
        <w:tc>
          <w:tcPr>
            <w:tcW w:w="10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1"/>
        </w:trPr>
        <w:tc>
          <w:tcPr>
            <w:tcW w:w="5120" w:type="dxa"/>
            <w:vAlign w:val="bottom"/>
            <w:gridSpan w:val="3"/>
          </w:tcPr>
          <w:p>
            <w:pPr>
              <w:spacing w:after="0"/>
              <w:rPr>
                <w:sz w:val="20"/>
                <w:szCs w:val="20"/>
                <w:color w:val="auto"/>
              </w:rPr>
            </w:pPr>
            <w:r>
              <w:rPr>
                <w:rFonts w:ascii="Arial" w:cs="Arial" w:eastAsia="Arial" w:hAnsi="Arial"/>
                <w:sz w:val="18"/>
                <w:szCs w:val="18"/>
                <w:color w:val="auto"/>
              </w:rPr>
              <w:t>Yam Tze Commercial Building, Unit A, 18th Floor</w:t>
            </w:r>
          </w:p>
        </w:tc>
        <w:tc>
          <w:tcPr>
            <w:tcW w:w="3960" w:type="dxa"/>
            <w:vAlign w:val="bottom"/>
            <w:gridSpan w:val="2"/>
          </w:tcPr>
          <w:p>
            <w:pPr>
              <w:spacing w:after="0"/>
              <w:rPr>
                <w:sz w:val="20"/>
                <w:szCs w:val="20"/>
                <w:color w:val="auto"/>
              </w:rPr>
            </w:pPr>
            <w:r>
              <w:rPr>
                <w:rFonts w:ascii="Arial" w:cs="Arial" w:eastAsia="Arial" w:hAnsi="Arial"/>
                <w:sz w:val="18"/>
                <w:szCs w:val="18"/>
                <w:color w:val="auto"/>
              </w:rPr>
              <w:t>Administrative, operations and sales office</w:t>
            </w:r>
          </w:p>
        </w:tc>
        <w:tc>
          <w:tcPr>
            <w:tcW w:w="2240" w:type="dxa"/>
            <w:vAlign w:val="bottom"/>
            <w:gridSpan w:val="2"/>
          </w:tcPr>
          <w:p>
            <w:pPr>
              <w:ind w:left="940"/>
              <w:spacing w:after="0"/>
              <w:rPr>
                <w:sz w:val="20"/>
                <w:szCs w:val="20"/>
                <w:color w:val="auto"/>
              </w:rPr>
            </w:pPr>
            <w:r>
              <w:rPr>
                <w:rFonts w:ascii="Arial" w:cs="Arial" w:eastAsia="Arial" w:hAnsi="Arial"/>
                <w:sz w:val="18"/>
                <w:szCs w:val="18"/>
                <w:color w:val="auto"/>
              </w:rPr>
              <w:t>March 2006</w:t>
            </w: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23 Thompson Road</w:t>
            </w:r>
          </w:p>
        </w:tc>
        <w:tc>
          <w:tcPr>
            <w:tcW w:w="10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2"/>
        </w:trPr>
        <w:tc>
          <w:tcPr>
            <w:tcW w:w="5120" w:type="dxa"/>
            <w:vAlign w:val="bottom"/>
            <w:gridSpan w:val="3"/>
          </w:tcPr>
          <w:p>
            <w:pPr>
              <w:spacing w:after="0"/>
              <w:rPr>
                <w:sz w:val="20"/>
                <w:szCs w:val="20"/>
                <w:color w:val="auto"/>
              </w:rPr>
            </w:pPr>
            <w:r>
              <w:rPr>
                <w:rFonts w:ascii="Arial" w:cs="Arial" w:eastAsia="Arial" w:hAnsi="Arial"/>
                <w:sz w:val="18"/>
                <w:szCs w:val="18"/>
                <w:color w:val="auto"/>
              </w:rPr>
              <w:t>Wanchai, Hong Kong</w:t>
            </w:r>
          </w:p>
        </w:tc>
        <w:tc>
          <w:tcPr>
            <w:tcW w:w="10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1"/>
        </w:trPr>
        <w:tc>
          <w:tcPr>
            <w:tcW w:w="5120" w:type="dxa"/>
            <w:vAlign w:val="bottom"/>
            <w:gridSpan w:val="3"/>
          </w:tcPr>
          <w:p>
            <w:pPr>
              <w:spacing w:after="0"/>
              <w:rPr>
                <w:sz w:val="20"/>
                <w:szCs w:val="20"/>
                <w:color w:val="auto"/>
              </w:rPr>
            </w:pPr>
            <w:r>
              <w:rPr>
                <w:rFonts w:ascii="Arial" w:cs="Arial" w:eastAsia="Arial" w:hAnsi="Arial"/>
                <w:sz w:val="18"/>
                <w:szCs w:val="18"/>
                <w:color w:val="auto"/>
              </w:rPr>
              <w:t>Poseidonos 60 Av., Third Floor</w:t>
            </w:r>
          </w:p>
        </w:tc>
        <w:tc>
          <w:tcPr>
            <w:tcW w:w="3960" w:type="dxa"/>
            <w:vAlign w:val="bottom"/>
            <w:gridSpan w:val="2"/>
          </w:tcPr>
          <w:p>
            <w:pPr>
              <w:spacing w:after="0"/>
              <w:rPr>
                <w:sz w:val="20"/>
                <w:szCs w:val="20"/>
                <w:color w:val="auto"/>
              </w:rPr>
            </w:pPr>
            <w:r>
              <w:rPr>
                <w:rFonts w:ascii="Arial" w:cs="Arial" w:eastAsia="Arial" w:hAnsi="Arial"/>
                <w:sz w:val="18"/>
                <w:szCs w:val="18"/>
                <w:color w:val="auto"/>
              </w:rPr>
              <w:t>Sales office</w:t>
            </w:r>
          </w:p>
        </w:tc>
        <w:tc>
          <w:tcPr>
            <w:tcW w:w="2240" w:type="dxa"/>
            <w:vAlign w:val="bottom"/>
            <w:gridSpan w:val="2"/>
          </w:tcPr>
          <w:p>
            <w:pPr>
              <w:ind w:left="940"/>
              <w:spacing w:after="0"/>
              <w:rPr>
                <w:sz w:val="20"/>
                <w:szCs w:val="20"/>
                <w:color w:val="auto"/>
              </w:rPr>
            </w:pPr>
            <w:r>
              <w:rPr>
                <w:rFonts w:ascii="Arial" w:cs="Arial" w:eastAsia="Arial" w:hAnsi="Arial"/>
                <w:sz w:val="18"/>
                <w:szCs w:val="18"/>
                <w:color w:val="auto"/>
              </w:rPr>
              <w:t>Month-to-month</w:t>
            </w:r>
          </w:p>
        </w:tc>
      </w:tr>
      <w:tr>
        <w:trPr>
          <w:trHeight w:val="222"/>
        </w:trPr>
        <w:tc>
          <w:tcPr>
            <w:tcW w:w="5120" w:type="dxa"/>
            <w:vAlign w:val="bottom"/>
            <w:gridSpan w:val="3"/>
          </w:tcPr>
          <w:p>
            <w:pPr>
              <w:spacing w:after="0"/>
              <w:rPr>
                <w:sz w:val="20"/>
                <w:szCs w:val="20"/>
                <w:color w:val="auto"/>
              </w:rPr>
            </w:pPr>
            <w:r>
              <w:rPr>
                <w:rFonts w:ascii="Arial" w:cs="Arial" w:eastAsia="Arial" w:hAnsi="Arial"/>
                <w:sz w:val="18"/>
                <w:szCs w:val="18"/>
                <w:color w:val="auto"/>
              </w:rPr>
              <w:t>Glyfada 166-75 Athens, Greece</w:t>
            </w:r>
          </w:p>
        </w:tc>
        <w:tc>
          <w:tcPr>
            <w:tcW w:w="10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1"/>
        </w:trPr>
        <w:tc>
          <w:tcPr>
            <w:tcW w:w="5120" w:type="dxa"/>
            <w:vAlign w:val="bottom"/>
            <w:gridSpan w:val="3"/>
          </w:tcPr>
          <w:p>
            <w:pPr>
              <w:spacing w:after="0"/>
              <w:rPr>
                <w:sz w:val="20"/>
                <w:szCs w:val="20"/>
                <w:color w:val="auto"/>
              </w:rPr>
            </w:pPr>
            <w:r>
              <w:rPr>
                <w:rFonts w:ascii="Arial" w:cs="Arial" w:eastAsia="Arial" w:hAnsi="Arial"/>
                <w:sz w:val="18"/>
                <w:szCs w:val="18"/>
                <w:color w:val="auto"/>
              </w:rPr>
              <w:t>The Foundry, 4th Floor, Unit 1, Cardiff Road</w:t>
            </w:r>
          </w:p>
        </w:tc>
        <w:tc>
          <w:tcPr>
            <w:tcW w:w="3960" w:type="dxa"/>
            <w:vAlign w:val="bottom"/>
            <w:gridSpan w:val="2"/>
          </w:tcPr>
          <w:p>
            <w:pPr>
              <w:spacing w:after="0"/>
              <w:rPr>
                <w:sz w:val="20"/>
                <w:szCs w:val="20"/>
                <w:color w:val="auto"/>
              </w:rPr>
            </w:pPr>
            <w:r>
              <w:rPr>
                <w:rFonts w:ascii="Arial" w:cs="Arial" w:eastAsia="Arial" w:hAnsi="Arial"/>
                <w:sz w:val="18"/>
                <w:szCs w:val="18"/>
                <w:color w:val="auto"/>
              </w:rPr>
              <w:t>Sales office</w:t>
            </w:r>
          </w:p>
        </w:tc>
        <w:tc>
          <w:tcPr>
            <w:tcW w:w="2240" w:type="dxa"/>
            <w:vAlign w:val="bottom"/>
            <w:gridSpan w:val="2"/>
          </w:tcPr>
          <w:p>
            <w:pPr>
              <w:ind w:left="940"/>
              <w:spacing w:after="0"/>
              <w:rPr>
                <w:sz w:val="20"/>
                <w:szCs w:val="20"/>
                <w:color w:val="auto"/>
              </w:rPr>
            </w:pPr>
            <w:r>
              <w:rPr>
                <w:rFonts w:ascii="Arial" w:cs="Arial" w:eastAsia="Arial" w:hAnsi="Arial"/>
                <w:sz w:val="18"/>
                <w:szCs w:val="18"/>
                <w:color w:val="auto"/>
              </w:rPr>
              <w:t>August 2007</w:t>
            </w:r>
          </w:p>
        </w:tc>
      </w:tr>
      <w:tr>
        <w:trPr>
          <w:trHeight w:val="222"/>
        </w:trPr>
        <w:tc>
          <w:tcPr>
            <w:tcW w:w="5120" w:type="dxa"/>
            <w:vAlign w:val="bottom"/>
            <w:gridSpan w:val="3"/>
          </w:tcPr>
          <w:p>
            <w:pPr>
              <w:spacing w:after="0"/>
              <w:rPr>
                <w:sz w:val="20"/>
                <w:szCs w:val="20"/>
                <w:color w:val="auto"/>
              </w:rPr>
            </w:pPr>
            <w:r>
              <w:rPr>
                <w:rFonts w:ascii="Arial" w:cs="Arial" w:eastAsia="Arial" w:hAnsi="Arial"/>
                <w:sz w:val="18"/>
                <w:szCs w:val="18"/>
                <w:color w:val="auto"/>
              </w:rPr>
              <w:t>Green Point, South Africa 8001</w:t>
            </w:r>
          </w:p>
        </w:tc>
        <w:tc>
          <w:tcPr>
            <w:tcW w:w="10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1"/>
        </w:trPr>
        <w:tc>
          <w:tcPr>
            <w:tcW w:w="5120" w:type="dxa"/>
            <w:vAlign w:val="bottom"/>
            <w:gridSpan w:val="3"/>
          </w:tcPr>
          <w:p>
            <w:pPr>
              <w:spacing w:after="0"/>
              <w:rPr>
                <w:sz w:val="20"/>
                <w:szCs w:val="20"/>
                <w:color w:val="auto"/>
              </w:rPr>
            </w:pPr>
            <w:r>
              <w:rPr>
                <w:rFonts w:ascii="Arial" w:cs="Arial" w:eastAsia="Arial" w:hAnsi="Arial"/>
                <w:sz w:val="18"/>
                <w:szCs w:val="18"/>
                <w:color w:val="auto"/>
              </w:rPr>
              <w:t>Al Mossa Tower 2, Suite 904</w:t>
            </w:r>
          </w:p>
        </w:tc>
        <w:tc>
          <w:tcPr>
            <w:tcW w:w="3960" w:type="dxa"/>
            <w:vAlign w:val="bottom"/>
            <w:gridSpan w:val="2"/>
          </w:tcPr>
          <w:p>
            <w:pPr>
              <w:spacing w:after="0"/>
              <w:rPr>
                <w:sz w:val="20"/>
                <w:szCs w:val="20"/>
                <w:color w:val="auto"/>
              </w:rPr>
            </w:pPr>
            <w:r>
              <w:rPr>
                <w:rFonts w:ascii="Arial" w:cs="Arial" w:eastAsia="Arial" w:hAnsi="Arial"/>
                <w:sz w:val="18"/>
                <w:szCs w:val="18"/>
                <w:color w:val="auto"/>
              </w:rPr>
              <w:t>Sales office</w:t>
            </w:r>
          </w:p>
        </w:tc>
        <w:tc>
          <w:tcPr>
            <w:tcW w:w="2240" w:type="dxa"/>
            <w:vAlign w:val="bottom"/>
            <w:gridSpan w:val="2"/>
          </w:tcPr>
          <w:p>
            <w:pPr>
              <w:ind w:left="940"/>
              <w:spacing w:after="0"/>
              <w:rPr>
                <w:sz w:val="20"/>
                <w:szCs w:val="20"/>
                <w:color w:val="auto"/>
              </w:rPr>
            </w:pPr>
            <w:r>
              <w:rPr>
                <w:rFonts w:ascii="Arial" w:cs="Arial" w:eastAsia="Arial" w:hAnsi="Arial"/>
                <w:sz w:val="18"/>
                <w:szCs w:val="18"/>
                <w:color w:val="auto"/>
              </w:rPr>
              <w:t>March 2006</w:t>
            </w: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Sheikh Zayed Road, P.O. Box 24676</w:t>
            </w:r>
          </w:p>
        </w:tc>
        <w:tc>
          <w:tcPr>
            <w:tcW w:w="10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2"/>
        </w:trPr>
        <w:tc>
          <w:tcPr>
            <w:tcW w:w="5120" w:type="dxa"/>
            <w:vAlign w:val="bottom"/>
            <w:gridSpan w:val="3"/>
          </w:tcPr>
          <w:p>
            <w:pPr>
              <w:spacing w:after="0"/>
              <w:rPr>
                <w:sz w:val="20"/>
                <w:szCs w:val="20"/>
                <w:color w:val="auto"/>
              </w:rPr>
            </w:pPr>
            <w:r>
              <w:rPr>
                <w:rFonts w:ascii="Arial" w:cs="Arial" w:eastAsia="Arial" w:hAnsi="Arial"/>
                <w:sz w:val="18"/>
                <w:szCs w:val="18"/>
                <w:color w:val="auto"/>
              </w:rPr>
              <w:t>Dubai, United Arab Emirates</w:t>
            </w:r>
          </w:p>
        </w:tc>
        <w:tc>
          <w:tcPr>
            <w:tcW w:w="10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1"/>
        </w:trPr>
        <w:tc>
          <w:tcPr>
            <w:tcW w:w="5120" w:type="dxa"/>
            <w:vAlign w:val="bottom"/>
            <w:gridSpan w:val="3"/>
          </w:tcPr>
          <w:p>
            <w:pPr>
              <w:spacing w:after="0"/>
              <w:rPr>
                <w:sz w:val="20"/>
                <w:szCs w:val="20"/>
                <w:color w:val="auto"/>
              </w:rPr>
            </w:pPr>
            <w:r>
              <w:rPr>
                <w:rFonts w:ascii="Arial" w:cs="Arial" w:eastAsia="Arial" w:hAnsi="Arial"/>
                <w:sz w:val="18"/>
                <w:szCs w:val="18"/>
                <w:color w:val="auto"/>
              </w:rPr>
              <w:t>Westminster Tower</w:t>
            </w:r>
          </w:p>
        </w:tc>
        <w:tc>
          <w:tcPr>
            <w:tcW w:w="3960" w:type="dxa"/>
            <w:vAlign w:val="bottom"/>
            <w:gridSpan w:val="2"/>
          </w:tcPr>
          <w:p>
            <w:pPr>
              <w:spacing w:after="0"/>
              <w:rPr>
                <w:sz w:val="20"/>
                <w:szCs w:val="20"/>
                <w:color w:val="auto"/>
              </w:rPr>
            </w:pPr>
            <w:r>
              <w:rPr>
                <w:rFonts w:ascii="Arial" w:cs="Arial" w:eastAsia="Arial" w:hAnsi="Arial"/>
                <w:sz w:val="18"/>
                <w:szCs w:val="18"/>
                <w:color w:val="auto"/>
              </w:rPr>
              <w:t>Administrative, operations and sales office</w:t>
            </w:r>
          </w:p>
        </w:tc>
        <w:tc>
          <w:tcPr>
            <w:tcW w:w="2240" w:type="dxa"/>
            <w:vAlign w:val="bottom"/>
            <w:gridSpan w:val="2"/>
          </w:tcPr>
          <w:p>
            <w:pPr>
              <w:ind w:left="940"/>
              <w:spacing w:after="0"/>
              <w:rPr>
                <w:sz w:val="20"/>
                <w:szCs w:val="20"/>
                <w:color w:val="auto"/>
              </w:rPr>
            </w:pPr>
            <w:r>
              <w:rPr>
                <w:rFonts w:ascii="Arial" w:cs="Arial" w:eastAsia="Arial" w:hAnsi="Arial"/>
                <w:sz w:val="18"/>
                <w:szCs w:val="18"/>
                <w:color w:val="auto"/>
              </w:rPr>
              <w:t>March 2010</w:t>
            </w: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3 Albert Embankment</w:t>
            </w:r>
          </w:p>
        </w:tc>
        <w:tc>
          <w:tcPr>
            <w:tcW w:w="10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2"/>
        </w:trPr>
        <w:tc>
          <w:tcPr>
            <w:tcW w:w="5120" w:type="dxa"/>
            <w:vAlign w:val="bottom"/>
            <w:gridSpan w:val="3"/>
          </w:tcPr>
          <w:p>
            <w:pPr>
              <w:spacing w:after="0"/>
              <w:rPr>
                <w:sz w:val="20"/>
                <w:szCs w:val="20"/>
                <w:color w:val="auto"/>
              </w:rPr>
            </w:pPr>
            <w:r>
              <w:rPr>
                <w:rFonts w:ascii="Arial" w:cs="Arial" w:eastAsia="Arial" w:hAnsi="Arial"/>
                <w:sz w:val="18"/>
                <w:szCs w:val="18"/>
                <w:color w:val="auto"/>
              </w:rPr>
              <w:t>London SE1 75P, United Kingdom</w:t>
            </w:r>
          </w:p>
        </w:tc>
        <w:tc>
          <w:tcPr>
            <w:tcW w:w="10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1"/>
        </w:trPr>
        <w:tc>
          <w:tcPr>
            <w:tcW w:w="5120" w:type="dxa"/>
            <w:vAlign w:val="bottom"/>
            <w:gridSpan w:val="3"/>
          </w:tcPr>
          <w:p>
            <w:pPr>
              <w:spacing w:after="0"/>
              <w:rPr>
                <w:sz w:val="20"/>
                <w:szCs w:val="20"/>
                <w:color w:val="auto"/>
              </w:rPr>
            </w:pPr>
            <w:r>
              <w:rPr>
                <w:rFonts w:ascii="Arial" w:cs="Arial" w:eastAsia="Arial" w:hAnsi="Arial"/>
                <w:sz w:val="18"/>
                <w:szCs w:val="18"/>
                <w:color w:val="auto"/>
              </w:rPr>
              <w:t>Gammelbyved 2</w:t>
            </w:r>
          </w:p>
        </w:tc>
        <w:tc>
          <w:tcPr>
            <w:tcW w:w="3960" w:type="dxa"/>
            <w:vAlign w:val="bottom"/>
            <w:gridSpan w:val="2"/>
          </w:tcPr>
          <w:p>
            <w:pPr>
              <w:spacing w:after="0"/>
              <w:rPr>
                <w:sz w:val="20"/>
                <w:szCs w:val="20"/>
                <w:color w:val="auto"/>
              </w:rPr>
            </w:pPr>
            <w:r>
              <w:rPr>
                <w:rFonts w:ascii="Arial" w:cs="Arial" w:eastAsia="Arial" w:hAnsi="Arial"/>
                <w:sz w:val="18"/>
                <w:szCs w:val="18"/>
                <w:color w:val="auto"/>
              </w:rPr>
              <w:t>Sales office</w:t>
            </w:r>
          </w:p>
        </w:tc>
        <w:tc>
          <w:tcPr>
            <w:tcW w:w="2240" w:type="dxa"/>
            <w:vAlign w:val="bottom"/>
            <w:gridSpan w:val="2"/>
          </w:tcPr>
          <w:p>
            <w:pPr>
              <w:ind w:left="940"/>
              <w:spacing w:after="0"/>
              <w:rPr>
                <w:sz w:val="20"/>
                <w:szCs w:val="20"/>
                <w:color w:val="auto"/>
              </w:rPr>
            </w:pPr>
            <w:r>
              <w:rPr>
                <w:rFonts w:ascii="Arial" w:cs="Arial" w:eastAsia="Arial" w:hAnsi="Arial"/>
                <w:sz w:val="18"/>
                <w:szCs w:val="18"/>
                <w:color w:val="auto"/>
              </w:rPr>
              <w:t>Month-to-month</w:t>
            </w:r>
          </w:p>
        </w:tc>
      </w:tr>
      <w:tr>
        <w:trPr>
          <w:trHeight w:val="222"/>
        </w:trPr>
        <w:tc>
          <w:tcPr>
            <w:tcW w:w="5120" w:type="dxa"/>
            <w:vAlign w:val="bottom"/>
            <w:gridSpan w:val="3"/>
          </w:tcPr>
          <w:p>
            <w:pPr>
              <w:spacing w:after="0"/>
              <w:rPr>
                <w:sz w:val="20"/>
                <w:szCs w:val="20"/>
                <w:color w:val="auto"/>
              </w:rPr>
            </w:pPr>
            <w:r>
              <w:rPr>
                <w:rFonts w:ascii="Arial" w:cs="Arial" w:eastAsia="Arial" w:hAnsi="Arial"/>
                <w:sz w:val="18"/>
                <w:szCs w:val="18"/>
                <w:color w:val="auto"/>
              </w:rPr>
              <w:t>Karise, Denmark 4653</w:t>
            </w:r>
          </w:p>
        </w:tc>
        <w:tc>
          <w:tcPr>
            <w:tcW w:w="10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1"/>
        </w:trPr>
        <w:tc>
          <w:tcPr>
            <w:tcW w:w="5120" w:type="dxa"/>
            <w:vAlign w:val="bottom"/>
            <w:gridSpan w:val="3"/>
          </w:tcPr>
          <w:p>
            <w:pPr>
              <w:spacing w:after="0"/>
              <w:rPr>
                <w:sz w:val="20"/>
                <w:szCs w:val="20"/>
                <w:color w:val="auto"/>
              </w:rPr>
            </w:pPr>
            <w:r>
              <w:rPr>
                <w:rFonts w:ascii="Arial" w:cs="Arial" w:eastAsia="Arial" w:hAnsi="Arial"/>
                <w:sz w:val="18"/>
                <w:szCs w:val="18"/>
                <w:color w:val="auto"/>
              </w:rPr>
              <w:t>Vasteland 6</w:t>
            </w:r>
          </w:p>
        </w:tc>
        <w:tc>
          <w:tcPr>
            <w:tcW w:w="3960" w:type="dxa"/>
            <w:vAlign w:val="bottom"/>
            <w:gridSpan w:val="2"/>
          </w:tcPr>
          <w:p>
            <w:pPr>
              <w:spacing w:after="0"/>
              <w:rPr>
                <w:sz w:val="20"/>
                <w:szCs w:val="20"/>
                <w:color w:val="auto"/>
              </w:rPr>
            </w:pPr>
            <w:r>
              <w:rPr>
                <w:rFonts w:ascii="Arial" w:cs="Arial" w:eastAsia="Arial" w:hAnsi="Arial"/>
                <w:sz w:val="18"/>
                <w:szCs w:val="18"/>
                <w:color w:val="auto"/>
              </w:rPr>
              <w:t>Administrative, operations and sales office</w:t>
            </w:r>
          </w:p>
        </w:tc>
        <w:tc>
          <w:tcPr>
            <w:tcW w:w="2240" w:type="dxa"/>
            <w:vAlign w:val="bottom"/>
            <w:gridSpan w:val="2"/>
          </w:tcPr>
          <w:p>
            <w:pPr>
              <w:ind w:left="940"/>
              <w:spacing w:after="0"/>
              <w:rPr>
                <w:sz w:val="20"/>
                <w:szCs w:val="20"/>
                <w:color w:val="auto"/>
              </w:rPr>
            </w:pPr>
            <w:r>
              <w:rPr>
                <w:rFonts w:ascii="Arial" w:cs="Arial" w:eastAsia="Arial" w:hAnsi="Arial"/>
                <w:sz w:val="18"/>
                <w:szCs w:val="18"/>
                <w:color w:val="auto"/>
              </w:rPr>
              <w:t>Month-to-month</w:t>
            </w:r>
          </w:p>
        </w:tc>
      </w:tr>
      <w:tr>
        <w:trPr>
          <w:trHeight w:val="222"/>
        </w:trPr>
        <w:tc>
          <w:tcPr>
            <w:tcW w:w="5120" w:type="dxa"/>
            <w:vAlign w:val="bottom"/>
            <w:gridSpan w:val="3"/>
          </w:tcPr>
          <w:p>
            <w:pPr>
              <w:spacing w:after="0"/>
              <w:rPr>
                <w:sz w:val="20"/>
                <w:szCs w:val="20"/>
                <w:color w:val="auto"/>
              </w:rPr>
            </w:pPr>
            <w:r>
              <w:rPr>
                <w:rFonts w:ascii="Arial" w:cs="Arial" w:eastAsia="Arial" w:hAnsi="Arial"/>
                <w:sz w:val="18"/>
                <w:szCs w:val="18"/>
                <w:color w:val="auto"/>
              </w:rPr>
              <w:t>3011 BK Rotterdam, Netherlands</w:t>
            </w:r>
          </w:p>
        </w:tc>
        <w:tc>
          <w:tcPr>
            <w:tcW w:w="10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1"/>
        </w:trPr>
        <w:tc>
          <w:tcPr>
            <w:tcW w:w="5120" w:type="dxa"/>
            <w:vAlign w:val="bottom"/>
            <w:gridSpan w:val="3"/>
          </w:tcPr>
          <w:p>
            <w:pPr>
              <w:spacing w:after="0"/>
              <w:rPr>
                <w:sz w:val="20"/>
                <w:szCs w:val="20"/>
                <w:color w:val="auto"/>
              </w:rPr>
            </w:pPr>
            <w:r>
              <w:rPr>
                <w:rFonts w:ascii="Arial" w:cs="Arial" w:eastAsia="Arial" w:hAnsi="Arial"/>
                <w:sz w:val="18"/>
                <w:szCs w:val="18"/>
                <w:color w:val="auto"/>
              </w:rPr>
              <w:t>Niels Juels gate 11 B</w:t>
            </w:r>
          </w:p>
        </w:tc>
        <w:tc>
          <w:tcPr>
            <w:tcW w:w="3960" w:type="dxa"/>
            <w:vAlign w:val="bottom"/>
            <w:gridSpan w:val="2"/>
          </w:tcPr>
          <w:p>
            <w:pPr>
              <w:spacing w:after="0"/>
              <w:rPr>
                <w:sz w:val="20"/>
                <w:szCs w:val="20"/>
                <w:color w:val="auto"/>
              </w:rPr>
            </w:pPr>
            <w:r>
              <w:rPr>
                <w:rFonts w:ascii="Arial" w:cs="Arial" w:eastAsia="Arial" w:hAnsi="Arial"/>
                <w:sz w:val="18"/>
                <w:szCs w:val="18"/>
                <w:color w:val="auto"/>
              </w:rPr>
              <w:t>Administrative, operations and sales office</w:t>
            </w:r>
          </w:p>
        </w:tc>
        <w:tc>
          <w:tcPr>
            <w:tcW w:w="2240" w:type="dxa"/>
            <w:vAlign w:val="bottom"/>
            <w:gridSpan w:val="2"/>
          </w:tcPr>
          <w:p>
            <w:pPr>
              <w:ind w:left="940"/>
              <w:spacing w:after="0"/>
              <w:rPr>
                <w:sz w:val="20"/>
                <w:szCs w:val="20"/>
                <w:color w:val="auto"/>
              </w:rPr>
            </w:pPr>
            <w:r>
              <w:rPr>
                <w:rFonts w:ascii="Arial" w:cs="Arial" w:eastAsia="Arial" w:hAnsi="Arial"/>
                <w:sz w:val="18"/>
                <w:szCs w:val="18"/>
                <w:color w:val="auto"/>
              </w:rPr>
              <w:t>February 2006</w:t>
            </w:r>
          </w:p>
        </w:tc>
      </w:tr>
      <w:tr>
        <w:trPr>
          <w:trHeight w:val="222"/>
        </w:trPr>
        <w:tc>
          <w:tcPr>
            <w:tcW w:w="5120" w:type="dxa"/>
            <w:vAlign w:val="bottom"/>
            <w:gridSpan w:val="3"/>
          </w:tcPr>
          <w:p>
            <w:pPr>
              <w:spacing w:after="0"/>
              <w:rPr>
                <w:sz w:val="20"/>
                <w:szCs w:val="20"/>
                <w:color w:val="auto"/>
              </w:rPr>
            </w:pPr>
            <w:r>
              <w:rPr>
                <w:rFonts w:ascii="Arial" w:cs="Arial" w:eastAsia="Arial" w:hAnsi="Arial"/>
                <w:sz w:val="18"/>
                <w:szCs w:val="18"/>
                <w:color w:val="auto"/>
              </w:rPr>
              <w:t>0272 Oslo, Norway</w:t>
            </w:r>
          </w:p>
        </w:tc>
        <w:tc>
          <w:tcPr>
            <w:tcW w:w="10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1"/>
        </w:trPr>
        <w:tc>
          <w:tcPr>
            <w:tcW w:w="5120" w:type="dxa"/>
            <w:vAlign w:val="bottom"/>
            <w:gridSpan w:val="3"/>
          </w:tcPr>
          <w:p>
            <w:pPr>
              <w:spacing w:after="0"/>
              <w:rPr>
                <w:sz w:val="20"/>
                <w:szCs w:val="20"/>
                <w:color w:val="auto"/>
              </w:rPr>
            </w:pPr>
            <w:r>
              <w:rPr>
                <w:rFonts w:ascii="Arial" w:cs="Arial" w:eastAsia="Arial" w:hAnsi="Arial"/>
                <w:sz w:val="18"/>
                <w:szCs w:val="18"/>
                <w:color w:val="auto"/>
              </w:rPr>
              <w:t>Oficentro Ejécutivo La Sabana Sur, Edificio #7, Piso 2</w:t>
            </w:r>
          </w:p>
        </w:tc>
        <w:tc>
          <w:tcPr>
            <w:tcW w:w="3960" w:type="dxa"/>
            <w:vAlign w:val="bottom"/>
            <w:gridSpan w:val="2"/>
          </w:tcPr>
          <w:p>
            <w:pPr>
              <w:spacing w:after="0"/>
              <w:rPr>
                <w:sz w:val="20"/>
                <w:szCs w:val="20"/>
                <w:color w:val="auto"/>
              </w:rPr>
            </w:pPr>
            <w:r>
              <w:rPr>
                <w:rFonts w:ascii="Arial" w:cs="Arial" w:eastAsia="Arial" w:hAnsi="Arial"/>
                <w:sz w:val="18"/>
                <w:szCs w:val="18"/>
                <w:color w:val="auto"/>
              </w:rPr>
              <w:t>Administrative, operations and sales office</w:t>
            </w:r>
          </w:p>
        </w:tc>
        <w:tc>
          <w:tcPr>
            <w:tcW w:w="2240" w:type="dxa"/>
            <w:vAlign w:val="bottom"/>
            <w:gridSpan w:val="2"/>
          </w:tcPr>
          <w:p>
            <w:pPr>
              <w:ind w:left="940"/>
              <w:spacing w:after="0"/>
              <w:rPr>
                <w:sz w:val="20"/>
                <w:szCs w:val="20"/>
                <w:color w:val="auto"/>
              </w:rPr>
            </w:pPr>
            <w:r>
              <w:rPr>
                <w:rFonts w:ascii="Arial" w:cs="Arial" w:eastAsia="Arial" w:hAnsi="Arial"/>
                <w:sz w:val="18"/>
                <w:szCs w:val="18"/>
                <w:color w:val="auto"/>
              </w:rPr>
              <w:t>May 2009</w:t>
            </w:r>
          </w:p>
        </w:tc>
      </w:tr>
      <w:tr>
        <w:trPr>
          <w:trHeight w:val="222"/>
        </w:trPr>
        <w:tc>
          <w:tcPr>
            <w:tcW w:w="5120" w:type="dxa"/>
            <w:vAlign w:val="bottom"/>
            <w:gridSpan w:val="3"/>
          </w:tcPr>
          <w:p>
            <w:pPr>
              <w:spacing w:after="0"/>
              <w:rPr>
                <w:sz w:val="20"/>
                <w:szCs w:val="20"/>
                <w:color w:val="auto"/>
              </w:rPr>
            </w:pPr>
            <w:r>
              <w:rPr>
                <w:rFonts w:ascii="Arial" w:cs="Arial" w:eastAsia="Arial" w:hAnsi="Arial"/>
                <w:sz w:val="18"/>
                <w:szCs w:val="18"/>
                <w:color w:val="auto"/>
              </w:rPr>
              <w:t>San José, Costa Rica</w:t>
            </w:r>
          </w:p>
        </w:tc>
        <w:tc>
          <w:tcPr>
            <w:tcW w:w="10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1"/>
        </w:trPr>
        <w:tc>
          <w:tcPr>
            <w:tcW w:w="5120" w:type="dxa"/>
            <w:vAlign w:val="bottom"/>
            <w:gridSpan w:val="3"/>
          </w:tcPr>
          <w:p>
            <w:pPr>
              <w:spacing w:after="0"/>
              <w:rPr>
                <w:sz w:val="20"/>
                <w:szCs w:val="20"/>
                <w:color w:val="auto"/>
              </w:rPr>
            </w:pPr>
            <w:r>
              <w:rPr>
                <w:rFonts w:ascii="Arial" w:cs="Arial" w:eastAsia="Arial" w:hAnsi="Arial"/>
                <w:sz w:val="18"/>
                <w:szCs w:val="18"/>
                <w:color w:val="auto"/>
              </w:rPr>
              <w:t>Avenida Libertad 798, Suite 301</w:t>
            </w:r>
          </w:p>
        </w:tc>
        <w:tc>
          <w:tcPr>
            <w:tcW w:w="3960" w:type="dxa"/>
            <w:vAlign w:val="bottom"/>
            <w:gridSpan w:val="2"/>
          </w:tcPr>
          <w:p>
            <w:pPr>
              <w:spacing w:after="0"/>
              <w:rPr>
                <w:sz w:val="20"/>
                <w:szCs w:val="20"/>
                <w:color w:val="auto"/>
              </w:rPr>
            </w:pPr>
            <w:r>
              <w:rPr>
                <w:rFonts w:ascii="Arial" w:cs="Arial" w:eastAsia="Arial" w:hAnsi="Arial"/>
                <w:sz w:val="18"/>
                <w:szCs w:val="18"/>
                <w:color w:val="auto"/>
              </w:rPr>
              <w:t>Sales office</w:t>
            </w:r>
          </w:p>
        </w:tc>
        <w:tc>
          <w:tcPr>
            <w:tcW w:w="2240" w:type="dxa"/>
            <w:vAlign w:val="bottom"/>
            <w:gridSpan w:val="2"/>
          </w:tcPr>
          <w:p>
            <w:pPr>
              <w:ind w:left="940"/>
              <w:spacing w:after="0"/>
              <w:rPr>
                <w:sz w:val="20"/>
                <w:szCs w:val="20"/>
                <w:color w:val="auto"/>
              </w:rPr>
            </w:pPr>
            <w:r>
              <w:rPr>
                <w:rFonts w:ascii="Arial" w:cs="Arial" w:eastAsia="Arial" w:hAnsi="Arial"/>
                <w:sz w:val="18"/>
                <w:szCs w:val="18"/>
                <w:color w:val="auto"/>
                <w:w w:val="96"/>
              </w:rPr>
              <w:t>September 2005</w:t>
            </w:r>
          </w:p>
        </w:tc>
      </w:tr>
      <w:tr>
        <w:trPr>
          <w:trHeight w:val="222"/>
        </w:trPr>
        <w:tc>
          <w:tcPr>
            <w:tcW w:w="5120" w:type="dxa"/>
            <w:vAlign w:val="bottom"/>
            <w:gridSpan w:val="3"/>
          </w:tcPr>
          <w:p>
            <w:pPr>
              <w:spacing w:after="0"/>
              <w:rPr>
                <w:sz w:val="20"/>
                <w:szCs w:val="20"/>
                <w:color w:val="auto"/>
              </w:rPr>
            </w:pPr>
            <w:r>
              <w:rPr>
                <w:rFonts w:ascii="Arial" w:cs="Arial" w:eastAsia="Arial" w:hAnsi="Arial"/>
                <w:sz w:val="18"/>
                <w:szCs w:val="18"/>
                <w:color w:val="auto"/>
              </w:rPr>
              <w:t>Vina del Mar, Chile</w:t>
            </w:r>
          </w:p>
        </w:tc>
        <w:tc>
          <w:tcPr>
            <w:tcW w:w="10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1"/>
        </w:trPr>
        <w:tc>
          <w:tcPr>
            <w:tcW w:w="5120" w:type="dxa"/>
            <w:vAlign w:val="bottom"/>
            <w:gridSpan w:val="3"/>
          </w:tcPr>
          <w:p>
            <w:pPr>
              <w:spacing w:after="0"/>
              <w:rPr>
                <w:sz w:val="20"/>
                <w:szCs w:val="20"/>
                <w:color w:val="auto"/>
              </w:rPr>
            </w:pPr>
            <w:r>
              <w:rPr>
                <w:rFonts w:ascii="Arial" w:cs="Arial" w:eastAsia="Arial" w:hAnsi="Arial"/>
                <w:sz w:val="18"/>
                <w:szCs w:val="18"/>
                <w:color w:val="auto"/>
              </w:rPr>
              <w:t>Tucuman 373 Pis 3, 1049 CF</w:t>
            </w:r>
          </w:p>
        </w:tc>
        <w:tc>
          <w:tcPr>
            <w:tcW w:w="3960" w:type="dxa"/>
            <w:vAlign w:val="bottom"/>
            <w:gridSpan w:val="2"/>
          </w:tcPr>
          <w:p>
            <w:pPr>
              <w:spacing w:after="0"/>
              <w:rPr>
                <w:sz w:val="20"/>
                <w:szCs w:val="20"/>
                <w:color w:val="auto"/>
              </w:rPr>
            </w:pPr>
            <w:r>
              <w:rPr>
                <w:rFonts w:ascii="Arial" w:cs="Arial" w:eastAsia="Arial" w:hAnsi="Arial"/>
                <w:sz w:val="18"/>
                <w:szCs w:val="18"/>
                <w:color w:val="auto"/>
              </w:rPr>
              <w:t>Sales office</w:t>
            </w:r>
          </w:p>
        </w:tc>
        <w:tc>
          <w:tcPr>
            <w:tcW w:w="2240" w:type="dxa"/>
            <w:vAlign w:val="bottom"/>
            <w:gridSpan w:val="2"/>
          </w:tcPr>
          <w:p>
            <w:pPr>
              <w:ind w:left="940"/>
              <w:spacing w:after="0"/>
              <w:rPr>
                <w:sz w:val="20"/>
                <w:szCs w:val="20"/>
                <w:color w:val="auto"/>
              </w:rPr>
            </w:pPr>
            <w:r>
              <w:rPr>
                <w:rFonts w:ascii="Arial" w:cs="Arial" w:eastAsia="Arial" w:hAnsi="Arial"/>
                <w:sz w:val="18"/>
                <w:szCs w:val="18"/>
                <w:color w:val="auto"/>
              </w:rPr>
              <w:t>August 2005</w:t>
            </w:r>
          </w:p>
        </w:tc>
      </w:tr>
      <w:tr>
        <w:trPr>
          <w:trHeight w:val="222"/>
        </w:trPr>
        <w:tc>
          <w:tcPr>
            <w:tcW w:w="5120" w:type="dxa"/>
            <w:vAlign w:val="bottom"/>
            <w:gridSpan w:val="3"/>
          </w:tcPr>
          <w:p>
            <w:pPr>
              <w:spacing w:after="0"/>
              <w:rPr>
                <w:sz w:val="20"/>
                <w:szCs w:val="20"/>
                <w:color w:val="auto"/>
              </w:rPr>
            </w:pPr>
            <w:r>
              <w:rPr>
                <w:rFonts w:ascii="Arial" w:cs="Arial" w:eastAsia="Arial" w:hAnsi="Arial"/>
                <w:sz w:val="18"/>
                <w:szCs w:val="18"/>
                <w:color w:val="auto"/>
              </w:rPr>
              <w:t>Buenos Aires, Argentina</w:t>
            </w:r>
          </w:p>
        </w:tc>
        <w:tc>
          <w:tcPr>
            <w:tcW w:w="10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1"/>
        </w:trPr>
        <w:tc>
          <w:tcPr>
            <w:tcW w:w="5120" w:type="dxa"/>
            <w:vAlign w:val="bottom"/>
            <w:gridSpan w:val="3"/>
          </w:tcPr>
          <w:p>
            <w:pPr>
              <w:spacing w:after="0"/>
              <w:rPr>
                <w:sz w:val="20"/>
                <w:szCs w:val="20"/>
                <w:color w:val="auto"/>
              </w:rPr>
            </w:pPr>
            <w:r>
              <w:rPr>
                <w:rFonts w:ascii="Arial" w:cs="Arial" w:eastAsia="Arial" w:hAnsi="Arial"/>
                <w:sz w:val="18"/>
                <w:szCs w:val="18"/>
                <w:color w:val="auto"/>
              </w:rPr>
              <w:t>No. 1 Pudong Avenue, Marine Tower, Room 1206</w:t>
            </w:r>
          </w:p>
        </w:tc>
        <w:tc>
          <w:tcPr>
            <w:tcW w:w="3960" w:type="dxa"/>
            <w:vAlign w:val="bottom"/>
            <w:gridSpan w:val="2"/>
          </w:tcPr>
          <w:p>
            <w:pPr>
              <w:spacing w:after="0"/>
              <w:rPr>
                <w:sz w:val="20"/>
                <w:szCs w:val="20"/>
                <w:color w:val="auto"/>
              </w:rPr>
            </w:pPr>
            <w:r>
              <w:rPr>
                <w:rFonts w:ascii="Arial" w:cs="Arial" w:eastAsia="Arial" w:hAnsi="Arial"/>
                <w:sz w:val="18"/>
                <w:szCs w:val="18"/>
                <w:color w:val="auto"/>
              </w:rPr>
              <w:t>Sales office</w:t>
            </w:r>
          </w:p>
        </w:tc>
        <w:tc>
          <w:tcPr>
            <w:tcW w:w="2240" w:type="dxa"/>
            <w:vAlign w:val="bottom"/>
            <w:gridSpan w:val="2"/>
          </w:tcPr>
          <w:p>
            <w:pPr>
              <w:ind w:left="940"/>
              <w:spacing w:after="0"/>
              <w:rPr>
                <w:sz w:val="20"/>
                <w:szCs w:val="20"/>
                <w:color w:val="auto"/>
              </w:rPr>
            </w:pPr>
            <w:r>
              <w:rPr>
                <w:rFonts w:ascii="Arial" w:cs="Arial" w:eastAsia="Arial" w:hAnsi="Arial"/>
                <w:sz w:val="18"/>
                <w:szCs w:val="18"/>
                <w:color w:val="auto"/>
              </w:rPr>
              <w:t>Month-to-month</w:t>
            </w:r>
          </w:p>
        </w:tc>
      </w:tr>
      <w:tr>
        <w:trPr>
          <w:trHeight w:val="222"/>
        </w:trPr>
        <w:tc>
          <w:tcPr>
            <w:tcW w:w="5120" w:type="dxa"/>
            <w:vAlign w:val="bottom"/>
            <w:gridSpan w:val="3"/>
          </w:tcPr>
          <w:p>
            <w:pPr>
              <w:spacing w:after="0"/>
              <w:rPr>
                <w:sz w:val="20"/>
                <w:szCs w:val="20"/>
                <w:color w:val="auto"/>
              </w:rPr>
            </w:pPr>
            <w:r>
              <w:rPr>
                <w:rFonts w:ascii="Arial" w:cs="Arial" w:eastAsia="Arial" w:hAnsi="Arial"/>
                <w:sz w:val="18"/>
                <w:szCs w:val="18"/>
                <w:color w:val="auto"/>
              </w:rPr>
              <w:t>Shanghai, China 200120</w:t>
            </w:r>
          </w:p>
        </w:tc>
        <w:tc>
          <w:tcPr>
            <w:tcW w:w="10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1"/>
        </w:trPr>
        <w:tc>
          <w:tcPr>
            <w:tcW w:w="5120" w:type="dxa"/>
            <w:vAlign w:val="bottom"/>
            <w:gridSpan w:val="3"/>
          </w:tcPr>
          <w:p>
            <w:pPr>
              <w:spacing w:after="0"/>
              <w:rPr>
                <w:sz w:val="20"/>
                <w:szCs w:val="20"/>
                <w:color w:val="auto"/>
              </w:rPr>
            </w:pPr>
            <w:r>
              <w:rPr>
                <w:rFonts w:ascii="Arial" w:cs="Arial" w:eastAsia="Arial" w:hAnsi="Arial"/>
                <w:sz w:val="18"/>
                <w:szCs w:val="18"/>
                <w:color w:val="auto"/>
              </w:rPr>
              <w:t>Yener Sok, Ayaz Apr No. 123, D-3</w:t>
            </w:r>
          </w:p>
        </w:tc>
        <w:tc>
          <w:tcPr>
            <w:tcW w:w="3960" w:type="dxa"/>
            <w:vAlign w:val="bottom"/>
            <w:gridSpan w:val="2"/>
          </w:tcPr>
          <w:p>
            <w:pPr>
              <w:spacing w:after="0"/>
              <w:rPr>
                <w:sz w:val="20"/>
                <w:szCs w:val="20"/>
                <w:color w:val="auto"/>
              </w:rPr>
            </w:pPr>
            <w:r>
              <w:rPr>
                <w:rFonts w:ascii="Arial" w:cs="Arial" w:eastAsia="Arial" w:hAnsi="Arial"/>
                <w:sz w:val="18"/>
                <w:szCs w:val="18"/>
                <w:color w:val="auto"/>
              </w:rPr>
              <w:t>Sales office</w:t>
            </w:r>
          </w:p>
        </w:tc>
        <w:tc>
          <w:tcPr>
            <w:tcW w:w="2240" w:type="dxa"/>
            <w:vAlign w:val="bottom"/>
            <w:gridSpan w:val="2"/>
          </w:tcPr>
          <w:p>
            <w:pPr>
              <w:ind w:left="940"/>
              <w:spacing w:after="0"/>
              <w:rPr>
                <w:sz w:val="20"/>
                <w:szCs w:val="20"/>
                <w:color w:val="auto"/>
              </w:rPr>
            </w:pPr>
            <w:r>
              <w:rPr>
                <w:rFonts w:ascii="Arial" w:cs="Arial" w:eastAsia="Arial" w:hAnsi="Arial"/>
                <w:sz w:val="18"/>
                <w:szCs w:val="18"/>
                <w:color w:val="auto"/>
              </w:rPr>
              <w:t>Month-to-month</w:t>
            </w:r>
          </w:p>
        </w:tc>
      </w:tr>
      <w:tr>
        <w:trPr>
          <w:trHeight w:val="222"/>
        </w:trPr>
        <w:tc>
          <w:tcPr>
            <w:tcW w:w="5120" w:type="dxa"/>
            <w:vAlign w:val="bottom"/>
            <w:gridSpan w:val="3"/>
          </w:tcPr>
          <w:p>
            <w:pPr>
              <w:spacing w:after="0"/>
              <w:rPr>
                <w:sz w:val="20"/>
                <w:szCs w:val="20"/>
                <w:color w:val="auto"/>
              </w:rPr>
            </w:pPr>
            <w:r>
              <w:rPr>
                <w:rFonts w:ascii="Arial" w:cs="Arial" w:eastAsia="Arial" w:hAnsi="Arial"/>
                <w:sz w:val="18"/>
                <w:szCs w:val="18"/>
                <w:color w:val="auto"/>
              </w:rPr>
              <w:t>Erenkoy, Istanbul Turkey</w:t>
            </w:r>
          </w:p>
        </w:tc>
        <w:tc>
          <w:tcPr>
            <w:tcW w:w="10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1"/>
        </w:trPr>
        <w:tc>
          <w:tcPr>
            <w:tcW w:w="5120" w:type="dxa"/>
            <w:vAlign w:val="bottom"/>
            <w:gridSpan w:val="3"/>
          </w:tcPr>
          <w:p>
            <w:pPr>
              <w:spacing w:after="0"/>
              <w:rPr>
                <w:sz w:val="20"/>
                <w:szCs w:val="20"/>
                <w:color w:val="auto"/>
              </w:rPr>
            </w:pPr>
            <w:r>
              <w:rPr>
                <w:rFonts w:ascii="Arial" w:cs="Arial" w:eastAsia="Arial" w:hAnsi="Arial"/>
                <w:sz w:val="18"/>
                <w:szCs w:val="18"/>
                <w:color w:val="auto"/>
              </w:rPr>
              <w:t>70 Shenton Way, #17-01A</w:t>
            </w:r>
          </w:p>
        </w:tc>
        <w:tc>
          <w:tcPr>
            <w:tcW w:w="3960" w:type="dxa"/>
            <w:vAlign w:val="bottom"/>
            <w:gridSpan w:val="2"/>
          </w:tcPr>
          <w:p>
            <w:pPr>
              <w:spacing w:after="0"/>
              <w:rPr>
                <w:sz w:val="20"/>
                <w:szCs w:val="20"/>
                <w:color w:val="auto"/>
              </w:rPr>
            </w:pPr>
            <w:r>
              <w:rPr>
                <w:rFonts w:ascii="Arial" w:cs="Arial" w:eastAsia="Arial" w:hAnsi="Arial"/>
                <w:sz w:val="18"/>
                <w:szCs w:val="18"/>
                <w:color w:val="auto"/>
              </w:rPr>
              <w:t>Administrative, operations and sales office</w:t>
            </w:r>
          </w:p>
        </w:tc>
        <w:tc>
          <w:tcPr>
            <w:tcW w:w="2240" w:type="dxa"/>
            <w:vAlign w:val="bottom"/>
            <w:gridSpan w:val="2"/>
          </w:tcPr>
          <w:p>
            <w:pPr>
              <w:ind w:left="940"/>
              <w:spacing w:after="0"/>
              <w:rPr>
                <w:sz w:val="20"/>
                <w:szCs w:val="20"/>
                <w:color w:val="auto"/>
              </w:rPr>
            </w:pPr>
            <w:r>
              <w:rPr>
                <w:rFonts w:ascii="Arial" w:cs="Arial" w:eastAsia="Arial" w:hAnsi="Arial"/>
                <w:sz w:val="18"/>
                <w:szCs w:val="18"/>
                <w:color w:val="auto"/>
                <w:w w:val="99"/>
              </w:rPr>
              <w:t>November 2006</w:t>
            </w:r>
          </w:p>
        </w:tc>
      </w:tr>
      <w:tr>
        <w:trPr>
          <w:trHeight w:val="222"/>
        </w:trPr>
        <w:tc>
          <w:tcPr>
            <w:tcW w:w="5120" w:type="dxa"/>
            <w:vAlign w:val="bottom"/>
            <w:gridSpan w:val="3"/>
          </w:tcPr>
          <w:p>
            <w:pPr>
              <w:spacing w:after="0"/>
              <w:rPr>
                <w:sz w:val="20"/>
                <w:szCs w:val="20"/>
                <w:color w:val="auto"/>
              </w:rPr>
            </w:pPr>
            <w:r>
              <w:rPr>
                <w:rFonts w:ascii="Arial" w:cs="Arial" w:eastAsia="Arial" w:hAnsi="Arial"/>
                <w:sz w:val="18"/>
                <w:szCs w:val="18"/>
                <w:color w:val="auto"/>
              </w:rPr>
              <w:t>Marina House, Singapore 79118</w:t>
            </w:r>
          </w:p>
        </w:tc>
        <w:tc>
          <w:tcPr>
            <w:tcW w:w="10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1"/>
        </w:trPr>
        <w:tc>
          <w:tcPr>
            <w:tcW w:w="5120" w:type="dxa"/>
            <w:vAlign w:val="bottom"/>
            <w:gridSpan w:val="3"/>
          </w:tcPr>
          <w:p>
            <w:pPr>
              <w:spacing w:after="0"/>
              <w:rPr>
                <w:sz w:val="20"/>
                <w:szCs w:val="20"/>
                <w:color w:val="auto"/>
              </w:rPr>
            </w:pPr>
            <w:r>
              <w:rPr>
                <w:rFonts w:ascii="Arial" w:cs="Arial" w:eastAsia="Arial" w:hAnsi="Arial"/>
                <w:sz w:val="18"/>
                <w:szCs w:val="18"/>
                <w:color w:val="auto"/>
              </w:rPr>
              <w:t>34 ap.3, Georgiy Dimitrov Str 236000</w:t>
            </w:r>
          </w:p>
        </w:tc>
        <w:tc>
          <w:tcPr>
            <w:tcW w:w="3960" w:type="dxa"/>
            <w:vAlign w:val="bottom"/>
            <w:gridSpan w:val="2"/>
          </w:tcPr>
          <w:p>
            <w:pPr>
              <w:spacing w:after="0"/>
              <w:rPr>
                <w:sz w:val="20"/>
                <w:szCs w:val="20"/>
                <w:color w:val="auto"/>
              </w:rPr>
            </w:pPr>
            <w:r>
              <w:rPr>
                <w:rFonts w:ascii="Arial" w:cs="Arial" w:eastAsia="Arial" w:hAnsi="Arial"/>
                <w:sz w:val="18"/>
                <w:szCs w:val="18"/>
                <w:color w:val="auto"/>
              </w:rPr>
              <w:t>Sales office</w:t>
            </w:r>
          </w:p>
        </w:tc>
        <w:tc>
          <w:tcPr>
            <w:tcW w:w="2240" w:type="dxa"/>
            <w:vAlign w:val="bottom"/>
            <w:gridSpan w:val="2"/>
          </w:tcPr>
          <w:p>
            <w:pPr>
              <w:ind w:left="940"/>
              <w:spacing w:after="0"/>
              <w:rPr>
                <w:sz w:val="20"/>
                <w:szCs w:val="20"/>
                <w:color w:val="auto"/>
              </w:rPr>
            </w:pPr>
            <w:r>
              <w:rPr>
                <w:rFonts w:ascii="Arial" w:cs="Arial" w:eastAsia="Arial" w:hAnsi="Arial"/>
                <w:sz w:val="18"/>
                <w:szCs w:val="18"/>
                <w:color w:val="auto"/>
                <w:w w:val="99"/>
              </w:rPr>
              <w:t>December 2005</w:t>
            </w:r>
          </w:p>
        </w:tc>
      </w:tr>
      <w:tr>
        <w:trPr>
          <w:trHeight w:val="222"/>
        </w:trPr>
        <w:tc>
          <w:tcPr>
            <w:tcW w:w="5120" w:type="dxa"/>
            <w:vAlign w:val="bottom"/>
            <w:gridSpan w:val="3"/>
          </w:tcPr>
          <w:p>
            <w:pPr>
              <w:spacing w:after="0"/>
              <w:rPr>
                <w:sz w:val="20"/>
                <w:szCs w:val="20"/>
                <w:color w:val="auto"/>
              </w:rPr>
            </w:pPr>
            <w:r>
              <w:rPr>
                <w:rFonts w:ascii="Arial" w:cs="Arial" w:eastAsia="Arial" w:hAnsi="Arial"/>
                <w:sz w:val="18"/>
                <w:szCs w:val="18"/>
                <w:color w:val="auto"/>
              </w:rPr>
              <w:t>Kaliningrad, Russia</w:t>
            </w:r>
          </w:p>
        </w:tc>
        <w:tc>
          <w:tcPr>
            <w:tcW w:w="10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78"/>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(Continued)</w:t>
            </w: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5"/>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Page 9 of 72</w:t>
            </w: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20" w:type="dxa"/>
            <w:vAlign w:val="bottom"/>
            <w:gridSpan w:val="3"/>
          </w:tcPr>
          <w:p>
            <w:pPr>
              <w:jc w:val="center"/>
              <w:ind w:left="832"/>
              <w:spacing w:after="0"/>
              <w:rPr>
                <w:sz w:val="20"/>
                <w:szCs w:val="20"/>
                <w:color w:val="auto"/>
              </w:rPr>
            </w:pPr>
            <w:r>
              <w:rPr>
                <w:rFonts w:ascii="Arial" w:cs="Arial" w:eastAsia="Arial" w:hAnsi="Arial"/>
                <w:sz w:val="18"/>
                <w:szCs w:val="18"/>
                <w:b w:val="1"/>
                <w:bCs w:val="1"/>
                <w:color w:val="auto"/>
                <w:w w:val="96"/>
              </w:rPr>
              <w:t>WORLD FUEL SERVICES CORPORATION and SUBSIDIARIES</w:t>
            </w:r>
          </w:p>
        </w:tc>
      </w:tr>
      <w:tr>
        <w:trPr>
          <w:trHeight w:val="222"/>
        </w:trPr>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800" w:type="dxa"/>
            <w:vAlign w:val="bottom"/>
            <w:gridSpan w:val="2"/>
          </w:tcPr>
          <w:p>
            <w:pPr>
              <w:jc w:val="center"/>
              <w:ind w:right="2600"/>
              <w:spacing w:after="0"/>
              <w:rPr>
                <w:sz w:val="20"/>
                <w:szCs w:val="20"/>
                <w:color w:val="auto"/>
              </w:rPr>
            </w:pPr>
            <w:r>
              <w:rPr>
                <w:rFonts w:ascii="Arial" w:cs="Arial" w:eastAsia="Arial" w:hAnsi="Arial"/>
                <w:sz w:val="18"/>
                <w:szCs w:val="18"/>
                <w:b w:val="1"/>
                <w:bCs w:val="1"/>
                <w:color w:val="auto"/>
                <w:w w:val="96"/>
              </w:rPr>
              <w:t>PROPERTIES</w:t>
            </w:r>
          </w:p>
        </w:tc>
      </w:tr>
      <w:tr>
        <w:trPr>
          <w:trHeight w:val="222"/>
        </w:trPr>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800" w:type="dxa"/>
            <w:vAlign w:val="bottom"/>
            <w:gridSpan w:val="2"/>
          </w:tcPr>
          <w:p>
            <w:pPr>
              <w:jc w:val="center"/>
              <w:ind w:right="2620"/>
              <w:spacing w:after="0"/>
              <w:rPr>
                <w:sz w:val="20"/>
                <w:szCs w:val="20"/>
                <w:color w:val="auto"/>
              </w:rPr>
            </w:pPr>
            <w:r>
              <w:rPr>
                <w:rFonts w:ascii="Arial" w:cs="Arial" w:eastAsia="Arial" w:hAnsi="Arial"/>
                <w:sz w:val="18"/>
                <w:szCs w:val="18"/>
                <w:color w:val="auto"/>
                <w:w w:val="91"/>
              </w:rPr>
              <w:t>(Continued)</w:t>
            </w:r>
          </w:p>
        </w:tc>
      </w:tr>
      <w:tr>
        <w:trPr>
          <w:trHeight w:val="312"/>
        </w:trPr>
        <w:tc>
          <w:tcPr>
            <w:tcW w:w="5120" w:type="dxa"/>
            <w:vAlign w:val="bottom"/>
            <w:gridSpan w:val="4"/>
          </w:tcPr>
          <w:p>
            <w:pPr>
              <w:spacing w:after="0"/>
              <w:rPr>
                <w:sz w:val="20"/>
                <w:szCs w:val="20"/>
                <w:color w:val="auto"/>
              </w:rPr>
            </w:pPr>
            <w:r>
              <w:rPr>
                <w:rFonts w:ascii="Arial" w:cs="Arial" w:eastAsia="Arial" w:hAnsi="Arial"/>
                <w:sz w:val="14"/>
                <w:szCs w:val="14"/>
                <w:b w:val="1"/>
                <w:bCs w:val="1"/>
                <w:color w:val="auto"/>
              </w:rPr>
              <w:t>Location</w:t>
            </w:r>
          </w:p>
        </w:tc>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Principal Use</w:t>
            </w:r>
          </w:p>
        </w:tc>
      </w:tr>
      <w:tr>
        <w:trPr>
          <w:trHeight w:val="95"/>
        </w:trPr>
        <w:tc>
          <w:tcPr>
            <w:tcW w:w="68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r>
      <w:tr>
        <w:trPr>
          <w:trHeight w:val="277"/>
        </w:trPr>
        <w:tc>
          <w:tcPr>
            <w:tcW w:w="5120" w:type="dxa"/>
            <w:vAlign w:val="bottom"/>
            <w:gridSpan w:val="4"/>
          </w:tcPr>
          <w:p>
            <w:pPr>
              <w:spacing w:after="0"/>
              <w:rPr>
                <w:sz w:val="20"/>
                <w:szCs w:val="20"/>
                <w:color w:val="auto"/>
              </w:rPr>
            </w:pPr>
            <w:r>
              <w:rPr>
                <w:rFonts w:ascii="Arial" w:cs="Arial" w:eastAsia="Arial" w:hAnsi="Arial"/>
                <w:sz w:val="18"/>
                <w:szCs w:val="18"/>
                <w:color w:val="auto"/>
              </w:rPr>
              <w:t>Marine Fuel Services</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0"/>
        </w:trPr>
        <w:tc>
          <w:tcPr>
            <w:tcW w:w="1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r>
      <w:tr>
        <w:trPr>
          <w:trHeight w:val="228"/>
        </w:trPr>
        <w:tc>
          <w:tcPr>
            <w:tcW w:w="5120" w:type="dxa"/>
            <w:vAlign w:val="bottom"/>
            <w:gridSpan w:val="4"/>
          </w:tcPr>
          <w:p>
            <w:pPr>
              <w:spacing w:after="0"/>
              <w:rPr>
                <w:sz w:val="20"/>
                <w:szCs w:val="20"/>
                <w:color w:val="auto"/>
              </w:rPr>
            </w:pPr>
            <w:r>
              <w:rPr>
                <w:rFonts w:ascii="Arial" w:cs="Arial" w:eastAsia="Arial" w:hAnsi="Arial"/>
                <w:sz w:val="18"/>
                <w:szCs w:val="18"/>
                <w:color w:val="auto"/>
              </w:rPr>
              <w:t>Bremer, 2, D-28816 Stuhr</w:t>
            </w:r>
          </w:p>
        </w:tc>
        <w:tc>
          <w:tcPr>
            <w:tcW w:w="3800" w:type="dxa"/>
            <w:vAlign w:val="bottom"/>
            <w:gridSpan w:val="2"/>
          </w:tcPr>
          <w:p>
            <w:pPr>
              <w:spacing w:after="0"/>
              <w:rPr>
                <w:sz w:val="20"/>
                <w:szCs w:val="20"/>
                <w:color w:val="auto"/>
              </w:rPr>
            </w:pPr>
            <w:r>
              <w:rPr>
                <w:rFonts w:ascii="Arial" w:cs="Arial" w:eastAsia="Arial" w:hAnsi="Arial"/>
                <w:sz w:val="18"/>
                <w:szCs w:val="18"/>
                <w:color w:val="auto"/>
              </w:rPr>
              <w:t>Sales office</w:t>
            </w:r>
          </w:p>
        </w:tc>
      </w:tr>
      <w:tr>
        <w:trPr>
          <w:trHeight w:val="222"/>
        </w:trPr>
        <w:tc>
          <w:tcPr>
            <w:tcW w:w="5120" w:type="dxa"/>
            <w:vAlign w:val="bottom"/>
            <w:gridSpan w:val="4"/>
          </w:tcPr>
          <w:p>
            <w:pPr>
              <w:spacing w:after="0"/>
              <w:rPr>
                <w:sz w:val="20"/>
                <w:szCs w:val="20"/>
                <w:color w:val="auto"/>
              </w:rPr>
            </w:pPr>
            <w:r>
              <w:rPr>
                <w:rFonts w:ascii="Arial" w:cs="Arial" w:eastAsia="Arial" w:hAnsi="Arial"/>
                <w:sz w:val="18"/>
                <w:szCs w:val="18"/>
                <w:color w:val="auto"/>
              </w:rPr>
              <w:t>Bremen, Germany</w:t>
            </w:r>
          </w:p>
        </w:tc>
        <w:tc>
          <w:tcPr>
            <w:tcW w:w="10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331"/>
        </w:trPr>
        <w:tc>
          <w:tcPr>
            <w:tcW w:w="5120" w:type="dxa"/>
            <w:vAlign w:val="bottom"/>
            <w:gridSpan w:val="4"/>
          </w:tcPr>
          <w:p>
            <w:pPr>
              <w:spacing w:after="0"/>
              <w:rPr>
                <w:sz w:val="20"/>
                <w:szCs w:val="20"/>
                <w:color w:val="auto"/>
              </w:rPr>
            </w:pPr>
            <w:r>
              <w:rPr>
                <w:rFonts w:ascii="Arial" w:cs="Arial" w:eastAsia="Arial" w:hAnsi="Arial"/>
                <w:sz w:val="18"/>
                <w:szCs w:val="18"/>
                <w:color w:val="auto"/>
              </w:rPr>
              <w:t>7 Priory Tech Park, Saxon Park, Saxon Way, Hessle, Hull</w:t>
            </w:r>
          </w:p>
        </w:tc>
        <w:tc>
          <w:tcPr>
            <w:tcW w:w="3800" w:type="dxa"/>
            <w:vAlign w:val="bottom"/>
            <w:gridSpan w:val="2"/>
          </w:tcPr>
          <w:p>
            <w:pPr>
              <w:spacing w:after="0"/>
              <w:rPr>
                <w:sz w:val="20"/>
                <w:szCs w:val="20"/>
                <w:color w:val="auto"/>
              </w:rPr>
            </w:pPr>
            <w:r>
              <w:rPr>
                <w:rFonts w:ascii="Arial" w:cs="Arial" w:eastAsia="Arial" w:hAnsi="Arial"/>
                <w:sz w:val="18"/>
                <w:szCs w:val="18"/>
                <w:color w:val="auto"/>
              </w:rPr>
              <w:t>Sales office</w:t>
            </w:r>
          </w:p>
        </w:tc>
      </w:tr>
      <w:tr>
        <w:trPr>
          <w:trHeight w:val="222"/>
        </w:trPr>
        <w:tc>
          <w:tcPr>
            <w:tcW w:w="5120" w:type="dxa"/>
            <w:vAlign w:val="bottom"/>
            <w:gridSpan w:val="4"/>
          </w:tcPr>
          <w:p>
            <w:pPr>
              <w:spacing w:after="0"/>
              <w:rPr>
                <w:sz w:val="20"/>
                <w:szCs w:val="20"/>
                <w:color w:val="auto"/>
              </w:rPr>
            </w:pPr>
            <w:r>
              <w:rPr>
                <w:rFonts w:ascii="Arial" w:cs="Arial" w:eastAsia="Arial" w:hAnsi="Arial"/>
                <w:sz w:val="18"/>
                <w:szCs w:val="18"/>
                <w:color w:val="auto"/>
              </w:rPr>
              <w:t>East Yorkshire HU13 9PB, United Kingdom</w:t>
            </w:r>
          </w:p>
        </w:tc>
        <w:tc>
          <w:tcPr>
            <w:tcW w:w="10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331"/>
        </w:trPr>
        <w:tc>
          <w:tcPr>
            <w:tcW w:w="5120" w:type="dxa"/>
            <w:vAlign w:val="bottom"/>
            <w:gridSpan w:val="4"/>
          </w:tcPr>
          <w:p>
            <w:pPr>
              <w:spacing w:after="0"/>
              <w:rPr>
                <w:sz w:val="20"/>
                <w:szCs w:val="20"/>
                <w:color w:val="auto"/>
              </w:rPr>
            </w:pPr>
            <w:r>
              <w:rPr>
                <w:rFonts w:ascii="Arial" w:cs="Arial" w:eastAsia="Arial" w:hAnsi="Arial"/>
                <w:sz w:val="18"/>
                <w:szCs w:val="18"/>
                <w:color w:val="auto"/>
              </w:rPr>
              <w:t>15-17 Elmfield Road</w:t>
            </w:r>
          </w:p>
        </w:tc>
        <w:tc>
          <w:tcPr>
            <w:tcW w:w="3800" w:type="dxa"/>
            <w:vAlign w:val="bottom"/>
            <w:gridSpan w:val="2"/>
          </w:tcPr>
          <w:p>
            <w:pPr>
              <w:spacing w:after="0"/>
              <w:rPr>
                <w:sz w:val="20"/>
                <w:szCs w:val="20"/>
                <w:color w:val="auto"/>
              </w:rPr>
            </w:pPr>
            <w:r>
              <w:rPr>
                <w:rFonts w:ascii="Arial" w:cs="Arial" w:eastAsia="Arial" w:hAnsi="Arial"/>
                <w:sz w:val="18"/>
                <w:szCs w:val="18"/>
                <w:color w:val="auto"/>
              </w:rPr>
              <w:t>Administrative, operations and sales office</w:t>
            </w:r>
          </w:p>
        </w:tc>
      </w:tr>
      <w:tr>
        <w:trPr>
          <w:trHeight w:val="222"/>
        </w:trPr>
        <w:tc>
          <w:tcPr>
            <w:tcW w:w="5120" w:type="dxa"/>
            <w:vAlign w:val="bottom"/>
            <w:gridSpan w:val="4"/>
          </w:tcPr>
          <w:p>
            <w:pPr>
              <w:spacing w:after="0"/>
              <w:rPr>
                <w:sz w:val="20"/>
                <w:szCs w:val="20"/>
                <w:color w:val="auto"/>
              </w:rPr>
            </w:pPr>
            <w:r>
              <w:rPr>
                <w:rFonts w:ascii="Arial" w:cs="Arial" w:eastAsia="Arial" w:hAnsi="Arial"/>
                <w:sz w:val="18"/>
                <w:szCs w:val="18"/>
                <w:color w:val="auto"/>
              </w:rPr>
              <w:t>Bromley, Kent BR1 1LT, United Kingdom</w:t>
            </w:r>
          </w:p>
        </w:tc>
        <w:tc>
          <w:tcPr>
            <w:tcW w:w="10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331"/>
        </w:trPr>
        <w:tc>
          <w:tcPr>
            <w:tcW w:w="5120" w:type="dxa"/>
            <w:vAlign w:val="bottom"/>
            <w:gridSpan w:val="4"/>
          </w:tcPr>
          <w:p>
            <w:pPr>
              <w:spacing w:after="0"/>
              <w:rPr>
                <w:sz w:val="20"/>
                <w:szCs w:val="20"/>
                <w:color w:val="auto"/>
              </w:rPr>
            </w:pPr>
            <w:r>
              <w:rPr>
                <w:rFonts w:ascii="Arial" w:cs="Arial" w:eastAsia="Arial" w:hAnsi="Arial"/>
                <w:sz w:val="18"/>
                <w:szCs w:val="18"/>
                <w:color w:val="auto"/>
              </w:rPr>
              <w:t>Av. Rio Branco 181/3004</w:t>
            </w:r>
          </w:p>
        </w:tc>
        <w:tc>
          <w:tcPr>
            <w:tcW w:w="3800" w:type="dxa"/>
            <w:vAlign w:val="bottom"/>
            <w:gridSpan w:val="2"/>
          </w:tcPr>
          <w:p>
            <w:pPr>
              <w:spacing w:after="0"/>
              <w:rPr>
                <w:sz w:val="20"/>
                <w:szCs w:val="20"/>
                <w:color w:val="auto"/>
              </w:rPr>
            </w:pPr>
            <w:r>
              <w:rPr>
                <w:rFonts w:ascii="Arial" w:cs="Arial" w:eastAsia="Arial" w:hAnsi="Arial"/>
                <w:sz w:val="18"/>
                <w:szCs w:val="18"/>
                <w:color w:val="auto"/>
              </w:rPr>
              <w:t>Sales office</w:t>
            </w:r>
          </w:p>
        </w:tc>
      </w:tr>
      <w:tr>
        <w:trPr>
          <w:trHeight w:val="222"/>
        </w:trPr>
        <w:tc>
          <w:tcPr>
            <w:tcW w:w="5120" w:type="dxa"/>
            <w:vAlign w:val="bottom"/>
            <w:gridSpan w:val="4"/>
          </w:tcPr>
          <w:p>
            <w:pPr>
              <w:spacing w:after="0"/>
              <w:rPr>
                <w:sz w:val="20"/>
                <w:szCs w:val="20"/>
                <w:color w:val="auto"/>
              </w:rPr>
            </w:pPr>
            <w:r>
              <w:rPr>
                <w:rFonts w:ascii="Arial" w:cs="Arial" w:eastAsia="Arial" w:hAnsi="Arial"/>
                <w:sz w:val="18"/>
                <w:szCs w:val="18"/>
                <w:color w:val="auto"/>
              </w:rPr>
              <w:t>Rio de Janeiro, Brazil 20040 007</w:t>
            </w:r>
          </w:p>
        </w:tc>
        <w:tc>
          <w:tcPr>
            <w:tcW w:w="10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299"/>
        </w:trPr>
        <w:tc>
          <w:tcPr>
            <w:tcW w:w="5120" w:type="dxa"/>
            <w:vAlign w:val="bottom"/>
            <w:gridSpan w:val="4"/>
          </w:tcPr>
          <w:p>
            <w:pPr>
              <w:spacing w:after="0"/>
              <w:rPr>
                <w:sz w:val="20"/>
                <w:szCs w:val="20"/>
                <w:color w:val="auto"/>
              </w:rPr>
            </w:pPr>
            <w:r>
              <w:rPr>
                <w:rFonts w:ascii="Arial" w:cs="Arial" w:eastAsia="Arial" w:hAnsi="Arial"/>
                <w:sz w:val="18"/>
                <w:szCs w:val="18"/>
                <w:color w:val="auto"/>
              </w:rPr>
              <w:t>Aviation Fuel Services</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0"/>
        </w:trPr>
        <w:tc>
          <w:tcPr>
            <w:tcW w:w="1600" w:type="dxa"/>
            <w:vAlign w:val="bottom"/>
            <w:gridSpan w:val="3"/>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r>
      <w:tr>
        <w:trPr>
          <w:trHeight w:val="228"/>
        </w:trPr>
        <w:tc>
          <w:tcPr>
            <w:tcW w:w="5120" w:type="dxa"/>
            <w:vAlign w:val="bottom"/>
            <w:gridSpan w:val="4"/>
          </w:tcPr>
          <w:p>
            <w:pPr>
              <w:spacing w:after="0"/>
              <w:rPr>
                <w:sz w:val="20"/>
                <w:szCs w:val="20"/>
                <w:color w:val="auto"/>
              </w:rPr>
            </w:pPr>
            <w:r>
              <w:rPr>
                <w:rFonts w:ascii="Arial" w:cs="Arial" w:eastAsia="Arial" w:hAnsi="Arial"/>
                <w:sz w:val="18"/>
                <w:szCs w:val="18"/>
                <w:color w:val="auto"/>
              </w:rPr>
              <w:t>9800 Northwest 41st Street, Suite 400</w:t>
            </w:r>
          </w:p>
        </w:tc>
        <w:tc>
          <w:tcPr>
            <w:tcW w:w="3800" w:type="dxa"/>
            <w:vAlign w:val="bottom"/>
            <w:gridSpan w:val="2"/>
          </w:tcPr>
          <w:p>
            <w:pPr>
              <w:spacing w:after="0"/>
              <w:rPr>
                <w:sz w:val="20"/>
                <w:szCs w:val="20"/>
                <w:color w:val="auto"/>
              </w:rPr>
            </w:pPr>
            <w:r>
              <w:rPr>
                <w:rFonts w:ascii="Arial" w:cs="Arial" w:eastAsia="Arial" w:hAnsi="Arial"/>
                <w:sz w:val="18"/>
                <w:szCs w:val="18"/>
                <w:color w:val="auto"/>
                <w:w w:val="88"/>
              </w:rPr>
              <w:t>Executive, administrative, operations, and sales office</w:t>
            </w:r>
          </w:p>
        </w:tc>
      </w:tr>
      <w:tr>
        <w:trPr>
          <w:trHeight w:val="222"/>
        </w:trPr>
        <w:tc>
          <w:tcPr>
            <w:tcW w:w="5120" w:type="dxa"/>
            <w:vAlign w:val="bottom"/>
            <w:gridSpan w:val="4"/>
          </w:tcPr>
          <w:p>
            <w:pPr>
              <w:spacing w:after="0"/>
              <w:rPr>
                <w:sz w:val="20"/>
                <w:szCs w:val="20"/>
                <w:color w:val="auto"/>
              </w:rPr>
            </w:pPr>
            <w:r>
              <w:rPr>
                <w:rFonts w:ascii="Arial" w:cs="Arial" w:eastAsia="Arial" w:hAnsi="Arial"/>
                <w:sz w:val="18"/>
                <w:szCs w:val="18"/>
                <w:color w:val="auto"/>
              </w:rPr>
              <w:t>Miami, FL 33178, USA</w:t>
            </w:r>
          </w:p>
        </w:tc>
        <w:tc>
          <w:tcPr>
            <w:tcW w:w="10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331"/>
        </w:trPr>
        <w:tc>
          <w:tcPr>
            <w:tcW w:w="5120" w:type="dxa"/>
            <w:vAlign w:val="bottom"/>
            <w:gridSpan w:val="4"/>
          </w:tcPr>
          <w:p>
            <w:pPr>
              <w:spacing w:after="0"/>
              <w:rPr>
                <w:sz w:val="20"/>
                <w:szCs w:val="20"/>
                <w:color w:val="auto"/>
              </w:rPr>
            </w:pPr>
            <w:r>
              <w:rPr>
                <w:rFonts w:ascii="Arial" w:cs="Arial" w:eastAsia="Arial" w:hAnsi="Arial"/>
                <w:sz w:val="18"/>
                <w:szCs w:val="18"/>
                <w:color w:val="auto"/>
              </w:rPr>
              <w:t>333 Cypress Run #200</w:t>
            </w:r>
          </w:p>
        </w:tc>
        <w:tc>
          <w:tcPr>
            <w:tcW w:w="3800" w:type="dxa"/>
            <w:vAlign w:val="bottom"/>
            <w:gridSpan w:val="2"/>
          </w:tcPr>
          <w:p>
            <w:pPr>
              <w:spacing w:after="0"/>
              <w:rPr>
                <w:sz w:val="20"/>
                <w:szCs w:val="20"/>
                <w:color w:val="auto"/>
              </w:rPr>
            </w:pPr>
            <w:r>
              <w:rPr>
                <w:rFonts w:ascii="Arial" w:cs="Arial" w:eastAsia="Arial" w:hAnsi="Arial"/>
                <w:sz w:val="18"/>
                <w:szCs w:val="18"/>
                <w:color w:val="auto"/>
              </w:rPr>
              <w:t>Administrative, operations and sales office</w:t>
            </w:r>
          </w:p>
        </w:tc>
      </w:tr>
      <w:tr>
        <w:trPr>
          <w:trHeight w:val="222"/>
        </w:trPr>
        <w:tc>
          <w:tcPr>
            <w:tcW w:w="5120" w:type="dxa"/>
            <w:vAlign w:val="bottom"/>
            <w:gridSpan w:val="4"/>
          </w:tcPr>
          <w:p>
            <w:pPr>
              <w:spacing w:after="0"/>
              <w:rPr>
                <w:sz w:val="20"/>
                <w:szCs w:val="20"/>
                <w:color w:val="auto"/>
              </w:rPr>
            </w:pPr>
            <w:r>
              <w:rPr>
                <w:rFonts w:ascii="Arial" w:cs="Arial" w:eastAsia="Arial" w:hAnsi="Arial"/>
                <w:sz w:val="18"/>
                <w:szCs w:val="18"/>
                <w:color w:val="auto"/>
              </w:rPr>
              <w:t>Houston, Texas 77094, USA</w:t>
            </w:r>
          </w:p>
        </w:tc>
        <w:tc>
          <w:tcPr>
            <w:tcW w:w="10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331"/>
        </w:trPr>
        <w:tc>
          <w:tcPr>
            <w:tcW w:w="5120" w:type="dxa"/>
            <w:vAlign w:val="bottom"/>
            <w:gridSpan w:val="4"/>
          </w:tcPr>
          <w:p>
            <w:pPr>
              <w:spacing w:after="0"/>
              <w:rPr>
                <w:sz w:val="20"/>
                <w:szCs w:val="20"/>
                <w:color w:val="auto"/>
              </w:rPr>
            </w:pPr>
            <w:r>
              <w:rPr>
                <w:rFonts w:ascii="Arial" w:cs="Arial" w:eastAsia="Arial" w:hAnsi="Arial"/>
                <w:sz w:val="18"/>
                <w:szCs w:val="18"/>
                <w:color w:val="auto"/>
              </w:rPr>
              <w:t>4995 East Anderson Avenue</w:t>
            </w:r>
          </w:p>
        </w:tc>
        <w:tc>
          <w:tcPr>
            <w:tcW w:w="3800" w:type="dxa"/>
            <w:vAlign w:val="bottom"/>
            <w:gridSpan w:val="2"/>
          </w:tcPr>
          <w:p>
            <w:pPr>
              <w:spacing w:after="0"/>
              <w:rPr>
                <w:sz w:val="20"/>
                <w:szCs w:val="20"/>
                <w:color w:val="auto"/>
              </w:rPr>
            </w:pPr>
            <w:r>
              <w:rPr>
                <w:rFonts w:ascii="Arial" w:cs="Arial" w:eastAsia="Arial" w:hAnsi="Arial"/>
                <w:sz w:val="18"/>
                <w:szCs w:val="18"/>
                <w:color w:val="auto"/>
              </w:rPr>
              <w:t>Administrative, operations and sales office</w:t>
            </w:r>
          </w:p>
        </w:tc>
      </w:tr>
      <w:tr>
        <w:trPr>
          <w:trHeight w:val="222"/>
        </w:trPr>
        <w:tc>
          <w:tcPr>
            <w:tcW w:w="5120" w:type="dxa"/>
            <w:vAlign w:val="bottom"/>
            <w:gridSpan w:val="4"/>
          </w:tcPr>
          <w:p>
            <w:pPr>
              <w:spacing w:after="0"/>
              <w:rPr>
                <w:sz w:val="20"/>
                <w:szCs w:val="20"/>
                <w:color w:val="auto"/>
              </w:rPr>
            </w:pPr>
            <w:r>
              <w:rPr>
                <w:rFonts w:ascii="Arial" w:cs="Arial" w:eastAsia="Arial" w:hAnsi="Arial"/>
                <w:sz w:val="18"/>
                <w:szCs w:val="18"/>
                <w:color w:val="auto"/>
              </w:rPr>
              <w:t>Fresno, CA 93727, USA</w:t>
            </w:r>
          </w:p>
        </w:tc>
        <w:tc>
          <w:tcPr>
            <w:tcW w:w="10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331"/>
        </w:trPr>
        <w:tc>
          <w:tcPr>
            <w:tcW w:w="5120" w:type="dxa"/>
            <w:vAlign w:val="bottom"/>
            <w:gridSpan w:val="4"/>
          </w:tcPr>
          <w:p>
            <w:pPr>
              <w:spacing w:after="0"/>
              <w:rPr>
                <w:sz w:val="20"/>
                <w:szCs w:val="20"/>
                <w:color w:val="auto"/>
              </w:rPr>
            </w:pPr>
            <w:r>
              <w:rPr>
                <w:rFonts w:ascii="Arial" w:cs="Arial" w:eastAsia="Arial" w:hAnsi="Arial"/>
                <w:sz w:val="18"/>
                <w:szCs w:val="18"/>
                <w:color w:val="auto"/>
              </w:rPr>
              <w:t>238A Thompson Road #17-08</w:t>
            </w:r>
          </w:p>
        </w:tc>
        <w:tc>
          <w:tcPr>
            <w:tcW w:w="3800" w:type="dxa"/>
            <w:vAlign w:val="bottom"/>
            <w:gridSpan w:val="2"/>
          </w:tcPr>
          <w:p>
            <w:pPr>
              <w:spacing w:after="0"/>
              <w:rPr>
                <w:sz w:val="20"/>
                <w:szCs w:val="20"/>
                <w:color w:val="auto"/>
              </w:rPr>
            </w:pPr>
            <w:r>
              <w:rPr>
                <w:rFonts w:ascii="Arial" w:cs="Arial" w:eastAsia="Arial" w:hAnsi="Arial"/>
                <w:sz w:val="18"/>
                <w:szCs w:val="18"/>
                <w:color w:val="auto"/>
              </w:rPr>
              <w:t>Administrative, operations and sales office</w:t>
            </w:r>
          </w:p>
        </w:tc>
      </w:tr>
      <w:tr>
        <w:trPr>
          <w:trHeight w:val="222"/>
        </w:trPr>
        <w:tc>
          <w:tcPr>
            <w:tcW w:w="5120" w:type="dxa"/>
            <w:vAlign w:val="bottom"/>
            <w:gridSpan w:val="4"/>
          </w:tcPr>
          <w:p>
            <w:pPr>
              <w:spacing w:after="0"/>
              <w:rPr>
                <w:sz w:val="20"/>
                <w:szCs w:val="20"/>
                <w:color w:val="auto"/>
              </w:rPr>
            </w:pPr>
            <w:r>
              <w:rPr>
                <w:rFonts w:ascii="Arial" w:cs="Arial" w:eastAsia="Arial" w:hAnsi="Arial"/>
                <w:sz w:val="18"/>
                <w:szCs w:val="18"/>
                <w:color w:val="auto"/>
              </w:rPr>
              <w:t>Novena Square Tower A, Singapore 307684</w:t>
            </w:r>
          </w:p>
        </w:tc>
        <w:tc>
          <w:tcPr>
            <w:tcW w:w="10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331"/>
        </w:trPr>
        <w:tc>
          <w:tcPr>
            <w:tcW w:w="5120" w:type="dxa"/>
            <w:vAlign w:val="bottom"/>
            <w:gridSpan w:val="4"/>
          </w:tcPr>
          <w:p>
            <w:pPr>
              <w:spacing w:after="0"/>
              <w:rPr>
                <w:sz w:val="20"/>
                <w:szCs w:val="20"/>
                <w:color w:val="auto"/>
              </w:rPr>
            </w:pPr>
            <w:r>
              <w:rPr>
                <w:rFonts w:ascii="Arial" w:cs="Arial" w:eastAsia="Arial" w:hAnsi="Arial"/>
                <w:sz w:val="18"/>
                <w:szCs w:val="18"/>
                <w:color w:val="auto"/>
              </w:rPr>
              <w:t>Kingfisher House, Northwood Park, Gatwick Road</w:t>
            </w:r>
          </w:p>
        </w:tc>
        <w:tc>
          <w:tcPr>
            <w:tcW w:w="3800" w:type="dxa"/>
            <w:vAlign w:val="bottom"/>
            <w:gridSpan w:val="2"/>
          </w:tcPr>
          <w:p>
            <w:pPr>
              <w:spacing w:after="0"/>
              <w:rPr>
                <w:sz w:val="20"/>
                <w:szCs w:val="20"/>
                <w:color w:val="auto"/>
              </w:rPr>
            </w:pPr>
            <w:r>
              <w:rPr>
                <w:rFonts w:ascii="Arial" w:cs="Arial" w:eastAsia="Arial" w:hAnsi="Arial"/>
                <w:sz w:val="18"/>
                <w:szCs w:val="18"/>
                <w:color w:val="auto"/>
              </w:rPr>
              <w:t>Administrative, operations and sales office</w:t>
            </w:r>
          </w:p>
        </w:tc>
      </w:tr>
      <w:tr>
        <w:trPr>
          <w:trHeight w:val="222"/>
        </w:trPr>
        <w:tc>
          <w:tcPr>
            <w:tcW w:w="5120" w:type="dxa"/>
            <w:vAlign w:val="bottom"/>
            <w:gridSpan w:val="4"/>
          </w:tcPr>
          <w:p>
            <w:pPr>
              <w:spacing w:after="0"/>
              <w:rPr>
                <w:sz w:val="20"/>
                <w:szCs w:val="20"/>
                <w:color w:val="auto"/>
              </w:rPr>
            </w:pPr>
            <w:r>
              <w:rPr>
                <w:rFonts w:ascii="Arial" w:cs="Arial" w:eastAsia="Arial" w:hAnsi="Arial"/>
                <w:sz w:val="18"/>
                <w:szCs w:val="18"/>
                <w:color w:val="auto"/>
              </w:rPr>
              <w:t>Crawley, West Sussex, RH10 2XN, United Kingdom</w:t>
            </w:r>
          </w:p>
        </w:tc>
        <w:tc>
          <w:tcPr>
            <w:tcW w:w="10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331"/>
        </w:trPr>
        <w:tc>
          <w:tcPr>
            <w:tcW w:w="5120" w:type="dxa"/>
            <w:vAlign w:val="bottom"/>
            <w:gridSpan w:val="4"/>
          </w:tcPr>
          <w:p>
            <w:pPr>
              <w:spacing w:after="0"/>
              <w:rPr>
                <w:sz w:val="20"/>
                <w:szCs w:val="20"/>
                <w:color w:val="auto"/>
              </w:rPr>
            </w:pPr>
            <w:r>
              <w:rPr>
                <w:rFonts w:ascii="Arial" w:cs="Arial" w:eastAsia="Arial" w:hAnsi="Arial"/>
                <w:sz w:val="18"/>
                <w:szCs w:val="18"/>
                <w:color w:val="auto"/>
              </w:rPr>
              <w:t>Oficentro Ejécutivo La Sabana Sur, Edificio #7, Piso 2</w:t>
            </w:r>
          </w:p>
        </w:tc>
        <w:tc>
          <w:tcPr>
            <w:tcW w:w="3800" w:type="dxa"/>
            <w:vAlign w:val="bottom"/>
            <w:gridSpan w:val="2"/>
          </w:tcPr>
          <w:p>
            <w:pPr>
              <w:spacing w:after="0"/>
              <w:rPr>
                <w:sz w:val="20"/>
                <w:szCs w:val="20"/>
                <w:color w:val="auto"/>
              </w:rPr>
            </w:pPr>
            <w:r>
              <w:rPr>
                <w:rFonts w:ascii="Arial" w:cs="Arial" w:eastAsia="Arial" w:hAnsi="Arial"/>
                <w:sz w:val="18"/>
                <w:szCs w:val="18"/>
                <w:color w:val="auto"/>
              </w:rPr>
              <w:t>Administrative, operations and sales office</w:t>
            </w:r>
          </w:p>
        </w:tc>
      </w:tr>
      <w:tr>
        <w:trPr>
          <w:trHeight w:val="222"/>
        </w:trPr>
        <w:tc>
          <w:tcPr>
            <w:tcW w:w="5120" w:type="dxa"/>
            <w:vAlign w:val="bottom"/>
            <w:gridSpan w:val="4"/>
          </w:tcPr>
          <w:p>
            <w:pPr>
              <w:spacing w:after="0"/>
              <w:rPr>
                <w:sz w:val="20"/>
                <w:szCs w:val="20"/>
                <w:color w:val="auto"/>
              </w:rPr>
            </w:pPr>
            <w:r>
              <w:rPr>
                <w:rFonts w:ascii="Arial" w:cs="Arial" w:eastAsia="Arial" w:hAnsi="Arial"/>
                <w:sz w:val="18"/>
                <w:szCs w:val="18"/>
                <w:color w:val="auto"/>
              </w:rPr>
              <w:t>San José, Costa Rica</w:t>
            </w:r>
          </w:p>
        </w:tc>
        <w:tc>
          <w:tcPr>
            <w:tcW w:w="10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331"/>
        </w:trPr>
        <w:tc>
          <w:tcPr>
            <w:tcW w:w="5120" w:type="dxa"/>
            <w:vAlign w:val="bottom"/>
            <w:gridSpan w:val="4"/>
          </w:tcPr>
          <w:p>
            <w:pPr>
              <w:spacing w:after="0"/>
              <w:rPr>
                <w:sz w:val="20"/>
                <w:szCs w:val="20"/>
                <w:color w:val="auto"/>
              </w:rPr>
            </w:pPr>
            <w:r>
              <w:rPr>
                <w:rFonts w:ascii="Arial" w:cs="Arial" w:eastAsia="Arial" w:hAnsi="Arial"/>
                <w:sz w:val="18"/>
                <w:szCs w:val="18"/>
                <w:color w:val="auto"/>
              </w:rPr>
              <w:t>Av. Rio Branco 181/3004</w:t>
            </w:r>
          </w:p>
        </w:tc>
        <w:tc>
          <w:tcPr>
            <w:tcW w:w="3800" w:type="dxa"/>
            <w:vAlign w:val="bottom"/>
            <w:gridSpan w:val="2"/>
          </w:tcPr>
          <w:p>
            <w:pPr>
              <w:spacing w:after="0"/>
              <w:rPr>
                <w:sz w:val="20"/>
                <w:szCs w:val="20"/>
                <w:color w:val="auto"/>
              </w:rPr>
            </w:pPr>
            <w:r>
              <w:rPr>
                <w:rFonts w:ascii="Arial" w:cs="Arial" w:eastAsia="Arial" w:hAnsi="Arial"/>
                <w:sz w:val="18"/>
                <w:szCs w:val="18"/>
                <w:color w:val="auto"/>
              </w:rPr>
              <w:t>Sales office</w:t>
            </w:r>
          </w:p>
        </w:tc>
      </w:tr>
      <w:tr>
        <w:trPr>
          <w:trHeight w:val="222"/>
        </w:trPr>
        <w:tc>
          <w:tcPr>
            <w:tcW w:w="5120" w:type="dxa"/>
            <w:vAlign w:val="bottom"/>
            <w:gridSpan w:val="4"/>
          </w:tcPr>
          <w:p>
            <w:pPr>
              <w:spacing w:after="0"/>
              <w:rPr>
                <w:sz w:val="20"/>
                <w:szCs w:val="20"/>
                <w:color w:val="auto"/>
              </w:rPr>
            </w:pPr>
            <w:r>
              <w:rPr>
                <w:rFonts w:ascii="Arial" w:cs="Arial" w:eastAsia="Arial" w:hAnsi="Arial"/>
                <w:sz w:val="18"/>
                <w:szCs w:val="18"/>
                <w:color w:val="auto"/>
              </w:rPr>
              <w:t>Rio de Janeiro, Brazil 20040 007</w:t>
            </w:r>
          </w:p>
        </w:tc>
        <w:tc>
          <w:tcPr>
            <w:tcW w:w="10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331"/>
        </w:trPr>
        <w:tc>
          <w:tcPr>
            <w:tcW w:w="5120" w:type="dxa"/>
            <w:vAlign w:val="bottom"/>
            <w:gridSpan w:val="4"/>
          </w:tcPr>
          <w:p>
            <w:pPr>
              <w:spacing w:after="0"/>
              <w:rPr>
                <w:sz w:val="20"/>
                <w:szCs w:val="20"/>
                <w:color w:val="auto"/>
              </w:rPr>
            </w:pPr>
            <w:r>
              <w:rPr>
                <w:rFonts w:ascii="Arial" w:cs="Arial" w:eastAsia="Arial" w:hAnsi="Arial"/>
                <w:sz w:val="18"/>
                <w:szCs w:val="18"/>
                <w:color w:val="auto"/>
              </w:rPr>
              <w:t>Avenida Fuerza Aérea Mexicana No. 465</w:t>
            </w:r>
          </w:p>
        </w:tc>
        <w:tc>
          <w:tcPr>
            <w:tcW w:w="3800" w:type="dxa"/>
            <w:vAlign w:val="bottom"/>
            <w:gridSpan w:val="2"/>
          </w:tcPr>
          <w:p>
            <w:pPr>
              <w:spacing w:after="0"/>
              <w:rPr>
                <w:sz w:val="20"/>
                <w:szCs w:val="20"/>
                <w:color w:val="auto"/>
              </w:rPr>
            </w:pPr>
            <w:r>
              <w:rPr>
                <w:rFonts w:ascii="Arial" w:cs="Arial" w:eastAsia="Arial" w:hAnsi="Arial"/>
                <w:sz w:val="18"/>
                <w:szCs w:val="18"/>
                <w:color w:val="auto"/>
              </w:rPr>
              <w:t>Administrative, operations and sales office</w:t>
            </w:r>
          </w:p>
        </w:tc>
      </w:tr>
      <w:tr>
        <w:trPr>
          <w:trHeight w:val="222"/>
        </w:trPr>
        <w:tc>
          <w:tcPr>
            <w:tcW w:w="5120" w:type="dxa"/>
            <w:vAlign w:val="bottom"/>
            <w:gridSpan w:val="4"/>
          </w:tcPr>
          <w:p>
            <w:pPr>
              <w:spacing w:after="0"/>
              <w:rPr>
                <w:sz w:val="20"/>
                <w:szCs w:val="20"/>
                <w:color w:val="auto"/>
              </w:rPr>
            </w:pPr>
            <w:r>
              <w:rPr>
                <w:rFonts w:ascii="Arial" w:cs="Arial" w:eastAsia="Arial" w:hAnsi="Arial"/>
                <w:sz w:val="18"/>
                <w:szCs w:val="18"/>
                <w:color w:val="auto"/>
              </w:rPr>
              <w:t>Colonia Federal, 15700 México, D.F.</w:t>
            </w:r>
          </w:p>
        </w:tc>
        <w:tc>
          <w:tcPr>
            <w:tcW w:w="10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331"/>
        </w:trPr>
        <w:tc>
          <w:tcPr>
            <w:tcW w:w="5120" w:type="dxa"/>
            <w:vAlign w:val="bottom"/>
            <w:gridSpan w:val="4"/>
          </w:tcPr>
          <w:p>
            <w:pPr>
              <w:spacing w:after="0"/>
              <w:rPr>
                <w:sz w:val="20"/>
                <w:szCs w:val="20"/>
                <w:color w:val="auto"/>
              </w:rPr>
            </w:pPr>
            <w:r>
              <w:rPr>
                <w:rFonts w:ascii="Arial" w:cs="Arial" w:eastAsia="Arial" w:hAnsi="Arial"/>
                <w:sz w:val="18"/>
                <w:szCs w:val="18"/>
                <w:color w:val="auto"/>
              </w:rPr>
              <w:t>Slavjanskaya Business Center, 8th Floor</w:t>
            </w:r>
          </w:p>
        </w:tc>
        <w:tc>
          <w:tcPr>
            <w:tcW w:w="3800" w:type="dxa"/>
            <w:vAlign w:val="bottom"/>
            <w:gridSpan w:val="2"/>
          </w:tcPr>
          <w:p>
            <w:pPr>
              <w:spacing w:after="0"/>
              <w:rPr>
                <w:sz w:val="20"/>
                <w:szCs w:val="20"/>
                <w:color w:val="auto"/>
              </w:rPr>
            </w:pPr>
            <w:r>
              <w:rPr>
                <w:rFonts w:ascii="Arial" w:cs="Arial" w:eastAsia="Arial" w:hAnsi="Arial"/>
                <w:sz w:val="18"/>
                <w:szCs w:val="18"/>
                <w:color w:val="auto"/>
              </w:rPr>
              <w:t>Administrative, operations and sales office</w:t>
            </w:r>
          </w:p>
        </w:tc>
      </w:tr>
      <w:tr>
        <w:trPr>
          <w:trHeight w:val="222"/>
        </w:trPr>
        <w:tc>
          <w:tcPr>
            <w:tcW w:w="5120" w:type="dxa"/>
            <w:vAlign w:val="bottom"/>
            <w:gridSpan w:val="4"/>
          </w:tcPr>
          <w:p>
            <w:pPr>
              <w:spacing w:after="0"/>
              <w:rPr>
                <w:sz w:val="20"/>
                <w:szCs w:val="20"/>
                <w:color w:val="auto"/>
              </w:rPr>
            </w:pPr>
            <w:r>
              <w:rPr>
                <w:rFonts w:ascii="Arial" w:cs="Arial" w:eastAsia="Arial" w:hAnsi="Arial"/>
                <w:sz w:val="18"/>
                <w:szCs w:val="18"/>
                <w:color w:val="auto"/>
              </w:rPr>
              <w:t>Europe Square 2, Moscow 121059, Russian Federation</w:t>
            </w:r>
          </w:p>
        </w:tc>
        <w:tc>
          <w:tcPr>
            <w:tcW w:w="10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331"/>
        </w:trPr>
        <w:tc>
          <w:tcPr>
            <w:tcW w:w="5120" w:type="dxa"/>
            <w:vAlign w:val="bottom"/>
            <w:gridSpan w:val="4"/>
          </w:tcPr>
          <w:p>
            <w:pPr>
              <w:spacing w:after="0"/>
              <w:rPr>
                <w:sz w:val="20"/>
                <w:szCs w:val="20"/>
                <w:color w:val="auto"/>
              </w:rPr>
            </w:pPr>
            <w:r>
              <w:rPr>
                <w:rFonts w:ascii="Arial" w:cs="Arial" w:eastAsia="Arial" w:hAnsi="Arial"/>
                <w:sz w:val="18"/>
                <w:szCs w:val="18"/>
                <w:color w:val="auto"/>
              </w:rPr>
              <w:t>Calle 93B No. 11A-33, oficina 303</w:t>
            </w:r>
          </w:p>
        </w:tc>
        <w:tc>
          <w:tcPr>
            <w:tcW w:w="3800" w:type="dxa"/>
            <w:vAlign w:val="bottom"/>
            <w:gridSpan w:val="2"/>
          </w:tcPr>
          <w:p>
            <w:pPr>
              <w:spacing w:after="0"/>
              <w:rPr>
                <w:sz w:val="20"/>
                <w:szCs w:val="20"/>
                <w:color w:val="auto"/>
              </w:rPr>
            </w:pPr>
            <w:r>
              <w:rPr>
                <w:rFonts w:ascii="Arial" w:cs="Arial" w:eastAsia="Arial" w:hAnsi="Arial"/>
                <w:sz w:val="18"/>
                <w:szCs w:val="18"/>
                <w:color w:val="auto"/>
              </w:rPr>
              <w:t>Administrative, operations and sales office</w:t>
            </w:r>
          </w:p>
        </w:tc>
      </w:tr>
      <w:tr>
        <w:trPr>
          <w:trHeight w:val="222"/>
        </w:trPr>
        <w:tc>
          <w:tcPr>
            <w:tcW w:w="5120" w:type="dxa"/>
            <w:vAlign w:val="bottom"/>
            <w:gridSpan w:val="4"/>
          </w:tcPr>
          <w:p>
            <w:pPr>
              <w:spacing w:after="0"/>
              <w:rPr>
                <w:sz w:val="20"/>
                <w:szCs w:val="20"/>
                <w:color w:val="auto"/>
              </w:rPr>
            </w:pPr>
            <w:r>
              <w:rPr>
                <w:rFonts w:ascii="Arial" w:cs="Arial" w:eastAsia="Arial" w:hAnsi="Arial"/>
                <w:sz w:val="18"/>
                <w:szCs w:val="18"/>
                <w:color w:val="auto"/>
              </w:rPr>
              <w:t>Bogota, Colombia</w:t>
            </w:r>
          </w:p>
        </w:tc>
        <w:tc>
          <w:tcPr>
            <w:tcW w:w="10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331"/>
        </w:trPr>
        <w:tc>
          <w:tcPr>
            <w:tcW w:w="5120" w:type="dxa"/>
            <w:vAlign w:val="bottom"/>
            <w:gridSpan w:val="4"/>
          </w:tcPr>
          <w:p>
            <w:pPr>
              <w:spacing w:after="0"/>
              <w:rPr>
                <w:sz w:val="20"/>
                <w:szCs w:val="20"/>
                <w:color w:val="auto"/>
              </w:rPr>
            </w:pPr>
            <w:r>
              <w:rPr>
                <w:rFonts w:ascii="Arial" w:cs="Arial" w:eastAsia="Arial" w:hAnsi="Arial"/>
                <w:sz w:val="18"/>
                <w:szCs w:val="18"/>
                <w:color w:val="auto"/>
              </w:rPr>
              <w:t>Room 906, Building 113 Shaoyaojubeili, Chao Yang District</w:t>
            </w:r>
          </w:p>
        </w:tc>
        <w:tc>
          <w:tcPr>
            <w:tcW w:w="3800" w:type="dxa"/>
            <w:vAlign w:val="bottom"/>
            <w:gridSpan w:val="2"/>
          </w:tcPr>
          <w:p>
            <w:pPr>
              <w:spacing w:after="0"/>
              <w:rPr>
                <w:sz w:val="20"/>
                <w:szCs w:val="20"/>
                <w:color w:val="auto"/>
              </w:rPr>
            </w:pPr>
            <w:r>
              <w:rPr>
                <w:rFonts w:ascii="Arial" w:cs="Arial" w:eastAsia="Arial" w:hAnsi="Arial"/>
                <w:sz w:val="18"/>
                <w:szCs w:val="18"/>
                <w:color w:val="auto"/>
              </w:rPr>
              <w:t>Administrative, operations and sales office</w:t>
            </w:r>
          </w:p>
        </w:tc>
      </w:tr>
      <w:tr>
        <w:trPr>
          <w:trHeight w:val="222"/>
        </w:trPr>
        <w:tc>
          <w:tcPr>
            <w:tcW w:w="5120" w:type="dxa"/>
            <w:vAlign w:val="bottom"/>
            <w:gridSpan w:val="4"/>
          </w:tcPr>
          <w:p>
            <w:pPr>
              <w:spacing w:after="0"/>
              <w:rPr>
                <w:sz w:val="20"/>
                <w:szCs w:val="20"/>
                <w:color w:val="auto"/>
              </w:rPr>
            </w:pPr>
            <w:r>
              <w:rPr>
                <w:rFonts w:ascii="Arial" w:cs="Arial" w:eastAsia="Arial" w:hAnsi="Arial"/>
                <w:sz w:val="18"/>
                <w:szCs w:val="18"/>
                <w:color w:val="auto"/>
              </w:rPr>
              <w:t>Beijing, China</w:t>
            </w:r>
          </w:p>
        </w:tc>
        <w:tc>
          <w:tcPr>
            <w:tcW w:w="1060" w:type="dxa"/>
            <w:vAlign w:val="bottom"/>
          </w:tcPr>
          <w:p>
            <w:pPr>
              <w:spacing w:after="0"/>
              <w:rPr>
                <w:sz w:val="19"/>
                <w:szCs w:val="19"/>
                <w:color w:val="auto"/>
              </w:rPr>
            </w:pPr>
          </w:p>
        </w:tc>
        <w:tc>
          <w:tcPr>
            <w:tcW w:w="2740" w:type="dxa"/>
            <w:vAlign w:val="bottom"/>
          </w:tcPr>
          <w:p>
            <w:pPr>
              <w:spacing w:after="0"/>
              <w:rPr>
                <w:sz w:val="19"/>
                <w:szCs w:val="19"/>
                <w:color w:val="auto"/>
              </w:rPr>
            </w:pPr>
          </w:p>
        </w:tc>
      </w:tr>
    </w:tbl>
    <w:p>
      <w:pPr>
        <w:spacing w:after="0" w:line="15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10 of 72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 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68580</wp:posOffset>
            </wp:positionV>
            <wp:extent cx="8235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May 2008</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July 2015</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March 2011</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Month-to-month</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March 2013</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January 2006</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Month-to-month</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December 2006</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December 2007</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May 2009</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Month-to-month</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Month-to-month</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January 2006</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Month-to-month</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Month-to-month</w:t>
      </w:r>
    </w:p>
    <w:p>
      <w:pPr>
        <w:sectPr>
          <w:pgSz w:w="11900" w:h="16838" w:orient="portrait"/>
          <w:cols w:equalWidth="0" w:num="2">
            <w:col w:w="9300" w:space="720"/>
            <w:col w:w="1160"/>
          </w:cols>
          <w:pgMar w:left="24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April 2001, Miami-Dade County, Florida (the “County”) filed suit (the “County Suit”) against 17 defendants to seek reimbursement for the cost of remediating environmental contamination at Miami International Airport (the “Airport”). Page Avjet Fuel Corporation, now known as PAFCO LLC (“PAFCO”), is a defendant. We acquired a 50% interest in PAFCO from Signature Flight Support Corporation (“Signature”) in December 2000. Pursuant to the PAFCO acquisition agreement, Signature agreed to indemnify us for all PAFCO liabilities arising prior to the closing date (“Closing”). Because the Airport contamination occurred prior to Closing, we believe that the County Suit is covered by Signature’s indemnification obligation. We have notified Signature of the County Suit, as stipulated in the acquisition agreement. We expect Signature to defend this claim on behalf of PAFCO and at Signature’s expense.</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Also in April 2001, the County sent a letter to approximately 250 potentially responsible parties (“PRP’s”), including World Fuel Services Corporation and one of our subsidiaries, advising them of their potential liability for the clean-up costs of the contamination that is subject of the County Suit. The County has threatened to add the PRP’s as defendants in the County Suit, unless they agree to share in the cost of the environmental clean-up at the Airport. In May 2001, we advised the County that: (1) neither we nor any of our subsidiaries were responsible for any environmental contamination at the Airport, and (2) to the extent that we or any of our subsidiaries were so responsible, our liability was subject to indemnification by the County pursuant to the indemnity provisions contained in our lease agreement with the County.</w:t>
      </w:r>
    </w:p>
    <w:p>
      <w:pPr>
        <w:spacing w:after="0" w:line="131"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 claims asserted by the County relating to environmental contamination at the Airport remain pending; however, no significant developments occurred during the year ended December 31, 2004. We intend to vigorously defend these claims, and we believe our liability in these matters (if any) should be adequately covered by the indemnification obligations of Signature as to PAFCO, and the County as to World Fuel Services Corporation and our other subsidiaries.</w:t>
      </w:r>
    </w:p>
    <w:p>
      <w:pPr>
        <w:spacing w:after="0" w:line="7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November 2004, World Fuel was served with process in a lawsuit titled Action Manufacturing Co., Inc. et al. v. Simon Wrecking Company, et al. This action, pending in U.S. Federal District Court for the Eastern District of Pennsylvania, relates to the environmental clean up of the Malvern TCE Superfund site in Chester County, Pennsylvania. The plaintiffs are a group of private corporations that entered into a consent decree with the Environmental Protection Agency in 1999, under the terms of which the plaintiffs agreed to pay for remediation of the site. In the action, the Plaintiffs are seeking contribution from the various Defendants toward the costs of remediating the site. Plaintiffs have alleged that World Fuel is a “successor” to Resource Technology Services, Inc., a Pennsylvania corporation that arranged for disposal of wastes at the site. In 1988, Resource Recovery Atlantic, Inc., a Delaware corporation that was then an indirect subsidiary of World Fuel, purchased selected assets from Resource Technology Services, Inc. The plaintiffs claim that this transaction gives rise to our successor liability pursuant to the Pennsylvania Hazardous Sites Cleanup Act. The plaintiffs have alleged that Resource Technology Services Inc.’s share of the clean-up costs is $1.0 million.</w:t>
      </w:r>
    </w:p>
    <w:p>
      <w:pPr>
        <w:spacing w:after="0" w:line="10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World Fuel’s subsidiary, Resource Recovery Atlantic, Inc., acquired only selected assets of Resource Technology Services, Inc., and did not assume any of its liabilities, except for four vehicle leases. We believe that neither World Fuel, nor any of our subsidiaries, is a “successor” to Resource Technology Services, Inc. and that we are not responsible for any liabilities of that company. We intend to vigorously defend all claims asserted against us arising from liabilities of Resource Technology Services, Inc.</w:t>
      </w:r>
    </w:p>
    <w:p>
      <w:pPr>
        <w:spacing w:after="0" w:line="13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may not prevail in the legal proceedings described above and we cannot estimate our ultimate exposure if we do not prevail. A ruling against us in certain of the proceedings described above could have a material adverse effect on our financial condition and results of operations.</w:t>
      </w:r>
    </w:p>
    <w:p>
      <w:pPr>
        <w:spacing w:after="0" w:line="72"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In addition to the matters described above, we are also involved in litigation and administrative proceedings primarily arising in the normal course of our business. In the opinion of management, except as set forth above, our liability, if any, under any other pending litigation or administrative proceedings, even if determined adversely, would not materially affect our financial condition or results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matter was submitted to a vote of shareholders, through the solicitation of proxies or otherwise, during the quarter ended December 31, 2004.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72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January 20, 2005, we announced a two-for-one split of our common stock. The additional shares issued pursuant to the stock split were distributed on February 15, 2005 to stockholders of record as of February 1, 2005. All references in this Form 10-K to number of shares and per share amounts reflect the stock split.</w:t>
      </w:r>
    </w:p>
    <w:p>
      <w:pPr>
        <w:spacing w:after="0" w:line="12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Our common stock is traded on the New York Stock Exchange (“NYSE”) under the symbol INT. As of March 24, 2005, there were 227 shareholders of record of our common stock, and the closing price of our stock on the NYSE was $26.39. The following table sets forth, for each quarter in 2004 and 2003, the high and low closing sales prices of our common stock as reported by the NYSE.</w:t>
      </w:r>
    </w:p>
    <w:p>
      <w:pPr>
        <w:spacing w:after="0" w:line="122"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Price</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2004</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00"/>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$18.37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00"/>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22.60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16.90</w:t>
            </w:r>
          </w:p>
        </w:tc>
        <w:tc>
          <w:tcPr>
            <w:tcW w:w="0" w:type="dxa"/>
            <w:vAlign w:val="bottom"/>
          </w:tcPr>
          <w:p>
            <w:pPr>
              <w:spacing w:after="0"/>
              <w:rPr>
                <w:sz w:val="1"/>
                <w:szCs w:val="1"/>
                <w:color w:val="auto"/>
              </w:rPr>
            </w:pPr>
          </w:p>
        </w:tc>
      </w:tr>
      <w:tr>
        <w:trPr>
          <w:trHeight w:val="322"/>
        </w:trPr>
        <w:tc>
          <w:tcPr>
            <w:tcW w:w="5580" w:type="dxa"/>
            <w:vAlign w:val="bottom"/>
            <w:gridSpan w:val="2"/>
          </w:tcPr>
          <w:p>
            <w:pPr>
              <w:spacing w:after="0"/>
              <w:rPr>
                <w:sz w:val="20"/>
                <w:szCs w:val="20"/>
                <w:color w:val="auto"/>
              </w:rPr>
            </w:pPr>
            <w:r>
              <w:rPr>
                <w:rFonts w:ascii="Arial" w:cs="Arial" w:eastAsia="Arial" w:hAnsi="Arial"/>
                <w:sz w:val="18"/>
                <w:szCs w:val="18"/>
                <w:color w:val="auto"/>
              </w:rPr>
              <w:t>Year ended December 31, 2003</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00"/>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12.39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400"/>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17.00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14.15</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following table sets forth the amount, the declaration date, record date, and payment date for each quarterly dividend declared in 2004 and 2003.</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8"/>
              </w:rPr>
              <w:t>Per Share</w:t>
            </w: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5"/>
                <w:szCs w:val="15"/>
                <w:color w:val="auto"/>
              </w:rPr>
            </w:pPr>
          </w:p>
        </w:tc>
        <w:tc>
          <w:tcPr>
            <w:tcW w:w="1460" w:type="dxa"/>
            <w:vAlign w:val="bottom"/>
          </w:tcPr>
          <w:p>
            <w:pPr>
              <w:ind w:left="240"/>
              <w:spacing w:after="0"/>
              <w:rPr>
                <w:sz w:val="20"/>
                <w:szCs w:val="20"/>
                <w:color w:val="auto"/>
              </w:rPr>
            </w:pPr>
            <w:r>
              <w:rPr>
                <w:rFonts w:ascii="Arial" w:cs="Arial" w:eastAsia="Arial" w:hAnsi="Arial"/>
                <w:sz w:val="14"/>
                <w:szCs w:val="14"/>
                <w:b w:val="1"/>
                <w:bCs w:val="1"/>
                <w:color w:val="auto"/>
              </w:rPr>
              <w:t>Declaration Date</w:t>
            </w:r>
          </w:p>
        </w:tc>
        <w:tc>
          <w:tcPr>
            <w:tcW w:w="200" w:type="dxa"/>
            <w:vAlign w:val="bottom"/>
          </w:tcPr>
          <w:p>
            <w:pPr>
              <w:spacing w:after="0"/>
              <w:rPr>
                <w:sz w:val="15"/>
                <w:szCs w:val="15"/>
                <w:color w:val="auto"/>
              </w:rPr>
            </w:pPr>
          </w:p>
        </w:tc>
        <w:tc>
          <w:tcPr>
            <w:tcW w:w="1580" w:type="dxa"/>
            <w:vAlign w:val="bottom"/>
          </w:tcPr>
          <w:p>
            <w:pPr>
              <w:ind w:left="420"/>
              <w:spacing w:after="0"/>
              <w:rPr>
                <w:sz w:val="20"/>
                <w:szCs w:val="20"/>
                <w:color w:val="auto"/>
              </w:rPr>
            </w:pPr>
            <w:r>
              <w:rPr>
                <w:rFonts w:ascii="Arial" w:cs="Arial" w:eastAsia="Arial" w:hAnsi="Arial"/>
                <w:sz w:val="14"/>
                <w:szCs w:val="14"/>
                <w:b w:val="1"/>
                <w:bCs w:val="1"/>
                <w:color w:val="auto"/>
              </w:rPr>
              <w:t>Record Date</w:t>
            </w:r>
          </w:p>
        </w:tc>
        <w:tc>
          <w:tcPr>
            <w:tcW w:w="200" w:type="dxa"/>
            <w:vAlign w:val="bottom"/>
          </w:tcPr>
          <w:p>
            <w:pPr>
              <w:spacing w:after="0"/>
              <w:rPr>
                <w:sz w:val="15"/>
                <w:szCs w:val="15"/>
                <w:color w:val="auto"/>
              </w:rPr>
            </w:pPr>
          </w:p>
        </w:tc>
        <w:tc>
          <w:tcPr>
            <w:tcW w:w="1300" w:type="dxa"/>
            <w:vAlign w:val="bottom"/>
          </w:tcPr>
          <w:p>
            <w:pPr>
              <w:ind w:left="24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2004</w:t>
            </w: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$ 0.0375</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March 1, 2004</w:t>
            </w:r>
          </w:p>
        </w:tc>
        <w:tc>
          <w:tcPr>
            <w:tcW w:w="1780" w:type="dxa"/>
            <w:vAlign w:val="bottom"/>
            <w:gridSpan w:val="2"/>
          </w:tcPr>
          <w:p>
            <w:pPr>
              <w:ind w:left="200"/>
              <w:spacing w:after="0"/>
              <w:rPr>
                <w:sz w:val="20"/>
                <w:szCs w:val="20"/>
                <w:color w:val="auto"/>
              </w:rPr>
            </w:pPr>
            <w:r>
              <w:rPr>
                <w:rFonts w:ascii="Arial" w:cs="Arial" w:eastAsia="Arial" w:hAnsi="Arial"/>
                <w:sz w:val="18"/>
                <w:szCs w:val="18"/>
                <w:color w:val="auto"/>
              </w:rPr>
              <w:t>March 19, 2004</w:t>
            </w: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April 5, 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0.0375</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June 1, 2004</w:t>
            </w:r>
          </w:p>
        </w:tc>
        <w:tc>
          <w:tcPr>
            <w:tcW w:w="1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June 18, 2004</w:t>
            </w:r>
          </w:p>
        </w:tc>
        <w:tc>
          <w:tcPr>
            <w:tcW w:w="1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July 6, 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0.0375</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94"/>
              </w:rPr>
              <w:t>September 1, 2004</w:t>
            </w:r>
          </w:p>
        </w:tc>
        <w:tc>
          <w:tcPr>
            <w:tcW w:w="1780" w:type="dxa"/>
            <w:vAlign w:val="bottom"/>
            <w:gridSpan w:val="2"/>
          </w:tcPr>
          <w:p>
            <w:pPr>
              <w:ind w:left="200"/>
              <w:spacing w:after="0"/>
              <w:rPr>
                <w:sz w:val="20"/>
                <w:szCs w:val="20"/>
                <w:color w:val="auto"/>
              </w:rPr>
            </w:pPr>
            <w:r>
              <w:rPr>
                <w:rFonts w:ascii="Arial" w:cs="Arial" w:eastAsia="Arial" w:hAnsi="Arial"/>
                <w:sz w:val="18"/>
                <w:szCs w:val="18"/>
                <w:color w:val="auto"/>
                <w:w w:val="95"/>
              </w:rPr>
              <w:t>September 17, 2004</w:t>
            </w: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w w:val="99"/>
              </w:rPr>
              <w:t>October 4, 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0.0375</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December 1, 2004</w:t>
            </w:r>
          </w:p>
        </w:tc>
        <w:tc>
          <w:tcPr>
            <w:tcW w:w="1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December 17, 2004</w:t>
            </w:r>
          </w:p>
        </w:tc>
        <w:tc>
          <w:tcPr>
            <w:tcW w:w="1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January 4, 2005</w:t>
            </w:r>
          </w:p>
        </w:tc>
        <w:tc>
          <w:tcPr>
            <w:tcW w:w="0" w:type="dxa"/>
            <w:vAlign w:val="bottom"/>
          </w:tcPr>
          <w:p>
            <w:pPr>
              <w:spacing w:after="0"/>
              <w:rPr>
                <w:sz w:val="1"/>
                <w:szCs w:val="1"/>
                <w:color w:val="auto"/>
              </w:rPr>
            </w:pPr>
          </w:p>
        </w:tc>
      </w:tr>
      <w:tr>
        <w:trPr>
          <w:trHeight w:val="323"/>
        </w:trPr>
        <w:tc>
          <w:tcPr>
            <w:tcW w:w="3460" w:type="dxa"/>
            <w:vAlign w:val="bottom"/>
            <w:gridSpan w:val="2"/>
          </w:tcPr>
          <w:p>
            <w:pPr>
              <w:spacing w:after="0"/>
              <w:rPr>
                <w:sz w:val="20"/>
                <w:szCs w:val="20"/>
                <w:color w:val="auto"/>
              </w:rPr>
            </w:pPr>
            <w:r>
              <w:rPr>
                <w:rFonts w:ascii="Arial" w:cs="Arial" w:eastAsia="Arial" w:hAnsi="Arial"/>
                <w:sz w:val="18"/>
                <w:szCs w:val="18"/>
                <w:color w:val="auto"/>
              </w:rPr>
              <w:t>Year ended December 31, 2003</w:t>
            </w: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$ 0.0375</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February 28, 2003</w:t>
            </w:r>
          </w:p>
        </w:tc>
        <w:tc>
          <w:tcPr>
            <w:tcW w:w="1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March 14, 2003</w:t>
            </w:r>
          </w:p>
        </w:tc>
        <w:tc>
          <w:tcPr>
            <w:tcW w:w="1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April 3, 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Second quarter</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0.0375</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June 2, 2003</w:t>
            </w:r>
          </w:p>
        </w:tc>
        <w:tc>
          <w:tcPr>
            <w:tcW w:w="1780" w:type="dxa"/>
            <w:vAlign w:val="bottom"/>
            <w:gridSpan w:val="2"/>
          </w:tcPr>
          <w:p>
            <w:pPr>
              <w:ind w:left="200"/>
              <w:spacing w:after="0"/>
              <w:rPr>
                <w:sz w:val="20"/>
                <w:szCs w:val="20"/>
                <w:color w:val="auto"/>
              </w:rPr>
            </w:pPr>
            <w:r>
              <w:rPr>
                <w:rFonts w:ascii="Arial" w:cs="Arial" w:eastAsia="Arial" w:hAnsi="Arial"/>
                <w:sz w:val="18"/>
                <w:szCs w:val="18"/>
                <w:color w:val="auto"/>
              </w:rPr>
              <w:t>June 20, 2003</w:t>
            </w: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July 3, 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0.0375</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September 1, 2003</w:t>
            </w:r>
          </w:p>
        </w:tc>
        <w:tc>
          <w:tcPr>
            <w:tcW w:w="1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September 19, 2003</w:t>
            </w:r>
          </w:p>
        </w:tc>
        <w:tc>
          <w:tcPr>
            <w:tcW w:w="1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October 2, 2003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0.0375</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97"/>
              </w:rPr>
              <w:t>December 1, 2003</w:t>
            </w:r>
          </w:p>
        </w:tc>
        <w:tc>
          <w:tcPr>
            <w:tcW w:w="1780" w:type="dxa"/>
            <w:vAlign w:val="bottom"/>
            <w:gridSpan w:val="2"/>
          </w:tcPr>
          <w:p>
            <w:pPr>
              <w:ind w:left="200"/>
              <w:spacing w:after="0"/>
              <w:rPr>
                <w:sz w:val="20"/>
                <w:szCs w:val="20"/>
                <w:color w:val="auto"/>
              </w:rPr>
            </w:pPr>
            <w:r>
              <w:rPr>
                <w:rFonts w:ascii="Arial" w:cs="Arial" w:eastAsia="Arial" w:hAnsi="Arial"/>
                <w:sz w:val="18"/>
                <w:szCs w:val="18"/>
                <w:color w:val="auto"/>
                <w:w w:val="98"/>
              </w:rPr>
              <w:t>December 19, 2003</w:t>
            </w: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w w:val="99"/>
              </w:rPr>
              <w:t>January 2, 2004</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credit facility agreement restricts the payment of cash dividends to a maximum of 35% of our net income for the four quarters preceding the date of the dividend. The payments of the above dividends were in compliance with the credit facility agreement. For additional information regarding our credit facility agreement, see Note 3 to the accompanying consolidated financial statements, included herein, and “Liquidity and Capital Resources” in “Item 7 – Management’s Discussion and Analysis of Financial Condition and Results of Operations.” On March 1, 2005, our Board of Directors approved a quarterly cash dividend of $0.0375 per share for 2005.</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information regarding our issuances of common stock, see Note 5 to the accompanying consolidated financial statements, included herein.</w:t>
      </w:r>
    </w:p>
    <w:p>
      <w:pPr>
        <w:spacing w:after="0" w:line="18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12 of 72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Our Board of Directors, from time to time, has authorized stock repurchase programs under the terms of which we may repurchase our common stock, subject to certain restrictions contained in our credit agreement. As of December 31, 2004, we are authorized to repurchase up to $6.0 million of our common stock. We did not repurchase any shares of our common stock during the year ended December 31, 2004.</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earnings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For the Nine</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Months ended</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14"/>
          </w:tcPr>
          <w:p>
            <w:pPr>
              <w:ind w:left="500"/>
              <w:spacing w:after="0"/>
              <w:rPr>
                <w:sz w:val="20"/>
                <w:szCs w:val="20"/>
                <w:color w:val="auto"/>
              </w:rPr>
            </w:pPr>
            <w:r>
              <w:rPr>
                <w:rFonts w:ascii="Arial" w:cs="Arial" w:eastAsia="Arial" w:hAnsi="Arial"/>
                <w:sz w:val="14"/>
                <w:szCs w:val="14"/>
                <w:b w:val="1"/>
                <w:bCs w:val="1"/>
                <w:color w:val="auto"/>
              </w:rPr>
              <w:t>For the Year ended December 31,</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198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0"/>
              </w:rPr>
              <w:t>For the Year ended 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2002</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2001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4"/>
              </w:rPr>
              <w:t>Restated</w:t>
            </w:r>
          </w:p>
        </w:tc>
        <w:tc>
          <w:tcPr>
            <w:tcW w:w="80" w:type="dxa"/>
            <w:vAlign w:val="bottom"/>
          </w:tcPr>
          <w:p>
            <w:pPr>
              <w:spacing w:after="0"/>
              <w:rPr>
                <w:sz w:val="20"/>
                <w:szCs w:val="20"/>
                <w:color w:val="auto"/>
              </w:rPr>
            </w:pPr>
          </w:p>
        </w:tc>
        <w:tc>
          <w:tcPr>
            <w:tcW w:w="10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4"/>
              </w:rPr>
              <w:t>Restated</w:t>
            </w:r>
          </w:p>
        </w:tc>
        <w:tc>
          <w:tcPr>
            <w:tcW w:w="80" w:type="dxa"/>
            <w:vAlign w:val="bottom"/>
          </w:tcPr>
          <w:p>
            <w:pPr>
              <w:spacing w:after="0"/>
              <w:rPr>
                <w:sz w:val="20"/>
                <w:szCs w:val="20"/>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Restated</w:t>
            </w:r>
          </w:p>
        </w:tc>
        <w:tc>
          <w:tcPr>
            <w:tcW w:w="80" w:type="dxa"/>
            <w:vAlign w:val="bottom"/>
          </w:tcPr>
          <w:p>
            <w:pPr>
              <w:spacing w:after="0"/>
              <w:rPr>
                <w:sz w:val="20"/>
                <w:szCs w:val="20"/>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4"/>
              </w:rPr>
              <w:t>Restated</w:t>
            </w:r>
          </w:p>
        </w:tc>
        <w:tc>
          <w:tcPr>
            <w:tcW w:w="100" w:type="dxa"/>
            <w:vAlign w:val="bottom"/>
          </w:tcPr>
          <w:p>
            <w:pPr>
              <w:spacing w:after="0"/>
              <w:rPr>
                <w:sz w:val="20"/>
                <w:szCs w:val="20"/>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Income Statement Data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5,654,373</w:t>
            </w:r>
          </w:p>
        </w:tc>
        <w:tc>
          <w:tcPr>
            <w:tcW w:w="80" w:type="dxa"/>
            <w:vAlign w:val="bottom"/>
          </w:tcPr>
          <w:p>
            <w:pPr>
              <w:spacing w:after="0"/>
              <w:rPr>
                <w:sz w:val="18"/>
                <w:szCs w:val="18"/>
                <w:color w:val="auto"/>
              </w:rPr>
            </w:pPr>
          </w:p>
        </w:tc>
        <w:tc>
          <w:tcPr>
            <w:tcW w:w="1060" w:type="dxa"/>
            <w:vAlign w:val="bottom"/>
            <w:gridSpan w:val="5"/>
          </w:tcPr>
          <w:p>
            <w:pPr>
              <w:jc w:val="right"/>
              <w:ind w:right="20"/>
              <w:spacing w:after="0"/>
              <w:rPr>
                <w:sz w:val="20"/>
                <w:szCs w:val="20"/>
                <w:color w:val="auto"/>
              </w:rPr>
            </w:pPr>
            <w:r>
              <w:rPr>
                <w:rFonts w:ascii="Arial" w:cs="Arial" w:eastAsia="Arial" w:hAnsi="Arial"/>
                <w:sz w:val="18"/>
                <w:szCs w:val="18"/>
                <w:color w:val="auto"/>
              </w:rPr>
              <w:t>$ 2,671,557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1,904,365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1,551,707</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1,369,392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1,522,961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(5,524,417)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(2,570,434)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(1,820,538)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(1,488,587)</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(1,293,568)</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(1,450,640)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101,123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83,827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75,824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(92,980)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(73,781)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(63,800)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(49,109)</w:t>
            </w:r>
          </w:p>
        </w:tc>
        <w:tc>
          <w:tcPr>
            <w:tcW w:w="8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(54,830)</w:t>
            </w:r>
          </w:p>
        </w:tc>
        <w:tc>
          <w:tcPr>
            <w:tcW w:w="1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(57,672)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27,342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20,027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(1,448)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628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(1,926)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(2,030)</w:t>
            </w: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1,937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27,970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18,101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(6,969)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(5,809)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(3,948)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(1,934)</w:t>
            </w:r>
          </w:p>
        </w:tc>
        <w:tc>
          <w:tcPr>
            <w:tcW w:w="8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(5,947)</w:t>
            </w:r>
          </w:p>
        </w:tc>
        <w:tc>
          <w:tcPr>
            <w:tcW w:w="1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(4,662)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22,161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14,153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Discontinued operations, net of tax</w:t>
            </w: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4"/>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40" w:type="dxa"/>
            <w:vAlign w:val="bottom"/>
            <w:gridSpan w:val="4"/>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28,559</w:t>
            </w: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22,161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14,153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0.68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0.48</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0.82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21,234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20,898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0.99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0.65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0.46</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0.80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22,338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21,790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Borders>
              <w:bottom w:val="single" w:sz="8" w:color="auto"/>
            </w:tcBorders>
            <w:gridSpan w:val="4"/>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Borders>
              <w:bottom w:val="single" w:sz="8" w:color="auto"/>
            </w:tcBorders>
            <w:gridSpan w:val="3"/>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6"/>
              </w:rPr>
              <w:t>As of December 31,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2001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60" w:type="dxa"/>
            <w:vAlign w:val="bottom"/>
            <w:gridSpan w:val="3"/>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60" w:type="dxa"/>
            <w:vAlign w:val="bottom"/>
            <w:gridSpan w:val="3"/>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6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4"/>
              </w:rPr>
              <w:t>Restated</w:t>
            </w:r>
          </w:p>
        </w:tc>
        <w:tc>
          <w:tcPr>
            <w:tcW w:w="80" w:type="dxa"/>
            <w:vAlign w:val="bottom"/>
          </w:tcPr>
          <w:p>
            <w:pPr>
              <w:spacing w:after="0"/>
              <w:rPr>
                <w:sz w:val="21"/>
                <w:szCs w:val="21"/>
                <w:color w:val="auto"/>
              </w:rPr>
            </w:pPr>
          </w:p>
        </w:tc>
        <w:tc>
          <w:tcPr>
            <w:tcW w:w="10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4"/>
              </w:rPr>
              <w:t>Restated</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4"/>
              </w:rPr>
              <w:t>Restated</w:t>
            </w:r>
          </w:p>
        </w:tc>
        <w:tc>
          <w:tcPr>
            <w:tcW w:w="100" w:type="dxa"/>
            <w:vAlign w:val="bottom"/>
          </w:tcPr>
          <w:p>
            <w:pPr>
              <w:spacing w:after="0"/>
              <w:rPr>
                <w:sz w:val="21"/>
                <w:szCs w:val="21"/>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Accounts and notes receivable,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490,780</w:t>
            </w:r>
          </w:p>
        </w:tc>
        <w:tc>
          <w:tcPr>
            <w:tcW w:w="8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243,612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212,578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161,054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148,657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354,663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295,289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240,459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209,828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42,347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36,860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36,860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36,860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27,502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712,171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400,850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344,996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285,243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243,768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246,595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212,016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160,294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132,914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56,683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4,537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4,198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7,633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5,866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149,718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128,782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117,316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104,988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-4358005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-4358005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-4358005</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-4358005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-4358005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-4358005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-4358005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-4358005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-4358005</wp:posOffset>
            </wp:positionV>
            <wp:extent cx="95631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5631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-4358005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-4358005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-4358005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-4358005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-3500120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-3500120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-3500120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-3500120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-3500120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-3500120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-3500120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-3500120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-3500120</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-3500120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-3500120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-3500120</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-3500120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-3500120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-3500120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-3500120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-3500120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-3500120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-3200400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-3200400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-3200400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-3200400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-3200400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-3200400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-3200400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-3200400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-3200400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-3200400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-3200400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-3200400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-3200400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-3200400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-3200400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-3200400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-3200400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-3200400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-2342515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-2342515</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-2342515</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-2342515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-2342515</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-2342515</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-2342515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-2342515</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-2342515</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-2342515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-2342515</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-2342515</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-2342515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-2342515</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-2342515</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-2342515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-2342515</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-2342515</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-2042160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-2042160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-2042160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-2042160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-2042160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-2042160</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-2042160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-2042160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-2042160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-2042160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-2042160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-2042160</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-2042160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-2042160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-2042160</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-2042160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-2042160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-2042160</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 of 72</w:t>
      </w:r>
    </w:p>
    <w:p>
      <w:pPr>
        <w:sectPr>
          <w:pgSz w:w="11900" w:h="16838" w:orient="portrait"/>
          <w:cols w:equalWidth="0" w:num="1">
            <w:col w:w="11420"/>
          </w:cols>
          <w:pgMar w:left="240" w:top="459" w:right="239" w:bottom="917"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SELECTED FINANCIAL DATA</w:t>
      </w:r>
    </w:p>
    <w:p>
      <w:pPr>
        <w:spacing w:after="0" w:line="164"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declared cash dividends of $0.15 per share for the years ended December 31, 2004 and 2003, $0.1125 per share for the nine months ended December 31, 2002, $0.20 per share for the year ended March 31, 2002, and $0.10 per share of common stock for the year ended March 31, 2001. Included in the cash dividend for the year ended March 31, 2002 was a special cash dividend of $0.05 per share of common stock declared in May 2001.</w:t>
      </w:r>
    </w:p>
    <w:p>
      <w:pPr>
        <w:spacing w:after="0" w:line="9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Pursuant to various treasury stock repurchase programs, we repurchased approximately 252 thousand shares for an aggregate cost of $2.0 million in February 2002, approximately 266 thousand shares at an aggregate cost of $1.3 million from September 2001 to October 2001, and approximately 1.2 million shares for an aggregate cost of $4.4 million from April 2000 to March 2001.</w:t>
      </w:r>
    </w:p>
    <w:p>
      <w:pPr>
        <w:spacing w:after="0" w:line="12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acquired the Norse Bunker A.S. in February 2001, the Marine Energy group of companies in April 2001, the Oil Shipping group of companies in January 2002, and Tramp Oil in April 2004. These acquisitions were accounted for as purchases. Accordingly, the results of operations of these acquisitions were included with our results since their respective dates of acquisition. In December 2000, we entered into a joint venture agreement with Signature Flight Support Corporation through the acquisition of a 50% equity interest in PAFCO, a company engaged in the sale of aviation fuel and related services. From January 1, 2001 to December 31, 2003, we used the equity method of accounting to record our share of the earnings and losses of this joint venture. In addition, the amortized interest expense on the non-interest bearing promissory note was also included in net earnings from aviation joint venture. Effective January 1, 2004, with the implementation of the Financial Accounting Standard Board Interpretation No. 46 (“FIN No. 46”), we consolidated PAFCO’s financial position and results of operations, after elimination of all significant intercompany accounts, transactions and profits. See Note 7 to the accompanying consolidated financial statements, included herein, for additional information.</w:t>
      </w:r>
    </w:p>
    <w:p>
      <w:pPr>
        <w:spacing w:after="0" w:line="10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During the year ended March 31, 2001, we recorded an after-tax charge of $656 thousand relating to amounts due to us from the February 2000 sale of our oil recycling segment to EarthCare Company (“EarthCare”) and additional income taxes of $496 thousand associated with the discontinued operations based on the actual income tax returns filed. For additional information, see Note 2 to the accompanying consolidated financial statements included herein.</w:t>
      </w:r>
    </w:p>
    <w:p>
      <w:pPr>
        <w:spacing w:after="0" w:line="9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Included in Other income (expense), net for the nine months and year ended December 31, 2002 was a charge of $1.6 million in connection with the settlement of the remaining balance due on the sale of our oil recycling segment to EarthCare.</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connection with the amortization of the Unearned deferred compensation for restricted common stock and stock options granted to employees and non-employee directors over the minimum vesting period of each individual award, we recorded total compensation cost, which was included in Operating expenses, of $1.7 million, $925 thousand and $506 thousand for the years ended December 31, 2004, 2003 and 2002, respectively, $363 thousand for the nine months ended December 31, 2002 and $182 thousand for the year ended March 31, 2001. The remaining Unearned deferred compensation was $4.4 million, $2.8 million and $1.9 million at December 31, 2004, 2003 and 2002, respectively, and $116 thousand at March 31, 2002.</w:t>
      </w:r>
    </w:p>
    <w:p>
      <w:pPr>
        <w:spacing w:after="0" w:line="10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Included in Operating expenses were executive severance charges of $4.5 million relating to the termination of employment of our former Chief Executive Officer, Chief Financial Officer, Chief Information Officer, and two other executives during the nine months and year ended December 31, 2002.</w:t>
      </w:r>
    </w:p>
    <w:p>
      <w:pPr>
        <w:spacing w:after="0" w:line="72"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An insurance settlement recovery of $1.0 million relating to a product theft off the coast of Nigeria was included in Other income (expense), net for the year ended March 31, 2002. We had recorded a product theft charge of $3.1 million for the year ended March 31, 2000.</w:t>
      </w:r>
    </w:p>
    <w:p>
      <w:pPr>
        <w:spacing w:after="0" w:line="7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Effective April 2001, we elected to early adopt Statement of Financial Accounting Standards (“SFAS”) No. 142, “Goodwill and Other Intangible Assets,” which among other provisions, states that goodwill shall not be amortized prospectively. Accordingly, no goodwill amortization was recorded subsequent to the adoption of SFAS No. 142.</w:t>
      </w:r>
    </w:p>
    <w:p>
      <w:pPr>
        <w:spacing w:after="0" w:line="12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For the year ended March 31, 2001, an executive severance charge of $3.5 million relating to the termination of the employment of our former Chief Executive Officer was included in Operating expenses.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 of 72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SELECTED FINANCIAL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restatement of the financial statements for the years ended December 31, 2003 and 2002, the nine months ended December 31, 2002, and the year ended March 31, 2002 reflect the correction of the cutoff procedures used by the Company for recognizing sales and sales related costs. The financial information for the year ended March 31, 2001 has been adjusted to reflect the change in our cut-off procedures based on our books and records. The following table set forth the impact of the restatements for the periods presented (in thousands, except earnings per share data):</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3"/>
              </w:rPr>
              <w:t>For the Nine Months ended</w:t>
            </w:r>
          </w:p>
        </w:tc>
      </w:tr>
      <w:tr>
        <w:trPr>
          <w:trHeight w:val="174"/>
        </w:trPr>
        <w:tc>
          <w:tcPr>
            <w:tcW w:w="4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60" w:type="dxa"/>
            <w:vAlign w:val="bottom"/>
            <w:gridSpan w:val="11"/>
          </w:tcPr>
          <w:p>
            <w:pPr>
              <w:jc w:val="right"/>
              <w:ind w:right="200"/>
              <w:spacing w:after="0"/>
              <w:rPr>
                <w:sz w:val="20"/>
                <w:szCs w:val="20"/>
                <w:color w:val="auto"/>
              </w:rPr>
            </w:pPr>
            <w:r>
              <w:rPr>
                <w:rFonts w:ascii="Arial" w:cs="Arial" w:eastAsia="Arial" w:hAnsi="Arial"/>
                <w:sz w:val="14"/>
                <w:szCs w:val="14"/>
                <w:b w:val="1"/>
                <w:bCs w:val="1"/>
                <w:color w:val="auto"/>
                <w:w w:val="87"/>
              </w:rPr>
              <w:t>For the Year ended December 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ended December 31,</w:t>
            </w:r>
          </w:p>
        </w:tc>
      </w:tr>
      <w:tr>
        <w:trPr>
          <w:trHeight w:val="95"/>
        </w:trPr>
        <w:tc>
          <w:tcPr>
            <w:tcW w:w="4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4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center"/>
              <w:ind w:left="97"/>
              <w:spacing w:after="0"/>
              <w:rPr>
                <w:sz w:val="20"/>
                <w:szCs w:val="20"/>
                <w:color w:val="auto"/>
              </w:rPr>
            </w:pPr>
            <w:r>
              <w:rPr>
                <w:rFonts w:ascii="Arial" w:cs="Arial" w:eastAsia="Arial" w:hAnsi="Arial"/>
                <w:sz w:val="14"/>
                <w:szCs w:val="14"/>
                <w:b w:val="1"/>
                <w:bCs w:val="1"/>
                <w:color w:val="auto"/>
                <w:w w:val="89"/>
              </w:rPr>
              <w:t>2003</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w w:val="89"/>
              </w:rPr>
              <w:t>2002</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83"/>
              </w:rPr>
              <w:t>2002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2002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16"/>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r>
      <w:tr>
        <w:trPr>
          <w:trHeight w:val="95"/>
        </w:trPr>
        <w:tc>
          <w:tcPr>
            <w:tcW w:w="4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4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4"/>
              </w:rPr>
              <w:t>Previously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4"/>
              </w:rPr>
              <w:t>Previously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Previously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49"/>
        </w:trPr>
        <w:tc>
          <w:tcPr>
            <w:tcW w:w="4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Reported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Restated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Restated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8"/>
              </w:rPr>
              <w:t>Restated</w:t>
            </w:r>
          </w:p>
        </w:tc>
      </w:tr>
      <w:tr>
        <w:trPr>
          <w:trHeight w:val="161"/>
        </w:trPr>
        <w:tc>
          <w:tcPr>
            <w:tcW w:w="4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4"/>
                <w:szCs w:val="14"/>
                <w:color w:val="auto"/>
              </w:rPr>
            </w:pPr>
          </w:p>
        </w:tc>
        <w:tc>
          <w:tcPr>
            <w:tcW w:w="10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Income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Revenue</w:t>
            </w:r>
          </w:p>
        </w:tc>
        <w:tc>
          <w:tcPr>
            <w:tcW w:w="1560" w:type="dxa"/>
            <w:vAlign w:val="bottom"/>
            <w:gridSpan w:val="5"/>
          </w:tcPr>
          <w:p>
            <w:pPr>
              <w:jc w:val="right"/>
              <w:ind w:right="240"/>
              <w:spacing w:after="0"/>
              <w:rPr>
                <w:sz w:val="20"/>
                <w:szCs w:val="20"/>
                <w:color w:val="auto"/>
              </w:rPr>
            </w:pPr>
            <w:r>
              <w:rPr>
                <w:rFonts w:ascii="Arial" w:cs="Arial" w:eastAsia="Arial" w:hAnsi="Arial"/>
                <w:sz w:val="18"/>
                <w:szCs w:val="18"/>
                <w:color w:val="auto"/>
              </w:rPr>
              <w:t>$ 2,661,790</w:t>
            </w:r>
          </w:p>
        </w:tc>
        <w:tc>
          <w:tcPr>
            <w:tcW w:w="1120" w:type="dxa"/>
            <w:vAlign w:val="bottom"/>
            <w:gridSpan w:val="6"/>
          </w:tcPr>
          <w:p>
            <w:pPr>
              <w:jc w:val="right"/>
              <w:ind w:right="240"/>
              <w:spacing w:after="0"/>
              <w:rPr>
                <w:sz w:val="20"/>
                <w:szCs w:val="20"/>
                <w:color w:val="auto"/>
              </w:rPr>
            </w:pPr>
            <w:r>
              <w:rPr>
                <w:rFonts w:ascii="Arial" w:cs="Arial" w:eastAsia="Arial" w:hAnsi="Arial"/>
                <w:sz w:val="18"/>
                <w:szCs w:val="18"/>
                <w:color w:val="auto"/>
                <w:w w:val="90"/>
              </w:rPr>
              <w:t>$ 2,677,557</w:t>
            </w:r>
          </w:p>
        </w:tc>
        <w:tc>
          <w:tcPr>
            <w:tcW w:w="1060" w:type="dxa"/>
            <w:vAlign w:val="bottom"/>
            <w:gridSpan w:val="6"/>
          </w:tcPr>
          <w:p>
            <w:pPr>
              <w:jc w:val="right"/>
              <w:ind w:right="180"/>
              <w:spacing w:after="0"/>
              <w:rPr>
                <w:sz w:val="20"/>
                <w:szCs w:val="20"/>
                <w:color w:val="auto"/>
              </w:rPr>
            </w:pPr>
            <w:r>
              <w:rPr>
                <w:rFonts w:ascii="Arial" w:cs="Arial" w:eastAsia="Arial" w:hAnsi="Arial"/>
                <w:sz w:val="18"/>
                <w:szCs w:val="18"/>
                <w:color w:val="auto"/>
                <w:w w:val="90"/>
              </w:rPr>
              <w:t>$ 1,898,181</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w w:val="98"/>
              </w:rPr>
              <w:t>$ 1,904,365</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1,546,897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1,551,707</w:t>
            </w:r>
          </w:p>
        </w:tc>
        <w:tc>
          <w:tcPr>
            <w:tcW w:w="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(2,561,082)</w:t>
            </w:r>
          </w:p>
        </w:tc>
        <w:tc>
          <w:tcPr>
            <w:tcW w:w="112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color w:val="auto"/>
                <w:w w:val="99"/>
              </w:rPr>
              <w:t>(2,570,434)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4"/>
              </w:rPr>
              <w:t>(1,814,114)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(1,820,538)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(1,483,976)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(1,488,587)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Gross profit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100,708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101,123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84,067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83,827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62,921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63,120</w:t>
            </w:r>
          </w:p>
        </w:tc>
        <w:tc>
          <w:tcPr>
            <w:tcW w:w="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(73,718)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(73,781)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(63,898)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(63,800)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(49,109)</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26,990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27,342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20,169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20,027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13,786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14,011</w:t>
            </w:r>
          </w:p>
        </w:tc>
        <w:tc>
          <w:tcPr>
            <w:tcW w:w="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8"/>
              </w:rPr>
              <w:t>Income from continuing operations before income taxes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27,618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27,970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18,243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18,101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11,981</w:t>
            </w:r>
          </w:p>
        </w:tc>
        <w:tc>
          <w:tcPr>
            <w:tcW w:w="6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(5,744)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(5,809)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(3,898)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(3,948)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(1,934)</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21,874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22,161</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14,345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14,153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w:t>
            </w:r>
          </w:p>
        </w:tc>
        <w:tc>
          <w:tcPr>
            <w:tcW w:w="6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Basic earnings per share from continuing operations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1.03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1.04</w:t>
            </w:r>
          </w:p>
        </w:tc>
        <w:tc>
          <w:tcPr>
            <w:tcW w:w="14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0.69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0.47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0.48</w:t>
            </w:r>
          </w:p>
        </w:tc>
        <w:tc>
          <w:tcPr>
            <w:tcW w:w="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0.98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0.99</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60" w:type="dxa"/>
            <w:vAlign w:val="bottom"/>
            <w:shd w:val="clear" w:color="auto" w:fill="CCEEFF"/>
          </w:tcPr>
          <w:p>
            <w:pPr>
              <w:spacing w:after="0"/>
              <w:rPr>
                <w:sz w:val="18"/>
                <w:szCs w:val="18"/>
                <w:color w:val="auto"/>
              </w:rPr>
            </w:pPr>
          </w:p>
        </w:tc>
      </w:tr>
      <w:tr>
        <w:trPr>
          <w:trHeight w:val="310"/>
        </w:trPr>
        <w:tc>
          <w:tcPr>
            <w:tcW w:w="4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5"/>
        </w:trPr>
        <w:tc>
          <w:tcPr>
            <w:tcW w:w="4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4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center"/>
              <w:ind w:left="357"/>
              <w:spacing w:after="0"/>
              <w:rPr>
                <w:sz w:val="20"/>
                <w:szCs w:val="20"/>
                <w:color w:val="auto"/>
              </w:rPr>
            </w:pPr>
            <w:r>
              <w:rPr>
                <w:rFonts w:ascii="Arial" w:cs="Arial" w:eastAsia="Arial" w:hAnsi="Arial"/>
                <w:sz w:val="14"/>
                <w:szCs w:val="14"/>
                <w:b w:val="1"/>
                <w:bCs w:val="1"/>
                <w:color w:val="auto"/>
                <w:w w:val="83"/>
              </w:rPr>
              <w:t>2002</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95"/>
        </w:trPr>
        <w:tc>
          <w:tcPr>
            <w:tcW w:w="4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Borders>
              <w:bottom w:val="single" w:sz="8" w:color="auto"/>
            </w:tcBorders>
            <w:gridSpan w:val="4"/>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4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4"/>
              </w:rPr>
              <w:t>Previously</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Previously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61"/>
        </w:trPr>
        <w:tc>
          <w:tcPr>
            <w:tcW w:w="4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32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4"/>
              </w:rPr>
              <w:t>Restated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Restated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Accounts and notes receivable, net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6"/>
          </w:tcPr>
          <w:p>
            <w:pPr>
              <w:jc w:val="right"/>
              <w:ind w:right="20"/>
              <w:spacing w:after="0"/>
              <w:rPr>
                <w:sz w:val="20"/>
                <w:szCs w:val="20"/>
                <w:color w:val="auto"/>
              </w:rPr>
            </w:pPr>
            <w:r>
              <w:rPr>
                <w:rFonts w:ascii="Arial" w:cs="Arial" w:eastAsia="Arial" w:hAnsi="Arial"/>
                <w:sz w:val="18"/>
                <w:szCs w:val="18"/>
                <w:color w:val="auto"/>
              </w:rPr>
              <w:t>$ 192,119</w:t>
            </w:r>
          </w:p>
        </w:tc>
        <w:tc>
          <w:tcPr>
            <w:tcW w:w="1080" w:type="dxa"/>
            <w:vAlign w:val="bottom"/>
            <w:gridSpan w:val="6"/>
          </w:tcPr>
          <w:p>
            <w:pPr>
              <w:jc w:val="right"/>
              <w:ind w:right="12"/>
              <w:spacing w:after="0"/>
              <w:rPr>
                <w:sz w:val="20"/>
                <w:szCs w:val="20"/>
                <w:color w:val="auto"/>
              </w:rPr>
            </w:pPr>
            <w:r>
              <w:rPr>
                <w:rFonts w:ascii="Arial" w:cs="Arial" w:eastAsia="Arial" w:hAnsi="Arial"/>
                <w:sz w:val="18"/>
                <w:szCs w:val="18"/>
                <w:color w:val="auto"/>
              </w:rPr>
              <w:t>$243,612</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$177,360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$212,578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305,888</w:t>
            </w:r>
          </w:p>
        </w:tc>
        <w:tc>
          <w:tcPr>
            <w:tcW w:w="2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12"/>
              <w:spacing w:after="0"/>
              <w:rPr>
                <w:sz w:val="20"/>
                <w:szCs w:val="20"/>
                <w:color w:val="auto"/>
              </w:rPr>
            </w:pPr>
            <w:r>
              <w:rPr>
                <w:rFonts w:ascii="Arial" w:cs="Arial" w:eastAsia="Arial" w:hAnsi="Arial"/>
                <w:sz w:val="18"/>
                <w:szCs w:val="18"/>
                <w:color w:val="auto"/>
              </w:rPr>
              <w:t>354,663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261,285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295,289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Total assets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352,075</w:t>
            </w:r>
          </w:p>
        </w:tc>
        <w:tc>
          <w:tcPr>
            <w:tcW w:w="20" w:type="dxa"/>
            <w:vAlign w:val="bottom"/>
          </w:tcPr>
          <w:p>
            <w:pPr>
              <w:spacing w:after="0"/>
              <w:rPr>
                <w:sz w:val="18"/>
                <w:szCs w:val="18"/>
                <w:color w:val="auto"/>
              </w:rPr>
            </w:pPr>
          </w:p>
        </w:tc>
        <w:tc>
          <w:tcPr>
            <w:tcW w:w="1080" w:type="dxa"/>
            <w:vAlign w:val="bottom"/>
            <w:gridSpan w:val="6"/>
          </w:tcPr>
          <w:p>
            <w:pPr>
              <w:jc w:val="right"/>
              <w:ind w:right="12"/>
              <w:spacing w:after="0"/>
              <w:rPr>
                <w:sz w:val="20"/>
                <w:szCs w:val="20"/>
                <w:color w:val="auto"/>
              </w:rPr>
            </w:pPr>
            <w:r>
              <w:rPr>
                <w:rFonts w:ascii="Arial" w:cs="Arial" w:eastAsia="Arial" w:hAnsi="Arial"/>
                <w:sz w:val="18"/>
                <w:szCs w:val="18"/>
                <w:color w:val="auto"/>
              </w:rPr>
              <w:t>400,850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310,992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344,996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199,159</w:t>
            </w:r>
          </w:p>
        </w:tc>
        <w:tc>
          <w:tcPr>
            <w:tcW w:w="2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12"/>
              <w:spacing w:after="0"/>
              <w:rPr>
                <w:sz w:val="20"/>
                <w:szCs w:val="20"/>
                <w:color w:val="auto"/>
              </w:rPr>
            </w:pPr>
            <w:r>
              <w:rPr>
                <w:rFonts w:ascii="Arial" w:cs="Arial" w:eastAsia="Arial" w:hAnsi="Arial"/>
                <w:sz w:val="18"/>
                <w:szCs w:val="18"/>
                <w:color w:val="auto"/>
              </w:rPr>
              <w:t>246,595</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179,064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148,379</w:t>
            </w:r>
          </w:p>
        </w:tc>
        <w:tc>
          <w:tcPr>
            <w:tcW w:w="20" w:type="dxa"/>
            <w:vAlign w:val="bottom"/>
          </w:tcPr>
          <w:p>
            <w:pPr>
              <w:spacing w:after="0"/>
              <w:rPr>
                <w:sz w:val="19"/>
                <w:szCs w:val="19"/>
                <w:color w:val="auto"/>
              </w:rPr>
            </w:pPr>
          </w:p>
        </w:tc>
        <w:tc>
          <w:tcPr>
            <w:tcW w:w="1080" w:type="dxa"/>
            <w:vAlign w:val="bottom"/>
            <w:gridSpan w:val="6"/>
          </w:tcPr>
          <w:p>
            <w:pPr>
              <w:jc w:val="right"/>
              <w:ind w:right="12"/>
              <w:spacing w:after="0"/>
              <w:rPr>
                <w:sz w:val="20"/>
                <w:szCs w:val="20"/>
                <w:color w:val="auto"/>
              </w:rPr>
            </w:pPr>
            <w:r>
              <w:rPr>
                <w:rFonts w:ascii="Arial" w:cs="Arial" w:eastAsia="Arial" w:hAnsi="Arial"/>
                <w:sz w:val="18"/>
                <w:szCs w:val="18"/>
                <w:color w:val="auto"/>
              </w:rPr>
              <w:t>149,718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127,730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128,782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 of 72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SELECTED FINANCIAL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2"/>
              </w:rPr>
              <w:t>For the Year ended March 31,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6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6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2002</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2002</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2001</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22"/>
                <w:szCs w:val="22"/>
                <w:color w:val="auto"/>
              </w:rPr>
            </w:pPr>
          </w:p>
        </w:tc>
      </w:tr>
      <w:tr>
        <w:trPr>
          <w:trHeight w:val="95"/>
        </w:trPr>
        <w:tc>
          <w:tcPr>
            <w:tcW w:w="6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6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Previously</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Previously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6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Restated</w:t>
            </w:r>
          </w:p>
        </w:tc>
        <w:tc>
          <w:tcPr>
            <w:tcW w:w="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Reported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Restated</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Income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1,365,065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1,369,392</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1,529,242</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1,522,961</w:t>
            </w:r>
          </w:p>
        </w:tc>
        <w:tc>
          <w:tcPr>
            <w:tcW w:w="6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(1,288,891)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(1,293,568)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(1,457,500)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(1,450,640)</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76,174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75,824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71,742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72,321</w:t>
            </w:r>
          </w:p>
        </w:tc>
        <w:tc>
          <w:tcPr>
            <w:tcW w:w="6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(54,885)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(54,830)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(57,590)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(57,672)</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21,289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20,994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14,649</w:t>
            </w:r>
          </w:p>
        </w:tc>
        <w:tc>
          <w:tcPr>
            <w:tcW w:w="6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16,840</w:t>
            </w:r>
          </w:p>
        </w:tc>
        <w:tc>
          <w:tcPr>
            <w:tcW w:w="6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(5,991)</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(5,947)</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(4,557)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(4,662)</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10,634</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11,026</w:t>
            </w:r>
          </w:p>
        </w:tc>
        <w:tc>
          <w:tcPr>
            <w:tcW w:w="6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Basic earnings per share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0.83</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0.82</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0.55</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0.57</w:t>
            </w:r>
          </w:p>
        </w:tc>
        <w:tc>
          <w:tcPr>
            <w:tcW w:w="6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60" w:type="dxa"/>
            <w:vAlign w:val="bottom"/>
            <w:shd w:val="clear" w:color="auto" w:fill="CCEEFF"/>
          </w:tcPr>
          <w:p>
            <w:pPr>
              <w:spacing w:after="0"/>
              <w:rPr>
                <w:sz w:val="18"/>
                <w:szCs w:val="18"/>
                <w:color w:val="auto"/>
              </w:rPr>
            </w:pPr>
          </w:p>
        </w:tc>
      </w:tr>
      <w:tr>
        <w:trPr>
          <w:trHeight w:val="378"/>
        </w:trPr>
        <w:tc>
          <w:tcPr>
            <w:tcW w:w="6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As of March 31,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5"/>
        </w:trPr>
        <w:tc>
          <w:tcPr>
            <w:tcW w:w="6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6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2002</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2002</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2001</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22"/>
                <w:szCs w:val="22"/>
                <w:color w:val="auto"/>
              </w:rPr>
            </w:pPr>
          </w:p>
        </w:tc>
      </w:tr>
      <w:tr>
        <w:trPr>
          <w:trHeight w:val="95"/>
        </w:trPr>
        <w:tc>
          <w:tcPr>
            <w:tcW w:w="6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6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Previously</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Previously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6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Restated</w:t>
            </w:r>
          </w:p>
        </w:tc>
        <w:tc>
          <w:tcPr>
            <w:tcW w:w="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Reported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Restated</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Accounts and notes receivable,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132,586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161,054</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125,863</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148,657</w:t>
            </w:r>
          </w:p>
        </w:tc>
        <w:tc>
          <w:tcPr>
            <w:tcW w:w="6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240,459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209,828</w:t>
            </w:r>
          </w:p>
        </w:tc>
        <w:tc>
          <w:tcPr>
            <w:tcW w:w="6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257,893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285,243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222,165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243,768</w:t>
            </w:r>
          </w:p>
        </w:tc>
        <w:tc>
          <w:tcPr>
            <w:tcW w:w="6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160,294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132,914</w:t>
            </w:r>
          </w:p>
        </w:tc>
        <w:tc>
          <w:tcPr>
            <w:tcW w:w="60" w:type="dxa"/>
            <w:vAlign w:val="bottom"/>
            <w:shd w:val="clear" w:color="auto" w:fill="CCEEFF"/>
          </w:tcPr>
          <w:p>
            <w:pPr>
              <w:spacing w:after="0"/>
              <w:rPr>
                <w:sz w:val="18"/>
                <w:szCs w:val="18"/>
                <w:color w:val="auto"/>
              </w:rPr>
            </w:pPr>
          </w:p>
        </w:tc>
      </w:tr>
      <w:tr>
        <w:trPr>
          <w:trHeight w:val="222"/>
        </w:trPr>
        <w:tc>
          <w:tcPr>
            <w:tcW w:w="67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116,439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117,316</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103,860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104,988</w:t>
            </w:r>
          </w:p>
        </w:tc>
        <w:tc>
          <w:tcPr>
            <w:tcW w:w="60" w:type="dxa"/>
            <w:vAlign w:val="bottom"/>
          </w:tcPr>
          <w:p>
            <w:pPr>
              <w:spacing w:after="0"/>
              <w:rPr>
                <w:sz w:val="19"/>
                <w:szCs w:val="19"/>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 of 72</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discussion should be read in conjunction with “Item 6 - Selected Financial Data,” and with the consolidated financial statements and related notes thereto appearing elsewhere in this Form 10-K. The following discussion may contain forward-looking statements, and our actual results may differ significantly from the results suggested by these forward-looking statements. Some factors that may cause our results to differ materially from the results and events anticipated or implied by such forward-looking statements are described in “Item 1 – Business – Risk Factors.”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market fuel and related services to marine and aviation customers throughout the world. In our marine fuel services business, we offer marine fuel and related services to a broad base of customers, including international container and tanker fleets, and time-charter operators, as well as to the United States and foreign governments. In our aviation fuel services business, we offer aviation fuel and related services to passenger, cargo and charter airlines, as well as to corporate customers and the United States and foreign governments. We provide competitive prices, credit terms, fuel management and price risk management services, and single-supplier convenience. We also offer flight plans and weather reports to our corporate aviation customers.</w:t>
      </w:r>
    </w:p>
    <w:p>
      <w:pPr>
        <w:spacing w:after="0" w:line="102"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In our marine fuel services business, we purchase and resell fuel, and act as brokers for others. Profit from our marine fuel services business is determined primarily by the volume and commission rate of brokering business generated and by the volume and gross profit achieved on fuel resales. Our profitability also depends on our operating expenses, which may be significantly affected to the extent that we are required to provide for potential bad debts. Profit from our aviation fuel services business is directly related to the volume and the gross profit achieved on fuel sales, as well as our operating expenses, which may be significantly affected to the extent that we are required to provide for potential bad debts. We do not act as brokers for our aviation fuel services business.</w:t>
      </w:r>
    </w:p>
    <w:p>
      <w:pPr>
        <w:spacing w:after="0" w:line="8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January 2002 and April 2004, we acquired the operations of the Oil Shipping group of companies and Tramp Oil, respectively. These acquisitions form part of our worldwide marine fuel services business and were accounted for as purchases. Accordingly, the results of operations of these acquisitions were included with our results since their respective dates of acquisition. In December 2000, we entered into a joint venture agreement with Signature Flight Support Corporation through the acquisition of a 50% equity interest in PAFCO. From January 1, 2001 to December 31, 2003, we used the equity method of accounting to record our share of the earnings and losses of this aviation joint venture. In addition, the amortized interest expense on the non-interest bearing promissory note was also included in net earnings from this aviation joint venture. Effective January 1, 2004, with the implementation of FIN No. 46, we consolidated PAFCO’s financial position and results of operations, after elimination of all significant intercompany accounts, transactions and profits.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restated our previously reported consolidated financial statements for the years ended December 31, 2003 and 2002, the nine months ended December 31, 2002, and the year ended March 31, 2002. The restatement reflects the correction of the cutoff procedures used by the Company for recognizing sales and sales related costs. Under the corrected cutoff procedures, revenues and sales related costs are recognized at the time fuel deliveries are made and related services are performed. Because we contract with third parties for fuel deliveries and the performance of the related services, this causes delays in our receiving the necessary information for invoicing. As a result of these delays, the Company had historically recorded revenue and sales related costs when supporting documentation relating to fuel deliveries and related services had been received from third parties.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8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two reportable operating businesses: marine and aviation fuel services. Corporate expenses are allocated to the segments based on usage, where possible, or on other factors according to the nature of the activity. Financial information with respect to our business segments is provided in Note 9 to the accompanying consolidated financial statements included in this Form 10-K.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 of 72</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discussion and analysis of our financial condition and results of operations are based upon the consolidated financial statements included elsewhere in this Form 10-K, which have been prepared in accordance with accounting principles generally accepted in the United States.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unbilled revenue and related costs of sales, bad debts, deferred tax assets and liabilities, goodwill and identifiable intangible assets, and certain accrued liabilities.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0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have identified the policies below as critical to our business operations and the understanding of our results of operations. For a detailed discussion on the application of these and other accounting policies, see Note 1 to the accompanying consolidated financial statements included in this Form 10-K.</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is recognized when fuel deliveries are made and title passes to the customer, or as fuel related services are performed.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and Notes Receivable and Allowance for Bad Debts</w:t>
      </w:r>
    </w:p>
    <w:p>
      <w:pPr>
        <w:spacing w:after="0" w:line="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Credit extension, monitoring and collection are performed by each of our business segments. Each segment has a credit committee. The credit committees are responsible for approving credit limits above certain amounts, setting and maintaining credit standards, and managing the overall quality of the credit portfolio. We perform ongoing credit evaluations of our customers and adjust credit limits based upon payment history and the customer’s current credit worthiness, as determined by our review of our customer’s credit information. We extend credit on an unsecured basis to many of our customers. Accounts receivable are deemed past due based on contractual terms agreed with our customers.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continuously monitor collections and payments from our customers and maintain a provision for estimated credit losses based upon our historical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experience with our customers, current market and industry conditions of our customers, and any specific customer collection issues that we have identified.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Accounts and notes receivable are reduced by an allowance for amounts that may become uncollectible in the future. We had accounts and notes receivable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$490.8 million and $243.6 million, net of allowance for bad debts of $11.3 million and $10.5 million, as of December 31, 2004 and 2003, respectively. Accounts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notes receivable are written-off when it becomes apparent based upon age or customer circumstances that such amounts will not be collected.</w:t>
      </w:r>
    </w:p>
    <w:p>
      <w:pPr>
        <w:spacing w:after="0" w:line="17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believe the level of our allowance for bad debts is reasonable based on our experience and our analysis of the net realizable value of our trade receivables at December 31, 2004. We cannot guarantee that we will continue to experience the same credit loss rates that we have experienced in the past, since adverse changes in the marine and aviation industries, or changes in the liquidity or financial position of our customers, could have a material adverse effect on the collectability of our Accounts and notes receivable and our future operating results. If credit losses exceed established allowances, our results of operation and financial condition may be adversely affected. For additional information on the credit risks inherent in our business, see “Risk Factors” in Item 1 of this Form 10-K.</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 and Identifiable Intangible Assets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Goodwill represents our cost in excess of net assets, including identifiable intangible assets, of the acquired companies and the PAFCO aviation joint venture. The identifiable intangible assets for customer relations existing at the date the acquisitions were recorded and are being amortized over their useful lives of five to seven years. We account for goodwill and identifiable intangible assets in accordance with Statement of Financial Accounting Standards (“SFAS”) No. 142, “Goodwill and Other Intangible Assets.” Among other provisions, SFAS No. 142 states that goodwill shall not be amortized prospectively. We recorded amortization of our identifiable intangible assets of $1.2 million for the year ended December 31, 2004, $368 thousand for the years ended December 31, 2003 and 2002, and $276 thousand for the nine months ended December 31, 2002.</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18 of 72</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future estimated amortization of our identifiable intangible assets is as follows (in thousands):</w:t>
      </w:r>
    </w:p>
    <w:p>
      <w:pPr>
        <w:spacing w:after="0" w:line="153"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For the Year ending December 31,</w:t>
            </w:r>
          </w:p>
        </w:tc>
        <w:tc>
          <w:tcPr>
            <w:tcW w:w="2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2006</w:t>
            </w:r>
          </w:p>
        </w:tc>
        <w:tc>
          <w:tcPr>
            <w:tcW w:w="3040" w:type="dxa"/>
            <w:vAlign w:val="bottom"/>
            <w:gridSpan w:val="3"/>
          </w:tcPr>
          <w:p>
            <w:pPr>
              <w:jc w:val="right"/>
              <w:ind w:right="2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2008</w:t>
            </w:r>
          </w:p>
        </w:tc>
        <w:tc>
          <w:tcPr>
            <w:tcW w:w="3040" w:type="dxa"/>
            <w:vAlign w:val="bottom"/>
            <w:gridSpan w:val="3"/>
          </w:tcPr>
          <w:p>
            <w:pPr>
              <w:jc w:val="right"/>
              <w:ind w:right="2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Thereafter</w:t>
            </w:r>
          </w:p>
        </w:tc>
        <w:tc>
          <w:tcPr>
            <w:tcW w:w="3040" w:type="dxa"/>
            <w:vAlign w:val="bottom"/>
            <w:gridSpan w:val="3"/>
          </w:tcPr>
          <w:p>
            <w:pPr>
              <w:jc w:val="right"/>
              <w:ind w:right="2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$7,486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-27305</wp:posOffset>
            </wp:positionV>
            <wp:extent cx="32131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22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accordance with SFAS No. 142, goodwill must be reviewed annually (or more frequently under certain circumstances) for impairment. The initial step of the goodwill impairment test compares the fair value of a reporting unit with its carrying amount, including goodwill. Based on results of these comparisons as of December 31, 2004, goodwill in each of our reporting units is not considered impaired. Accordingly, no impairment charges were recognized.</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Income tax expense is provided for using the asset and liability method, under which deferred tax assets and liabilities are determined based upon the temporary differences between the financial statement and income tax bases of assets and liabilities using currently enacted tax rates. Deferred tax assets are reduced by a valuation allowance if, based on the weight of available evidence, it is more likely than not that all or a portion of the recorded deferred tax assets will not be realized in future periods. As of December 31, 2004, we have not recorded a valuation allowance.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Overview</w:t>
      </w:r>
    </w:p>
    <w:p>
      <w:pPr>
        <w:spacing w:after="0" w:line="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profitability improved in 2004 due to increases both in metric tons of fuel sold in marine and in gallons of fuel sold in aviation, and a decrease in the provision for bad debts. Earnings were adversely affected by decreases in both the gross profit per metric ton sold in marine and gross profit per gallon sold in aviation, by increases in salaries and wages and in other operating expenses, and by the effect of non-operating expenses recorded in 2004 versus non-operating income recorded in 2003.</w:t>
      </w:r>
    </w:p>
    <w:p>
      <w:pPr>
        <w:spacing w:after="0" w:line="13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increase in marine business volume in 2004 was primarily due to the Tramp Oil acquisition and additional sales to new and existing customers. The decrease in gross profit per metric ton sold in marine in 2004 reflects sustained high marine fuel prices, competitive pressures, and the acquisition of lower margin business from Tramp Oil. The increase in sales volume and the decrease in gross profit per gallon in the aviation business in 2004 were primarily due to growth in our fuel management business, which is a higher credit quality, lower margin business, as well as new commercial business. The decrease in the provision for bad debts in 2004 was primarily due to a shift of business in favor of higher credit quality, high volume commercial business as well as the recording of bad debt expenses in 2003 relating to the write-off of receivables from two international airlines that filed for bankruptcy. The increases in salaries and wages and other operating expenses in 2004 were due to the additional operating costs of Tramp Oil as well as higher overall operating costs associated with increased business activities. Negative changes in non-operating items in 2004 were primarily due to the recognition of exchange losses relating to the conversion into US dollars of foreign currencies acquired in connection with the Tramp Oil acquisition and higher interest expense associated with borrowings under our revolving credit facility.</w:t>
      </w:r>
    </w:p>
    <w:p>
      <w:pPr>
        <w:spacing w:after="0" w:line="10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may experience decreases in future sales volume and margins as a result of deterioration in the world economy, or in the shipping or aviation industries, and continued conflicts and instability in the Middle East, Asia and Latin America, as well as potential future terrorist activities and possible military retaliation. In addition, because fuel costs represent a significant part of a vessel’s and airline’s operating expenses, volatile and/or high fuel prices can adversely affect our customers’ businesses, and consequently the demand for our services, and our results of operations. See “Risk Factors” in Item 1 of this Form 10-K.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 of 72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2004 compared to Year ended December 31, 2003</w:t>
      </w:r>
    </w:p>
    <w:p>
      <w:pPr>
        <w:spacing w:after="0" w:line="7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u w:val="single" w:color="auto"/>
          <w:color w:val="auto"/>
        </w:rPr>
        <w:t>Revenue.</w:t>
      </w:r>
      <w:r>
        <w:rPr>
          <w:rFonts w:ascii="Arial" w:cs="Arial" w:eastAsia="Arial" w:hAnsi="Arial"/>
          <w:sz w:val="18"/>
          <w:szCs w:val="18"/>
          <w:color w:val="auto"/>
        </w:rPr>
        <w:t xml:space="preserve"> Our revenue for the year ended December 31, 2004 was $5.65 billion, an increase of $2.98 billion, as compared to revenue of $2.67 billion for the year ended December 31, 2003. Our revenue increase was primarily due to increases in business volume in marine and aviation. Our revenue during these periods was attributable to the following segments (in thousands):</w:t>
      </w:r>
    </w:p>
    <w:p>
      <w:pPr>
        <w:spacing w:after="0" w:line="122"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4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5"/>
          </w:tcPr>
          <w:p>
            <w:pPr>
              <w:spacing w:after="0"/>
              <w:rPr>
                <w:sz w:val="20"/>
                <w:szCs w:val="20"/>
                <w:color w:val="auto"/>
              </w:rPr>
            </w:pPr>
            <w:r>
              <w:rPr>
                <w:rFonts w:ascii="Arial" w:cs="Arial" w:eastAsia="Arial" w:hAnsi="Arial"/>
                <w:sz w:val="14"/>
                <w:szCs w:val="14"/>
                <w:b w:val="1"/>
                <w:bCs w:val="1"/>
                <w:color w:val="auto"/>
                <w:w w:val="90"/>
              </w:rPr>
              <w:t>For the Year ended December 31,</w:t>
            </w:r>
          </w:p>
        </w:tc>
        <w:tc>
          <w:tcPr>
            <w:tcW w:w="0" w:type="dxa"/>
            <w:vAlign w:val="bottom"/>
          </w:tcPr>
          <w:p>
            <w:pPr>
              <w:spacing w:after="0"/>
              <w:rPr>
                <w:sz w:val="1"/>
                <w:szCs w:val="1"/>
                <w:color w:val="auto"/>
              </w:rPr>
            </w:pPr>
          </w:p>
        </w:tc>
      </w:tr>
      <w:tr>
        <w:trPr>
          <w:trHeight w:val="95"/>
        </w:trPr>
        <w:tc>
          <w:tcPr>
            <w:tcW w:w="4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240"/>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ind w:left="22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Marine fuel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3,031,474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1,644,598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Aviation fuel services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2,622,899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ind w:left="120"/>
              <w:spacing w:after="0"/>
              <w:rPr>
                <w:sz w:val="20"/>
                <w:szCs w:val="20"/>
                <w:color w:val="auto"/>
              </w:rPr>
            </w:pPr>
            <w:r>
              <w:rPr>
                <w:rFonts w:ascii="Arial" w:cs="Arial" w:eastAsia="Arial" w:hAnsi="Arial"/>
                <w:sz w:val="18"/>
                <w:szCs w:val="18"/>
                <w:color w:val="auto"/>
                <w:w w:val="84"/>
              </w:rPr>
              <w:t>1,026,959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5,654,373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2,671,557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-29210</wp:posOffset>
            </wp:positionV>
            <wp:extent cx="12731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3175" cy="29845"/>
                    </a:xfrm>
                    <a:prstGeom prst="rect">
                      <a:avLst/>
                    </a:prstGeom>
                    <a:noFill/>
                  </pic:spPr>
                </pic:pic>
              </a:graphicData>
            </a:graphic>
          </wp:anchor>
        </w:drawing>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marine fuel services segment contributed $3.03 billion in revenue for the year ended December 31, 2004, an increase of $1.39 billion, or 84.3%, over the prior year. Of the total increase in marine revenue, $1.25 billion pertained to increased business volume, primarily due to the acquisition of Tramp Oil, as well as additional sales to new and existing customers. The remaining revenue increase of $134.4 million was due to a 6.8% increase in the average price per metric ton sold. Our aviation fuel services segment contributed $2.62 billion in revenue for the year ended December 31, 2004, an increase of $1.59 billion over the prior year. Increased volume in aviation contributed $970.0 million of the total increase in aviation revenue, with the remaining revenue increase of $626.0 million pertaining to a 30.4% increase in the average price per gallon sold. The increase in aviation sales volume was largely due to the growth in our fuel management business, new commercial business, and the consolidation of PAFCO, our aviation joint venture with Signature. See Note 7 to the accompanying consolidated financial statements included in this Form 10-K for additional information.</w:t>
      </w:r>
    </w:p>
    <w:p>
      <w:pPr>
        <w:spacing w:after="0" w:line="10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u w:val="single" w:color="auto"/>
          <w:color w:val="auto"/>
        </w:rPr>
        <w:t>Gross Profit.</w:t>
      </w:r>
      <w:r>
        <w:rPr>
          <w:rFonts w:ascii="Arial" w:cs="Arial" w:eastAsia="Arial" w:hAnsi="Arial"/>
          <w:sz w:val="16"/>
          <w:szCs w:val="16"/>
          <w:color w:val="auto"/>
        </w:rPr>
        <w:t xml:space="preserve"> Our gross profit of $130.0 million for the year ended December 31, 2004 increased $28.8 million, or 28.5%, as compared to the prior year. Our gross margin decreased from 3.8% for the year ended December 31, 2003, to 2.3% for the year ended December 31, 2004. Our marine fuel services gross margin of 2.1% decreased from 3.0% in the prior year. However, our gross profit in the marine fuel services segment increased $14.4 million, or 29.5%, due to increased business volume, partially offset by a lower gross profit per metric ton sold. Our marine segment gross profit was also reduced due to a write-down in the fourth quarter of 2004 of fuel inventory associated with our exit from the Panamanian market, a market area we acquired as part of the Tramp Oil transaction. The decrease in gross profit per metric ton sold in marine reflects competitive pressures. Our gross profit in the aviation fuel services business increased $14.4 million, or 27.6%, while our aviation fuel services gross margin decreased to 2.5% for the year ended December 31, 2004, as compared to 5.1% for the prior year. The increase in our gross profit in the aviation fuel services segment was primarily due to increased business volume. The decrease in aviation gross margin reflects the business volume growth in our lower margin fuel management business.</w:t>
      </w:r>
    </w:p>
    <w:p>
      <w:pPr>
        <w:spacing w:after="0" w:line="10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u w:val="single" w:color="auto"/>
          <w:color w:val="auto"/>
        </w:rPr>
        <w:t>Operating Expenses.</w:t>
      </w:r>
      <w:r>
        <w:rPr>
          <w:rFonts w:ascii="Arial" w:cs="Arial" w:eastAsia="Arial" w:hAnsi="Arial"/>
          <w:sz w:val="16"/>
          <w:szCs w:val="16"/>
          <w:color w:val="auto"/>
        </w:rPr>
        <w:t xml:space="preserve"> Total operating expenses for the year ended December 31, 2004 were $93.0 million, as compared to $73.8 million for the year ended December 31, 2003. The increase in operating expenses of $19.2 million, or 26.0%, was due to increases in salaries and wages of $13.0 million and in other operating expenses of $8.1 million, partially offset by a decrease in provision for bad debts of $1.9 million. The overall increase in operating expenses for 2004 reflects the additional operating expenses of Tramp Oil and the overall higher operating costs associated with increased business activities. The increase in salaries and wages was primarily due to new hires, the additional employees from Tramp Oil, and higher performance based incentive compensation. The increase in other operating expenses was primarily the result of the additional other operating expenses of Tramp Oil, higher business travel, in part due to the acquisition and integration of Tramp Oil, and higher professional fees, insurance, payroll taxes and credit facility loan and letters of credit fees. The decrease in the provision for bad debts for 2004 was primarily due to a shift of business in favor of higher credit quality, high volume commercial business, and market condition improvement of our marine customers as well as the recording of bad debt expenses in 2003 relating to the write-off of receivables from two international airlines that filed for bankruptcy.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20 of 72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u w:val="single" w:color="auto"/>
          <w:color w:val="auto"/>
        </w:rPr>
        <w:t>Operating Income.</w:t>
      </w:r>
      <w:r>
        <w:rPr>
          <w:rFonts w:ascii="Arial" w:cs="Arial" w:eastAsia="Arial" w:hAnsi="Arial"/>
          <w:sz w:val="18"/>
          <w:szCs w:val="18"/>
          <w:color w:val="auto"/>
        </w:rPr>
        <w:t xml:space="preserve"> Our income from operations for the year ended December 31, 2004 was $37.0 million, an increase of $9.6 million, or 35.2%, as compared to income from operations for the year ended December 31, 2003. Income from operations during these periods by segment was as follows (in thousands):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29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89"/>
              </w:rPr>
              <w:t>For the Year ended December 31,</w:t>
            </w:r>
          </w:p>
        </w:tc>
      </w:tr>
      <w:tr>
        <w:trPr>
          <w:trHeight w:val="95"/>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770" w:type="dxa"/>
            <w:vAlign w:val="bottom"/>
          </w:tcPr>
          <w:p>
            <w:pPr>
              <w:jc w:val="right"/>
              <w:ind w:right="238"/>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38"/>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r>
      <w:tr>
        <w:trPr>
          <w:trHeight w:val="95"/>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77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Restated</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Marine fuel services</w:t>
            </w:r>
          </w:p>
        </w:tc>
        <w:tc>
          <w:tcPr>
            <w:tcW w:w="27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23,150</w:t>
            </w:r>
          </w:p>
        </w:tc>
        <w:tc>
          <w:tcPr>
            <w:tcW w:w="3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18,476</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Aviation fuel services</w:t>
            </w:r>
          </w:p>
        </w:tc>
        <w:tc>
          <w:tcPr>
            <w:tcW w:w="26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29,093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21,970</w:t>
            </w:r>
          </w:p>
        </w:tc>
        <w:tc>
          <w:tcPr>
            <w:tcW w:w="60" w:type="dxa"/>
            <w:vAlign w:val="bottom"/>
          </w:tcPr>
          <w:p>
            <w:pPr>
              <w:spacing w:after="0"/>
              <w:rPr>
                <w:sz w:val="19"/>
                <w:szCs w:val="19"/>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40,446</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Corporate overhead</w:t>
            </w:r>
          </w:p>
        </w:tc>
        <w:tc>
          <w:tcPr>
            <w:tcW w:w="26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70" w:type="dxa"/>
            <w:vAlign w:val="bottom"/>
            <w:gridSpan w:val="2"/>
          </w:tcPr>
          <w:p>
            <w:pPr>
              <w:jc w:val="right"/>
              <w:ind w:right="240"/>
              <w:spacing w:after="0"/>
              <w:rPr>
                <w:sz w:val="20"/>
                <w:szCs w:val="20"/>
                <w:color w:val="auto"/>
              </w:rPr>
            </w:pPr>
            <w:r>
              <w:rPr>
                <w:rFonts w:ascii="Arial" w:cs="Arial" w:eastAsia="Arial" w:hAnsi="Arial"/>
                <w:sz w:val="18"/>
                <w:szCs w:val="18"/>
                <w:color w:val="auto"/>
              </w:rPr>
              <w:t>(15,267)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(13,104)</w:t>
            </w: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7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36,976</w:t>
            </w:r>
          </w:p>
        </w:tc>
        <w:tc>
          <w:tcPr>
            <w:tcW w:w="3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27,342</w:t>
            </w:r>
          </w:p>
        </w:tc>
        <w:tc>
          <w:tcPr>
            <w:tcW w:w="60" w:type="dxa"/>
            <w:vAlign w:val="bottom"/>
            <w:shd w:val="clear" w:color="auto" w:fill="CCEEFF"/>
          </w:tcPr>
          <w:p>
            <w:pPr>
              <w:spacing w:after="0"/>
              <w:rPr>
                <w:sz w:val="18"/>
                <w:szCs w:val="18"/>
                <w:color w:val="auto"/>
              </w:rPr>
            </w:pPr>
          </w:p>
        </w:tc>
      </w:tr>
      <w:tr>
        <w:trPr>
          <w:trHeight w:val="132"/>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7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-29210</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The marine fuel services segment earned $23.2 million in income from operations for the year ended December 31, 2004, an increase of $4.7 million, or 25.3%, as compared to the prior year. This increase reflects the 29.5% growth in gross profit, partially offset by higher operating expenses. The aviation fuel services segment’s income from operations was $29.1 million for the year ended December 31, 2004, an increase of $7.1 million, or 32.4%, as compared to the prior year. This improvement was due to the 27.6% increase in gross profit, partially offset by increased operating expenses. Corporate overhead costs not charged to the business segments totaled $15.3 million for the year ended December 31, 2004, as compared to $13.1 million during the prior year. For explanations of the increases in operating expenses for the year ended December 31, 2004 as compared to the prior year, see the above discussion on operating expenses.</w:t>
      </w:r>
    </w:p>
    <w:p>
      <w:pPr>
        <w:spacing w:after="0" w:line="13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u w:val="single" w:color="auto"/>
          <w:color w:val="auto"/>
        </w:rPr>
        <w:t>Other Income (Expense).</w:t>
      </w:r>
      <w:r>
        <w:rPr>
          <w:rFonts w:ascii="Arial" w:cs="Arial" w:eastAsia="Arial" w:hAnsi="Arial"/>
          <w:sz w:val="18"/>
          <w:szCs w:val="18"/>
          <w:color w:val="auto"/>
        </w:rPr>
        <w:t xml:space="preserve"> During the year ended December 31, 2004, we reported $1.4 million in other expense, net, as compared to other income, net, of $628 thousand for the prior year. This $2.1 million variance was primarily due to the recognition of exchange losses relating to conversion into U.S. dollars of foreign currencies acquired in connection with the Tramp Oil acquisition, increased interest expense due to borrowings on our revolving credit facility for working capital, and the effect of the consolidation of our PAFCO aviation joint venture.</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xml:space="preserve"> For the year ended December 31, 2004, our effective tax rate was 19.6%, for an income tax provision of $7.0 million, as compared to 20.8% and an income tax provision of $5.8 million for the year ended December 31, 2003. The lower tax rate resulted primarily from increased operating income in low tax foreign jurisdictions.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Net Income and Diluted Earnings per Share.</w:t>
      </w:r>
      <w:r>
        <w:rPr>
          <w:rFonts w:ascii="Arial" w:cs="Arial" w:eastAsia="Arial" w:hAnsi="Arial"/>
          <w:sz w:val="16"/>
          <w:szCs w:val="16"/>
          <w:color w:val="auto"/>
        </w:rPr>
        <w:t xml:space="preserve"> Net income and diluted earnings per share for the year ended December 31, 2004 were $28.6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$1.22, respectively, as compared to $22.2 million and $0.99 during the prior year. Included in the results for the year ended December 31, 2004 was a charge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$824 thousand, or $0.04 per basic and diluted share, relating to the inventory write-down in the fourth quarter of 2004 associated with our exit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Panamanian market, net of reduced performance based compensation and taxes.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21 of 72</w:t>
      </w:r>
    </w:p>
    <w:p>
      <w:pPr>
        <w:sectPr>
          <w:pgSz w:w="11900" w:h="16838" w:orient="portrait"/>
          <w:cols w:equalWidth="0" w:num="1">
            <w:col w:w="11320"/>
          </w:cols>
          <w:pgMar w:left="24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2003 compared to Year ended December 31, 2002 (unaudited)</w:t>
      </w:r>
    </w:p>
    <w:p>
      <w:pPr>
        <w:spacing w:after="0" w:line="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u w:val="single" w:color="auto"/>
          <w:color w:val="auto"/>
        </w:rPr>
        <w:t>Revenue.</w:t>
      </w:r>
      <w:r>
        <w:rPr>
          <w:rFonts w:ascii="Arial" w:cs="Arial" w:eastAsia="Arial" w:hAnsi="Arial"/>
          <w:sz w:val="16"/>
          <w:szCs w:val="16"/>
          <w:color w:val="auto"/>
        </w:rPr>
        <w:t xml:space="preserve"> Our revenue for the year ended December 31, 2003 was $2.67 billion, an increase of $767.2 million, or 40.3%, as compared to revenue of $1.90 billion for the year ended December 31, 2002. Our revenue increase was mainly due to increases in both business volume and fuel sale prices, related to higher world oil prices. Our revenue during these periods was attributable to the following segments (in thousands):</w:t>
      </w:r>
    </w:p>
    <w:p>
      <w:pPr>
        <w:spacing w:after="0" w:line="89"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For the Year ended December 31,</w:t>
            </w: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center"/>
              <w:ind w:right="42"/>
              <w:spacing w:after="0"/>
              <w:rPr>
                <w:sz w:val="20"/>
                <w:szCs w:val="20"/>
                <w:color w:val="auto"/>
              </w:rPr>
            </w:pPr>
            <w:r>
              <w:rPr>
                <w:rFonts w:ascii="Arial" w:cs="Arial" w:eastAsia="Arial" w:hAnsi="Arial"/>
                <w:sz w:val="14"/>
                <w:szCs w:val="14"/>
                <w:b w:val="1"/>
                <w:bCs w:val="1"/>
                <w:color w:val="auto"/>
                <w:w w:val="83"/>
              </w:rPr>
              <w:t>2002</w:t>
            </w: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Restated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42"/>
              <w:spacing w:after="0"/>
              <w:rPr>
                <w:sz w:val="20"/>
                <w:szCs w:val="20"/>
                <w:color w:val="auto"/>
              </w:rPr>
            </w:pPr>
            <w:r>
              <w:rPr>
                <w:rFonts w:ascii="Arial" w:cs="Arial" w:eastAsia="Arial" w:hAnsi="Arial"/>
                <w:sz w:val="14"/>
                <w:szCs w:val="14"/>
                <w:b w:val="1"/>
                <w:bCs w:val="1"/>
                <w:color w:val="auto"/>
                <w:w w:val="84"/>
              </w:rPr>
              <w:t>Restated</w:t>
            </w: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2"/>
              <w:spacing w:after="0"/>
              <w:rPr>
                <w:sz w:val="20"/>
                <w:szCs w:val="20"/>
                <w:color w:val="auto"/>
              </w:rPr>
            </w:pPr>
            <w:r>
              <w:rPr>
                <w:rFonts w:ascii="Arial" w:cs="Arial" w:eastAsia="Arial" w:hAnsi="Arial"/>
                <w:sz w:val="14"/>
                <w:szCs w:val="14"/>
                <w:b w:val="1"/>
                <w:bCs w:val="1"/>
                <w:color w:val="auto"/>
                <w:w w:val="90"/>
              </w:rPr>
              <w:t>Unaudited</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Marine fuel services</w:t>
            </w:r>
          </w:p>
        </w:tc>
        <w:tc>
          <w:tcPr>
            <w:tcW w:w="2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1,644,598</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1,287,417</w:t>
            </w: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Aviation fuel services</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w w:val="84"/>
              </w:rPr>
              <w:t>1,026,959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616,948</w:t>
            </w: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2,671,557</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1,904,365</w:t>
            </w: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-27305</wp:posOffset>
            </wp:positionV>
            <wp:extent cx="140208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02080" cy="29845"/>
                    </a:xfrm>
                    <a:prstGeom prst="rect">
                      <a:avLst/>
                    </a:prstGeom>
                    <a:noFill/>
                  </pic:spPr>
                </pic:pic>
              </a:graphicData>
            </a:graphic>
          </wp:anchor>
        </w:drawing>
      </w:r>
    </w:p>
    <w:p>
      <w:pPr>
        <w:spacing w:after="0" w:line="22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marine fuel services segment contributed $1.64 billion in revenue for the year ended December 31, 2003, an increase of $357.2 million, or 27.7%, over the prior year. The increase in revenue was primarily due to a 19.0% increase in the average price per metric ton sold and an 8.1% increase in the volume of metric tons sold. Our aviation fuel services segment contributed $1.03 billion in revenue for the year ended December 31, 2003, an increase of $410.0 million, or 66.5%, over the prior year. The increase in revenue was due to a 55.3% increase in the volume of gallons sold and a 7.2% increase in the average price per gallon sold. The significant increase in aviation sales volume was due to new commercial and government business as well as increases in wholesale activities and fuel management business.</w:t>
      </w:r>
    </w:p>
    <w:p>
      <w:pPr>
        <w:spacing w:after="0" w:line="13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u w:val="single" w:color="auto"/>
          <w:color w:val="auto"/>
        </w:rPr>
        <w:t>Gross Profit.</w:t>
      </w:r>
      <w:r>
        <w:rPr>
          <w:rFonts w:ascii="Arial" w:cs="Arial" w:eastAsia="Arial" w:hAnsi="Arial"/>
          <w:sz w:val="16"/>
          <w:szCs w:val="16"/>
          <w:color w:val="auto"/>
        </w:rPr>
        <w:t xml:space="preserve"> Our gross profit of $101.1 million for the year ended December 31, 2003 increased $17.3 million, or 20.6%, as compared to the prior year. On the other hand, our gross margin decreased from 4.4% for the year ended December 31, 2002, to 3.8% for the year ended December 31, 2003. Our marine fuel services gross margin increased to 3.0% from 2.9% in the prior year, however, our gross profit in the marine fuel services segment increased $11.1 million due to increases in our average gross profit per metric ton sold and brokered of 26.8% and 4.3%, respectively. The increase in our gross profit per metric ton in marine was primarily due to better pricing. Our gross profit in the aviation fuel services business increased $6.2 million while our aviation fuel services gross margin decreased to 5.1% for the year ended December 31, 2003, as compared to 7.5% for the prior year. The increase in our gross profit in the aviation fuel services segment was primarily due to increased business volume. The decrease in aviation fuel services gross margin reflects increases in our wholesale and fuel management business, which are higher quality, lower margin businesses.</w:t>
      </w:r>
    </w:p>
    <w:p>
      <w:pPr>
        <w:spacing w:after="0" w:line="10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u w:val="single" w:color="auto"/>
          <w:color w:val="auto"/>
        </w:rPr>
        <w:t>Operating Expenses.</w:t>
      </w:r>
      <w:r>
        <w:rPr>
          <w:rFonts w:ascii="Arial" w:cs="Arial" w:eastAsia="Arial" w:hAnsi="Arial"/>
          <w:sz w:val="16"/>
          <w:szCs w:val="16"/>
          <w:color w:val="auto"/>
        </w:rPr>
        <w:t xml:space="preserve"> Total operating expenses for the year ended December 31, 2003 were $73.8 million, as compared to $63.8 million for the year ended December 31, 2002. Included in operating expenses for the year ended December 31, 2002 were executive severance charges totaling $4.5 million, of which $3.7 million related to our former Chairman and Chief Executive Officer and the remaining amounts were for our former Chief Financial Officer, Chief Information Officer, and two other executives. Excluding the 2002 executive severance charges, the increase in operating expenses of $14.5 million related to all three categories of expenses: salaries and wages, provision for bad debts, and other operating expenses. The $7.4 million increase in salaries and wages was due to new employees to support our business process improvements and continued business expansion, the front-end cost of some business process improvement initiatives, and payments and accruals for performance based incentive compensation payouts. Incentive compensation accounted for the largest part of the increase in salaries and wages. The increase in provision for bad debts of $3.4 million primarily resulted from the recording of additional general allowance for bad debts for estimated credit losses as well as reserve for two bankrupt international airlines. The $3.7 million increase in other operating expenses was also primarily related to our business process improvements and continued business expansion, as well as to higher overall operating costs primarily relating to increases in insurance cost, office rent, depreciation and amortization expenses, travel and entertainment expenses, and independent directors’ cash compensation and non-cash compensation related to stock-based awards, which was mostly related to the amortization of the fair value of the stock options granted over the applicable one year vesting period.</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22 of 72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Operating Income.</w:t>
      </w:r>
      <w:r>
        <w:rPr>
          <w:rFonts w:ascii="Arial" w:cs="Arial" w:eastAsia="Arial" w:hAnsi="Arial"/>
          <w:sz w:val="16"/>
          <w:szCs w:val="16"/>
          <w:color w:val="auto"/>
        </w:rPr>
        <w:t xml:space="preserve"> Our income from operations for the year ended December 31, 2003 was $27.3 million, as compared to $20.0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2002. Income from operations during these periods by segment was as follows (in thousands):</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0"/>
              </w:rPr>
              <w:t>For the Year ended December 31,</w:t>
            </w: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40"/>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2002</w:t>
            </w:r>
          </w:p>
        </w:tc>
        <w:tc>
          <w:tcPr>
            <w:tcW w:w="60" w:type="dxa"/>
            <w:vAlign w:val="bottom"/>
          </w:tcPr>
          <w:p>
            <w:pPr>
              <w:spacing w:after="0"/>
              <w:rPr>
                <w:sz w:val="22"/>
                <w:szCs w:val="22"/>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7"/>
              </w:rPr>
              <w:t>Restated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Restated</w:t>
            </w:r>
          </w:p>
        </w:tc>
      </w:t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Unaudited</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Marine fuel services</w:t>
            </w:r>
          </w:p>
        </w:tc>
        <w:tc>
          <w:tcPr>
            <w:tcW w:w="2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18,476</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13,366</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Aviation fuel services</w:t>
            </w: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21,970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18,962</w:t>
            </w:r>
          </w:p>
        </w:tc>
        <w:tc>
          <w:tcPr>
            <w:tcW w:w="60" w:type="dxa"/>
            <w:vAlign w:val="bottom"/>
          </w:tcPr>
          <w:p>
            <w:pPr>
              <w:spacing w:after="0"/>
              <w:rPr>
                <w:sz w:val="19"/>
                <w:szCs w:val="19"/>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32,328</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Corporate overhead</w:t>
            </w: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(13,104)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(12,301)</w:t>
            </w: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27,342</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20,027</w:t>
            </w:r>
          </w:p>
        </w:tc>
        <w:tc>
          <w:tcPr>
            <w:tcW w:w="60" w:type="dxa"/>
            <w:vAlign w:val="bottom"/>
            <w:shd w:val="clear" w:color="auto" w:fill="CCEEFF"/>
          </w:tcPr>
          <w:p>
            <w:pPr>
              <w:spacing w:after="0"/>
              <w:rPr>
                <w:sz w:val="18"/>
                <w:szCs w:val="18"/>
                <w:color w:val="auto"/>
              </w:rPr>
            </w:pPr>
          </w:p>
        </w:tc>
      </w:tr>
      <w:tr>
        <w:trPr>
          <w:trHeight w:val="132"/>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60452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4520" cy="29845"/>
                    </a:xfrm>
                    <a:prstGeom prst="rect">
                      <a:avLst/>
                    </a:prstGeom>
                    <a:noFill/>
                  </pic:spPr>
                </pic:pic>
              </a:graphicData>
            </a:graphic>
          </wp:anchor>
        </w:drawing>
      </w:r>
    </w:p>
    <w:p>
      <w:pPr>
        <w:spacing w:after="0" w:line="22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marine fuel services segment earned $18.5 million in income from operations for the year ended December 31, 2003, an increase of $5.1 million, or 38.2%, as compared to the prior year. This increase resulted primarily from a 29.3% increase in gross profit, partially offset by higher operating expenses. The aviation fuel services segment’s income from operations was $22.0 million for the year ended December 31, 2003, an increase of $3.0 million, or 15.9%, as compared to the prior year. This improvement was due to a 13.5% increase in gross profit, partially offset by an increased provision for bad debts and other operating expenses. Corporate overhead costs not charged to the business segments totaled $13.1 million for the year ended December 31, 2003, as compared to $12.3 million during the prior year. For explanations of the increases in operating expenses for the year ended December 31, 2003 as compared to the prior year, see the above discussion on operating expenses.</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u w:val="single" w:color="auto"/>
          <w:color w:val="auto"/>
        </w:rPr>
        <w:t>Other Income (Expense).</w:t>
      </w:r>
      <w:r>
        <w:rPr>
          <w:rFonts w:ascii="Arial" w:cs="Arial" w:eastAsia="Arial" w:hAnsi="Arial"/>
          <w:sz w:val="18"/>
          <w:szCs w:val="18"/>
          <w:color w:val="auto"/>
        </w:rPr>
        <w:t xml:space="preserve"> During the year ended December 31, 2003, we reported $628 thousand in other income, net, as compared to other expense, net, of $1.9 million for the prior year. Included in other expense, net, for the year ended December 31, 2002, was a $1.6 million charge in connection with the settlement of the remaining balance due on the sale of our oil recycling segment. The remaining positive variance of $977 thousand was mainly related to lower net unrealized foreign currency losses and the recognition of net realized foreign exchange gains for 2003 as opposed to net foreign exchange losses for 2002. Unrealized foreign currency translation losses and gains resulted from the translation of monetary assets and liabilities of our foreign entities at the prevailing exchange rates at year-end.</w:t>
      </w:r>
    </w:p>
    <w:p>
      <w:pPr>
        <w:spacing w:after="0" w:line="13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xml:space="preserve"> For the year ended December 31, 2003, our effective tax rate was 20.8%, for an income tax provision of $5.8 million, as compared to 21.8% and an income tax provision of $3.9 million for the year ended December 31, 2002. Netted with the income tax provision for the year ended December 31, 2002 were income tax benefits totaling $2.3 million related to the 2002 executive severance charges and the 2002 settlement charge in connection with the settlement of the remaining balance due on the sale of our oil recycling segment to EarthCare.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Net Income and Diluted Earnings per Share.</w:t>
      </w:r>
      <w:r>
        <w:rPr>
          <w:rFonts w:ascii="Arial" w:cs="Arial" w:eastAsia="Arial" w:hAnsi="Arial"/>
          <w:sz w:val="16"/>
          <w:szCs w:val="16"/>
          <w:color w:val="auto"/>
        </w:rPr>
        <w:t xml:space="preserve"> Net income and diluted earnings per share for the year ended December 31, 2003 were $22.2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$0.99, respectively, as compared to $14.2 million and $0.65 during the prior year. Included in the results for the year ended December 31, 2002 were two after-tax</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charges totaling $3.7 million, or $0.17 per diluted share, of which $2.8 million, or $0.13 per diluted share, related to executive severance, and $970 thousand,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$0.04 per diluted share, related to the settlement of the remaining balance due from the sale of our oil recycling segment.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23 of 72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our marine and aviation fuel services businesses, our primary use of cash is to fund fuel purchases relating to sales of fuel to our customers. Cash is also used to maintain aviation and marine fuel inventory for sale to customers. We are usually extended unsecured trade credit from our suppliers for our fuel purchases; however, certain suppliers require us to provide a letter of credit. Our ability to fund fuel purchases, obtain trade credit from our suppliers, and provide letters of credit is critical to our business. Increases in oil prices negatively affect liquidity by increasing the amount of cash needed to fund fuel purchases as well as reducing the amount of fuel which can be purchased on an unsecured credit basis from our suppliers. Historically, we have not required significant capital investment in fixed assets for our businesses as we subcontract fueling services and maintain inventory at third party storage facilities.</w:t>
      </w:r>
    </w:p>
    <w:p>
      <w:pPr>
        <w:spacing w:after="0" w:line="10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business is funded through cash generated from operations and borrowings under our syndicated revolving credit facility. We have a syndicated revolving credit facility that permits borrowings of up to $150.0 million with a sublimit of $60.0 million for the issuance of letters of credit. Our available borrowings under the revolving credit facility are reduced by the amount of outstanding letters of credit. As of December 31, 2004, our outstanding borrowings under the revolving credit facility totaled $50.0 million and our issued letters of credit totaled $28.4 million. The credit agreement relating to the revolving credit facility imposes certain operating and financial restrictions on us. Our failure to comply with these restrictions could result in an event of default. An event of default, if not cured or waived, would permit acceleration of any outstanding indebtedness under the credit agreement, and impair our ability to receive advances and issue letters of credit, and thus have a material adverse effect on our ability to fund operations. Currently, we are in compliance with all material obligations under the credit agreement.</w:t>
      </w:r>
    </w:p>
    <w:p>
      <w:pPr>
        <w:spacing w:after="0" w:line="105"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In April 2004, we obtained a separate $25.0 million credit line for the issuance of letters of credit from one of the banks participating in our syndicated revolving credit facility. As of December 31, 2004, we had outstanding letters of credit of $8.6 million under this credit line, in addition to the letters of credit outstanding under our revolving credit facility.</w:t>
      </w:r>
    </w:p>
    <w:p>
      <w:pPr>
        <w:spacing w:after="0" w:line="12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Higher interest rates can have a negative effect on our liquidity due to higher costs of borrowing under our $150.0 million syndicated revolving credit facility. As of December 31, 2004, we had $64.2 million of cash and cash equivalents as compared to $76.3 million of cash and cash equivalents at December 31, 2003. Our cash position can fluctuate significantly depending on the timing of payments to suppliers and receipt of payments from customers.</w:t>
      </w:r>
    </w:p>
    <w:p>
      <w:pPr>
        <w:spacing w:after="0" w:line="9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Net cash used in continuing operating activities totaled $28.8 million for the year ended December 31, 2004 versus net cash provided by continuing operating activities of $26.7 million for the year ended December 31, 2003. This $55.5 million variance was primarily due to net changes in operating assets and liabilities as a result of increased business activities and higher fuel prices in both our aviation and marine segments.</w:t>
      </w:r>
    </w:p>
    <w:p>
      <w:pPr>
        <w:spacing w:after="0" w:line="9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During the year ended December 31, 2004, net cash provided by investing activities was $1.2 million versus net cash used in investing activities of $3.3 million for the year ended December 31, 2003. This $4.5 million variance resulted from a reduction in capital expenditures of $869 thousand and net cash received as a result of the acquisition of Tramp Oil. See the consolidated statements of cash flows and Note 1 to the accompanying consolidated financial statements, included herein, for additional information.</w:t>
      </w:r>
    </w:p>
    <w:p>
      <w:pPr>
        <w:spacing w:after="0" w:line="13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For the year ended December 31, 2004, net cash provided by financing activities was $15.5 million versus net cash used in financing activities of $5.0 million for the year ended December 31, 2003. This $20.5 million variance was primarily due to net borrowings under our revolving credit facility of $50.0 in 2004 and an increase in the proceeds from exercises of stock options of $5.6 million, offset by the repayment of assumed bank loans and bank overdrafts from Tramp Oil of $35.3 million.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24 of 72</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Working capital at December 31, 2004 was $181.1 million, representing an increase of $73.0 million from working capital at December 31, 2003. Our accounts and notes receivable, at December 31, 2004, excluding the allowance for bad debts, amounted to $502.1 million as compared to $254.2 million at December 31, 2003. This $247.9 million increase in accounts and notes receivable was mainly due to the additional business volume in our aviation and marine segments as well as the acquisition of Tramp Oil. At December 31, 2004, the allowance for bad debts of $11.3 million increased by $739 thousand from the balance at December 31, 2003. During the year ended December 31, 2004, we charged $4.3 million to the provision for bad debts, as compared to $6.3 million for the year ended December 31, 2003. The decrease in the provision for bad debts reflects the shift of our business in favor of higher credit quality, high volume commercial accounts. We had charge-offs in excess of recoveries of $3.6 million for the year ended December 31, 2004, as compared to $6.9 million for the year ended December 31, 2003. The decrease in the charge-offs in excess of recoveries was primarily related to the write-off of receivables from two bankrupt international airlines in 2003. For the year ended December 31, 2004, our Days Sales Outstanding (DSO) was 24 days versus 33 days for the year ended December 31, 2003.</w:t>
      </w:r>
    </w:p>
    <w:p>
      <w:pPr>
        <w:spacing w:after="0" w:line="10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Inventories of $40.9 million, at December 31, 2004, increased $26.1 million from December 31, 2003. This increase was primarily due to changes in our fuel supply process and increased business activities in our aviation services segment, as well as the acquisition of Tramp Oil. As of December 31, 2004, prepaid expenses and other current assets increased $32.3 million primarily due to the acquisition of Tramp Oil, increased business activities, and increased mark-to-market of our outstanding derivatives at year-end.</w:t>
      </w:r>
    </w:p>
    <w:p>
      <w:pPr>
        <w:spacing w:after="0" w:line="13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Our current liabilities, other than short-term debt, increased $220.9 million primarily due to increased business activities in our marine and aviation segments as well as the acquisition of Tramp Oil. Long-term and short-term debt increased by $48.0 million, primarily due to net borrowings of $50.0 million under our syndicated revolving credit facility, partially offset by the repayment of our acquisition debts.</w:t>
      </w:r>
    </w:p>
    <w:p>
      <w:pPr>
        <w:spacing w:after="0" w:line="12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Stockholders’ equity amounted to $188.5 million at December 31, 2004, as compared to $149.7 million at December 31, 2003. The increase in stockholders’ equity was mainly due to $28.6 million in earnings, $11.1 million from the exercise of stock options, and $1.7 million in amortization of unearned deferred compensation, partially offset by the declaration of dividends of $3.4 million during the year ended December 31, 2004.</w:t>
      </w:r>
    </w:p>
    <w:p>
      <w:pPr>
        <w:spacing w:after="0" w:line="93"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We believe that available funds from existing cash and cash equivalents and our credit facility, together with cash flows generated by operations will be sufficient to fund our working capital and capital expenditure requirements for the next twelve months. Our opinions concerning liquidity and our ability to obtain financing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financing, include our performance (as measured by various factors including cash provided from operating activities), the state of worldwide credit markets, and our levels of outstanding debt. In addition, we may decide to raise additional funds to respond to competitive pressures or changes in market conditions, to fund future growth, or to acquire businesses. We cannot guarantee that financing will be available when needed or desired on terms favorable to us.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Commercial Commitments and Off-Balance Sheet Arrangements</w:t>
      </w:r>
    </w:p>
    <w:p>
      <w:pPr>
        <w:spacing w:after="0" w:line="8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significant contractual obligations, commercial commitments, and off-balance sheet arrangements are set forth below. For additional information on any of the following and other contractual obligations, commitments, and off-balance sheet arrangements, see Notes 3 and 6 in the Notes to the Consolidated Financial Statements in Item 15 of this Form 10-K.</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Long-term Debt</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December 31, 2004, our long-term debt consists of $50.0 million in outstanding borrowings under our credit facility and a note payable balance of $467 thousand issued in connection with an acquired business.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Letters of Credit</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normal course of business, we are required to provide letters of credit to certain suppliers. A majority of these letters of credit expire within one year from their issuance, and expired letters of credit are renewed as needed. As of December 31, 2004, we had letters of credit outstanding of $37.0 million, as compared to $16.1 million in letters of credit outstanding as of December 31, 2003. For additional information on our revolving credit facility and letters of credit, see the discussion thereof in “Liquidity and Capital Resources,” above.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25 of 72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Surety Bonds</w:t>
      </w:r>
    </w:p>
    <w:p>
      <w:pPr>
        <w:spacing w:after="0" w:line="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the normal course of business, we are required to post bid, performance and garnishment bonds. The majority of the surety bonds posted relate to our aviation fuel services business. As of December 31, 2004, we had approximately $19.3 million in outstanding bonds.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 Commitments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2004, our future minimum lease payments under non-cancelable operating leases for rental properties were as follows (in thousands):</w:t>
      </w:r>
    </w:p>
    <w:p>
      <w:pPr>
        <w:spacing w:after="0" w:line="176"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660" w:type="dxa"/>
            <w:vAlign w:val="bottom"/>
            <w:gridSpan w:val="2"/>
          </w:tcPr>
          <w:p>
            <w:pPr>
              <w:spacing w:after="0"/>
              <w:rPr>
                <w:sz w:val="20"/>
                <w:szCs w:val="20"/>
                <w:color w:val="auto"/>
              </w:rPr>
            </w:pPr>
            <w:r>
              <w:rPr>
                <w:rFonts w:ascii="Arial" w:cs="Arial" w:eastAsia="Arial" w:hAnsi="Arial"/>
                <w:sz w:val="14"/>
                <w:szCs w:val="14"/>
                <w:b w:val="1"/>
                <w:bCs w:val="1"/>
                <w:color w:val="auto"/>
              </w:rPr>
              <w:t>For the Year ending December 31,</w:t>
            </w:r>
          </w:p>
        </w:tc>
        <w:tc>
          <w:tcPr>
            <w:tcW w:w="3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3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2006</w:t>
            </w: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2008</w:t>
            </w: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Thereafter</w:t>
            </w:r>
          </w:p>
        </w:tc>
        <w:tc>
          <w:tcPr>
            <w:tcW w:w="3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both"/>
        <w:ind w:right="640" w:firstLine="456"/>
        <w:spacing w:after="0" w:line="306" w:lineRule="auto"/>
        <w:rPr>
          <w:sz w:val="20"/>
          <w:szCs w:val="20"/>
          <w:color w:val="auto"/>
        </w:rPr>
      </w:pPr>
      <w:r>
        <w:rPr>
          <w:rFonts w:ascii="Arial" w:cs="Arial" w:eastAsia="Arial" w:hAnsi="Arial"/>
          <w:sz w:val="16"/>
          <w:szCs w:val="16"/>
          <w:color w:val="auto"/>
        </w:rPr>
        <w:t>In the normal course of business, we may enter into non-cancelable operating leases for office and computer equipment, and service contracts with minimum service fee commitments for telecommunication, and computer data and document storage. As of December 31, 2004, we had no material non-cancelable operating leases for office and computer equipment or service contracts with minimum service fee commitments.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Derivatives</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See “Item 7A – Quantitative and Qualitative Disclosures About Market Risk,” included in this Form 10-K, for a discussion of our sale commitments and derivatives.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300" w:firstLine="456"/>
        <w:spacing w:after="0" w:line="302" w:lineRule="auto"/>
        <w:rPr>
          <w:sz w:val="20"/>
          <w:szCs w:val="20"/>
          <w:color w:val="auto"/>
        </w:rPr>
      </w:pPr>
      <w:r>
        <w:rPr>
          <w:rFonts w:ascii="Arial" w:cs="Arial" w:eastAsia="Arial" w:hAnsi="Arial"/>
          <w:sz w:val="15"/>
          <w:szCs w:val="15"/>
          <w:color w:val="auto"/>
        </w:rPr>
        <w:t>Our Chairman and Chief Executive Officer (“CEO”) and our President and Chief Operating Officer (“COO”) are employed pursuant to employment agreements which, among other provisions, provide for an individual base salary of $525 thousand, an employment term that expires in July 2007, and termination severance benefits. Pursuant to these employment agreements, our CEO and COO are eligible to receive an annual bonus upon achievement of performance targets, which targets are based on diluted earnings per share growth. The bonus payout may range from 15% of base salary if at least 5% diluted earnings per share growth is achieved, to 200% of base salary if diluted earnings per share growth equals or exceeds 15%. For the years ended December 31,</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2004 and 2003, our CEO and COO each earned an annual bonus equal to 200% of base salary. For the nine months ended December 31, 2002, our CEO and COO each earned and received a prorated annual bonus equal to 100% of base salary.</w:t>
      </w:r>
    </w:p>
    <w:p>
      <w:pPr>
        <w:spacing w:after="0" w:line="12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Pursuant to their employment agreements, our CEO and COO each is entitled to receive a cash severance payment if: (a) we terminate the executive for any reason other than death, disability or cause; (b) the executive resigns for good reason (generally a reduction in his responsibilities or compensation, or a breach by us), or resigns for any reason following a change of control; or (c) we elect not to renew the executive’s employment agreement upon expiration, for any reason other than cause. The severance payment is equal to two times the executive’s average salary and bonus during the three-year period preceding termination; provided, if (i) the termination occurs within three years after a change of control the multiple set forth above will be three instead of two, and (ii) in the case of a non-renewal, as described in item (c) above, the multiple will be one and the severance will be paid in 26 equal installments over a one year period. Upon any such termination, we will continue to provide coverage to the executive under our group insurance plans for up to three years, and all of the executive’s stock options and stock grants will immediately vest.</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26 of 72</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have also entered into employment agreements with certain of our other executive officers and key employees. These agreements provide for minimum salary levels, and, in most cases, bonuses which are payable if specified performance goals are attained. Some executive officers and key employees are also entitled to severance benefits upon termination or non-renewal of their contracts under certain circumstances.</w:t>
      </w:r>
    </w:p>
    <w:p>
      <w:pPr>
        <w:spacing w:after="0" w:line="9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As of December 31, 2004, the approximate future minimum commitments under employment agreements, excluding discretionary and performance bonuses, are as follows (in thousands):</w:t>
      </w:r>
    </w:p>
    <w:p>
      <w:pPr>
        <w:spacing w:after="0" w:line="114"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660" w:type="dxa"/>
            <w:vAlign w:val="bottom"/>
            <w:gridSpan w:val="2"/>
          </w:tcPr>
          <w:p>
            <w:pPr>
              <w:spacing w:after="0"/>
              <w:rPr>
                <w:sz w:val="20"/>
                <w:szCs w:val="20"/>
                <w:color w:val="auto"/>
              </w:rPr>
            </w:pPr>
            <w:r>
              <w:rPr>
                <w:rFonts w:ascii="Arial" w:cs="Arial" w:eastAsia="Arial" w:hAnsi="Arial"/>
                <w:sz w:val="14"/>
                <w:szCs w:val="14"/>
                <w:b w:val="1"/>
                <w:bCs w:val="1"/>
                <w:color w:val="auto"/>
              </w:rPr>
              <w:t>For the Year ending December 31,</w:t>
            </w:r>
          </w:p>
        </w:tc>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3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4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$ 11,113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2006</w:t>
            </w:r>
          </w:p>
        </w:tc>
        <w:tc>
          <w:tcPr>
            <w:tcW w:w="4180" w:type="dxa"/>
            <w:vAlign w:val="bottom"/>
            <w:gridSpan w:val="3"/>
          </w:tcPr>
          <w:p>
            <w:pPr>
              <w:jc w:val="right"/>
              <w:spacing w:after="0"/>
              <w:rPr>
                <w:sz w:val="20"/>
                <w:szCs w:val="20"/>
                <w:color w:val="auto"/>
              </w:rPr>
            </w:pPr>
            <w:r>
              <w:rPr>
                <w:rFonts w:ascii="Arial" w:cs="Arial" w:eastAsia="Arial" w:hAnsi="Arial"/>
                <w:sz w:val="18"/>
                <w:szCs w:val="18"/>
                <w:color w:val="auto"/>
              </w:rPr>
              <w:t>9,541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2008</w:t>
            </w:r>
          </w:p>
        </w:tc>
        <w:tc>
          <w:tcPr>
            <w:tcW w:w="4180" w:type="dxa"/>
            <w:vAlign w:val="bottom"/>
            <w:gridSpan w:val="3"/>
          </w:tcPr>
          <w:p>
            <w:pPr>
              <w:jc w:val="right"/>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4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$25,427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-27305</wp:posOffset>
            </wp:positionV>
            <wp:extent cx="37274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Variable Interest Entities</w:t>
      </w:r>
    </w:p>
    <w:p>
      <w:pPr>
        <w:spacing w:after="0" w:line="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Financial Accounting Standard Board (“FASB”) issued Interpretation FIN No. 46 (revised December 2003), “Consolidation of Variable Interest Entities,” the provisions of which apply immediately to any variable interest entity created after January 31, 2003, apply no later than the first period ending after December 15, 2003, to special purpose corporations, and apply in the first interim period ending after March 15, 2004, to any variable interest entity created prior to February 1, 2003. This interpretation requires the consolidation of a variable interest entity by its primary beneficiary and may require the consolidation of a portion of a variable interest entity’s assets or liabilities under certain circumstances. We adopted the requirements of FIN No. 46 as of January 1, 2004. The effects of adoption were not significant. For additional information, see Note 7 in the Notes to the Consolidated Financial Statements in Item 15 of this Form 10-K.</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Inventory Costs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FASB issued Statement of Financial Accounting Standard (“SFAS”) No. 151, “Inventory Costs — an amendment of Accounting Research Bulletins No. 43, Chapter 4.” This statement clarifies the requirement that abnormal inventory-related costs be recognized as current-period charges. The provisions of this statement are to be applied prospectively to inventory costs incurred during fiscal years beginning after June 15, 2005. We do not expect the effects of adoption to be significant.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FASB issued a revised SFAS No. 123, “Share-Based Payment.” This statement requires that all share-based payments to employees be recognized in the financial statements based on their grant-date fair value. Under previous guidance, companies had the option of recognizing the fair value of stock-based compensation in the consolidated financial statements or disclosing the pro forma impact of stock-based compensation on the consolidated statement of income in the notes to the consolidated financial statements. As described in Significant Accounting Policies – Stock-Based Compensation in Note 1 in the Notes to the Consolidated Financial Statements in Item 15 of this Form 10-K, we adopted the fair value recognition provisions of SFAS No. 123, as amended by SFAS No. 148, “Accounting for Stock-Based Compensation – Transition and Disclosure, an amendment of FASB Statement No. 123,” for all employee awards issued after April 2002. The revised statement is effective at the beginning of the first annual or interim period beginning after December 15, 2005, and provides two methods of adoption, the modified-prospective method and the modified-retrospective method. We anticipate adopting the revised statement using the modified-prospective method. We are currently evaluating the provisions of the revised statement but do not expect the impact of adoption to be significant.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27 of 72</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American Jobs Creation Act of 2004</w:t>
      </w:r>
    </w:p>
    <w:p>
      <w:pPr>
        <w:spacing w:after="0" w:line="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December 2004, the FASB issued Staff Position (“FSP”) No. 109-2, “Accounting and Disclosure Guidance for the Foreign Earnings Repatriation Provision within the American Jobs Creation Act of 2004.” The American Jobs Creation Act of 2004 (the “Act”), signed into law on October 22, 2004, provides for a special one-time tax deduction, or dividend received deduction (“DRD”), of 85% of qualifying foreign earnings that are repatriated in either a company’s last tax year that began before the enactment date or the first tax year that begins during the one-year period beginning on the enactment date. FSP No. 109-2 provides entities additional time to assess the effect of repatriating foreign earnings under the Act for purposes of applying SFAS No. 109, “Accounting for Income Taxes,” which typically requires the effect of a new tax law to be recorded in the period of enactment. The Company will elect, if applicable, to apply the DRD to qualifying dividends of foreign earnings in its fiscal year ending December 31, 2005.</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is awaiting further clarifying guidance from the U.S. Treasury Department on certain provisions of the Act. Once this guidance is received, the Company expects to complete its evaluation of the effects of the Act during 2005. Under the limitations on the amount of dividends qualifying for the DRD of the Act, the maximum repatriation of the Company’s foreign earnings that may qualify for the special one-time DRD is approximately $111.1 million. Therefore, the range of possible amounts of qualifying dividends of foreign earnings is between zero and approximately $111.1 million. Because the evaluation is ongoing, it is not yet practical to estimate a range of possible income tax effects of potential repatriations.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enter into derivative contracts in the form of swaps and futures in order to mitigate the risk of market price fluctuations in marine and aviation fuel. All derivatives are recognized on the balance sheet and measured at fair value. If the derivative does not qualify as a hedge under SFAS No. 133 or is not designated as a hedge, changes in the fair value of the derivative are recognized currently in earnings. If the derivative qualifies for hedge accounting, changes in the fair value of the derivative are either recognized in income along with the corresponding change in fair value of the item being hedged for fair-value hedges or deferred in other comprehensive income (“OCI”) to the extent the hedge is effective for cash flow hedges. To qualify for hedge accounting, the derivative must qualify as either a fair-value or cash flow hedge.</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hedging relationship between the hedging instruments and hedged items must be highly effective in achieving the offset of changes in fair values or cash flows attributable to the hedged risk, both at the inception of the hedge and on an ongoing basis. We measure hedge effectiveness on a quarterly basis. For the periods reported, such ineffectiveness has been immaterial. Hedge accounting is discontinued prospectively if and when a hedging instrument becomes ineffective. We assess hedge effectiveness based on total changes in the fair value of our derivative instruments. Gains and losses deferred in accumulated OCI related to cash flow hedge derivatives that become ineffective remain unchanged until the related fuel is delivered. Adjustment to the carrying amounts of hedged items is discontinued in instances where the related fair value hedging instrument becomes ineffective. The balance in the fair value hedge adjustment account is recognized in income when the hedged item is sold. If we determine that it is probable that a hedged forecasted transaction will not occur, deferred gains or losses on the related hedging instrument are recognized in earnings immediately.</w:t>
      </w:r>
    </w:p>
    <w:p>
      <w:pPr>
        <w:spacing w:after="0" w:line="105"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Gains and losses on hedging instruments and adjustments of the carrying amounts of hedged items are included in revenues and expenses in the period that the item is sold. Gains and losses on hedging instruments which represent hedge ineffectiveness and gains and losses on derivative instruments which do not qualify for hedge accounting are included in revenue in the period which they occur. The resulting cash flows are reported as cash flows from operating activities.</w:t>
      </w:r>
    </w:p>
    <w:p>
      <w:pPr>
        <w:spacing w:after="0" w:line="75"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Derivative instruments designated as cash flow hedges are used by us to mitigate the risk of variability in cash flows from marine and aviation fuel sales and purchases due to changes in market prices. Fair value derivatives are used by us to offset the exposure to changes in the fair value of our inventory.</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 Hedges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December 31, 2004, our cash flow hedges consisted of fixed price sales commitments (an “All-in-One” hedge) and fixed price swaps. The fixed price sales commitments are used to fix the prices of future fuel sales, while the fixed price swap agreements are used to fix the prices of anticipated future fuel purchases. Accordingly, changes in fair value of these derivatives fully offset in OCI and are recorded in prepaid expenses and other current assets and related accrued expenses and other current liabilities.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28 of 72</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Derivatives</w:t>
      </w:r>
    </w:p>
    <w:p>
      <w:pPr>
        <w:spacing w:after="0" w:line="77"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As of December 31, 2004, our fair value derivatives consisted of positions in futures that are used to offset against changes in the fair value of our inventory. Changes in the fair value of the derivative are recorded in revenue and prepaid expenses and other current assets.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Non-designated Derivatives</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December 31, 2004, our non-designated derivatives consisted of swap contracts with our customers and swap and collar contracts with counterparties. As part of our price risk management services, we offer swap contracts to our customers to fix their fuel prices and simultaneously we enter into a swap contract with a counterparty with substantially the same terms and conditions, and for this, we earn a fee. We recognize the fee revenue when both of the swap contracts are settled. Because these contracts are back-to-back transactions, changes in the fair value of these derivatives have no impact on earnings and are recorded in prepaid expenses and other current assets and related accrued expenses and other current liabilities.</w:t>
      </w:r>
    </w:p>
    <w:p>
      <w:pPr>
        <w:spacing w:after="0" w:line="10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December 31, 2004 we had the following commodity related derivative instruments outstanding with average underlying prices that represent hedged prices of commodities at various market locations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3"/>
          </w:tcPr>
          <w:p>
            <w:pPr>
              <w:jc w:val="right"/>
              <w:ind w:right="277"/>
              <w:spacing w:after="0"/>
              <w:rPr>
                <w:sz w:val="20"/>
                <w:szCs w:val="20"/>
                <w:color w:val="auto"/>
              </w:rPr>
            </w:pPr>
            <w:r>
              <w:rPr>
                <w:rFonts w:ascii="Arial" w:cs="Arial" w:eastAsia="Arial" w:hAnsi="Arial"/>
                <w:sz w:val="14"/>
                <w:szCs w:val="14"/>
                <w:b w:val="1"/>
                <w:bCs w:val="1"/>
                <w:color w:val="auto"/>
              </w:rPr>
              <w:t>Notional Amount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auto"/>
                <w:w w:val="97"/>
              </w:rPr>
              <w:t>Settlement</w:t>
            </w:r>
          </w:p>
        </w:tc>
        <w:tc>
          <w:tcPr>
            <w:tcW w:w="180" w:type="dxa"/>
            <w:vAlign w:val="bottom"/>
          </w:tcPr>
          <w:p>
            <w:pPr>
              <w:spacing w:after="0"/>
              <w:rPr>
                <w:sz w:val="12"/>
                <w:szCs w:val="12"/>
                <w:color w:val="auto"/>
              </w:rPr>
            </w:pPr>
          </w:p>
        </w:tc>
        <w:tc>
          <w:tcPr>
            <w:tcW w:w="3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Derivative</w:t>
            </w:r>
          </w:p>
        </w:tc>
        <w:tc>
          <w:tcPr>
            <w:tcW w:w="2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Marine</w:t>
            </w:r>
          </w:p>
        </w:tc>
        <w:tc>
          <w:tcPr>
            <w:tcW w:w="80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rPr>
              <w:t>Aviation</w:t>
            </w: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Underlying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8"/>
              </w:rPr>
              <w:t>Asset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 w:type="dxa"/>
            <w:vAlign w:val="bottom"/>
          </w:tcPr>
          <w:p>
            <w:pPr>
              <w:jc w:val="right"/>
              <w:ind w:right="162"/>
              <w:spacing w:after="0"/>
              <w:rPr>
                <w:sz w:val="20"/>
                <w:szCs w:val="20"/>
                <w:color w:val="auto"/>
              </w:rPr>
            </w:pPr>
            <w:r>
              <w:rPr>
                <w:rFonts w:ascii="Arial" w:cs="Arial" w:eastAsia="Arial" w:hAnsi="Arial"/>
                <w:sz w:val="14"/>
                <w:szCs w:val="14"/>
                <w:b w:val="1"/>
                <w:bCs w:val="1"/>
                <w:color w:val="auto"/>
              </w:rPr>
              <w:t>Period</w:t>
            </w:r>
          </w:p>
        </w:tc>
        <w:tc>
          <w:tcPr>
            <w:tcW w:w="180" w:type="dxa"/>
            <w:vAlign w:val="bottom"/>
          </w:tcPr>
          <w:p>
            <w:pPr>
              <w:spacing w:after="0"/>
              <w:rPr>
                <w:sz w:val="15"/>
                <w:szCs w:val="15"/>
                <w:color w:val="auto"/>
              </w:rPr>
            </w:pP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w w:val="91"/>
              </w:rPr>
              <w:t>Instrument</w:t>
            </w:r>
          </w:p>
        </w:tc>
        <w:tc>
          <w:tcPr>
            <w:tcW w:w="200" w:type="dxa"/>
            <w:vAlign w:val="bottom"/>
          </w:tcPr>
          <w:p>
            <w:pPr>
              <w:spacing w:after="0"/>
              <w:rPr>
                <w:sz w:val="15"/>
                <w:szCs w:val="15"/>
                <w:color w:val="auto"/>
              </w:rPr>
            </w:pPr>
          </w:p>
        </w:tc>
        <w:tc>
          <w:tcPr>
            <w:tcW w:w="3140" w:type="dxa"/>
            <w:vAlign w:val="bottom"/>
          </w:tcPr>
          <w:p>
            <w:pPr>
              <w:ind w:left="1120"/>
              <w:spacing w:after="0"/>
              <w:rPr>
                <w:sz w:val="20"/>
                <w:szCs w:val="20"/>
                <w:color w:val="auto"/>
              </w:rPr>
            </w:pPr>
            <w:r>
              <w:rPr>
                <w:rFonts w:ascii="Arial" w:cs="Arial" w:eastAsia="Arial" w:hAnsi="Arial"/>
                <w:sz w:val="14"/>
                <w:szCs w:val="14"/>
                <w:b w:val="1"/>
                <w:bCs w:val="1"/>
                <w:color w:val="auto"/>
              </w:rPr>
              <w:t>Hedge Strategy</w:t>
            </w:r>
          </w:p>
        </w:tc>
        <w:tc>
          <w:tcPr>
            <w:tcW w:w="1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(metric tons)</w:t>
            </w:r>
          </w:p>
        </w:tc>
        <w:tc>
          <w:tcPr>
            <w:tcW w:w="800" w:type="dxa"/>
            <w:vAlign w:val="bottom"/>
          </w:tcPr>
          <w:p>
            <w:pPr>
              <w:jc w:val="right"/>
              <w:ind w:right="77"/>
              <w:spacing w:after="0"/>
              <w:rPr>
                <w:sz w:val="20"/>
                <w:szCs w:val="20"/>
                <w:color w:val="auto"/>
              </w:rPr>
            </w:pPr>
            <w:r>
              <w:rPr>
                <w:rFonts w:ascii="Arial" w:cs="Arial" w:eastAsia="Arial" w:hAnsi="Arial"/>
                <w:sz w:val="14"/>
                <w:szCs w:val="14"/>
                <w:b w:val="1"/>
                <w:bCs w:val="1"/>
                <w:color w:val="auto"/>
              </w:rPr>
              <w:t>(gallons)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w w:val="95"/>
              </w:rPr>
              <w:t>Prices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(Liability)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 w:type="dxa"/>
            <w:vAlign w:val="bottom"/>
            <w:shd w:val="clear" w:color="auto" w:fill="CCEEFF"/>
          </w:tcPr>
          <w:p>
            <w:pPr>
              <w:jc w:val="right"/>
              <w:ind w:right="422"/>
              <w:spacing w:after="0"/>
              <w:rPr>
                <w:sz w:val="20"/>
                <w:szCs w:val="20"/>
                <w:color w:val="auto"/>
              </w:rPr>
            </w:pPr>
            <w:r>
              <w:rPr>
                <w:rFonts w:ascii="Arial" w:cs="Arial" w:eastAsia="Arial" w:hAnsi="Arial"/>
                <w:sz w:val="18"/>
                <w:szCs w:val="18"/>
                <w:color w:val="auto"/>
                <w:w w:val="79"/>
              </w:rPr>
              <w:t>2005</w:t>
            </w: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Cash flow</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75,000</w:t>
            </w:r>
          </w:p>
        </w:tc>
        <w:tc>
          <w:tcPr>
            <w:tcW w:w="8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commitments</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Cash flow</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75,000</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commitments</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Cash flow</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114,840</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161.91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Cash flow</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114,840</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Non-designated</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70,040</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Non-designated</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70,040</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168.16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Non-designated</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151,824</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182.35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Non-designated</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151,824</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181.07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Non-designated</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37,186,210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Non-designated</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37,186,210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Non-designated</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36,114,000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Non-designated</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36,114,000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138.76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Futures</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4,662,000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Futures</w:t>
            </w:r>
          </w:p>
        </w:tc>
        <w:tc>
          <w:tcPr>
            <w:tcW w:w="20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123.06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6"/>
        </w:trPr>
        <w:tc>
          <w:tcPr>
            <w:tcW w:w="860" w:type="dxa"/>
            <w:vAlign w:val="bottom"/>
            <w:gridSpan w:val="2"/>
          </w:tcPr>
          <w:p>
            <w:pPr>
              <w:jc w:val="right"/>
              <w:ind w:right="422"/>
              <w:spacing w:after="0"/>
              <w:rPr>
                <w:sz w:val="20"/>
                <w:szCs w:val="20"/>
                <w:color w:val="auto"/>
              </w:rPr>
            </w:pPr>
            <w:r>
              <w:rPr>
                <w:rFonts w:ascii="Arial" w:cs="Arial" w:eastAsia="Arial" w:hAnsi="Arial"/>
                <w:sz w:val="18"/>
                <w:szCs w:val="18"/>
                <w:color w:val="auto"/>
                <w:w w:val="84"/>
              </w:rPr>
              <w:t>2006</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Swap</w:t>
            </w:r>
          </w:p>
        </w:tc>
        <w:tc>
          <w:tcPr>
            <w:tcW w:w="200" w:type="dxa"/>
            <w:vAlign w:val="bottom"/>
          </w:tcPr>
          <w:p>
            <w:pPr>
              <w:spacing w:after="0"/>
              <w:rPr>
                <w:sz w:val="24"/>
                <w:szCs w:val="24"/>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Non-designated</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7,200</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152.40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Swap</w:t>
            </w:r>
          </w:p>
        </w:tc>
        <w:tc>
          <w:tcPr>
            <w:tcW w:w="2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Non-designated</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7,200</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152.70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Swap</w:t>
            </w:r>
          </w:p>
        </w:tc>
        <w:tc>
          <w:tcPr>
            <w:tcW w:w="2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Non-designated</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24,000</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159.00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Swap</w:t>
            </w:r>
          </w:p>
        </w:tc>
        <w:tc>
          <w:tcPr>
            <w:tcW w:w="20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Non-designated</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24,000</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158.00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40" w:type="dxa"/>
            <w:vAlign w:val="bottom"/>
            <w:shd w:val="clear" w:color="auto" w:fill="CCEEFF"/>
          </w:tcPr>
          <w:p>
            <w:pPr>
              <w:jc w:val="right"/>
              <w:ind w:right="422"/>
              <w:spacing w:after="0"/>
              <w:rPr>
                <w:sz w:val="20"/>
                <w:szCs w:val="20"/>
                <w:color w:val="auto"/>
              </w:rPr>
            </w:pPr>
            <w:r>
              <w:rPr>
                <w:rFonts w:ascii="Arial" w:cs="Arial" w:eastAsia="Arial" w:hAnsi="Arial"/>
                <w:sz w:val="18"/>
                <w:szCs w:val="18"/>
                <w:color w:val="auto"/>
                <w:w w:val="79"/>
              </w:rPr>
              <w:t>2007</w:t>
            </w: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Non-designated</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2,500</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w:t>
            </w:r>
          </w:p>
        </w:tc>
        <w:tc>
          <w:tcPr>
            <w:tcW w:w="20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Non-designated</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2,500</w:t>
            </w: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147.75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policy is to not use fuel related derivative financial instruments for speculative purposes. For additional information, see “Derivatives” in Note 1 to the consolidated financial statements and “Risk Factors” in Item 1 included herein.</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conduct the vast majority of our business transactions in U.S. dollars. However, in certain markets, such as Mexico, Colombia and the United Kingdom, payments to some of our fuel suppliers and receipts from some of our customers are denominated in local currency. This subjects us to foreign currency exchange risk, which may adversely affect our results of operations and financial condition. We seek to minimize the risks from currency exchange rate fluctuations through our regular operating and financing activities. See “Risk Factors” in Item 1 of this Form 10-K.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 of 72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financial statements, together with the report thereon of PricewaterhouseCoopers LLP dated March 31, 2005, and the Selected Quarterly Financial Data (Unaudited), are set forth in Item 15 of this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Independent Registered Public Accounting Firm on Accounting and Financial Disclosure</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There were no disagreements with accountants on any matter of accounting principles, accounting practices, or financial statement disclosure which have been reported on a Form 8-K within the twenty-four months prior to the date of the most recent financial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the Company files or submits under the Securities and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financial disclosure.</w:t>
      </w:r>
    </w:p>
    <w:p>
      <w:pPr>
        <w:spacing w:after="0" w:line="99"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As of the end of the period covered by this report, the Company carried out an evaluation, under the supervision and with the participation of the Company’s Disclosure Committee and management, including the Chief Executive Officer and Chief Financial Officer, of the effectiveness of the design and operation of the Company’s disclosure controls and procedures pursuant to Exchange Act Rule 13a-15(b). Based upon, and as of the date of, this evaluation, the Chief Executive Officer and Chief Financial Officer concluded that the Company’s disclosure controls and procedures were not effective, because of the material weaknesses discussed below. In light of the material weaknesses described below, the Company performed additional procedures to ensure that the consolidated financial statements are prepared in accordance with generally accepted accounting principles. Accordingly, management believes that the financial statements included in this report fairly present in all material respects the Company’s financial condition, results of operations and cash flows for the periods presented.</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77"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such term is defined in Exchange Act Rule 13a-15(f).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9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Management has assessed the effectiveness of the Company’s internal control over financial reporting as of December 31, 2004. In making its assessment of internal control over financial reporting, management used the criteria described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30 of 72</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firstLine="456"/>
        <w:spacing w:after="0" w:line="259" w:lineRule="auto"/>
        <w:rPr>
          <w:sz w:val="20"/>
          <w:szCs w:val="20"/>
          <w:color w:val="auto"/>
        </w:rPr>
      </w:pPr>
      <w:r>
        <w:rPr>
          <w:rFonts w:ascii="Arial" w:cs="Arial" w:eastAsia="Arial" w:hAnsi="Arial"/>
          <w:sz w:val="18"/>
          <w:szCs w:val="18"/>
          <w:color w:val="auto"/>
        </w:rPr>
        <w:t>A material weakness is a control deficiency, or combination of control deficiencies, that results in more than a remote likelihood that a material misstatement of the annual or interim financial statements will not be prevented or detected. Management’s assessment identified the following material weaknesses:</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December 31, 2004, the Company did not maintain effective controls over the recognition of revenue and cost of sales in the appropriate accounting period. Specifically, the Company was recognizing revenue and cost of sales when supporting documentation relating to fuel deliveries and related services had been received from third parties utilized by the Company to provide fuel and related services rather than at the time fuel deliveries were made and related services were performed as required by generally accepted accounting principles. This control deficiency resulted in the restatement of the Company’s financial statements for the years ended December 31, 2003 and 2002, the nine months ended December 31, 2002, the quarterly information for the four quarters in the year ended December 31, 2003, the quarterly information for the first three quarters in the year ended December 31, 2004, and audit adjustments to the fourth quarter 2004 financial statements. Additionally, this control deficiency could result in a misstatement of revenue and cost of sales that would result in a material misstatement to the annual or interim financial statements that would not be prevented or detected. Accordingly, management has determined that this control deficiency constitutes a material weakness.</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Additionally, as of December 31, 2004, the Company did not maintain effective controls over the accounting and financial reporting of its inventory derivative program. Specifically, the Company did not maintain effective controls to ensure the accuracy and presentation and disclosure of inventory derivative instruments. This control deficiency resulted in the restatement of the quarterly information for the four quarters in the year ended December 31, 2003, the quarterly information for the first three quarters in the year ended December 31, 2004, and an adjustment to the fourth quarter 2004 financial statements due to the incorrect accounting for inventory derivative instruments. Additionally, this control deficiency could result in a misstatement of inventory derivative instruments that would result in a material misstatement to the annual or interim financial statements that would not be prevented or detected. Accordingly, management has determined that this control deficiency constitutes a material weakness.</w:t>
      </w:r>
    </w:p>
    <w:p>
      <w:pPr>
        <w:spacing w:after="0" w:line="10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Because of these material weaknesses, management has concluded that the Company did not maintain effective internal control over financial reporting as of December 31, 2004, based on criteria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Management’s assessment of the effectiveness of the Company’s internal control over financial reporting as of December 31, 2004 has been audited by PricewaterhouseCoopers LLP, an independent registered public accounting firm, as stated in their report appearing on pages 35 and 36 of this 2004 Annual Report.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83"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The information set forth under the captions “Election of Directors,” “Information Concerning Executive Officers,” and “Section 16(a) Beneficial Ownership Reporting Compliance” in our Proxy Statement for the 2005 Annual Meeting of Shareholders is incorporated herein by reference.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set forth under the captions “Compensation of Executive Officers” and “Board of Directors - Compensation of Directors” in our Proxy Statement for the 2005 Annual Meeting of Shareholders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information set forth under the caption “Principal Shareholders and Security Ownership of Management” in our Proxy Statement for the 2005 Annual Meeting of Shareholders is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31 of 72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information set forth under the caption “Compensation of Executive Officers – Compensation Committee Interlocks and Insider Participation” in our Proxy Statement for the 2005 Annual Meeting of Shareholders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set forth under the caption “Ratification of Independent Auditors” in our Proxy Statement for the 2005 Annual Meeting of Shareholders is incorporated herein by reference.</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(a)(1) The following consolidated financial statements are filed as a part of this Form 10-K:</w:t>
      </w:r>
    </w:p>
    <w:p>
      <w:pPr>
        <w:spacing w:after="0" w:line="243"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rPr>
              <w:t>(i)</w:t>
            </w:r>
          </w:p>
        </w:tc>
        <w:tc>
          <w:tcPr>
            <w:tcW w:w="48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Report of Independent Registered Certified Public Accounting Firm.</w:t>
              </w:r>
            </w:hyperlink>
          </w:p>
        </w:tc>
        <w:tc>
          <w:tcPr>
            <w:tcW w:w="206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(ii)</w:t>
            </w:r>
          </w:p>
        </w:tc>
        <w:tc>
          <w:tcPr>
            <w:tcW w:w="4580" w:type="dxa"/>
            <w:vAlign w:val="bottom"/>
            <w:tcBorders>
              <w:bottom w:val="single" w:sz="8" w:color="0000EE"/>
            </w:tcBorders>
          </w:tcPr>
          <w:p>
            <w:pPr>
              <w:spacing w:after="0"/>
              <w:rPr>
                <w:rFonts w:ascii="Arial" w:cs="Arial" w:eastAsia="Arial" w:hAnsi="Arial"/>
                <w:sz w:val="18"/>
                <w:szCs w:val="18"/>
                <w:color w:val="0000EE"/>
                <w:w w:val="86"/>
              </w:rPr>
            </w:pPr>
            <w:hyperlink w:anchor="page40">
              <w:r>
                <w:rPr>
                  <w:rFonts w:ascii="Arial" w:cs="Arial" w:eastAsia="Arial" w:hAnsi="Arial"/>
                  <w:sz w:val="18"/>
                  <w:szCs w:val="18"/>
                  <w:color w:val="0000EE"/>
                  <w:w w:val="86"/>
                </w:rPr>
                <w:t>Consolidated Balance Sheets as of December 31, 2004 and 2003.</w:t>
              </w:r>
            </w:hyperlink>
          </w:p>
        </w:tc>
        <w:tc>
          <w:tcPr>
            <w:tcW w:w="2300" w:type="dxa"/>
            <w:vAlign w:val="bottom"/>
            <w:gridSpan w:val="2"/>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127" w:lineRule="exact"/>
        <w:rPr>
          <w:sz w:val="20"/>
          <w:szCs w:val="20"/>
          <w:color w:val="auto"/>
        </w:rPr>
      </w:pPr>
    </w:p>
    <w:p>
      <w:pPr>
        <w:ind w:left="1380" w:hanging="454"/>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Consolidated Statements of Income for the Years ended December 31, 2004 and 2003, the Nine Months ended December</w:t>
      </w:r>
    </w:p>
    <w:tbl>
      <w:tblPr>
        <w:tblLayout w:type="fixed"/>
        <w:tblInd w:w="1380" w:type="dxa"/>
        <w:tblCellMar>
          <w:top w:w="0" w:type="dxa"/>
          <w:left w:w="0" w:type="dxa"/>
          <w:bottom w:w="0" w:type="dxa"/>
          <w:right w:w="0" w:type="dxa"/>
        </w:tblCellMar>
      </w:tblPr>
      <w:tr>
        <w:trPr>
          <w:trHeight w:val="193"/>
        </w:trPr>
        <w:tc>
          <w:tcPr>
            <w:tcW w:w="4320" w:type="dxa"/>
            <w:vAlign w:val="bottom"/>
            <w:tcBorders>
              <w:bottom w:val="single" w:sz="8" w:color="0000EE"/>
            </w:tcBorders>
          </w:tcPr>
          <w:p>
            <w:pPr>
              <w:spacing w:after="0" w:line="193" w:lineRule="exact"/>
              <w:rPr>
                <w:sz w:val="20"/>
                <w:szCs w:val="20"/>
                <w:color w:val="auto"/>
              </w:rPr>
            </w:pPr>
            <w:r>
              <w:rPr>
                <w:rFonts w:ascii="Arial" w:cs="Arial" w:eastAsia="Arial" w:hAnsi="Arial"/>
                <w:sz w:val="18"/>
                <w:szCs w:val="18"/>
                <w:color w:val="0000EE"/>
                <w:w w:val="86"/>
              </w:rPr>
              <w:t>31, 2002 and the Year ended December 31, 2002 (unaudited).</w:t>
            </w:r>
          </w:p>
        </w:tc>
        <w:tc>
          <w:tcPr>
            <w:tcW w:w="4800" w:type="dxa"/>
            <w:vAlign w:val="bottom"/>
          </w:tcPr>
          <w:p>
            <w:pPr>
              <w:jc w:val="right"/>
              <w:spacing w:after="0" w:line="193" w:lineRule="exact"/>
              <w:rPr>
                <w:sz w:val="20"/>
                <w:szCs w:val="20"/>
                <w:color w:val="auto"/>
              </w:rPr>
            </w:pPr>
            <w:r>
              <w:rPr>
                <w:rFonts w:ascii="Arial" w:cs="Arial" w:eastAsia="Arial" w:hAnsi="Arial"/>
                <w:sz w:val="18"/>
                <w:szCs w:val="18"/>
                <w:color w:val="auto"/>
              </w:rPr>
              <w:t>38</w:t>
            </w:r>
          </w:p>
        </w:tc>
      </w:tr>
    </w:tbl>
    <w:p>
      <w:pPr>
        <w:spacing w:after="0" w:line="127" w:lineRule="exact"/>
        <w:rPr>
          <w:sz w:val="20"/>
          <w:szCs w:val="20"/>
          <w:color w:val="auto"/>
        </w:rPr>
      </w:pPr>
    </w:p>
    <w:p>
      <w:pPr>
        <w:ind w:left="1380" w:hanging="454"/>
        <w:spacing w:after="0"/>
        <w:tabs>
          <w:tab w:leader="none" w:pos="1380" w:val="left"/>
        </w:tabs>
        <w:numPr>
          <w:ilvl w:val="0"/>
          <w:numId w:val="6"/>
        </w:numPr>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Consolidated Statements of Stockholders’ Equity for the Years ended December 31, 2004 and 2003, and the Nine Months</w:t>
        </w:r>
      </w:hyperlink>
    </w:p>
    <w:tbl>
      <w:tblPr>
        <w:tblLayout w:type="fixed"/>
        <w:tblInd w:w="1380" w:type="dxa"/>
        <w:tblCellMar>
          <w:top w:w="0" w:type="dxa"/>
          <w:left w:w="0" w:type="dxa"/>
          <w:bottom w:w="0" w:type="dxa"/>
          <w:right w:w="0" w:type="dxa"/>
        </w:tblCellMar>
      </w:tblPr>
      <w:tr>
        <w:trPr>
          <w:trHeight w:val="193"/>
        </w:trPr>
        <w:tc>
          <w:tcPr>
            <w:tcW w:w="1880" w:type="dxa"/>
            <w:vAlign w:val="bottom"/>
            <w:tcBorders>
              <w:bottom w:val="single" w:sz="8" w:color="0000EE"/>
            </w:tcBorders>
          </w:tcPr>
          <w:p>
            <w:pPr>
              <w:spacing w:after="0" w:line="193" w:lineRule="exact"/>
              <w:rPr>
                <w:rFonts w:ascii="Arial" w:cs="Arial" w:eastAsia="Arial" w:hAnsi="Arial"/>
                <w:sz w:val="18"/>
                <w:szCs w:val="18"/>
                <w:color w:val="0000EE"/>
                <w:w w:val="85"/>
              </w:rPr>
            </w:pPr>
            <w:hyperlink w:anchor="page42">
              <w:r>
                <w:rPr>
                  <w:rFonts w:ascii="Arial" w:cs="Arial" w:eastAsia="Arial" w:hAnsi="Arial"/>
                  <w:sz w:val="18"/>
                  <w:szCs w:val="18"/>
                  <w:color w:val="0000EE"/>
                  <w:w w:val="85"/>
                </w:rPr>
                <w:t>ended December 31, 2002.</w:t>
              </w:r>
            </w:hyperlink>
          </w:p>
        </w:tc>
        <w:tc>
          <w:tcPr>
            <w:tcW w:w="7240" w:type="dxa"/>
            <w:vAlign w:val="bottom"/>
          </w:tcPr>
          <w:p>
            <w:pPr>
              <w:jc w:val="right"/>
              <w:spacing w:after="0" w:line="193" w:lineRule="exact"/>
              <w:rPr>
                <w:sz w:val="20"/>
                <w:szCs w:val="20"/>
                <w:color w:val="auto"/>
              </w:rPr>
            </w:pPr>
            <w:r>
              <w:rPr>
                <w:rFonts w:ascii="Arial" w:cs="Arial" w:eastAsia="Arial" w:hAnsi="Arial"/>
                <w:sz w:val="18"/>
                <w:szCs w:val="18"/>
                <w:color w:val="auto"/>
              </w:rPr>
              <w:t>39</w:t>
            </w:r>
          </w:p>
        </w:tc>
      </w:tr>
    </w:tbl>
    <w:p>
      <w:pPr>
        <w:spacing w:after="0" w:line="127" w:lineRule="exact"/>
        <w:rPr>
          <w:sz w:val="20"/>
          <w:szCs w:val="20"/>
          <w:color w:val="auto"/>
        </w:rPr>
      </w:pPr>
    </w:p>
    <w:p>
      <w:pPr>
        <w:ind w:left="1380" w:hanging="454"/>
        <w:spacing w:after="0"/>
        <w:tabs>
          <w:tab w:leader="none" w:pos="1380" w:val="left"/>
        </w:tabs>
        <w:numPr>
          <w:ilvl w:val="0"/>
          <w:numId w:val="7"/>
        </w:numPr>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Consolidated Statements of Cash Flows for the Years ended December 31, 2004 and 2003, the Nine Months ended</w:t>
        </w:r>
      </w:hyperlink>
    </w:p>
    <w:tbl>
      <w:tblPr>
        <w:tblLayout w:type="fixed"/>
        <w:tblInd w:w="920" w:type="dxa"/>
        <w:tblCellMar>
          <w:top w:w="0" w:type="dxa"/>
          <w:left w:w="0" w:type="dxa"/>
          <w:bottom w:w="0" w:type="dxa"/>
          <w:right w:w="0" w:type="dxa"/>
        </w:tblCellMar>
      </w:tblPr>
      <w:tr>
        <w:trPr>
          <w:trHeight w:val="193"/>
        </w:trPr>
        <w:tc>
          <w:tcPr>
            <w:tcW w:w="460" w:type="dxa"/>
            <w:vAlign w:val="bottom"/>
          </w:tcPr>
          <w:p>
            <w:pPr>
              <w:spacing w:after="0"/>
              <w:rPr>
                <w:sz w:val="16"/>
                <w:szCs w:val="16"/>
                <w:color w:val="auto"/>
              </w:rPr>
            </w:pPr>
          </w:p>
        </w:tc>
        <w:tc>
          <w:tcPr>
            <w:tcW w:w="5080" w:type="dxa"/>
            <w:vAlign w:val="bottom"/>
            <w:tcBorders>
              <w:bottom w:val="single" w:sz="8" w:color="0000EE"/>
            </w:tcBorders>
            <w:gridSpan w:val="2"/>
          </w:tcPr>
          <w:p>
            <w:pPr>
              <w:spacing w:after="0" w:line="193" w:lineRule="exact"/>
              <w:rPr>
                <w:rFonts w:ascii="Arial" w:cs="Arial" w:eastAsia="Arial" w:hAnsi="Arial"/>
                <w:sz w:val="18"/>
                <w:szCs w:val="18"/>
                <w:color w:val="0000EE"/>
                <w:w w:val="86"/>
              </w:rPr>
            </w:pPr>
            <w:hyperlink w:anchor="page43">
              <w:r>
                <w:rPr>
                  <w:rFonts w:ascii="Arial" w:cs="Arial" w:eastAsia="Arial" w:hAnsi="Arial"/>
                  <w:sz w:val="18"/>
                  <w:szCs w:val="18"/>
                  <w:color w:val="0000EE"/>
                  <w:w w:val="86"/>
                </w:rPr>
                <w:t>December 31, 2002 and the Year ended December 31, 2002 (unaudited).</w:t>
              </w:r>
            </w:hyperlink>
          </w:p>
        </w:tc>
        <w:tc>
          <w:tcPr>
            <w:tcW w:w="1940" w:type="dxa"/>
            <w:vAlign w:val="bottom"/>
          </w:tcPr>
          <w:p>
            <w:pPr>
              <w:spacing w:after="0"/>
              <w:rPr>
                <w:sz w:val="16"/>
                <w:szCs w:val="16"/>
                <w:color w:val="auto"/>
              </w:rPr>
            </w:pPr>
          </w:p>
        </w:tc>
        <w:tc>
          <w:tcPr>
            <w:tcW w:w="2100" w:type="dxa"/>
            <w:vAlign w:val="bottom"/>
          </w:tcPr>
          <w:p>
            <w:pPr>
              <w:jc w:val="right"/>
              <w:spacing w:after="0" w:line="193" w:lineRule="exact"/>
              <w:rPr>
                <w:sz w:val="20"/>
                <w:szCs w:val="20"/>
                <w:color w:val="auto"/>
              </w:rPr>
            </w:pPr>
            <w:r>
              <w:rPr>
                <w:rFonts w:ascii="Arial" w:cs="Arial" w:eastAsia="Arial" w:hAnsi="Arial"/>
                <w:sz w:val="18"/>
                <w:szCs w:val="18"/>
                <w:color w:val="auto"/>
              </w:rPr>
              <w:t>40</w:t>
            </w:r>
          </w:p>
        </w:tc>
      </w:tr>
      <w:tr>
        <w:trPr>
          <w:trHeight w:val="304"/>
        </w:trPr>
        <w:tc>
          <w:tcPr>
            <w:tcW w:w="7480" w:type="dxa"/>
            <w:vAlign w:val="bottom"/>
            <w:gridSpan w:val="4"/>
          </w:tcPr>
          <w:p>
            <w:pPr>
              <w:spacing w:after="0"/>
              <w:rPr>
                <w:rFonts w:ascii="Arial" w:cs="Arial" w:eastAsia="Arial" w:hAnsi="Arial"/>
                <w:sz w:val="18"/>
                <w:szCs w:val="18"/>
                <w:color w:val="auto"/>
              </w:rPr>
            </w:pPr>
            <w:r>
              <w:rPr>
                <w:rFonts w:ascii="Arial" w:cs="Arial" w:eastAsia="Arial" w:hAnsi="Arial"/>
                <w:sz w:val="18"/>
                <w:szCs w:val="18"/>
                <w:color w:val="auto"/>
              </w:rPr>
              <w:t xml:space="preserve">(vi)   </w:t>
            </w:r>
            <w:hyperlink w:anchor="page46">
              <w:r>
                <w:rPr>
                  <w:rFonts w:ascii="Arial" w:cs="Arial" w:eastAsia="Arial" w:hAnsi="Arial"/>
                  <w:sz w:val="18"/>
                  <w:szCs w:val="18"/>
                  <w:color w:val="0000EE"/>
                </w:rPr>
                <w:t>Notes to the Consolidated Financial Statements.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460" w:type="dxa"/>
            <w:vAlign w:val="bottom"/>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900" w:right="480" w:hanging="445"/>
        <w:spacing w:after="0" w:line="268" w:lineRule="auto"/>
        <w:rPr>
          <w:sz w:val="20"/>
          <w:szCs w:val="20"/>
          <w:color w:val="auto"/>
        </w:rPr>
      </w:pPr>
      <w:r>
        <w:rPr>
          <w:rFonts w:ascii="Arial" w:cs="Arial" w:eastAsia="Arial" w:hAnsi="Arial"/>
          <w:sz w:val="18"/>
          <w:szCs w:val="18"/>
          <w:color w:val="auto"/>
        </w:rPr>
        <w:t>(a)(2) Consolidated financial statement schedules have been omitted either because the required information is set forth in the consolidated financial statements or notes thereto, or the information called for is not required.</w:t>
      </w:r>
    </w:p>
    <w:p>
      <w:pPr>
        <w:spacing w:after="0" w:line="118"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exhibits set forth in the following index of exhibits are filed or incorporated by reference as a part of this Form 10-K:</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7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8760" w:type="dxa"/>
            <w:vAlign w:val="bottom"/>
            <w:gridSpan w:val="4"/>
          </w:tcPr>
          <w:p>
            <w:pPr>
              <w:ind w:left="4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7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7560" w:type="dxa"/>
            <w:vAlign w:val="bottom"/>
          </w:tcPr>
          <w:p>
            <w:pPr>
              <w:spacing w:after="0"/>
              <w:rPr>
                <w:sz w:val="8"/>
                <w:szCs w:val="8"/>
                <w:color w:val="auto"/>
              </w:rPr>
            </w:pPr>
          </w:p>
        </w:tc>
      </w:tr>
      <w:tr>
        <w:trPr>
          <w:trHeight w:val="309"/>
        </w:trPr>
        <w:tc>
          <w:tcPr>
            <w:tcW w:w="780" w:type="dxa"/>
            <w:vAlign w:val="bottom"/>
          </w:tcPr>
          <w:p>
            <w:pPr>
              <w:spacing w:after="0"/>
              <w:rPr>
                <w:sz w:val="20"/>
                <w:szCs w:val="20"/>
                <w:color w:val="auto"/>
              </w:rPr>
            </w:pPr>
            <w:r>
              <w:rPr>
                <w:rFonts w:ascii="Arial" w:cs="Arial" w:eastAsia="Arial" w:hAnsi="Arial"/>
                <w:sz w:val="18"/>
                <w:szCs w:val="18"/>
                <w:color w:val="auto"/>
              </w:rPr>
              <w:t>3.1</w:t>
            </w:r>
          </w:p>
        </w:tc>
        <w:tc>
          <w:tcPr>
            <w:tcW w:w="8760" w:type="dxa"/>
            <w:vAlign w:val="bottom"/>
            <w:gridSpan w:val="4"/>
          </w:tcPr>
          <w:p>
            <w:pPr>
              <w:ind w:left="440"/>
              <w:spacing w:after="0"/>
              <w:rPr>
                <w:sz w:val="20"/>
                <w:szCs w:val="20"/>
                <w:color w:val="auto"/>
              </w:rPr>
            </w:pPr>
            <w:r>
              <w:rPr>
                <w:rFonts w:ascii="Arial" w:cs="Arial" w:eastAsia="Arial" w:hAnsi="Arial"/>
                <w:sz w:val="18"/>
                <w:szCs w:val="18"/>
                <w:color w:val="auto"/>
                <w:w w:val="89"/>
              </w:rPr>
              <w:t>Restated Articles of Incorporation are incorporated by reference to our Current Report on Form 8-K filed February 3,</w:t>
            </w:r>
          </w:p>
        </w:tc>
      </w:tr>
      <w:tr>
        <w:trPr>
          <w:trHeight w:val="222"/>
        </w:trPr>
        <w:tc>
          <w:tcPr>
            <w:tcW w:w="780" w:type="dxa"/>
            <w:vAlign w:val="bottom"/>
          </w:tcPr>
          <w:p>
            <w:pPr>
              <w:spacing w:after="0"/>
              <w:rPr>
                <w:sz w:val="19"/>
                <w:szCs w:val="19"/>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w w:val="84"/>
              </w:rPr>
              <w:t>2005.</w:t>
            </w:r>
          </w:p>
        </w:tc>
        <w:tc>
          <w:tcPr>
            <w:tcW w:w="360" w:type="dxa"/>
            <w:vAlign w:val="bottom"/>
          </w:tcPr>
          <w:p>
            <w:pPr>
              <w:spacing w:after="0"/>
              <w:rPr>
                <w:sz w:val="19"/>
                <w:szCs w:val="19"/>
                <w:color w:val="auto"/>
              </w:rPr>
            </w:pPr>
          </w:p>
        </w:tc>
        <w:tc>
          <w:tcPr>
            <w:tcW w:w="7560" w:type="dxa"/>
            <w:vAlign w:val="bottom"/>
          </w:tcPr>
          <w:p>
            <w:pPr>
              <w:spacing w:after="0"/>
              <w:rPr>
                <w:sz w:val="19"/>
                <w:szCs w:val="19"/>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8760" w:type="dxa"/>
            <w:vAlign w:val="bottom"/>
            <w:gridSpan w:val="4"/>
          </w:tcPr>
          <w:p>
            <w:pPr>
              <w:ind w:left="440"/>
              <w:spacing w:after="0"/>
              <w:rPr>
                <w:sz w:val="20"/>
                <w:szCs w:val="20"/>
                <w:color w:val="auto"/>
              </w:rPr>
            </w:pPr>
            <w:r>
              <w:rPr>
                <w:rFonts w:ascii="Arial" w:cs="Arial" w:eastAsia="Arial" w:hAnsi="Arial"/>
                <w:sz w:val="18"/>
                <w:szCs w:val="18"/>
                <w:color w:val="auto"/>
                <w:w w:val="87"/>
              </w:rPr>
              <w:t>By-laws, amended and restated as of March 1, 2005, are incorporated by reference to our Current Report on Form 8-K</w:t>
            </w:r>
          </w:p>
        </w:tc>
      </w:tr>
      <w:tr>
        <w:trPr>
          <w:trHeight w:val="222"/>
        </w:trPr>
        <w:tc>
          <w:tcPr>
            <w:tcW w:w="780" w:type="dxa"/>
            <w:vAlign w:val="bottom"/>
          </w:tcPr>
          <w:p>
            <w:pPr>
              <w:spacing w:after="0"/>
              <w:rPr>
                <w:sz w:val="19"/>
                <w:szCs w:val="19"/>
                <w:color w:val="auto"/>
              </w:rPr>
            </w:pPr>
          </w:p>
        </w:tc>
        <w:tc>
          <w:tcPr>
            <w:tcW w:w="8760" w:type="dxa"/>
            <w:vAlign w:val="bottom"/>
            <w:gridSpan w:val="4"/>
          </w:tcPr>
          <w:p>
            <w:pPr>
              <w:ind w:left="440"/>
              <w:spacing w:after="0"/>
              <w:rPr>
                <w:sz w:val="20"/>
                <w:szCs w:val="20"/>
                <w:color w:val="auto"/>
              </w:rPr>
            </w:pPr>
            <w:r>
              <w:rPr>
                <w:rFonts w:ascii="Arial" w:cs="Arial" w:eastAsia="Arial" w:hAnsi="Arial"/>
                <w:sz w:val="18"/>
                <w:szCs w:val="18"/>
                <w:color w:val="auto"/>
              </w:rPr>
              <w:t>filed March 3, 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w w:val="94"/>
              </w:rPr>
              <w:t>1986</w:t>
            </w:r>
          </w:p>
        </w:tc>
        <w:tc>
          <w:tcPr>
            <w:tcW w:w="7920" w:type="dxa"/>
            <w:vAlign w:val="bottom"/>
            <w:gridSpan w:val="2"/>
          </w:tcPr>
          <w:p>
            <w:pPr>
              <w:spacing w:after="0"/>
              <w:rPr>
                <w:sz w:val="20"/>
                <w:szCs w:val="20"/>
                <w:color w:val="auto"/>
              </w:rPr>
            </w:pPr>
            <w:r>
              <w:rPr>
                <w:rFonts w:ascii="Arial" w:cs="Arial" w:eastAsia="Arial" w:hAnsi="Arial"/>
                <w:sz w:val="18"/>
                <w:szCs w:val="18"/>
                <w:color w:val="auto"/>
                <w:w w:val="93"/>
              </w:rPr>
              <w:t>Employee Stock Option Plan is incorporated by reference to our Registration Statement on Form S-18 filed</w:t>
            </w:r>
          </w:p>
        </w:tc>
      </w:tr>
      <w:tr>
        <w:trPr>
          <w:trHeight w:val="222"/>
        </w:trPr>
        <w:tc>
          <w:tcPr>
            <w:tcW w:w="780" w:type="dxa"/>
            <w:vAlign w:val="bottom"/>
          </w:tcPr>
          <w:p>
            <w:pPr>
              <w:spacing w:after="0"/>
              <w:rPr>
                <w:sz w:val="19"/>
                <w:szCs w:val="19"/>
                <w:color w:val="auto"/>
              </w:rPr>
            </w:pPr>
          </w:p>
        </w:tc>
        <w:tc>
          <w:tcPr>
            <w:tcW w:w="8760" w:type="dxa"/>
            <w:vAlign w:val="bottom"/>
            <w:gridSpan w:val="4"/>
          </w:tcPr>
          <w:p>
            <w:pPr>
              <w:ind w:left="440"/>
              <w:spacing w:after="0"/>
              <w:rPr>
                <w:sz w:val="20"/>
                <w:szCs w:val="20"/>
                <w:color w:val="auto"/>
              </w:rPr>
            </w:pPr>
            <w:r>
              <w:rPr>
                <w:rFonts w:ascii="Arial" w:cs="Arial" w:eastAsia="Arial" w:hAnsi="Arial"/>
                <w:sz w:val="18"/>
                <w:szCs w:val="18"/>
                <w:color w:val="auto"/>
              </w:rPr>
              <w:t>February 3, 1986.</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4.2</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w w:val="94"/>
              </w:rPr>
              <w:t>1993</w:t>
            </w:r>
          </w:p>
        </w:tc>
        <w:tc>
          <w:tcPr>
            <w:tcW w:w="7920" w:type="dxa"/>
            <w:vAlign w:val="bottom"/>
            <w:gridSpan w:val="2"/>
          </w:tcPr>
          <w:p>
            <w:pPr>
              <w:spacing w:after="0"/>
              <w:rPr>
                <w:sz w:val="20"/>
                <w:szCs w:val="20"/>
                <w:color w:val="auto"/>
              </w:rPr>
            </w:pPr>
            <w:r>
              <w:rPr>
                <w:rFonts w:ascii="Arial" w:cs="Arial" w:eastAsia="Arial" w:hAnsi="Arial"/>
                <w:sz w:val="18"/>
                <w:szCs w:val="18"/>
                <w:color w:val="auto"/>
                <w:w w:val="92"/>
              </w:rPr>
              <w:t>Non-Employee Directors Stock Option Plan is incorporated by reference to our Schedule 14A filed June 28,</w:t>
            </w:r>
          </w:p>
        </w:tc>
      </w:tr>
      <w:tr>
        <w:trPr>
          <w:trHeight w:val="222"/>
        </w:trPr>
        <w:tc>
          <w:tcPr>
            <w:tcW w:w="780" w:type="dxa"/>
            <w:vAlign w:val="bottom"/>
          </w:tcPr>
          <w:p>
            <w:pPr>
              <w:spacing w:after="0"/>
              <w:rPr>
                <w:sz w:val="19"/>
                <w:szCs w:val="19"/>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w w:val="84"/>
              </w:rPr>
              <w:t>1994.</w:t>
            </w:r>
          </w:p>
        </w:tc>
        <w:tc>
          <w:tcPr>
            <w:tcW w:w="360" w:type="dxa"/>
            <w:vAlign w:val="bottom"/>
          </w:tcPr>
          <w:p>
            <w:pPr>
              <w:spacing w:after="0"/>
              <w:rPr>
                <w:sz w:val="19"/>
                <w:szCs w:val="19"/>
                <w:color w:val="auto"/>
              </w:rPr>
            </w:pPr>
          </w:p>
        </w:tc>
        <w:tc>
          <w:tcPr>
            <w:tcW w:w="7560" w:type="dxa"/>
            <w:vAlign w:val="bottom"/>
          </w:tcPr>
          <w:p>
            <w:pPr>
              <w:spacing w:after="0"/>
              <w:rPr>
                <w:sz w:val="19"/>
                <w:szCs w:val="19"/>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4.3</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w w:val="94"/>
              </w:rPr>
              <w:t>1996</w:t>
            </w:r>
          </w:p>
        </w:tc>
        <w:tc>
          <w:tcPr>
            <w:tcW w:w="7920" w:type="dxa"/>
            <w:vAlign w:val="bottom"/>
            <w:gridSpan w:val="2"/>
          </w:tcPr>
          <w:p>
            <w:pPr>
              <w:spacing w:after="0"/>
              <w:rPr>
                <w:sz w:val="20"/>
                <w:szCs w:val="20"/>
                <w:color w:val="auto"/>
              </w:rPr>
            </w:pPr>
            <w:r>
              <w:rPr>
                <w:rFonts w:ascii="Arial" w:cs="Arial" w:eastAsia="Arial" w:hAnsi="Arial"/>
                <w:sz w:val="18"/>
                <w:szCs w:val="18"/>
                <w:color w:val="auto"/>
              </w:rPr>
              <w:t>Employee Stock Option Plan is incorporated by reference to our Schedule 14A filed July 18, 1997.</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4.4</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w w:val="94"/>
              </w:rPr>
              <w:t>2001</w:t>
            </w:r>
          </w:p>
        </w:tc>
        <w:tc>
          <w:tcPr>
            <w:tcW w:w="7920" w:type="dxa"/>
            <w:vAlign w:val="bottom"/>
            <w:gridSpan w:val="2"/>
          </w:tcPr>
          <w:p>
            <w:pPr>
              <w:spacing w:after="0"/>
              <w:rPr>
                <w:sz w:val="20"/>
                <w:szCs w:val="20"/>
                <w:color w:val="auto"/>
              </w:rPr>
            </w:pPr>
            <w:r>
              <w:rPr>
                <w:rFonts w:ascii="Arial" w:cs="Arial" w:eastAsia="Arial" w:hAnsi="Arial"/>
                <w:sz w:val="18"/>
                <w:szCs w:val="18"/>
                <w:color w:val="auto"/>
              </w:rPr>
              <w:t>Omnibus Plan, amended and restated, as of October 26, 2004.</w:t>
            </w:r>
          </w:p>
        </w:tc>
      </w:tr>
      <w:tr>
        <w:trPr>
          <w:trHeight w:val="365"/>
        </w:trPr>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60" w:type="dxa"/>
            <w:vAlign w:val="bottom"/>
          </w:tcPr>
          <w:p>
            <w:pPr>
              <w:ind w:left="2320"/>
              <w:spacing w:after="0"/>
              <w:rPr>
                <w:sz w:val="20"/>
                <w:szCs w:val="20"/>
                <w:color w:val="auto"/>
              </w:rPr>
            </w:pPr>
            <w:r>
              <w:rPr>
                <w:rFonts w:ascii="Arial" w:cs="Arial" w:eastAsia="Arial" w:hAnsi="Arial"/>
                <w:sz w:val="18"/>
                <w:szCs w:val="18"/>
                <w:color w:val="auto"/>
              </w:rPr>
              <w:t>Page 32 of 72</w:t>
            </w:r>
          </w:p>
        </w:tc>
      </w:tr>
    </w:tbl>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40" w:type="dxa"/>
            <w:vAlign w:val="bottom"/>
          </w:tcPr>
          <w:p>
            <w:pPr>
              <w:ind w:left="140"/>
              <w:spacing w:after="0"/>
              <w:rPr>
                <w:sz w:val="20"/>
                <w:szCs w:val="20"/>
                <w:color w:val="auto"/>
              </w:rPr>
            </w:pPr>
            <w:r>
              <w:rPr>
                <w:rFonts w:ascii="Arial" w:cs="Arial" w:eastAsia="Arial" w:hAnsi="Arial"/>
                <w:sz w:val="14"/>
                <w:szCs w:val="14"/>
                <w:b w:val="1"/>
                <w:bCs w:val="1"/>
                <w:color w:val="auto"/>
              </w:rPr>
              <w:t>Exhibit No.</w:t>
            </w:r>
          </w:p>
        </w:tc>
        <w:tc>
          <w:tcPr>
            <w:tcW w:w="540" w:type="dxa"/>
            <w:vAlign w:val="bottom"/>
          </w:tcPr>
          <w:p>
            <w:pPr>
              <w:spacing w:after="0"/>
              <w:rPr>
                <w:sz w:val="15"/>
                <w:szCs w:val="15"/>
                <w:color w:val="auto"/>
              </w:rPr>
            </w:pPr>
          </w:p>
        </w:tc>
        <w:tc>
          <w:tcPr>
            <w:tcW w:w="99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9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020" w:type="dxa"/>
            <w:vAlign w:val="bottom"/>
          </w:tcPr>
          <w:p>
            <w:pPr>
              <w:spacing w:after="0"/>
              <w:rPr>
                <w:sz w:val="8"/>
                <w:szCs w:val="8"/>
                <w:color w:val="auto"/>
              </w:rPr>
            </w:pPr>
          </w:p>
        </w:tc>
      </w:tr>
      <w:tr>
        <w:trPr>
          <w:trHeight w:val="309"/>
        </w:trPr>
        <w:tc>
          <w:tcPr>
            <w:tcW w:w="9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54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0"/>
              </w:rPr>
              <w:t>Employment Agreement, amended and restated as of July 26, 2002, with Mr. Paul Stebbins, Chairman to the Board of Directors and Chief</w:t>
            </w:r>
          </w:p>
        </w:tc>
      </w:tr>
      <w:tr>
        <w:trPr>
          <w:trHeight w:val="222"/>
        </w:trPr>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Executive Officer, is incorporated by reference to our Transition Report on Form 10-K filed March 20, 2003.</w:t>
            </w:r>
          </w:p>
        </w:tc>
      </w:tr>
      <w:tr>
        <w:trPr>
          <w:trHeight w:val="318"/>
        </w:trPr>
        <w:tc>
          <w:tcPr>
            <w:tcW w:w="9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54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2"/>
              </w:rPr>
              <w:t>Employment Agreement, amended and restated as of July 26, 2002, with Mr. Michael Kasbar, President and Chief Operating Officer, is</w:t>
            </w:r>
          </w:p>
        </w:tc>
      </w:tr>
      <w:tr>
        <w:trPr>
          <w:trHeight w:val="222"/>
        </w:trPr>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incorporated by reference to our Transition Report on Form 10-K filed March 20, 2003.</w:t>
            </w:r>
          </w:p>
        </w:tc>
      </w:tr>
      <w:tr>
        <w:trPr>
          <w:trHeight w:val="318"/>
        </w:trPr>
        <w:tc>
          <w:tcPr>
            <w:tcW w:w="9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54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2"/>
              </w:rPr>
              <w:t>Amendment to Employment Agreement with Mr. Paul Stebbins, Chairman to the Board of Directors and Chief Executive Officer, dated</w:t>
            </w:r>
          </w:p>
        </w:tc>
      </w:tr>
      <w:tr>
        <w:trPr>
          <w:trHeight w:val="222"/>
        </w:trPr>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October 29, 2003, is incorporated by reference to our Quarterly Report on Form 10-Q filed November 6, 2003.</w:t>
            </w:r>
          </w:p>
        </w:tc>
      </w:tr>
      <w:tr>
        <w:trPr>
          <w:trHeight w:val="318"/>
        </w:trPr>
        <w:tc>
          <w:tcPr>
            <w:tcW w:w="9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54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4"/>
              </w:rPr>
              <w:t>Amendment to Employment Agreement with Mr. Michael Kasbar, President and Chief Operating Officer, dated October 29, 2003, is</w:t>
            </w:r>
          </w:p>
        </w:tc>
      </w:tr>
      <w:tr>
        <w:trPr>
          <w:trHeight w:val="222"/>
        </w:trPr>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incorporated by reference to our Quarterly Report on Form 10-Q filed November 6, 2003.</w:t>
            </w:r>
          </w:p>
        </w:tc>
      </w:tr>
      <w:tr>
        <w:trPr>
          <w:trHeight w:val="318"/>
        </w:trPr>
        <w:tc>
          <w:tcPr>
            <w:tcW w:w="94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54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1"/>
              </w:rPr>
              <w:t>Employment Agreement, dated as of January 13, 2005, with Mr. Robert S. Tocci, Executive Vice President and Chief Financial Officer, is</w:t>
            </w:r>
          </w:p>
        </w:tc>
      </w:tr>
      <w:tr>
        <w:trPr>
          <w:trHeight w:val="222"/>
        </w:trPr>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incorporated by reference to our Current Report on Form 8-K filed January 18, 2005.</w:t>
            </w:r>
          </w:p>
        </w:tc>
      </w:tr>
      <w:tr>
        <w:trPr>
          <w:trHeight w:val="318"/>
        </w:trPr>
        <w:tc>
          <w:tcPr>
            <w:tcW w:w="94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54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6"/>
              </w:rPr>
              <w:t>Employment Agreement, dated as of September 1, 2002, with Mr. Francis X. Shea, Executive Vice President and Chief Risk and</w:t>
            </w:r>
          </w:p>
        </w:tc>
      </w:tr>
      <w:tr>
        <w:trPr>
          <w:trHeight w:val="222"/>
        </w:trPr>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Administrative Officer.</w:t>
            </w:r>
          </w:p>
        </w:tc>
      </w:tr>
      <w:tr>
        <w:trPr>
          <w:trHeight w:val="318"/>
        </w:trPr>
        <w:tc>
          <w:tcPr>
            <w:tcW w:w="94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54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3"/>
              </w:rPr>
              <w:t>Employment Agreement, dated as of July 1, 2002, with Mr. Michael S. Clementi, President and Chief Operating Officer of the Aviation</w:t>
            </w:r>
          </w:p>
        </w:tc>
      </w:tr>
      <w:tr>
        <w:trPr>
          <w:trHeight w:val="222"/>
        </w:trPr>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Division.</w:t>
            </w:r>
          </w:p>
        </w:tc>
      </w:tr>
      <w:tr>
        <w:trPr>
          <w:trHeight w:val="324"/>
        </w:trPr>
        <w:tc>
          <w:tcPr>
            <w:tcW w:w="94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54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2003 Executive Incentive Plan is incorporated by reference to our Schedule 14A filed April 23, 2004.</w:t>
            </w:r>
          </w:p>
        </w:tc>
      </w:tr>
      <w:tr>
        <w:trPr>
          <w:trHeight w:val="318"/>
        </w:trPr>
        <w:tc>
          <w:tcPr>
            <w:tcW w:w="94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54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5"/>
              </w:rPr>
              <w:t>Acquisition Agreement dated as of April 2, 2004, between the World Fuel Services European Holding Company I, Limited and Carl</w:t>
            </w:r>
          </w:p>
        </w:tc>
      </w:tr>
      <w:tr>
        <w:trPr>
          <w:trHeight w:val="222"/>
        </w:trPr>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6"/>
              </w:rPr>
              <w:t>Christian Carlsen and Jonathan Robert Cole, is incorporated by reference to our Current Report on Form 8-K filed April 16, 2004.</w:t>
            </w:r>
          </w:p>
        </w:tc>
      </w:tr>
      <w:tr>
        <w:trPr>
          <w:trHeight w:val="318"/>
        </w:trPr>
        <w:tc>
          <w:tcPr>
            <w:tcW w:w="94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54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1"/>
              </w:rPr>
              <w:t>Acquisition Agreement dated as of April 2, 2004, between the World Fuel Services European Holding Company I, Limited and Seefracht</w:t>
            </w:r>
          </w:p>
        </w:tc>
      </w:tr>
      <w:tr>
        <w:trPr>
          <w:trHeight w:val="222"/>
        </w:trPr>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A.G., is incorporated by reference to our Current Report on Form 8-K filed April 16, 2004.</w:t>
            </w:r>
          </w:p>
        </w:tc>
      </w:tr>
      <w:tr>
        <w:trPr>
          <w:trHeight w:val="318"/>
        </w:trPr>
        <w:tc>
          <w:tcPr>
            <w:tcW w:w="940" w:type="dxa"/>
            <w:vAlign w:val="bottom"/>
          </w:tcPr>
          <w:p>
            <w:pPr>
              <w:jc w:val="center"/>
              <w:spacing w:after="0"/>
              <w:rPr>
                <w:sz w:val="20"/>
                <w:szCs w:val="20"/>
                <w:color w:val="auto"/>
              </w:rPr>
            </w:pPr>
            <w:r>
              <w:rPr>
                <w:rFonts w:ascii="Arial" w:cs="Arial" w:eastAsia="Arial" w:hAnsi="Arial"/>
                <w:sz w:val="18"/>
                <w:szCs w:val="18"/>
                <w:color w:val="auto"/>
                <w:w w:val="84"/>
              </w:rPr>
              <w:t>10.11</w:t>
            </w:r>
          </w:p>
        </w:tc>
        <w:tc>
          <w:tcPr>
            <w:tcW w:w="54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87"/>
              </w:rPr>
              <w:t>Credit Agreement, excluding schedules and exhibits as listed in the agreement, dated as of December 19, 2003, between World Fuel Services</w:t>
            </w:r>
          </w:p>
        </w:tc>
      </w:tr>
      <w:tr>
        <w:trPr>
          <w:trHeight w:val="216"/>
        </w:trPr>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3"/>
              </w:rPr>
              <w:t>Corporation, as the Company, the various Financial Institutions Party Hereto, as Lenders, and LaSalle Bank National Association, as</w:t>
            </w:r>
          </w:p>
        </w:tc>
      </w:tr>
      <w:tr>
        <w:trPr>
          <w:trHeight w:val="222"/>
        </w:trPr>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Administrative Agent, is incorporated by reference to our Annual Report on Form 10-K filed March 15, 2004.</w:t>
            </w:r>
          </w:p>
        </w:tc>
      </w:tr>
      <w:tr>
        <w:trPr>
          <w:trHeight w:val="318"/>
        </w:trPr>
        <w:tc>
          <w:tcPr>
            <w:tcW w:w="94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54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1"/>
              </w:rPr>
              <w:t>First Amendment to Credit Agreement, dated as of March 31, 2004, between World Fuel Services Corporation, the Lenders and LaSalle</w:t>
            </w:r>
          </w:p>
        </w:tc>
      </w:tr>
      <w:tr>
        <w:trPr>
          <w:trHeight w:val="216"/>
        </w:trPr>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88"/>
              </w:rPr>
              <w:t>Bank National Association, as a Lender and as the Administrative Agent for Lenders, is incorporated by reference to our Quarterly Report on</w:t>
            </w:r>
          </w:p>
        </w:tc>
      </w:tr>
      <w:tr>
        <w:trPr>
          <w:trHeight w:val="222"/>
        </w:trPr>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Form 10-Q filed May 6, 2004.</w:t>
            </w:r>
          </w:p>
        </w:tc>
      </w:tr>
      <w:tr>
        <w:trPr>
          <w:trHeight w:val="318"/>
        </w:trPr>
        <w:tc>
          <w:tcPr>
            <w:tcW w:w="94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54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3"/>
              </w:rPr>
              <w:t>Second Amendment to Credit Agreement, dated as of September 29, 2004, between World Fuel Services Corporation, LaSalle Bank</w:t>
            </w:r>
          </w:p>
        </w:tc>
      </w:tr>
      <w:tr>
        <w:trPr>
          <w:trHeight w:val="216"/>
        </w:trPr>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89"/>
              </w:rPr>
              <w:t>National Association and various other financial institutions named therein, excluding the Reaffirmation of Guarantees and Reaffirmation of</w:t>
            </w:r>
          </w:p>
        </w:tc>
      </w:tr>
      <w:tr>
        <w:trPr>
          <w:trHeight w:val="222"/>
        </w:trPr>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Pledge Agreements, is incorporated by reference to our Current Report on Form 8-K filed October 5, 2004.</w:t>
            </w: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33 of 72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420" w:type="dxa"/>
            <w:vAlign w:val="bottom"/>
          </w:tcPr>
          <w:p>
            <w:pPr>
              <w:spacing w:after="0"/>
              <w:rPr>
                <w:sz w:val="15"/>
                <w:szCs w:val="15"/>
                <w:color w:val="auto"/>
              </w:rPr>
            </w:pPr>
          </w:p>
        </w:tc>
        <w:tc>
          <w:tcPr>
            <w:tcW w:w="96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9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720" w:type="dxa"/>
            <w:vAlign w:val="bottom"/>
          </w:tcPr>
          <w:p>
            <w:pPr>
              <w:spacing w:after="0"/>
              <w:rPr>
                <w:sz w:val="8"/>
                <w:szCs w:val="8"/>
                <w:color w:val="auto"/>
              </w:rPr>
            </w:pPr>
          </w:p>
        </w:tc>
      </w:tr>
      <w:tr>
        <w:trPr>
          <w:trHeight w:val="316"/>
        </w:trPr>
        <w:tc>
          <w:tcPr>
            <w:tcW w:w="940" w:type="dxa"/>
            <w:vAlign w:val="bottom"/>
          </w:tcPr>
          <w:p>
            <w:pPr>
              <w:jc w:val="center"/>
              <w:spacing w:after="0"/>
              <w:rPr>
                <w:sz w:val="20"/>
                <w:szCs w:val="20"/>
                <w:color w:val="auto"/>
              </w:rPr>
            </w:pPr>
            <w:r>
              <w:rPr>
                <w:rFonts w:ascii="Arial" w:cs="Arial" w:eastAsia="Arial" w:hAnsi="Arial"/>
                <w:sz w:val="18"/>
                <w:szCs w:val="18"/>
                <w:color w:val="auto"/>
                <w:w w:val="85"/>
              </w:rPr>
              <w:t>21.1</w:t>
            </w:r>
          </w:p>
        </w:tc>
        <w:tc>
          <w:tcPr>
            <w:tcW w:w="42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94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42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Consent of Independent Registered Certified Public Accounting Firm.</w:t>
            </w:r>
          </w:p>
        </w:tc>
      </w:tr>
      <w:tr>
        <w:trPr>
          <w:trHeight w:val="324"/>
        </w:trPr>
        <w:tc>
          <w:tcPr>
            <w:tcW w:w="9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42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Certification of the Chief Executive Officer pursuant to Rule 13a-14(a) or Rule 15d-14(a).</w:t>
            </w:r>
          </w:p>
        </w:tc>
      </w:tr>
      <w:tr>
        <w:trPr>
          <w:trHeight w:val="324"/>
        </w:trPr>
        <w:tc>
          <w:tcPr>
            <w:tcW w:w="9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42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Certification of the Chief Operating Officer pursuant to Rule 13a-14(a) or Rule 15d-14(a).</w:t>
            </w:r>
          </w:p>
        </w:tc>
      </w:tr>
      <w:tr>
        <w:trPr>
          <w:trHeight w:val="324"/>
        </w:trPr>
        <w:tc>
          <w:tcPr>
            <w:tcW w:w="940" w:type="dxa"/>
            <w:vAlign w:val="bottom"/>
          </w:tcPr>
          <w:p>
            <w:pPr>
              <w:jc w:val="center"/>
              <w:spacing w:after="0"/>
              <w:rPr>
                <w:sz w:val="20"/>
                <w:szCs w:val="20"/>
                <w:color w:val="auto"/>
              </w:rPr>
            </w:pPr>
            <w:r>
              <w:rPr>
                <w:rFonts w:ascii="Arial" w:cs="Arial" w:eastAsia="Arial" w:hAnsi="Arial"/>
                <w:sz w:val="18"/>
                <w:szCs w:val="18"/>
                <w:color w:val="auto"/>
                <w:w w:val="85"/>
              </w:rPr>
              <w:t>31.3</w:t>
            </w:r>
          </w:p>
        </w:tc>
        <w:tc>
          <w:tcPr>
            <w:tcW w:w="42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Certification of the Chief Financial Officer pursuant to Rule 13a-14(a) or Rule 15d-14(a).</w:t>
            </w:r>
          </w:p>
        </w:tc>
      </w:tr>
      <w:tr>
        <w:trPr>
          <w:trHeight w:val="324"/>
        </w:trPr>
        <w:tc>
          <w:tcPr>
            <w:tcW w:w="940" w:type="dxa"/>
            <w:vAlign w:val="bottom"/>
          </w:tcPr>
          <w:p>
            <w:pPr>
              <w:jc w:val="center"/>
              <w:spacing w:after="0"/>
              <w:rPr>
                <w:sz w:val="20"/>
                <w:szCs w:val="20"/>
                <w:color w:val="auto"/>
              </w:rPr>
            </w:pPr>
            <w:r>
              <w:rPr>
                <w:rFonts w:ascii="Arial" w:cs="Arial" w:eastAsia="Arial" w:hAnsi="Arial"/>
                <w:sz w:val="18"/>
                <w:szCs w:val="18"/>
                <w:color w:val="auto"/>
                <w:w w:val="85"/>
              </w:rPr>
              <w:t>31.4</w:t>
            </w:r>
          </w:p>
        </w:tc>
        <w:tc>
          <w:tcPr>
            <w:tcW w:w="42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Certification of the Chief Risk and Administrative Officer pursuant to Rule 13a-14(a) or Rule 15d-14(a).</w:t>
            </w:r>
          </w:p>
        </w:tc>
      </w:tr>
      <w:tr>
        <w:trPr>
          <w:trHeight w:val="318"/>
        </w:trPr>
        <w:tc>
          <w:tcPr>
            <w:tcW w:w="94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42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w w:val="90"/>
              </w:rPr>
              <w:t>Statement of Chief Executive Officer, Chief Operating Officer, Chief Financial Officer, and Chief Risk and Administrative Officer under</w:t>
            </w:r>
          </w:p>
        </w:tc>
      </w:tr>
      <w:tr>
        <w:trPr>
          <w:trHeight w:val="222"/>
        </w:trPr>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Section 906 of the Sarbanes-Oxley Act of 2002 (18 U.S.C. Section 1350).</w:t>
            </w:r>
          </w:p>
        </w:tc>
      </w:tr>
    </w:tbl>
    <w:p>
      <w:pPr>
        <w:spacing w:after="0" w:line="14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Page 34 of 72</w:t>
      </w:r>
    </w:p>
    <w:p>
      <w:pPr>
        <w:sectPr>
          <w:pgSz w:w="11900" w:h="16838" w:orient="portrait"/>
          <w:cols w:equalWidth="0" w:num="1">
            <w:col w:w="10980"/>
          </w:cols>
          <w:pgMar w:left="240" w:top="459" w:right="6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REPORT OF INDEPENDENT REGISTERED CERTIFIED PUBLIC ACCOUNTING FIRM</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Stockholders and Board of Directors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World Fuel Services Corporation:</w:t>
      </w:r>
    </w:p>
    <w:p>
      <w:pPr>
        <w:spacing w:after="0" w:line="151" w:lineRule="exact"/>
        <w:rPr>
          <w:sz w:val="20"/>
          <w:szCs w:val="20"/>
          <w:color w:val="auto"/>
        </w:rPr>
      </w:pPr>
    </w:p>
    <w:p>
      <w:pPr>
        <w:ind w:right="400"/>
        <w:spacing w:after="0" w:line="335" w:lineRule="auto"/>
        <w:rPr>
          <w:sz w:val="20"/>
          <w:szCs w:val="20"/>
          <w:color w:val="auto"/>
        </w:rPr>
      </w:pPr>
      <w:r>
        <w:rPr>
          <w:rFonts w:ascii="Arial" w:cs="Arial" w:eastAsia="Arial" w:hAnsi="Arial"/>
          <w:sz w:val="15"/>
          <w:szCs w:val="15"/>
          <w:color w:val="auto"/>
        </w:rPr>
        <w:t>We have completed an integrated audit of World Fuel Services Corporation’s 2004 consolidated financial statements and of its internal control over financial reporting as of December 31, 2004 and audits of its December 31, 2003 and nine months ended December 31, 2002 consolidated financial statements in accordance with the standards of the Public Company Accounting Oversight Board (United States). Our opinions, based on our audits, are presented below.</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Consolidated financial statements</w:t>
      </w:r>
    </w:p>
    <w:p>
      <w:pPr>
        <w:spacing w:after="0" w:line="7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our opinion, the consolidated financial statements listed in the index appearing under Item 15(a)(1) present fairly, in all material respects, the financial position of World Fuel Services Corporation and its subsidiaries at December 31, 2004 and 2003, and the results of their operations and their cash flows for each of the two years in the period ended December 31, 2004 and for the nine months ended December 31, 2002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As described in Note 2, the Company has restated its consolidated financial statements for the year ended and as of December 31, 2003 and for the nine months ended and as of December 31, 2002 to recognize revenue and cost of sales in the appropriate accounting period and to properly account for inventory derivative instruments.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Internal control over financial reporting</w:t>
      </w:r>
    </w:p>
    <w:p>
      <w:pPr>
        <w:spacing w:after="0" w:line="7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Also, we have audited management’s assessment, included in Management’s Report on Internal Control Over Financial Reporting appearing under Item 9A, that World Fuel Services Corporation did not maintain effective internal control over financial reporting as of December 31, 2004, because the Company did not maintain effective controls over (i) revenue and cost of sales recognition and (ii) its inventory derivative program, based on criteria established in </w:t>
      </w:r>
      <w:r>
        <w:rPr>
          <w:rFonts w:ascii="Arial" w:cs="Arial" w:eastAsia="Arial" w:hAnsi="Arial"/>
          <w:sz w:val="16"/>
          <w:szCs w:val="16"/>
          <w:i w:val="1"/>
          <w:iCs w:val="1"/>
          <w:color w:val="auto"/>
        </w:rPr>
        <w:t>Internal Control</w:t>
      </w:r>
    </w:p>
    <w:p>
      <w:pPr>
        <w:spacing w:after="0" w:line="1" w:lineRule="exact"/>
        <w:rPr>
          <w:sz w:val="20"/>
          <w:szCs w:val="20"/>
          <w:color w:val="auto"/>
        </w:rPr>
      </w:pPr>
    </w:p>
    <w:p>
      <w:pPr>
        <w:jc w:val="both"/>
        <w:ind w:right="580" w:firstLine="8"/>
        <w:spacing w:after="0" w:line="254" w:lineRule="auto"/>
        <w:tabs>
          <w:tab w:leader="none" w:pos="102"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 Integrated Framework </w:t>
      </w:r>
      <w:r>
        <w:rPr>
          <w:rFonts w:ascii="Arial" w:cs="Arial" w:eastAsia="Arial" w:hAnsi="Arial"/>
          <w:sz w:val="18"/>
          <w:szCs w:val="18"/>
          <w:color w:val="auto"/>
        </w:rPr>
        <w:t>issued by the Committee of Sponsoring Organizations of the Treadway Commission (COSO). The Company’s management is</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w:t>
      </w:r>
    </w:p>
    <w:p>
      <w:pPr>
        <w:spacing w:after="0" w:line="13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35 of 72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material weakness is a control deficiency, or combination of control deficiencies, that results in more than a remote likelihood that a material misstatement of the annual or interim financial statements will not be prevented or detected. The following material weaknesses have been identified and included in management’s assessment.</w:t>
      </w:r>
    </w:p>
    <w:p>
      <w:pPr>
        <w:spacing w:after="0" w:line="1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of December 31, 2004, the Company did not maintain effective controls over the recognition of revenue and cost of sales in the appropriate accounting period. Specifically, the Company was recognizing revenue and cost of sales when supporting documentation relating to fuel deliveries and related services had been received from third parties utilized by the Company to provide fuel and related services rather than at the time fuel deliveries were made and related services were performed as required by generally accepted accounting principles. This control deficiency resulted in the restatement of the Company’s financial statements for the year ended December 31, 2003, the nine months ended December 31, 2002, the quarterly information for the four quarters in the year ended December 31, 2003, the quarterly information for the first three quarters in the year ended December 31, 2004, and audit adjustments to the fourth quarter 2004 financial statements. Additionally, this control deficiency could result in a misstatement of revenue and cost of sales that would result in a material misstatement to the annual or interim financial statements that would not be prevented or detected. Accordingly, management has determined that this control deficiency constitutes a material weakness.</w:t>
      </w:r>
    </w:p>
    <w:p>
      <w:pPr>
        <w:spacing w:after="0" w:line="10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Additionally, as of December 31, 2004, the Company did not maintain effective controls over the accounting and financial reporting of its inventory derivative program. Specifically, the Company did not maintain effective controls to ensure the accuracy and presentation and disclosure of inventory derivative instruments. This control deficiency resulted in the restatement of the quarterly information for the four quarters in the year ended December 31, 2003, the quarterly information for the first three quarters in the year ended December 31, 2004, and an adjustment to the fourth quarter 2004 financial statements due to the incorrect accounting for inventory derivative instruments. Additionally, this control deficiency could result in a misstatement of inventory derivative instruments that would result in a material misstatement to the annual or interim financial statements that would not be prevented or detected. Accordingly, management has determined that this control deficiency constitutes a material weakness.</w:t>
      </w:r>
    </w:p>
    <w:p>
      <w:pPr>
        <w:spacing w:after="0" w:line="10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These material weaknesses were considered in determining the nature, timing, and extent of audit tests applied in our audit of the 2004 consolidated financial statements, and our opinion regarding the effectiveness of the Company’s internal control over financial reporting does not affect our opinion on those consolidated financial statements.</w:t>
      </w:r>
    </w:p>
    <w:p>
      <w:pPr>
        <w:spacing w:after="0" w:line="1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In our opinion, management’s assessment that World Fuel Services Corporation did not maintain effective internal control over financial reporting as of December 31, 2004, is fairly stated, in all material respects,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COSO. Also, in our opinion, because of the effect of the material weakness described above on the achievement of the objectives of the control criteria, World Fuel Services Corporation has not maintained effective internal control over financial reporting as of December 31, 2004, based on criteria established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COSO.</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Miami, Florida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31, 2005</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36 of 72</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6"/>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w w:val="96"/>
              </w:rPr>
              <w:t>Accounts and notes receivable, net of allowance for bad debts of $11,277 and $10,538 at December 31, 2004 and 2003,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0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490,780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243,612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52,209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19,948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648,068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354,663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Leasehold and improvements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2,577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Office equipment, furniture, computer equipment and software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(12,122)</w:t>
            </w: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(9,665)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Goodwill, net of amortization of $3,565 at December 31, 2004 and 2003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42,347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Identifiable intangible asset, net of amortization of $1,914 and $736 at December 31, 2004 and 2003, respectively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7,178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712,171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400,850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385,243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213,945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Accrued salaries and wages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10,652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27,499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466,985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246,595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50,467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 and other long-term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523,668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251,132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7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$1.00 par value; 100,000 shares authorized, none issued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0"/>
              </w:rPr>
              <w:t>Common stock, $0.01 par value; 50,000,000 shares authorized, 25,530,000 shares issued and outstanding at December 31, 2004 and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20" w:type="dxa"/>
            <w:vAlign w:val="bottom"/>
            <w:gridSpan w:val="2"/>
          </w:tcPr>
          <w:p>
            <w:pPr>
              <w:jc w:val="right"/>
              <w:ind w:right="9052"/>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159,496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134,315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Unearned deferred compensation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Treasury stock, at cost; 2,684,000 and 3,946,000 shares at December 31, 2004 and 2003, respectively</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(11,303)</w:t>
            </w: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(16,609)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188,503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712,171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400,850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00" w:type="dxa"/>
            <w:vAlign w:val="bottom"/>
            <w:vMerge w:val="restart"/>
          </w:tcPr>
          <w:p>
            <w:pPr>
              <w:ind w:left="26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700" w:type="dxa"/>
            <w:vAlign w:val="bottom"/>
          </w:tcPr>
          <w:p>
            <w:pPr>
              <w:ind w:left="5200"/>
              <w:spacing w:after="0"/>
              <w:rPr>
                <w:sz w:val="20"/>
                <w:szCs w:val="20"/>
                <w:color w:val="auto"/>
              </w:rPr>
            </w:pPr>
            <w:r>
              <w:rPr>
                <w:rFonts w:ascii="Arial" w:cs="Arial" w:eastAsia="Arial" w:hAnsi="Arial"/>
                <w:sz w:val="18"/>
                <w:szCs w:val="18"/>
                <w:color w:val="auto"/>
              </w:rPr>
              <w:t>Page 37 of 72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-4956810</wp:posOffset>
            </wp:positionV>
            <wp:extent cx="68135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1355"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-4956810</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-557530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-557530</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-557530</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-557530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-557530</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86"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earnings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gridSpan w:val="9"/>
          </w:tcPr>
          <w:p>
            <w:pPr>
              <w:jc w:val="center"/>
              <w:ind w:right="480"/>
              <w:spacing w:after="0"/>
              <w:rPr>
                <w:sz w:val="20"/>
                <w:szCs w:val="20"/>
                <w:color w:val="auto"/>
              </w:rPr>
            </w:pPr>
            <w:r>
              <w:rPr>
                <w:rFonts w:ascii="Arial" w:cs="Arial" w:eastAsia="Arial" w:hAnsi="Arial"/>
                <w:sz w:val="14"/>
                <w:szCs w:val="14"/>
                <w:b w:val="1"/>
                <w:bCs w:val="1"/>
                <w:color w:val="auto"/>
                <w:w w:val="87"/>
              </w:rPr>
              <w:t>For the Year ended December 31,</w:t>
            </w:r>
          </w:p>
        </w:tc>
        <w:tc>
          <w:tcPr>
            <w:tcW w:w="9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2003</w:t>
            </w: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2002</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4"/>
              </w:rPr>
              <w:t>Restated</w:t>
            </w:r>
          </w:p>
        </w:tc>
        <w:tc>
          <w:tcPr>
            <w:tcW w:w="80" w:type="dxa"/>
            <w:vAlign w:val="bottom"/>
          </w:tcPr>
          <w:p>
            <w:pPr>
              <w:spacing w:after="0"/>
              <w:rPr>
                <w:sz w:val="20"/>
                <w:szCs w:val="20"/>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4"/>
              </w:rPr>
              <w:t>Restated</w:t>
            </w:r>
          </w:p>
        </w:tc>
        <w:tc>
          <w:tcPr>
            <w:tcW w:w="100" w:type="dxa"/>
            <w:vAlign w:val="bottom"/>
          </w:tcPr>
          <w:p>
            <w:pPr>
              <w:spacing w:after="0"/>
              <w:rPr>
                <w:sz w:val="20"/>
                <w:szCs w:val="20"/>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5,654,373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2,671,557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1,904,365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1,551,707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(5,524,417)</w:t>
            </w: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(2,570,434)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(1,820,538)</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(1,488,587)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101,123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Salaries and wages</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(51,849)</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(38,820)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(31,456)</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Executive severance charges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Provision for bad debts</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(4,338)</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(6,281)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(2,866)</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(36,793)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(28,680)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(24,986)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(92,980)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(73,781)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(63,800)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823</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Earnings from aviation joint ventures, net</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493</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Settlement charge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before income taxes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(6,969)</w:t>
            </w: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(5,809)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(3,948)</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shares—basic</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-1229995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-1229995</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-1229995</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-1229995</wp:posOffset>
            </wp:positionV>
            <wp:extent cx="217360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73605"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-929640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-929640</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-929640</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-929640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-929640</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-929640</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-929640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-929640</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-929640</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-929640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-929640</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-929640</wp:posOffset>
            </wp:positionV>
            <wp:extent cx="3873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-629285</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-629285</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-629285</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-629285</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-629285</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-629285</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-629285</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-629285</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-629285</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-629285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-629285</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-629285</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-329565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-329565</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-329565</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-329565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-329565</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-329565</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-329565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-329565</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-329565</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-329565</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-329565</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-29210</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3873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387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38 of 72</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200" w:type="dxa"/>
            <w:vAlign w:val="bottom"/>
            <w:gridSpan w:val="4"/>
          </w:tcPr>
          <w:p>
            <w:pPr>
              <w:ind w:left="300"/>
              <w:spacing w:after="0"/>
              <w:rPr>
                <w:sz w:val="20"/>
                <w:szCs w:val="20"/>
                <w:color w:val="auto"/>
              </w:rPr>
            </w:pPr>
            <w:r>
              <w:rPr>
                <w:rFonts w:ascii="Arial" w:cs="Arial" w:eastAsia="Arial" w:hAnsi="Arial"/>
                <w:sz w:val="14"/>
                <w:szCs w:val="14"/>
                <w:b w:val="1"/>
                <w:bCs w:val="1"/>
                <w:color w:val="auto"/>
                <w:w w:val="85"/>
              </w:rPr>
              <w:t>Common Stock</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w w:val="88"/>
              </w:rPr>
              <w:t>Capital in</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Treasury Stock</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58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color w:val="auto"/>
                <w:w w:val="82"/>
              </w:rPr>
              <w:t>Excess of</w:t>
            </w:r>
          </w:p>
        </w:tc>
        <w:tc>
          <w:tcPr>
            <w:tcW w:w="180" w:type="dxa"/>
            <w:vAlign w:val="bottom"/>
            <w:vMerge w:val="restart"/>
          </w:tcPr>
          <w:p>
            <w:pPr>
              <w:spacing w:after="0"/>
              <w:rPr>
                <w:sz w:val="3"/>
                <w:szCs w:val="3"/>
                <w:color w:val="auto"/>
              </w:rPr>
            </w:pPr>
          </w:p>
        </w:tc>
        <w:tc>
          <w:tcPr>
            <w:tcW w:w="94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3"/>
                <w:szCs w:val="3"/>
                <w:color w:val="auto"/>
              </w:rPr>
            </w:pPr>
          </w:p>
        </w:tc>
        <w:tc>
          <w:tcPr>
            <w:tcW w:w="1000" w:type="dxa"/>
            <w:vAlign w:val="bottom"/>
            <w:gridSpan w:val="4"/>
            <w:vMerge w:val="restart"/>
          </w:tcPr>
          <w:p>
            <w:pPr>
              <w:ind w:left="20"/>
              <w:spacing w:after="0" w:line="149" w:lineRule="exact"/>
              <w:rPr>
                <w:sz w:val="20"/>
                <w:szCs w:val="20"/>
                <w:color w:val="auto"/>
              </w:rPr>
            </w:pPr>
            <w:r>
              <w:rPr>
                <w:rFonts w:ascii="Arial" w:cs="Arial" w:eastAsia="Arial" w:hAnsi="Arial"/>
                <w:sz w:val="14"/>
                <w:szCs w:val="14"/>
                <w:b w:val="1"/>
                <w:bCs w:val="1"/>
                <w:color w:val="auto"/>
              </w:rPr>
              <w:t>Unearned</w:t>
            </w: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4"/>
            <w:vMerge w:val="continue"/>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800" w:type="dxa"/>
            <w:vAlign w:val="bottom"/>
          </w:tcPr>
          <w:p>
            <w:pPr>
              <w:ind w:left="2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480" w:type="dxa"/>
            <w:vAlign w:val="bottom"/>
            <w:gridSpan w:val="3"/>
          </w:tcPr>
          <w:p>
            <w:pPr>
              <w:spacing w:after="0"/>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7"/>
              </w:rPr>
              <w:t>Par Value</w:t>
            </w:r>
          </w:p>
        </w:tc>
        <w:tc>
          <w:tcPr>
            <w:tcW w:w="180" w:type="dxa"/>
            <w:vAlign w:val="bottom"/>
          </w:tcPr>
          <w:p>
            <w:pPr>
              <w:spacing w:after="0"/>
              <w:rPr>
                <w:sz w:val="15"/>
                <w:szCs w:val="15"/>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Earnings</w:t>
            </w:r>
          </w:p>
        </w:tc>
        <w:tc>
          <w:tcPr>
            <w:tcW w:w="1100" w:type="dxa"/>
            <w:vAlign w:val="bottom"/>
            <w:gridSpan w:val="5"/>
          </w:tcPr>
          <w:p>
            <w:pPr>
              <w:spacing w:after="0"/>
              <w:rPr>
                <w:sz w:val="20"/>
                <w:szCs w:val="20"/>
                <w:color w:val="auto"/>
              </w:rPr>
            </w:pPr>
            <w:r>
              <w:rPr>
                <w:rFonts w:ascii="Arial" w:cs="Arial" w:eastAsia="Arial" w:hAnsi="Arial"/>
                <w:sz w:val="14"/>
                <w:szCs w:val="14"/>
                <w:b w:val="1"/>
                <w:bCs w:val="1"/>
                <w:color w:val="auto"/>
              </w:rPr>
              <w:t>Compensation</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2002 as previously reported</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25,530,000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255</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$29,564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$106,841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4,776,000</w:t>
            </w:r>
          </w:p>
        </w:tc>
        <w:tc>
          <w:tcPr>
            <w:tcW w:w="2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2"/>
              </w:rPr>
              <w:t>$ (20,105)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$ 116,439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Effect of restatement (see Note 2)</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00"/>
              <w:spacing w:after="0"/>
              <w:rPr>
                <w:sz w:val="20"/>
                <w:szCs w:val="20"/>
                <w:color w:val="auto"/>
              </w:rPr>
            </w:pPr>
            <w:r>
              <w:rPr>
                <w:rFonts w:ascii="Arial" w:cs="Arial" w:eastAsia="Arial" w:hAnsi="Arial"/>
                <w:sz w:val="18"/>
                <w:szCs w:val="18"/>
                <w:color w:val="auto"/>
                <w:w w:val="79"/>
              </w:rPr>
              <w:t>877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4"/>
          </w:tcPr>
          <w:p>
            <w:pPr>
              <w:ind w:lef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2002 as restated</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25,530,000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255</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29,564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107,718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4,776,000</w:t>
            </w:r>
          </w:p>
        </w:tc>
        <w:tc>
          <w:tcPr>
            <w:tcW w:w="2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(20,105)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Net income, as restated</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10,047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ind w:lef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 declared</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Issuance of restricted stock</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1,112</w:t>
            </w:r>
          </w:p>
        </w:tc>
        <w:tc>
          <w:tcPr>
            <w:tcW w:w="180" w:type="dxa"/>
            <w:vAlign w:val="bottom"/>
          </w:tcPr>
          <w:p>
            <w:pPr>
              <w:spacing w:after="0"/>
              <w:rPr>
                <w:sz w:val="18"/>
                <w:szCs w:val="18"/>
                <w:color w:val="auto"/>
              </w:rPr>
            </w:pPr>
          </w:p>
        </w:tc>
        <w:tc>
          <w:tcPr>
            <w:tcW w:w="9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(1,918)</w:t>
            </w:r>
          </w:p>
        </w:tc>
        <w:tc>
          <w:tcPr>
            <w:tcW w:w="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(192,000)</w:t>
            </w:r>
          </w:p>
        </w:tc>
        <w:tc>
          <w:tcPr>
            <w:tcW w:w="900" w:type="dxa"/>
            <w:vAlign w:val="bottom"/>
            <w:gridSpan w:val="3"/>
          </w:tcPr>
          <w:p>
            <w:pPr>
              <w:ind w:left="380"/>
              <w:spacing w:after="0"/>
              <w:rPr>
                <w:sz w:val="20"/>
                <w:szCs w:val="20"/>
                <w:color w:val="auto"/>
              </w:rPr>
            </w:pPr>
            <w:r>
              <w:rPr>
                <w:rFonts w:ascii="Arial" w:cs="Arial" w:eastAsia="Arial" w:hAnsi="Arial"/>
                <w:sz w:val="18"/>
                <w:szCs w:val="18"/>
                <w:color w:val="auto"/>
              </w:rPr>
              <w:t>806</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stock options</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(215)</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w w:val="97"/>
              </w:rPr>
              <w:t>Amortization of unearned deferred compensation</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 including income tax</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benefit of $475</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(434,000)</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1,824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Other</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c>
          <w:tcPr>
            <w:tcW w:w="9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4"/>
          </w:tcPr>
          <w:p>
            <w:pPr>
              <w:ind w:lef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(8,000)</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34</w:t>
            </w:r>
          </w:p>
        </w:tc>
        <w:tc>
          <w:tcPr>
            <w:tcW w:w="68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2002 as restated</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25,530,000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255</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32,468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115,386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(1,886)</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4,142,000</w:t>
            </w:r>
          </w:p>
        </w:tc>
        <w:tc>
          <w:tcPr>
            <w:tcW w:w="2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(17,441)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Net income, as restated</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22,161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ind w:lef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22,161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 declared</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Issuance of restricted stock</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388</w:t>
            </w:r>
          </w:p>
        </w:tc>
        <w:tc>
          <w:tcPr>
            <w:tcW w:w="180" w:type="dxa"/>
            <w:vAlign w:val="bottom"/>
          </w:tcPr>
          <w:p>
            <w:pPr>
              <w:spacing w:after="0"/>
              <w:rPr>
                <w:sz w:val="18"/>
                <w:szCs w:val="18"/>
                <w:color w:val="auto"/>
              </w:rPr>
            </w:pPr>
          </w:p>
        </w:tc>
        <w:tc>
          <w:tcPr>
            <w:tcW w:w="9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(652)</w:t>
            </w:r>
          </w:p>
        </w:tc>
        <w:tc>
          <w:tcPr>
            <w:tcW w:w="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(62,000)</w:t>
            </w:r>
          </w:p>
        </w:tc>
        <w:tc>
          <w:tcPr>
            <w:tcW w:w="900" w:type="dxa"/>
            <w:vAlign w:val="bottom"/>
            <w:gridSpan w:val="3"/>
          </w:tcPr>
          <w:p>
            <w:pPr>
              <w:ind w:left="380"/>
              <w:spacing w:after="0"/>
              <w:rPr>
                <w:sz w:val="20"/>
                <w:szCs w:val="20"/>
                <w:color w:val="auto"/>
              </w:rPr>
            </w:pPr>
            <w:r>
              <w:rPr>
                <w:rFonts w:ascii="Arial" w:cs="Arial" w:eastAsia="Arial" w:hAnsi="Arial"/>
                <w:sz w:val="18"/>
                <w:szCs w:val="18"/>
                <w:color w:val="auto"/>
              </w:rPr>
              <w:t>264</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stock options</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(1,175)</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w w:val="97"/>
              </w:rPr>
              <w:t>Amortization of unearned deferred compensation</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925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 including income tax</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benefit of $196</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(126,000)</w:t>
            </w:r>
          </w:p>
        </w:tc>
        <w:tc>
          <w:tcPr>
            <w:tcW w:w="9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534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Other</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9"/>
                <w:szCs w:val="19"/>
                <w:color w:val="auto"/>
              </w:rPr>
            </w:pPr>
          </w:p>
        </w:tc>
        <w:tc>
          <w:tcPr>
            <w:tcW w:w="9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4"/>
          </w:tcPr>
          <w:p>
            <w:pPr>
              <w:ind w:lef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(8,000)</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34</w:t>
            </w:r>
          </w:p>
        </w:tc>
        <w:tc>
          <w:tcPr>
            <w:tcW w:w="680" w:type="dxa"/>
            <w:vAlign w:val="bottom"/>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 as restated</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25,530,000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255</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34,545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134,315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(2,788)</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3,946,000</w:t>
            </w:r>
          </w:p>
        </w:tc>
        <w:tc>
          <w:tcPr>
            <w:tcW w:w="2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(16,609)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28,559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ind w:lef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28,559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 declared</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Issuance of restricted stock</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2,586</w:t>
            </w:r>
          </w:p>
        </w:tc>
        <w:tc>
          <w:tcPr>
            <w:tcW w:w="180" w:type="dxa"/>
            <w:vAlign w:val="bottom"/>
          </w:tcPr>
          <w:p>
            <w:pPr>
              <w:spacing w:after="0"/>
              <w:rPr>
                <w:sz w:val="18"/>
                <w:szCs w:val="18"/>
                <w:color w:val="auto"/>
              </w:rPr>
            </w:pPr>
          </w:p>
        </w:tc>
        <w:tc>
          <w:tcPr>
            <w:tcW w:w="9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(3,249)</w:t>
            </w:r>
          </w:p>
        </w:tc>
        <w:tc>
          <w:tcPr>
            <w:tcW w:w="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(158,000)</w:t>
            </w:r>
          </w:p>
        </w:tc>
        <w:tc>
          <w:tcPr>
            <w:tcW w:w="900" w:type="dxa"/>
            <w:vAlign w:val="bottom"/>
            <w:gridSpan w:val="3"/>
          </w:tcPr>
          <w:p>
            <w:pPr>
              <w:ind w:left="380"/>
              <w:spacing w:after="0"/>
              <w:rPr>
                <w:sz w:val="20"/>
                <w:szCs w:val="20"/>
                <w:color w:val="auto"/>
              </w:rPr>
            </w:pPr>
            <w:r>
              <w:rPr>
                <w:rFonts w:ascii="Arial" w:cs="Arial" w:eastAsia="Arial" w:hAnsi="Arial"/>
                <w:sz w:val="18"/>
                <w:szCs w:val="18"/>
                <w:color w:val="auto"/>
              </w:rPr>
              <w:t>663</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stock options</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(164)</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w w:val="97"/>
              </w:rPr>
              <w:t>Amortization of unearned deferred compensation</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1,708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 including income tax</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benefit of $4,517</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6,556</w:t>
            </w: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(1,080,000)</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4,545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Other</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573</w:t>
            </w:r>
          </w:p>
        </w:tc>
        <w:tc>
          <w:tcPr>
            <w:tcW w:w="180" w:type="dxa"/>
            <w:vAlign w:val="bottom"/>
          </w:tcPr>
          <w:p>
            <w:pPr>
              <w:spacing w:after="0"/>
              <w:rPr>
                <w:sz w:val="19"/>
                <w:szCs w:val="19"/>
                <w:color w:val="auto"/>
              </w:rPr>
            </w:pPr>
          </w:p>
        </w:tc>
        <w:tc>
          <w:tcPr>
            <w:tcW w:w="9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(24,000)</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98</w:t>
            </w:r>
          </w:p>
        </w:tc>
        <w:tc>
          <w:tcPr>
            <w:tcW w:w="680" w:type="dxa"/>
            <w:vAlign w:val="bottom"/>
          </w:tcPr>
          <w:p>
            <w:pPr>
              <w:jc w:val="right"/>
              <w:spacing w:after="0"/>
              <w:rPr>
                <w:sz w:val="20"/>
                <w:szCs w:val="20"/>
                <w:color w:val="auto"/>
              </w:rPr>
            </w:pPr>
            <w:r>
              <w:rPr>
                <w:rFonts w:ascii="Arial" w:cs="Arial" w:eastAsia="Arial" w:hAnsi="Arial"/>
                <w:sz w:val="18"/>
                <w:szCs w:val="18"/>
                <w:color w:val="auto"/>
              </w:rPr>
              <w:t>795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25,530,000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255</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$44,424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$159,496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(4,369)</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2,684,000</w:t>
            </w:r>
          </w:p>
        </w:tc>
        <w:tc>
          <w:tcPr>
            <w:tcW w:w="2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2"/>
              </w:rPr>
              <w:t>$ (11,303)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$188,503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-29210</wp:posOffset>
            </wp:positionV>
            <wp:extent cx="31305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-29210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-29210</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81851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18515"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39 of 72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For the 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8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86"/>
              </w:rPr>
              <w:t>For the Year ended December 31,</w:t>
            </w:r>
          </w:p>
        </w:tc>
        <w:tc>
          <w:tcPr>
            <w:tcW w:w="9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Restated</w:t>
            </w:r>
          </w:p>
        </w:tc>
        <w:tc>
          <w:tcPr>
            <w:tcW w:w="10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1"/>
              </w:rPr>
              <w:t>Restated</w:t>
            </w:r>
          </w:p>
        </w:tc>
        <w:tc>
          <w:tcPr>
            <w:tcW w:w="140" w:type="dxa"/>
            <w:vAlign w:val="bottom"/>
          </w:tcPr>
          <w:p>
            <w:pPr>
              <w:spacing w:after="0"/>
              <w:rPr>
                <w:sz w:val="20"/>
                <w:szCs w:val="20"/>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28,559</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$ 22,161</w:t>
            </w:r>
          </w:p>
        </w:tc>
        <w:tc>
          <w:tcPr>
            <w:tcW w:w="3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14,153</w:t>
            </w:r>
          </w:p>
        </w:tc>
        <w:tc>
          <w:tcPr>
            <w:tcW w:w="3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Adjustments to reconcile net income to net cash (used in) provided by operating activities -</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60"/>
              <w:spacing w:after="0"/>
              <w:rPr>
                <w:sz w:val="20"/>
                <w:szCs w:val="20"/>
                <w:color w:val="auto"/>
              </w:rPr>
            </w:pPr>
            <w:r>
              <w:rPr>
                <w:rFonts w:ascii="Arial" w:cs="Arial" w:eastAsia="Arial" w:hAnsi="Arial"/>
                <w:sz w:val="18"/>
                <w:szCs w:val="18"/>
                <w:color w:val="auto"/>
              </w:rPr>
              <w:t>Provision for bad debts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4,338</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6,281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2,866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60"/>
              <w:spacing w:after="0"/>
              <w:rPr>
                <w:sz w:val="20"/>
                <w:szCs w:val="20"/>
                <w:color w:val="auto"/>
              </w:rPr>
            </w:pPr>
            <w:r>
              <w:rPr>
                <w:rFonts w:ascii="Arial" w:cs="Arial" w:eastAsia="Arial" w:hAnsi="Arial"/>
                <w:sz w:val="18"/>
                <w:szCs w:val="18"/>
                <w:color w:val="auto"/>
              </w:rPr>
              <w:t>Inventory write-down associated with the existing of the Panamanian market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2,134</w:t>
            </w:r>
          </w:p>
        </w:tc>
        <w:tc>
          <w:tcPr>
            <w:tcW w:w="36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 provision (benefit)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60"/>
              <w:spacing w:after="0"/>
              <w:rPr>
                <w:sz w:val="20"/>
                <w:szCs w:val="20"/>
                <w:color w:val="auto"/>
              </w:rPr>
            </w:pPr>
            <w:r>
              <w:rPr>
                <w:rFonts w:ascii="Arial" w:cs="Arial" w:eastAsia="Arial" w:hAnsi="Arial"/>
                <w:sz w:val="18"/>
                <w:szCs w:val="18"/>
                <w:color w:val="auto"/>
              </w:rPr>
              <w:t>Earnings from aviation joint ventures, net</w:t>
            </w:r>
          </w:p>
        </w:tc>
        <w:tc>
          <w:tcPr>
            <w:tcW w:w="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Settlement charges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60"/>
              <w:spacing w:after="0"/>
              <w:rPr>
                <w:sz w:val="20"/>
                <w:szCs w:val="20"/>
                <w:color w:val="auto"/>
              </w:rPr>
            </w:pPr>
            <w:r>
              <w:rPr>
                <w:rFonts w:ascii="Arial" w:cs="Arial" w:eastAsia="Arial" w:hAnsi="Arial"/>
                <w:sz w:val="18"/>
                <w:szCs w:val="18"/>
                <w:color w:val="auto"/>
              </w:rPr>
              <w:t>Unearned compensation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1,708</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non-cash operating charges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60"/>
              <w:spacing w:after="0"/>
              <w:rPr>
                <w:sz w:val="20"/>
                <w:szCs w:val="20"/>
                <w:color w:val="auto"/>
              </w:rPr>
            </w:pPr>
            <w:r>
              <w:rPr>
                <w:rFonts w:ascii="Arial" w:cs="Arial" w:eastAsia="Arial" w:hAnsi="Arial"/>
                <w:sz w:val="18"/>
                <w:szCs w:val="18"/>
                <w:color w:val="auto"/>
              </w:rPr>
              <w:t>Changes in assets and liabilities, net of acquisitions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and notes receivable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(156,141)</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(37,315)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(74,477)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(18,293)</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(11,796)</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(505)</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(31,413)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(8,229)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28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91,651</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280"/>
              <w:spacing w:after="0"/>
              <w:rPr>
                <w:sz w:val="20"/>
                <w:szCs w:val="20"/>
                <w:color w:val="auto"/>
              </w:rPr>
            </w:pPr>
            <w:r>
              <w:rPr>
                <w:rFonts w:ascii="Arial" w:cs="Arial" w:eastAsia="Arial" w:hAnsi="Arial"/>
                <w:sz w:val="18"/>
                <w:szCs w:val="18"/>
                <w:color w:val="auto"/>
              </w:rPr>
              <w:t>Customer deposits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29,486</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salaries and wages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28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226</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1,819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10,709</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(5,967)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ind w:left="1280"/>
              <w:spacing w:after="0"/>
              <w:rPr>
                <w:sz w:val="20"/>
                <w:szCs w:val="20"/>
                <w:color w:val="auto"/>
              </w:rPr>
            </w:pPr>
            <w:r>
              <w:rPr>
                <w:rFonts w:ascii="Arial" w:cs="Arial" w:eastAsia="Arial" w:hAnsi="Arial"/>
                <w:sz w:val="18"/>
                <w:szCs w:val="18"/>
                <w:color w:val="auto"/>
              </w:rPr>
              <w:t>Deferred compensation and other long-term liabilities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3,682</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(1,469)</w:t>
            </w: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 adjustments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(57,344)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provided by operating activities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(28,795)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(2,398)</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(3,213)</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business,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(5,461)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(3,267)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(8,674)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Dividends paid on common stock</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(3,350)</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(3,182)</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(3,136)</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Borrowings under revolving credit facility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Repayment of promissory notes</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(2,100)</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(2,527)</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(3,444)</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debt assumed from acquired business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(35,347)</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6,315</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3,286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treasury stock</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15,518</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(4,983)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(6,772)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(12,078)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76,256</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57,776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56,179</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58,172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64,178</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$ 76,256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38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40 of 72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(In thousands)</w:t>
      </w:r>
    </w:p>
    <w:p>
      <w:pPr>
        <w:spacing w:after="0" w:line="15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(Continued)</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84"/>
              <w:spacing w:after="0"/>
              <w:rPr>
                <w:sz w:val="20"/>
                <w:szCs w:val="20"/>
                <w:color w:val="auto"/>
              </w:rPr>
            </w:pPr>
            <w:r>
              <w:rPr>
                <w:rFonts w:ascii="Arial" w:cs="Arial" w:eastAsia="Arial" w:hAnsi="Arial"/>
                <w:sz w:val="14"/>
                <w:szCs w:val="14"/>
                <w:b w:val="1"/>
                <w:bCs w:val="1"/>
                <w:color w:val="auto"/>
                <w:w w:val="88"/>
              </w:rPr>
              <w:t>For the</w:t>
            </w:r>
          </w:p>
        </w:tc>
      </w:tr>
      <w:tr>
        <w:trPr>
          <w:trHeight w:val="149"/>
        </w:trPr>
        <w:tc>
          <w:tcPr>
            <w:tcW w:w="5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Nine Months</w:t>
            </w:r>
          </w:p>
        </w:tc>
      </w:tr>
      <w:tr>
        <w:trPr>
          <w:trHeight w:val="149"/>
        </w:trPr>
        <w:tc>
          <w:tcPr>
            <w:tcW w:w="5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74"/>
        </w:trPr>
        <w:tc>
          <w:tcPr>
            <w:tcW w:w="5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7"/>
          </w:tcPr>
          <w:p>
            <w:pPr>
              <w:jc w:val="right"/>
              <w:ind w:right="279"/>
              <w:spacing w:after="0"/>
              <w:rPr>
                <w:sz w:val="20"/>
                <w:szCs w:val="20"/>
                <w:color w:val="auto"/>
              </w:rPr>
            </w:pPr>
            <w:r>
              <w:rPr>
                <w:rFonts w:ascii="Arial" w:cs="Arial" w:eastAsia="Arial" w:hAnsi="Arial"/>
                <w:sz w:val="14"/>
                <w:szCs w:val="14"/>
                <w:b w:val="1"/>
                <w:bCs w:val="1"/>
                <w:color w:val="auto"/>
                <w:w w:val="96"/>
              </w:rPr>
              <w:t>For the Year ended December 31,</w:t>
            </w:r>
          </w:p>
        </w:tc>
        <w:tc>
          <w:tcPr>
            <w:tcW w:w="1260" w:type="dxa"/>
            <w:vAlign w:val="bottom"/>
            <w:gridSpan w:val="3"/>
          </w:tcPr>
          <w:p>
            <w:pPr>
              <w:jc w:val="center"/>
              <w:ind w:left="359"/>
              <w:spacing w:after="0"/>
              <w:rPr>
                <w:sz w:val="20"/>
                <w:szCs w:val="20"/>
                <w:color w:val="auto"/>
              </w:rPr>
            </w:pPr>
            <w:r>
              <w:rPr>
                <w:rFonts w:ascii="Arial" w:cs="Arial" w:eastAsia="Arial" w:hAnsi="Arial"/>
                <w:sz w:val="14"/>
                <w:szCs w:val="14"/>
                <w:b w:val="1"/>
                <w:bCs w:val="1"/>
                <w:color w:val="auto"/>
                <w:w w:val="85"/>
              </w:rPr>
              <w:t>December 31,</w:t>
            </w:r>
          </w:p>
        </w:tc>
      </w:tr>
      <w:tr>
        <w:trPr>
          <w:trHeight w:val="95"/>
        </w:trPr>
        <w:tc>
          <w:tcPr>
            <w:tcW w:w="5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r>
      <w:tr>
        <w:trPr>
          <w:trHeight w:val="263"/>
        </w:trPr>
        <w:tc>
          <w:tcPr>
            <w:tcW w:w="5160" w:type="dxa"/>
            <w:vAlign w:val="bottom"/>
          </w:tcPr>
          <w:p>
            <w:pPr>
              <w:spacing w:after="0"/>
              <w:rPr>
                <w:sz w:val="22"/>
                <w:szCs w:val="22"/>
                <w:color w:val="auto"/>
              </w:rPr>
            </w:pPr>
          </w:p>
        </w:tc>
        <w:tc>
          <w:tcPr>
            <w:tcW w:w="1740" w:type="dxa"/>
            <w:vAlign w:val="bottom"/>
            <w:gridSpan w:val="3"/>
          </w:tcPr>
          <w:p>
            <w:pPr>
              <w:jc w:val="center"/>
              <w:ind w:left="1139"/>
              <w:spacing w:after="0"/>
              <w:rPr>
                <w:sz w:val="20"/>
                <w:szCs w:val="20"/>
                <w:color w:val="auto"/>
              </w:rPr>
            </w:pPr>
            <w:r>
              <w:rPr>
                <w:rFonts w:ascii="Arial" w:cs="Arial" w:eastAsia="Arial" w:hAnsi="Arial"/>
                <w:sz w:val="14"/>
                <w:szCs w:val="14"/>
                <w:b w:val="1"/>
                <w:bCs w:val="1"/>
                <w:color w:val="auto"/>
                <w:w w:val="89"/>
              </w:rPr>
              <w:t>2004</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9"/>
              <w:spacing w:after="0"/>
              <w:rPr>
                <w:sz w:val="20"/>
                <w:szCs w:val="20"/>
                <w:color w:val="auto"/>
              </w:rPr>
            </w:pPr>
            <w:r>
              <w:rPr>
                <w:rFonts w:ascii="Arial" w:cs="Arial" w:eastAsia="Arial" w:hAnsi="Arial"/>
                <w:sz w:val="14"/>
                <w:szCs w:val="14"/>
                <w:b w:val="1"/>
                <w:bCs w:val="1"/>
                <w:color w:val="auto"/>
                <w:w w:val="83"/>
              </w:rPr>
              <w:t>2003</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139"/>
              <w:spacing w:after="0"/>
              <w:rPr>
                <w:sz w:val="20"/>
                <w:szCs w:val="20"/>
                <w:color w:val="auto"/>
              </w:rPr>
            </w:pPr>
            <w:r>
              <w:rPr>
                <w:rFonts w:ascii="Arial" w:cs="Arial" w:eastAsia="Arial" w:hAnsi="Arial"/>
                <w:sz w:val="14"/>
                <w:szCs w:val="14"/>
                <w:b w:val="1"/>
                <w:bCs w:val="1"/>
                <w:color w:val="auto"/>
              </w:rPr>
              <w:t>2002</w:t>
            </w: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center"/>
              <w:ind w:right="84"/>
              <w:spacing w:after="0"/>
              <w:rPr>
                <w:sz w:val="20"/>
                <w:szCs w:val="20"/>
                <w:color w:val="auto"/>
              </w:rPr>
            </w:pPr>
            <w:r>
              <w:rPr>
                <w:rFonts w:ascii="Arial" w:cs="Arial" w:eastAsia="Arial" w:hAnsi="Arial"/>
                <w:sz w:val="14"/>
                <w:szCs w:val="14"/>
                <w:b w:val="1"/>
                <w:bCs w:val="1"/>
                <w:color w:val="auto"/>
                <w:w w:val="83"/>
              </w:rPr>
              <w:t>2002</w:t>
            </w:r>
          </w:p>
        </w:tc>
      </w:tr>
      <w:tr>
        <w:trPr>
          <w:trHeight w:val="95"/>
        </w:trPr>
        <w:tc>
          <w:tcPr>
            <w:tcW w:w="5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r>
      <w:tr>
        <w:trPr>
          <w:trHeight w:val="250"/>
        </w:trPr>
        <w:tc>
          <w:tcPr>
            <w:tcW w:w="5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gridSpan w:val="3"/>
          </w:tcPr>
          <w:p>
            <w:pPr>
              <w:ind w:left="440"/>
              <w:spacing w:after="0"/>
              <w:rPr>
                <w:sz w:val="20"/>
                <w:szCs w:val="20"/>
                <w:color w:val="auto"/>
              </w:rPr>
            </w:pPr>
            <w:r>
              <w:rPr>
                <w:rFonts w:ascii="Arial" w:cs="Arial" w:eastAsia="Arial" w:hAnsi="Arial"/>
                <w:sz w:val="14"/>
                <w:szCs w:val="14"/>
                <w:b w:val="1"/>
                <w:bCs w:val="1"/>
                <w:color w:val="auto"/>
                <w:w w:val="89"/>
              </w:rPr>
              <w:t>(Unaudited)</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Cash paid during the period for: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1740" w:type="dxa"/>
            <w:vAlign w:val="bottom"/>
            <w:gridSpan w:val="3"/>
            <w:shd w:val="clear" w:color="auto" w:fill="CCEEFF"/>
          </w:tcPr>
          <w:p>
            <w:pPr>
              <w:jc w:val="center"/>
              <w:ind w:left="1139"/>
              <w:spacing w:after="0"/>
              <w:rPr>
                <w:sz w:val="20"/>
                <w:szCs w:val="20"/>
                <w:color w:val="auto"/>
              </w:rPr>
            </w:pPr>
            <w:r>
              <w:rPr>
                <w:rFonts w:ascii="Arial" w:cs="Arial" w:eastAsia="Arial" w:hAnsi="Arial"/>
                <w:sz w:val="18"/>
                <w:szCs w:val="18"/>
                <w:color w:val="auto"/>
                <w:w w:val="87"/>
              </w:rPr>
              <w:t>$1,668</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132"/>
        </w:trPr>
        <w:tc>
          <w:tcPr>
            <w:tcW w:w="5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r>
      <w:tr>
        <w:trPr>
          <w:trHeight w:val="105"/>
        </w:trPr>
        <w:tc>
          <w:tcPr>
            <w:tcW w:w="5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216"/>
        </w:trPr>
        <w:tc>
          <w:tcPr>
            <w:tcW w:w="5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w:t>
            </w:r>
          </w:p>
        </w:tc>
        <w:tc>
          <w:tcPr>
            <w:tcW w:w="1740" w:type="dxa"/>
            <w:vAlign w:val="bottom"/>
            <w:gridSpan w:val="3"/>
            <w:shd w:val="clear" w:color="auto" w:fill="CCEEFF"/>
          </w:tcPr>
          <w:p>
            <w:pPr>
              <w:jc w:val="center"/>
              <w:ind w:left="1139"/>
              <w:spacing w:after="0"/>
              <w:rPr>
                <w:sz w:val="20"/>
                <w:szCs w:val="20"/>
                <w:color w:val="auto"/>
              </w:rPr>
            </w:pPr>
            <w:r>
              <w:rPr>
                <w:rFonts w:ascii="Arial" w:cs="Arial" w:eastAsia="Arial" w:hAnsi="Arial"/>
                <w:sz w:val="18"/>
                <w:szCs w:val="18"/>
                <w:color w:val="auto"/>
                <w:w w:val="87"/>
              </w:rPr>
              <w:t>$8,786</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6,155</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w:t>
            </w:r>
          </w:p>
        </w:tc>
      </w:tr>
      <w:tr>
        <w:trPr>
          <w:trHeight w:val="132"/>
        </w:trPr>
        <w:tc>
          <w:tcPr>
            <w:tcW w:w="5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4427855</wp:posOffset>
            </wp:positionH>
            <wp:positionV relativeFrom="paragraph">
              <wp:posOffset>-329565</wp:posOffset>
            </wp:positionV>
            <wp:extent cx="32131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-329565</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-329565</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-329565</wp:posOffset>
            </wp:positionV>
            <wp:extent cx="2159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-329565</wp:posOffset>
            </wp:positionV>
            <wp:extent cx="12477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47775"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32131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477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47775" cy="29845"/>
                    </a:xfrm>
                    <a:prstGeom prst="rect">
                      <a:avLst/>
                    </a:prstGeom>
                    <a:noFill/>
                  </pic:spPr>
                </pic:pic>
              </a:graphicData>
            </a:graphic>
          </wp:anchor>
        </w:drawing>
      </w:r>
    </w:p>
    <w:p>
      <w:pPr>
        <w:spacing w:after="0" w:line="22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paid cash and issued promissory notes and equity securities in connection with certain acquisitions of businesses accounted for under the purchase method for the years ended December 31, 2004 and 2002. There were no acquisitions for the year ended December 31, 2003 or for the nine months ended December 31, 2002. The following reconciles the fair values of the assets acquired, liabilities assumed, the promissory notes issued, and the equity securities issued with net cash received (paid):</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55"/>
              <w:spacing w:after="0"/>
              <w:rPr>
                <w:sz w:val="20"/>
                <w:szCs w:val="20"/>
                <w:color w:val="auto"/>
              </w:rPr>
            </w:pPr>
            <w:r>
              <w:rPr>
                <w:rFonts w:ascii="Arial" w:cs="Arial" w:eastAsia="Arial" w:hAnsi="Arial"/>
                <w:sz w:val="14"/>
                <w:szCs w:val="14"/>
                <w:b w:val="1"/>
                <w:bCs w:val="1"/>
                <w:color w:val="auto"/>
                <w:w w:val="88"/>
              </w:rPr>
              <w:t>For the</w:t>
            </w:r>
          </w:p>
        </w:tc>
      </w:tr>
      <w:tr>
        <w:trPr>
          <w:trHeight w:val="149"/>
        </w:trPr>
        <w:tc>
          <w:tcPr>
            <w:tcW w:w="6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Nine Months</w:t>
            </w:r>
          </w:p>
        </w:tc>
      </w:tr>
      <w:tr>
        <w:trPr>
          <w:trHeight w:val="149"/>
        </w:trPr>
        <w:tc>
          <w:tcPr>
            <w:tcW w:w="6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74"/>
        </w:trPr>
        <w:tc>
          <w:tcPr>
            <w:tcW w:w="6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w w:val="94"/>
              </w:rPr>
              <w:t>For the Year ended December 31,</w:t>
            </w:r>
          </w:p>
        </w:tc>
        <w:tc>
          <w:tcPr>
            <w:tcW w:w="20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December 31,</w:t>
            </w:r>
          </w:p>
        </w:tc>
      </w:tr>
      <w:tr>
        <w:trPr>
          <w:trHeight w:val="95"/>
        </w:trPr>
        <w:tc>
          <w:tcPr>
            <w:tcW w:w="6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263"/>
        </w:trPr>
        <w:tc>
          <w:tcPr>
            <w:tcW w:w="6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center"/>
              <w:ind w:right="55"/>
              <w:spacing w:after="0"/>
              <w:rPr>
                <w:sz w:val="20"/>
                <w:szCs w:val="20"/>
                <w:color w:val="auto"/>
              </w:rPr>
            </w:pPr>
            <w:r>
              <w:rPr>
                <w:rFonts w:ascii="Arial" w:cs="Arial" w:eastAsia="Arial" w:hAnsi="Arial"/>
                <w:sz w:val="14"/>
                <w:szCs w:val="14"/>
                <w:b w:val="1"/>
                <w:bCs w:val="1"/>
                <w:color w:val="auto"/>
                <w:w w:val="83"/>
              </w:rPr>
              <w:t>2002</w:t>
            </w:r>
          </w:p>
        </w:tc>
      </w:tr>
      <w:tr>
        <w:trPr>
          <w:trHeight w:val="95"/>
        </w:trPr>
        <w:tc>
          <w:tcPr>
            <w:tcW w:w="6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250"/>
        </w:trPr>
        <w:tc>
          <w:tcPr>
            <w:tcW w:w="6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4"/>
          </w:tcPr>
          <w:p>
            <w:pPr>
              <w:ind w:left="38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(97,603)</w:t>
            </w:r>
          </w:p>
        </w:tc>
        <w:tc>
          <w:tcPr>
            <w:tcW w:w="5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(18,754)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(9,895)</w:t>
            </w:r>
          </w:p>
        </w:tc>
        <w:tc>
          <w:tcPr>
            <w:tcW w:w="200" w:type="dxa"/>
            <w:vAlign w:val="bottom"/>
          </w:tcPr>
          <w:p>
            <w:pPr>
              <w:spacing w:after="0"/>
              <w:rPr>
                <w:sz w:val="18"/>
                <w:szCs w:val="18"/>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w w:val="90"/>
              </w:rPr>
              <w:t>Prepaid fuel and expenses, VAT and other taxes receivable and other 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8"/>
                <w:szCs w:val="18"/>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(7,560)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(5,487)</w:t>
            </w:r>
          </w:p>
        </w:tc>
        <w:tc>
          <w:tcPr>
            <w:tcW w:w="200" w:type="dxa"/>
            <w:vAlign w:val="bottom"/>
          </w:tcPr>
          <w:p>
            <w:pPr>
              <w:spacing w:after="0"/>
              <w:rPr>
                <w:sz w:val="18"/>
                <w:szCs w:val="18"/>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(4,292)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35,347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Promissory notes, short-term portion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79,647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08"/>
        </w:trPr>
        <w:tc>
          <w:tcPr>
            <w:tcW w:w="6280" w:type="dxa"/>
            <w:vAlign w:val="bottom"/>
          </w:tcPr>
          <w:p>
            <w:pPr>
              <w:spacing w:after="0"/>
              <w:rPr>
                <w:sz w:val="20"/>
                <w:szCs w:val="20"/>
                <w:color w:val="auto"/>
              </w:rPr>
            </w:pPr>
            <w:r>
              <w:rPr>
                <w:rFonts w:ascii="Arial" w:cs="Arial" w:eastAsia="Arial" w:hAnsi="Arial"/>
                <w:sz w:val="18"/>
                <w:szCs w:val="18"/>
                <w:color w:val="auto"/>
                <w:w w:val="96"/>
              </w:rPr>
              <w:t>Accrued expenses and other current liabilities and excise, payroll and other taxes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6280" w:type="dxa"/>
            <w:vAlign w:val="bottom"/>
          </w:tcPr>
          <w:p>
            <w:pPr>
              <w:ind w:left="220"/>
              <w:spacing w:after="0"/>
              <w:rPr>
                <w:sz w:val="20"/>
                <w:szCs w:val="20"/>
                <w:color w:val="auto"/>
              </w:rPr>
            </w:pPr>
            <w:r>
              <w:rPr>
                <w:rFonts w:ascii="Arial" w:cs="Arial" w:eastAsia="Arial" w:hAnsi="Arial"/>
                <w:sz w:val="18"/>
                <w:szCs w:val="18"/>
                <w:color w:val="auto"/>
              </w:rPr>
              <w:t>payable</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6,155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r>
      <w:tr>
        <w:trPr>
          <w:trHeight w:val="218"/>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Accrued salaries and wages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Promissory notes, long-term portion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issued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108"/>
        </w:trPr>
        <w:tc>
          <w:tcPr>
            <w:tcW w:w="6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r>
      <w:tr>
        <w:trPr>
          <w:trHeight w:val="102"/>
        </w:trPr>
        <w:tc>
          <w:tcPr>
            <w:tcW w:w="6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received (paid)</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(5,461)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132"/>
        </w:trPr>
        <w:tc>
          <w:tcPr>
            <w:tcW w:w="6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-29210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2159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3873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(Continued)</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Page 41 of 72</w:t>
      </w:r>
    </w:p>
    <w:p>
      <w:pPr>
        <w:sectPr>
          <w:pgSz w:w="11900" w:h="16838" w:orient="portrait"/>
          <w:cols w:equalWidth="0" w:num="1">
            <w:col w:w="11040"/>
          </w:cols>
          <w:pgMar w:left="240" w:top="459" w:right="6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83" w:lineRule="exact"/>
        <w:rPr>
          <w:sz w:val="20"/>
          <w:szCs w:val="20"/>
          <w:color w:val="auto"/>
        </w:rPr>
      </w:pPr>
    </w:p>
    <w:p>
      <w:pPr>
        <w:ind w:left="460" w:right="60" w:firstLine="438"/>
        <w:spacing w:after="0" w:line="268" w:lineRule="auto"/>
        <w:rPr>
          <w:sz w:val="20"/>
          <w:szCs w:val="20"/>
          <w:color w:val="auto"/>
        </w:rPr>
      </w:pPr>
      <w:r>
        <w:rPr>
          <w:rFonts w:ascii="Arial" w:cs="Arial" w:eastAsia="Arial" w:hAnsi="Arial"/>
          <w:sz w:val="18"/>
          <w:szCs w:val="18"/>
          <w:color w:val="auto"/>
        </w:rPr>
        <w:t>Cash dividends declared, but not yet paid, totaled $855 thousand and $828 thousand are included in accrued expenses and other current liabilities as of December 31, 2004 and 2003, respectively.</w:t>
      </w:r>
    </w:p>
    <w:p>
      <w:pPr>
        <w:spacing w:after="0" w:line="37" w:lineRule="exact"/>
        <w:rPr>
          <w:sz w:val="20"/>
          <w:szCs w:val="20"/>
          <w:color w:val="auto"/>
        </w:rPr>
      </w:pPr>
    </w:p>
    <w:p>
      <w:pPr>
        <w:ind w:left="460" w:firstLine="438"/>
        <w:spacing w:after="0" w:line="294" w:lineRule="auto"/>
        <w:rPr>
          <w:sz w:val="20"/>
          <w:szCs w:val="20"/>
          <w:color w:val="auto"/>
        </w:rPr>
      </w:pPr>
      <w:r>
        <w:rPr>
          <w:rFonts w:ascii="Arial" w:cs="Arial" w:eastAsia="Arial" w:hAnsi="Arial"/>
          <w:sz w:val="16"/>
          <w:szCs w:val="16"/>
          <w:color w:val="auto"/>
        </w:rPr>
        <w:t>For the construction of our corporate office in 2002 and 2003, we received an office construction allowance totaling $799 thousand from our landlord. We recorded the office construction allowance as Leasehold and improvements with a related deferred rental credit, which was included in Long-term liabilities. As of December 31, 2004, unamortized deferred rental credits relating to the construction allowance plus reimbursement of certain equipment purchases from our landlord, and the recognition of the total lease obligation on a straight-line basis, amounted to $1.1 million. These deferred charges are amortized into rental expense on a straight-line basis over the lease period.</w:t>
      </w:r>
    </w:p>
    <w:p>
      <w:pPr>
        <w:spacing w:after="0" w:line="21" w:lineRule="exact"/>
        <w:rPr>
          <w:sz w:val="20"/>
          <w:szCs w:val="20"/>
          <w:color w:val="auto"/>
        </w:rPr>
      </w:pPr>
    </w:p>
    <w:p>
      <w:pPr>
        <w:ind w:left="460" w:right="400" w:firstLine="438"/>
        <w:spacing w:after="0" w:line="259" w:lineRule="auto"/>
        <w:rPr>
          <w:sz w:val="20"/>
          <w:szCs w:val="20"/>
          <w:color w:val="auto"/>
        </w:rPr>
      </w:pPr>
      <w:r>
        <w:rPr>
          <w:rFonts w:ascii="Arial" w:cs="Arial" w:eastAsia="Arial" w:hAnsi="Arial"/>
          <w:sz w:val="18"/>
          <w:szCs w:val="18"/>
          <w:color w:val="auto"/>
        </w:rPr>
        <w:t>In connection with the acquisition of businesses, we issued interest and non-interest bearing promissory notes amounting to $5.0 million, in the aggregate, after discounting the non-interest bearing promissory note at 5%, in January 2002 and April 2001. See Notes 1 and 3 to the consolidated financial statements for additional information.</w:t>
      </w:r>
    </w:p>
    <w:p>
      <w:pPr>
        <w:spacing w:after="0" w:line="46" w:lineRule="exact"/>
        <w:rPr>
          <w:sz w:val="20"/>
          <w:szCs w:val="20"/>
          <w:color w:val="auto"/>
        </w:rPr>
      </w:pPr>
    </w:p>
    <w:p>
      <w:pPr>
        <w:ind w:left="460" w:right="200" w:firstLine="438"/>
        <w:spacing w:after="0" w:line="268" w:lineRule="auto"/>
        <w:rPr>
          <w:sz w:val="20"/>
          <w:szCs w:val="20"/>
          <w:color w:val="auto"/>
        </w:rPr>
      </w:pPr>
      <w:r>
        <w:rPr>
          <w:rFonts w:ascii="Arial" w:cs="Arial" w:eastAsia="Arial" w:hAnsi="Arial"/>
          <w:sz w:val="18"/>
          <w:szCs w:val="18"/>
          <w:color w:val="auto"/>
        </w:rPr>
        <w:t>In April 2004 and January 2002, we assumed short-term debt of $35.3 million and $1.5 million, respectively, in connection with the acquisition of businesses. See Notes 1 and 3 to the consolidated financial statements for additional information.</w:t>
      </w:r>
    </w:p>
    <w:p>
      <w:pPr>
        <w:spacing w:after="0" w:line="37" w:lineRule="exact"/>
        <w:rPr>
          <w:sz w:val="20"/>
          <w:szCs w:val="20"/>
          <w:color w:val="auto"/>
        </w:rPr>
      </w:pPr>
    </w:p>
    <w:p>
      <w:pPr>
        <w:ind w:left="460" w:right="100" w:firstLine="438"/>
        <w:spacing w:after="0" w:line="298" w:lineRule="auto"/>
        <w:rPr>
          <w:sz w:val="20"/>
          <w:szCs w:val="20"/>
          <w:color w:val="auto"/>
        </w:rPr>
      </w:pPr>
      <w:r>
        <w:rPr>
          <w:rFonts w:ascii="Arial" w:cs="Arial" w:eastAsia="Arial" w:hAnsi="Arial"/>
          <w:sz w:val="16"/>
          <w:szCs w:val="16"/>
          <w:color w:val="auto"/>
        </w:rPr>
        <w:t>In connection with the restricted common stock and options grants, based on the fair value of the awards, we recorded Unearned deferred compensation of $1.7 million, $1.8 million and $2.1 million for the years ended December 31, 2004, December 31, 2003 and 2002, respectively, and $2.1 million for the nine months ended December 31, 2002. Unearned deferred compensation is being amortized over the minimum vesting period of each individual award. See Note 5 to the consolidated financial statements for additional information.</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42 of 72</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45" w:lineRule="exact"/>
        <w:rPr>
          <w:sz w:val="20"/>
          <w:szCs w:val="20"/>
          <w:color w:val="auto"/>
        </w:rPr>
      </w:pPr>
    </w:p>
    <w:p>
      <w:pPr>
        <w:ind w:right="5560" w:firstLine="8"/>
        <w:spacing w:after="0" w:line="332" w:lineRule="auto"/>
        <w:tabs>
          <w:tab w:leader="none" w:pos="17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Recent Acquisitions and Significant Accounting Policies Nature of Business</w:t>
      </w:r>
    </w:p>
    <w:p>
      <w:pPr>
        <w:spacing w:after="0" w:line="1"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World Fuel Services Corporation was incorporated in Florida in July 1984 and we market fuel and related services to marine and aviation customers throughout the world. In our marine fuel services business, we offer marine fuel and related services to a broad base of customers, including international container and tanker fleets, and time-charter operators, as well as to the United States and foreign governments. In our aviation fuel services business, we offer aviation fuel and related services to passenger, cargo and charter airlines, as well as to corporate customers and the United States and foreign governments. We provide competitive prices, credit terms, fuel management and price risk management services, and single-supplier convenience. We also offer flight plans and weather reports to our corporate aviation customers.</w:t>
      </w:r>
    </w:p>
    <w:p>
      <w:pPr>
        <w:spacing w:after="0" w:line="107" w:lineRule="exact"/>
        <w:rPr>
          <w:sz w:val="20"/>
          <w:szCs w:val="20"/>
          <w:color w:val="auto"/>
        </w:rPr>
      </w:pPr>
    </w:p>
    <w:p>
      <w:pPr>
        <w:jc w:val="both"/>
        <w:ind w:right="100" w:firstLine="456"/>
        <w:spacing w:after="0" w:line="294" w:lineRule="auto"/>
        <w:rPr>
          <w:sz w:val="20"/>
          <w:szCs w:val="20"/>
          <w:color w:val="auto"/>
        </w:rPr>
      </w:pPr>
      <w:r>
        <w:rPr>
          <w:rFonts w:ascii="Arial" w:cs="Arial" w:eastAsia="Arial" w:hAnsi="Arial"/>
          <w:sz w:val="16"/>
          <w:szCs w:val="16"/>
          <w:color w:val="auto"/>
        </w:rPr>
        <w:t>In August 2002, we changed our fiscal year-end from March 31st to a calendar year-end of December 31st. We initiated this change so we could be more directly comparable to other public companies that use a calendar year for their fiscal year. This change was first effective with respect to the nine months ended December 31, 2002. The results for the calendar year ended December 31, 2002, presented for comparative purposes in this Form 10-K, are unaudited. The 2002 calendar year results combined the audited results for the nine months ended December 31, 2002 and the unaudited results for the three months ended March 31, 2002, and no adjustments were made to the historical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w:t>
      </w:r>
    </w:p>
    <w:p>
      <w:pPr>
        <w:spacing w:after="0" w:line="8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April 2001 and January 2002, we acquired the stock of Marine Energy Arabia Establishment Ltd., a British Virgin Islands (“BVI”) corporation, and the Oil Shipping group of companies, respectively. Both of these companies sell and market marine fuel services. The aggregate purchase price of these acquisitions was $13.6 million, including $175 thousand in acquisition costs. The aggregate purchase price consisted of $8.6 million in cash and the remainder in promissory notes. The promissory notes consisted of a $2.0 million note bearing interest at 7%, payable annually through April 2003, and a $3.3 million non-interest bearing note, which was discounted to $3.0 million using an interest rate of approximately 5%, payable annually over three years through January 2005. Both of these acquisitions were accounted for as purchases and the results of the acquired businesses have been included in our operating results since their respective dates of acquisition. Goodwill, representing the cost in excess of net assets acquired, for these acquisitions totaled $9.4 million. At the date of our January 2002 acquisition, we identified an intangible asset of approximately $1.8 million, relating to customer relations. This intangible asset is being amortized over five years using the straight-line method.</w:t>
      </w:r>
    </w:p>
    <w:p>
      <w:pPr>
        <w:spacing w:after="0" w:line="10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BVI company sells and markets marine fuel services through Marine Energy Arabia Co, LLC, a United Arab Emirates (“Dubai”) corporation. The BVI company owns 49% of the Dubai company. In accordance with local laws, the Dubai entity is 51% owned by a Dubai citizen, referred to as a Sponsor. The Dubai company, pursuant to a management contract, is required to pay for the staff and administrative support provided by the BVI entity. Our BVI subsidiary has entered into various agreements with the Dubai Sponsor to prevent an unauthorized ownership transfer and to effectively grant majority control of the Dubai entity to our BVI subsidiary. Accordingly, the financial position and operations of the Dubai entity have been included in our consolidated financial statements.</w:t>
      </w:r>
    </w:p>
    <w:p>
      <w:pPr>
        <w:spacing w:after="0" w:line="10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Acquisitions in our marine segment continued in April 2004 when we acquired all of the outstanding shares (the “THL Shares”) of Tramp Holdings Limited (“THL”) and the shares of Tramp Group Limited, a subsidiary of THL, which were not otherwise held by THL (the “TGL Shares”), to expand our worldwide marine fuel services business. The aggregate purchase price for the THL Shares and the TGL Shares was approximately $86.1 million, including acquisition costs of approximately $1.2 million. The aggregate purchase price consisted of $85.4 million in cash and $753 thousand in the form of restricted common stock, representing approximately 38 thousand shares and valued using the market value of our common stock on the acquisition date. The acquisition of Tramp Oil, which primarily offers fuel and fuel services, was accounted for under the purchase method. Accordingly, the operations of Tramp Oil have been included in our operating results since April 2004. At acquisition date, we identified an intangible asset relating to customer relations of $7.6 million, which is being amortized over seven years using the straight-line method. Goodwill, representing the cost in excess of the fair value of assets acquired and liabilities assumed for this acquisition, amounted to $5.5 million. Included in the fair value of assets acquired was approximately $90.0 million in cash, accordingly, the acquisition of Tramp Oil resulted in a net cash inflow of approximately $3.6 million.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43 of 72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presents the unaudited pro forma results of operations for the years ended December 31, 2004 and 2003 as if the Tramp Oil acquisition had been completed as of January 1, 2004 and 2003, respectively (in thousands, except per share data):</w:t>
      </w:r>
    </w:p>
    <w:p>
      <w:pPr>
        <w:spacing w:after="0" w:line="114"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40" w:type="dxa"/>
            <w:vAlign w:val="bottom"/>
            <w:gridSpan w:val="5"/>
          </w:tcPr>
          <w:p>
            <w:pPr>
              <w:jc w:val="right"/>
              <w:spacing w:after="0"/>
              <w:rPr>
                <w:sz w:val="20"/>
                <w:szCs w:val="20"/>
                <w:color w:val="auto"/>
              </w:rPr>
            </w:pPr>
            <w:r>
              <w:rPr>
                <w:rFonts w:ascii="Arial" w:cs="Arial" w:eastAsia="Arial" w:hAnsi="Arial"/>
                <w:sz w:val="14"/>
                <w:szCs w:val="14"/>
                <w:b w:val="1"/>
                <w:bCs w:val="1"/>
                <w:color w:val="auto"/>
                <w:w w:val="87"/>
              </w:rPr>
              <w:t>For the 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ind w:right="239"/>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jc w:val="right"/>
              <w:ind w:right="259"/>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4"/>
                <w:szCs w:val="14"/>
                <w:b w:val="1"/>
                <w:bCs w:val="1"/>
                <w:color w:val="auto"/>
                <w:w w:val="88"/>
              </w:rPr>
              <w:t>(Pro Forma)</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4"/>
                <w:szCs w:val="14"/>
                <w:b w:val="1"/>
                <w:bCs w:val="1"/>
                <w:color w:val="auto"/>
                <w:w w:val="90"/>
              </w:rPr>
              <w:t>(Pro Forma)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5,912,875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3,712,745</w:t>
            </w:r>
          </w:p>
        </w:tc>
        <w:tc>
          <w:tcPr>
            <w:tcW w:w="0" w:type="dxa"/>
            <w:vAlign w:val="bottom"/>
          </w:tcPr>
          <w:p>
            <w:pPr>
              <w:spacing w:after="0"/>
              <w:rPr>
                <w:sz w:val="1"/>
                <w:szCs w:val="1"/>
                <w:color w:val="auto"/>
              </w:rPr>
            </w:pPr>
          </w:p>
        </w:tc>
      </w:tr>
      <w:tr>
        <w:trPr>
          <w:trHeight w:val="322"/>
        </w:trPr>
        <w:tc>
          <w:tcPr>
            <w:tcW w:w="25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27,822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25,875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ind w:left="420"/>
              <w:spacing w:after="0"/>
              <w:rPr>
                <w:sz w:val="20"/>
                <w:szCs w:val="20"/>
                <w:color w:val="auto"/>
              </w:rPr>
            </w:pPr>
            <w:r>
              <w:rPr>
                <w:rFonts w:ascii="Arial" w:cs="Arial" w:eastAsia="Arial" w:hAnsi="Arial"/>
                <w:sz w:val="18"/>
                <w:szCs w:val="18"/>
                <w:color w:val="auto"/>
              </w:rPr>
              <w:t>Basic</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pro forma results of operations for the year ended December 31, 2004 reflect Tramp Oil’s net loss of $738 thousand for the three months ended March 31, 2004, which was primarily related to the recording of charges incurred by Tramp Oil in connection with the sale of the company.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Consolidation</w:t>
      </w:r>
    </w:p>
    <w:p>
      <w:pPr>
        <w:spacing w:after="0" w:line="77"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The accompanying consolidated financial statements and related notes to the consolidated financial statements include our accounts and those of our majority owned or controlled subsidiaries, after elimination of all significant intercompany accounts, transactions, and profits. Investments in non-majority controlled subsidiaries representing ownership of at least 20%, but less than or equal to 50%, are accounted for under the equity method.</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Prior to January 1, 2004, we used the equity method of accounting to record our share of the earnings and losses of our PAFCO aviation joint venture. In addition, the amortized interest expense on the non-interest bearing promissory note was also included in net earnings from aviation joint venture. Effective January 1, 2004, with the implementation of the Financial Accounting Standard Board (“FASB”) Interpretation No. 46 (“FIN No. 46”), we consolidated PAFCO’s financial position and results of operations, after elimination of all significant intercompany accounts, transactions and profits.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Cash and cash equivalents are stated at cost, which approximates fair value. Cash equivalents consist of highly liquid investments with maturities of three months or less from the date of purchase. Our cash equivalents consist principally of bank repurchase agreements, bank money market accounts, bank time deposits, and commercial paper rated A1P1.</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and Notes Receivable and Allowance for Bad Debts</w:t>
      </w:r>
    </w:p>
    <w:p>
      <w:pPr>
        <w:spacing w:after="0" w:line="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Credit extension, monitoring and collection are performed by each of our business segments. Each segment has a credit committee. The credit committees are responsible for approving credit limits above certain amounts, setting and maintaining credit standards, and managing the overall quality of the credit portfolio. We perform ongoing credit evaluations of our customers and adjust credit limits based upon payment history and the customer’s current credit worthiness, as determined by our review of our customer’s credit information. We extend credit on an unsecured basis to many of our customers. Accounts receivable are deemed past due based on contractual terms agreed with our customers.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continuously monitor collections and payments from our customers and maintain a provision for estimated credit losses based upon our historical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experience with our customers, current market and industry conditions of our customers, and any specific customer collection issues that we have identified.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Accounts and notes receivable are reduced by an allowance for amounts that may become uncollectible in the future. We had accounts and notes receivable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$490.8 million and $243.6 million, net of allowance for bad debts of $11.3 million and $10.5 million, as of December 31, 2004 and 2003, respectively. Accounts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notes receivable are written-off when it becomes apparent based upon age or customer circumstances that such amounts will not be collected.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44 of 72</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activities in our allowance for bad debts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980" w:type="dxa"/>
            <w:vAlign w:val="bottom"/>
            <w:gridSpan w:val="11"/>
          </w:tcPr>
          <w:p>
            <w:pPr>
              <w:jc w:val="right"/>
              <w:ind w:right="660"/>
              <w:spacing w:after="0"/>
              <w:rPr>
                <w:sz w:val="20"/>
                <w:szCs w:val="20"/>
                <w:color w:val="auto"/>
              </w:rPr>
            </w:pPr>
            <w:r>
              <w:rPr>
                <w:rFonts w:ascii="Arial" w:cs="Arial" w:eastAsia="Arial" w:hAnsi="Arial"/>
                <w:sz w:val="14"/>
                <w:szCs w:val="14"/>
                <w:b w:val="1"/>
                <w:bCs w:val="1"/>
                <w:color w:val="auto"/>
              </w:rPr>
              <w:t>For the Year ended December 31,</w:t>
            </w:r>
          </w:p>
        </w:tc>
        <w:tc>
          <w:tcPr>
            <w:tcW w:w="1060" w:type="dxa"/>
            <w:vAlign w:val="bottom"/>
            <w:gridSpan w:val="4"/>
          </w:tcPr>
          <w:p>
            <w:pPr>
              <w:jc w:val="center"/>
              <w:ind w:left="19"/>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20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136"/>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2002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$ 11,112</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11,001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Charges to provision for bad debts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4,338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6,281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Write-off of uncollectible accounts receivable</w:t>
            </w:r>
          </w:p>
        </w:tc>
        <w:tc>
          <w:tcPr>
            <w:tcW w:w="23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(3,683)</w:t>
            </w:r>
          </w:p>
        </w:tc>
        <w:tc>
          <w:tcPr>
            <w:tcW w:w="10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(6,924)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Recoveries of bad debts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$10,538</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11,112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39878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2159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3873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53594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additional information on Accounts and notes receivable and allowance for bad debts in our marine and aviation segments, see “Business Segments” in Note 9.</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Inventories are valued using average cost and are stated at the lower of cost or market. Components of inventory cost include fuel purchase costs, the related transportation costs and storage fees.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enter into derivative contracts in the form of swaps and futures in order to mitigate the risk of market price fluctuations in marine and aviation fuel. All derivatives are recognized on the balance sheet and measured at fair value. If the derivative does not qualify as a hedge under SFAS No. 133 or is not designated as a hedge, changes in the fair value of the derivative are recognized currently in earnings. If the derivative qualifies for hedge accounting, changes in the fair value of the derivative are either recognized in income along with the corresponding change in fair value of the item being hedged for fair-value hedges or deferred in other comprehensive income (“OCI”) to the extent the hedge is effective for cash-flow hedges. To qualify for hedge accounting, the derivative must qualify as either a fair-value or cash flow hedge.</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hedging relationship between the hedging instruments and hedged items must be highly effective in achieving the offset of changes in fair values or cash flows attributable to the hedged risk, both at the inception of the hedge and on an ongoing basis. We measure hedge effectiveness on a quarterly basis. For the periods reported, such ineffectiveness has been immaterial. Hedge accounting is discontinued prospectively if and when a hedging instrument becomes ineffective. We assess hedge effectiveness based on total changes in the fair value of our derivative instruments. Gains and losses deferred in accumulated OCI related to cash flow hedge derivatives that become ineffective remain unchanged until the related fuel is delivered. Adjustment to the carrying amounts of hedged items is discontinued in instances where the related fair value hedging instrument becomes ineffective. The balance in the fair value hedge adjustment account is recognized in income when the hedged item is sold. If we determine that it is probable that a hedged forecasted transaction will not occur, deferred gains or losses on the related hedging instrument are recognized in earnings immediately.</w:t>
      </w:r>
    </w:p>
    <w:p>
      <w:pPr>
        <w:spacing w:after="0" w:line="105"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Gains and losses on hedging instruments and adjustments of the carrying amounts of hedged items are included in revenues and expense in the period that the item is sold. Gains and losses on hedging instruments which represent hedge ineffectiveness and gains and losses on derivative instruments which do not qualify for hedge accounting are included in revenue in the period which they occur. The resulting cash flows are reported as cash flows from operating activities.</w:t>
      </w:r>
    </w:p>
    <w:p>
      <w:pPr>
        <w:spacing w:after="0" w:line="75"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Derivative instruments designated as cash flow hedges are used by us to mitigate the risk of variability in cash flows from marine and aviation fuel sales and purchases due to changes in market prices. Fair value derivatives are used by us to offset the exposure to changes in the fair value of our inventory.</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45 of 72</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 Hedges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December 31, 2004, our cash flow hedges consisted of fixed price sales commitments (an “All-in-One” hedge) and fixed price swaps. The fixed price sales commitments are used to fix the prices of future fuel sales, while the fixed price swap agreements are used to fix the prices of anticipated future fuel purchases. Accordingly, changes in fair value of these derivatives fully offset in OCI and are recorded in prepaid expenses and other current assets and related accrued expenses and other current liabilities.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Derivatives</w:t>
      </w:r>
    </w:p>
    <w:p>
      <w:pPr>
        <w:spacing w:after="0" w:line="77"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As of December 31, 2004, our fair value derivatives consisted of positions in futures that are used to offset against changes in the fair value of our inventory. Changes in the fair value of the derivative are recorded in revenue and prepaid expenses and other current assets.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Non-designated Derivatives</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December 31, 2004, our non-designated derivatives consisted of swap contracts with our customers and swap and collar contracts with counterparties. As part of our price risk management services, we offer swap contracts to our customers to fix their fuel prices and simultaneously we enter into a swap contract with a counterparty with substantially the same terms and conditions, and for this, we earn a fee. We recognize the fee revenue when both of the swap contracts are settled. Because these contracts are back-to-back transactions, changes in the fair value of these derivatives have no impact on earnings and are recorded in prepaid expenses and other current assets and related accrued expenses and other current liabilities.</w:t>
      </w:r>
    </w:p>
    <w:p>
      <w:pPr>
        <w:spacing w:after="0" w:line="10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December 31, 2004 we had the following commodity related derivative instruments outstanding with average underlying prices that represent hedged prices of commodities at various market locations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3"/>
          </w:tcPr>
          <w:p>
            <w:pPr>
              <w:jc w:val="right"/>
              <w:ind w:right="277"/>
              <w:spacing w:after="0"/>
              <w:rPr>
                <w:sz w:val="20"/>
                <w:szCs w:val="20"/>
                <w:color w:val="auto"/>
              </w:rPr>
            </w:pPr>
            <w:r>
              <w:rPr>
                <w:rFonts w:ascii="Arial" w:cs="Arial" w:eastAsia="Arial" w:hAnsi="Arial"/>
                <w:sz w:val="14"/>
                <w:szCs w:val="14"/>
                <w:b w:val="1"/>
                <w:bCs w:val="1"/>
                <w:color w:val="auto"/>
              </w:rPr>
              <w:t>Notional Amount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auto"/>
                <w:w w:val="97"/>
              </w:rPr>
              <w:t>Settlement</w:t>
            </w:r>
          </w:p>
        </w:tc>
        <w:tc>
          <w:tcPr>
            <w:tcW w:w="180" w:type="dxa"/>
            <w:vAlign w:val="bottom"/>
          </w:tcPr>
          <w:p>
            <w:pPr>
              <w:spacing w:after="0"/>
              <w:rPr>
                <w:sz w:val="12"/>
                <w:szCs w:val="12"/>
                <w:color w:val="auto"/>
              </w:rPr>
            </w:pPr>
          </w:p>
        </w:tc>
        <w:tc>
          <w:tcPr>
            <w:tcW w:w="3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Derivative</w:t>
            </w:r>
          </w:p>
        </w:tc>
        <w:tc>
          <w:tcPr>
            <w:tcW w:w="2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Marine</w:t>
            </w:r>
          </w:p>
        </w:tc>
        <w:tc>
          <w:tcPr>
            <w:tcW w:w="80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rPr>
              <w:t>Aviation</w:t>
            </w: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Underlying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8"/>
              </w:rPr>
              <w:t>Asset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 w:type="dxa"/>
            <w:vAlign w:val="bottom"/>
          </w:tcPr>
          <w:p>
            <w:pPr>
              <w:jc w:val="right"/>
              <w:ind w:right="162"/>
              <w:spacing w:after="0"/>
              <w:rPr>
                <w:sz w:val="20"/>
                <w:szCs w:val="20"/>
                <w:color w:val="auto"/>
              </w:rPr>
            </w:pPr>
            <w:r>
              <w:rPr>
                <w:rFonts w:ascii="Arial" w:cs="Arial" w:eastAsia="Arial" w:hAnsi="Arial"/>
                <w:sz w:val="14"/>
                <w:szCs w:val="14"/>
                <w:b w:val="1"/>
                <w:bCs w:val="1"/>
                <w:color w:val="auto"/>
              </w:rPr>
              <w:t>Period</w:t>
            </w:r>
          </w:p>
        </w:tc>
        <w:tc>
          <w:tcPr>
            <w:tcW w:w="180" w:type="dxa"/>
            <w:vAlign w:val="bottom"/>
          </w:tcPr>
          <w:p>
            <w:pPr>
              <w:spacing w:after="0"/>
              <w:rPr>
                <w:sz w:val="15"/>
                <w:szCs w:val="15"/>
                <w:color w:val="auto"/>
              </w:rPr>
            </w:pP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w w:val="91"/>
              </w:rPr>
              <w:t>Instrument</w:t>
            </w:r>
          </w:p>
        </w:tc>
        <w:tc>
          <w:tcPr>
            <w:tcW w:w="200" w:type="dxa"/>
            <w:vAlign w:val="bottom"/>
          </w:tcPr>
          <w:p>
            <w:pPr>
              <w:spacing w:after="0"/>
              <w:rPr>
                <w:sz w:val="15"/>
                <w:szCs w:val="15"/>
                <w:color w:val="auto"/>
              </w:rPr>
            </w:pPr>
          </w:p>
        </w:tc>
        <w:tc>
          <w:tcPr>
            <w:tcW w:w="3140" w:type="dxa"/>
            <w:vAlign w:val="bottom"/>
          </w:tcPr>
          <w:p>
            <w:pPr>
              <w:ind w:left="1120"/>
              <w:spacing w:after="0"/>
              <w:rPr>
                <w:sz w:val="20"/>
                <w:szCs w:val="20"/>
                <w:color w:val="auto"/>
              </w:rPr>
            </w:pPr>
            <w:r>
              <w:rPr>
                <w:rFonts w:ascii="Arial" w:cs="Arial" w:eastAsia="Arial" w:hAnsi="Arial"/>
                <w:sz w:val="14"/>
                <w:szCs w:val="14"/>
                <w:b w:val="1"/>
                <w:bCs w:val="1"/>
                <w:color w:val="auto"/>
              </w:rPr>
              <w:t>Hedge Strategy</w:t>
            </w:r>
          </w:p>
        </w:tc>
        <w:tc>
          <w:tcPr>
            <w:tcW w:w="1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(metric tons)</w:t>
            </w:r>
          </w:p>
        </w:tc>
        <w:tc>
          <w:tcPr>
            <w:tcW w:w="800" w:type="dxa"/>
            <w:vAlign w:val="bottom"/>
          </w:tcPr>
          <w:p>
            <w:pPr>
              <w:jc w:val="right"/>
              <w:ind w:right="77"/>
              <w:spacing w:after="0"/>
              <w:rPr>
                <w:sz w:val="20"/>
                <w:szCs w:val="20"/>
                <w:color w:val="auto"/>
              </w:rPr>
            </w:pPr>
            <w:r>
              <w:rPr>
                <w:rFonts w:ascii="Arial" w:cs="Arial" w:eastAsia="Arial" w:hAnsi="Arial"/>
                <w:sz w:val="14"/>
                <w:szCs w:val="14"/>
                <w:b w:val="1"/>
                <w:bCs w:val="1"/>
                <w:color w:val="auto"/>
              </w:rPr>
              <w:t>(gallons)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w w:val="95"/>
              </w:rPr>
              <w:t>Prices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(Liability)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 w:type="dxa"/>
            <w:vAlign w:val="bottom"/>
            <w:shd w:val="clear" w:color="auto" w:fill="CCEEFF"/>
          </w:tcPr>
          <w:p>
            <w:pPr>
              <w:jc w:val="right"/>
              <w:ind w:right="422"/>
              <w:spacing w:after="0"/>
              <w:rPr>
                <w:sz w:val="20"/>
                <w:szCs w:val="20"/>
                <w:color w:val="auto"/>
              </w:rPr>
            </w:pPr>
            <w:r>
              <w:rPr>
                <w:rFonts w:ascii="Arial" w:cs="Arial" w:eastAsia="Arial" w:hAnsi="Arial"/>
                <w:sz w:val="18"/>
                <w:szCs w:val="18"/>
                <w:color w:val="auto"/>
                <w:w w:val="79"/>
              </w:rPr>
              <w:t>2005</w:t>
            </w: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Cash flow</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75,000</w:t>
            </w:r>
          </w:p>
        </w:tc>
        <w:tc>
          <w:tcPr>
            <w:tcW w:w="8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commitments</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Cash flow</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75,000</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commitments</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Cash flow</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114,840</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161.91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Cash flow</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114,840</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Non-designated</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70,040</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Non-designated</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70,040</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168.16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Non-designated</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151,824</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182.35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Non-designated</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151,824</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181.07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Non-designated</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37,186,210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Non-designated</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37,186,210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Non-designated</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36,114,000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Non-designated</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36,114,000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138.76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Futures</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4,662,000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Futures</w:t>
            </w:r>
          </w:p>
        </w:tc>
        <w:tc>
          <w:tcPr>
            <w:tcW w:w="20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123.06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6"/>
        </w:trPr>
        <w:tc>
          <w:tcPr>
            <w:tcW w:w="860" w:type="dxa"/>
            <w:vAlign w:val="bottom"/>
            <w:gridSpan w:val="2"/>
          </w:tcPr>
          <w:p>
            <w:pPr>
              <w:jc w:val="right"/>
              <w:ind w:right="422"/>
              <w:spacing w:after="0"/>
              <w:rPr>
                <w:sz w:val="20"/>
                <w:szCs w:val="20"/>
                <w:color w:val="auto"/>
              </w:rPr>
            </w:pPr>
            <w:r>
              <w:rPr>
                <w:rFonts w:ascii="Arial" w:cs="Arial" w:eastAsia="Arial" w:hAnsi="Arial"/>
                <w:sz w:val="18"/>
                <w:szCs w:val="18"/>
                <w:color w:val="auto"/>
                <w:w w:val="84"/>
              </w:rPr>
              <w:t>2006</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Swap</w:t>
            </w:r>
          </w:p>
        </w:tc>
        <w:tc>
          <w:tcPr>
            <w:tcW w:w="200" w:type="dxa"/>
            <w:vAlign w:val="bottom"/>
          </w:tcPr>
          <w:p>
            <w:pPr>
              <w:spacing w:after="0"/>
              <w:rPr>
                <w:sz w:val="24"/>
                <w:szCs w:val="24"/>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Non-designated</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7,200</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152.40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Swap</w:t>
            </w:r>
          </w:p>
        </w:tc>
        <w:tc>
          <w:tcPr>
            <w:tcW w:w="2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Non-designated</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7,200</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152.70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Swap</w:t>
            </w:r>
          </w:p>
        </w:tc>
        <w:tc>
          <w:tcPr>
            <w:tcW w:w="2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Non-designated</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24,000</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159.00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Swap</w:t>
            </w:r>
          </w:p>
        </w:tc>
        <w:tc>
          <w:tcPr>
            <w:tcW w:w="20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Non-designated</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24,000</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158.00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40" w:type="dxa"/>
            <w:vAlign w:val="bottom"/>
            <w:shd w:val="clear" w:color="auto" w:fill="CCEEFF"/>
          </w:tcPr>
          <w:p>
            <w:pPr>
              <w:jc w:val="right"/>
              <w:ind w:right="422"/>
              <w:spacing w:after="0"/>
              <w:rPr>
                <w:sz w:val="20"/>
                <w:szCs w:val="20"/>
                <w:color w:val="auto"/>
              </w:rPr>
            </w:pPr>
            <w:r>
              <w:rPr>
                <w:rFonts w:ascii="Arial" w:cs="Arial" w:eastAsia="Arial" w:hAnsi="Arial"/>
                <w:sz w:val="18"/>
                <w:szCs w:val="18"/>
                <w:color w:val="auto"/>
                <w:w w:val="79"/>
              </w:rPr>
              <w:t>2007</w:t>
            </w: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w:t>
            </w: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Non-designated</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2,500</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w:t>
            </w:r>
          </w:p>
        </w:tc>
        <w:tc>
          <w:tcPr>
            <w:tcW w:w="20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Non-designated</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2,500</w:t>
            </w: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147.75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140" w:type="dxa"/>
            <w:vAlign w:val="bottom"/>
            <w:vMerge w:val="restart"/>
          </w:tcPr>
          <w:p>
            <w:pPr>
              <w:ind w:left="800"/>
              <w:spacing w:after="0"/>
              <w:rPr>
                <w:sz w:val="20"/>
                <w:szCs w:val="20"/>
                <w:color w:val="auto"/>
              </w:rPr>
            </w:pPr>
            <w:r>
              <w:rPr>
                <w:rFonts w:ascii="Arial" w:cs="Arial" w:eastAsia="Arial" w:hAnsi="Arial"/>
                <w:sz w:val="18"/>
                <w:szCs w:val="18"/>
                <w:color w:val="auto"/>
              </w:rPr>
              <w:t>Page 46 of 72</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Property and equipment are carried at cost less accumulated depreciation and amortization. Depreciation and amortization are calculated on a straight-line basis over the estimated useful lives of the assets as follows:</w:t>
      </w:r>
    </w:p>
    <w:p>
      <w:pPr>
        <w:spacing w:after="0" w:line="114"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6440" w:type="dxa"/>
            <w:vAlign w:val="bottom"/>
          </w:tcPr>
          <w:p>
            <w:pPr>
              <w:spacing w:after="0"/>
              <w:rPr>
                <w:sz w:val="15"/>
                <w:szCs w:val="15"/>
                <w:color w:val="auto"/>
              </w:rPr>
            </w:pPr>
          </w:p>
        </w:tc>
        <w:tc>
          <w:tcPr>
            <w:tcW w:w="40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Years</w:t>
            </w:r>
          </w:p>
        </w:tc>
      </w:tr>
      <w:tr>
        <w:trPr>
          <w:trHeight w:val="95"/>
        </w:trPr>
        <w:tc>
          <w:tcPr>
            <w:tcW w:w="6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r>
      <w:tr>
        <w:trPr>
          <w:trHeight w:val="309"/>
        </w:trPr>
        <w:tc>
          <w:tcPr>
            <w:tcW w:w="6440" w:type="dxa"/>
            <w:vAlign w:val="bottom"/>
          </w:tcPr>
          <w:p>
            <w:pPr>
              <w:spacing w:after="0"/>
              <w:rPr>
                <w:sz w:val="20"/>
                <w:szCs w:val="20"/>
                <w:color w:val="auto"/>
              </w:rPr>
            </w:pPr>
            <w:r>
              <w:rPr>
                <w:rFonts w:ascii="Arial" w:cs="Arial" w:eastAsia="Arial" w:hAnsi="Arial"/>
                <w:sz w:val="18"/>
                <w:szCs w:val="18"/>
                <w:color w:val="auto"/>
              </w:rPr>
              <w:t>Leasehold and improvements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5</w:t>
            </w:r>
          </w:p>
        </w:tc>
        <w:tc>
          <w:tcPr>
            <w:tcW w:w="300" w:type="dxa"/>
            <w:vAlign w:val="bottom"/>
          </w:tcPr>
          <w:p>
            <w:pPr>
              <w:ind w:left="20"/>
              <w:spacing w:after="0"/>
              <w:rPr>
                <w:sz w:val="20"/>
                <w:szCs w:val="20"/>
                <w:color w:val="auto"/>
              </w:rPr>
            </w:pPr>
            <w:r>
              <w:rPr>
                <w:rFonts w:ascii="Arial" w:cs="Arial" w:eastAsia="Arial" w:hAnsi="Arial"/>
                <w:sz w:val="18"/>
                <w:szCs w:val="18"/>
                <w:color w:val="auto"/>
                <w:w w:val="86"/>
              </w:rPr>
              <w:t>–10</w:t>
            </w: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Office equipment, furniture, computer equipment and software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3</w:t>
            </w:r>
          </w:p>
        </w:tc>
        <w:tc>
          <w:tcPr>
            <w:tcW w:w="300" w:type="dxa"/>
            <w:vAlign w:val="bottom"/>
          </w:tcPr>
          <w:p>
            <w:pPr>
              <w:ind w:left="20"/>
              <w:spacing w:after="0"/>
              <w:rPr>
                <w:sz w:val="20"/>
                <w:szCs w:val="20"/>
                <w:color w:val="auto"/>
              </w:rPr>
            </w:pPr>
            <w:r>
              <w:rPr>
                <w:rFonts w:ascii="Arial" w:cs="Arial" w:eastAsia="Arial" w:hAnsi="Arial"/>
                <w:sz w:val="18"/>
                <w:szCs w:val="18"/>
                <w:color w:val="auto"/>
              </w:rPr>
              <w:t>–7</w:t>
            </w:r>
          </w:p>
        </w:tc>
      </w:tr>
    </w:tbl>
    <w:p>
      <w:pPr>
        <w:spacing w:after="0" w:line="14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Costs of major additions and improvements, including appropriate interest, are capitalized and expenditures for maintenance and repairs, which do not extend the life of the asset, are expensed. Upon sale or disposition of property and equipment, the cost and related accumulated depreciation and amortization are eliminated from the accounts and any resulting gain or loss is credited or charged to income. Long-lived assets held and used by us are reviewed based on market factors and operational considerations for impairment whenever events or changes in circumstances indicate that the carrying amount of an asset may not be recoverable.</w:t>
      </w:r>
    </w:p>
    <w:p>
      <w:pPr>
        <w:spacing w:after="0" w:line="129"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Computer software costs, including website development costs, are accounted for under Statement of Position (“SOP”) 98-1, “Accounting for the Costs of Computer Software Developed or Obtained for Internal Use” and Emerging Issues Task Force (“EITF”) Issue No. 00-2, “Accounting for Web Site Development Costs.” SOP 98-1 established criteria for determining which costs of developing or obtaining internal-use computer software should be charged to expense and which should be capitalized. EITF Issue No. 00-2 states that the accounting for specific web site development costs should be based on a model consistent with SOP 98-1. As of December 31, 2004 and 2003, capitalized computer software costs, including web site development costs, amounted to $1.5 million and $928 thousand, net of accumulated amortization of $5.8 million and $4.8 million, respectively.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 and Identifiable Intangible Assets</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Goodwill represents our cost in excess of net assets, including identifiable intangible assets, of the acquired companies and the PAFCO aviation joint venture. The identifiable intangible assets for customer relations existing at the date the acquisitions were recorded and are being amortized over their useful lives of five to seven years. We account for goodwill and identifiable intangible assets in accordance with Statement of Financial Accounting Standards (“SFAS”) No. 142, “Goodwill and Other Intangible Assets.” Among other provisions, SFAS No. 142 states that goodwill shall not be amortized prospectively. Accordingly, no goodwill amortization was recorded subsequent to the adoption of SFAS No. 142 in April 2001. We recorded amortization of our identifiable intangible asset of $1.2 million for the year ended December 31, 2004, $368 thousand for the years ended December 31, 2003 and 2002, and $276 thousand for the nine months ended December 31, 2002. The future estimated amortization of our identifiable intangible assets is as follows (in thousands):</w:t>
      </w:r>
    </w:p>
    <w:p>
      <w:pPr>
        <w:spacing w:after="0" w:line="101"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2220" w:type="dxa"/>
            <w:vAlign w:val="bottom"/>
            <w:gridSpan w:val="2"/>
          </w:tcPr>
          <w:p>
            <w:pPr>
              <w:spacing w:after="0"/>
              <w:rPr>
                <w:sz w:val="20"/>
                <w:szCs w:val="20"/>
                <w:color w:val="auto"/>
              </w:rPr>
            </w:pPr>
            <w:r>
              <w:rPr>
                <w:rFonts w:ascii="Arial" w:cs="Arial" w:eastAsia="Arial" w:hAnsi="Arial"/>
                <w:sz w:val="14"/>
                <w:szCs w:val="14"/>
                <w:b w:val="1"/>
                <w:bCs w:val="1"/>
                <w:color w:val="auto"/>
                <w:w w:val="97"/>
              </w:rPr>
              <w:t>For the Year ending December 31,</w:t>
            </w:r>
          </w:p>
        </w:tc>
        <w:tc>
          <w:tcPr>
            <w:tcW w:w="2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2006</w:t>
            </w:r>
          </w:p>
        </w:tc>
        <w:tc>
          <w:tcPr>
            <w:tcW w:w="3500" w:type="dxa"/>
            <w:vAlign w:val="bottom"/>
            <w:gridSpan w:val="3"/>
          </w:tcPr>
          <w:p>
            <w:pPr>
              <w:jc w:val="right"/>
              <w:ind w:right="2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2008</w:t>
            </w:r>
          </w:p>
        </w:tc>
        <w:tc>
          <w:tcPr>
            <w:tcW w:w="3500" w:type="dxa"/>
            <w:vAlign w:val="bottom"/>
            <w:gridSpan w:val="3"/>
          </w:tcPr>
          <w:p>
            <w:pPr>
              <w:jc w:val="right"/>
              <w:ind w:right="2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Thereafter</w:t>
            </w:r>
          </w:p>
        </w:tc>
        <w:tc>
          <w:tcPr>
            <w:tcW w:w="3500" w:type="dxa"/>
            <w:vAlign w:val="bottom"/>
            <w:gridSpan w:val="3"/>
          </w:tcPr>
          <w:p>
            <w:pPr>
              <w:jc w:val="right"/>
              <w:ind w:right="2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$7,486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2159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accordance with SFAS No. 142, goodwill must be reviewed annually (or more frequently under certain circumstances) for impairment. The initial step of the goodwill impairment test compares the fair value of a reporting unit with its carrying amount, including goodwill. Based on results of these comparisons as of December 31, 2004, goodwill in each of our reporting units is not considered impaired. Accordingly, no impairment charges were recognized.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47 of 72</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is recognized when fuel deliveries are made and title passes to the customer, or as fuel related services are performed.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Income tax expense is provided for using the asset and liability method, under which deferred tax assets and liabilities are determined based upon the temporary differences between the financial statement and income tax bases of assets and liabilities using currently enacted tax rates. Deferred tax assets are reduced by a valuation allowance if, based on the weight of available evidence, it is more likely than not that all or a portion of the recorded deferred tax assets will not be realized in future periods. As of December 31, 2004, we have not recorded a valuation allowance.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primary functional currency is the U.S. dollar, which also serves as our reporting currency. Our foreign entities translate their monetary assets and liabilities, denominated in foreign currencies, at fiscal year-end exchange rates while non-monetary assets and liabilities, denominated in foreign currencies, are translated at historical rates. Income and expense accounts, denominated in foreign currencies, are translated at the average rates in effect during the year, except for depreciation which was translated at historical rates. Unrealized foreign currency gains and losses relating to the translation of foreign entities’ assets, liabilities, income, and expense are included in Other, net in the accompanying Consolidated Statements of Income, in the period incurred. Some of our aviation fuel purchases are denominated in local currency. Realized foreign currency exchange gains and losses on transactions are included in Other, net in the accompanying Consolidated Statements of Income, in the period incurred. The following table identifies the unrealized and realized foreign currency gains and losses included in Other, net in the accompanying Consolidated Statements of Income:</w:t>
      </w:r>
    </w:p>
    <w:p>
      <w:pPr>
        <w:spacing w:after="0" w:line="8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11"/>
          </w:tcPr>
          <w:p>
            <w:pPr>
              <w:jc w:val="right"/>
              <w:ind w:right="480"/>
              <w:spacing w:after="0"/>
              <w:rPr>
                <w:sz w:val="20"/>
                <w:szCs w:val="20"/>
                <w:color w:val="auto"/>
              </w:rPr>
            </w:pPr>
            <w:r>
              <w:rPr>
                <w:rFonts w:ascii="Arial" w:cs="Arial" w:eastAsia="Arial" w:hAnsi="Arial"/>
                <w:sz w:val="14"/>
                <w:szCs w:val="14"/>
                <w:b w:val="1"/>
                <w:bCs w:val="1"/>
                <w:color w:val="auto"/>
                <w:w w:val="91"/>
              </w:rPr>
              <w:t>For the Year ended December 31,</w:t>
            </w:r>
          </w:p>
        </w:tc>
        <w:tc>
          <w:tcPr>
            <w:tcW w:w="180" w:type="dxa"/>
            <w:vAlign w:val="bottom"/>
          </w:tcPr>
          <w:p>
            <w:pPr>
              <w:spacing w:after="0"/>
              <w:rPr>
                <w:sz w:val="15"/>
                <w:szCs w:val="15"/>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2"/>
                <w:szCs w:val="22"/>
                <w:color w:val="auto"/>
              </w:rPr>
            </w:pPr>
          </w:p>
        </w:tc>
        <w:tc>
          <w:tcPr>
            <w:tcW w:w="6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139"/>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2002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currency losses, net</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(542)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5"/>
              </w:rPr>
              <w:t>(592)</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Realized foreign currency (losses) gains, net</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-329565</wp:posOffset>
            </wp:positionV>
            <wp:extent cx="29591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-329565</wp:posOffset>
            </wp:positionV>
            <wp:extent cx="29591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-329565</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-329565</wp:posOffset>
            </wp:positionV>
            <wp:extent cx="2159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-329565</wp:posOffset>
            </wp:positionV>
            <wp:extent cx="3873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-329565</wp:posOffset>
            </wp:positionV>
            <wp:extent cx="53594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2159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3873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2159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3873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3873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Split</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January 20, 2005, we announced a two-for-one split of our common stock. The additional shares issued pursuant to the stock split were distributed on February 15, 2005 to stockholders of record as of February 1, 2005. In connection with the stock split, on January 31, 2005, our Board of Directors approved an increase in World Fuel’s authorized common stock from 25 million shares to 50 million shares. Stockholders’ equity has been restated to give retroactive recognition to the stock split for all periods presented by reclassifying the par value of the additional shares arising from the split from capital in excess of par value to common stock. All references in the financial statements and notes to number of shares and per share amounts reflect the increase in the number of common stock authorized for issuance and the stock split.</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Comprehensive Income</w:t>
      </w:r>
    </w:p>
    <w:p>
      <w:pPr>
        <w:spacing w:after="0" w:line="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only significant item effecting Other Comprehensive Income (“OCI”) relates to derivatives, which had no material impact on OCI, and, thus, net income was equal to comprehensive income for all periods presented.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48 of 72</w:t>
      </w:r>
    </w:p>
    <w:p>
      <w:pPr>
        <w:sectPr>
          <w:pgSz w:w="11900" w:h="16838" w:orient="portrait"/>
          <w:cols w:equalWidth="0" w:num="1">
            <w:col w:w="11300"/>
          </w:cols>
          <w:pgMar w:left="240" w:top="459"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certain estimates and assumptions that affect the reported amounts of assets, liabilities, and disclosure of contingent assets and liabilities at the date of the financial statements and the reported amounts of revenue and expenses during the reporting period. Such estimates primarily relate to the realizability of accounts and notes receivable, and unsettled transactions and events as of the date of the financial statements. Accordingly, actual results could differ from estimated amounts.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77"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The estimated fair values of financial instruments, which are presented herein, have been determined by our management using available market information and appropriate valuation methodologies. However, considerable judgment was required in interpreting market data to develop estimates of fair value. Accordingly, the estimates presented herein are not necessarily indicative of amounts we could realize in a current market sale.</w:t>
      </w:r>
    </w:p>
    <w:p>
      <w:pPr>
        <w:spacing w:after="0" w:line="9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Accounts and notes receivable, net, and accounts payable are reflected in the accompanying Consolidated Balance Sheets at amounts considered by management to reasonably approximate fair value due to their short-term nature.</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estimate the fair value of our long-term debt using discounted cash flow analysis based on our current borrowing rates for similar types of debt. As of December 31, 2004, the carrying value of the long-term debt approximated the fair value of such instruments.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Effective April 2002, we adopted the accounting provision of Statement of Financial Accounting Standards (“SFAS”) No. 123, “Accounting for Stock-Based Compensation,” as amended by SFAS No. 148, “Accounting for Stock-Based Compensation – Transition and Disclosure, an amendment of FASB Statement No. 123,” to account for stock options granted to our employees and non-employee directors using the prospective method. Under the fair value recognition provision, as of the grant date, we recorded the fair value of the stock options granted as Unearned deferred compensation, which is amortized over the minimum vesting period of each individual award as compensation cost. For stock options granted prior to April 2002, we continued to use the intrinsic value method of Accounting Principles Board Opinion No. 25, “Accounting for Stock Issued to Employee,” and related interpretations. Accordingly, no compensation expense has been recognized for such stock options when the exercise price was at or above market price of our common stock on the date of grant.</w:t>
      </w:r>
    </w:p>
    <w:p>
      <w:pPr>
        <w:spacing w:after="0" w:line="10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fair value of each stock option granted was estimated using the Black-Scholes option pricing model. The following table summarizes the weighted average fair value of the stock options granted for each of the following periods and the related weighted average assumptions:</w:t>
      </w:r>
    </w:p>
    <w:p>
      <w:pPr>
        <w:spacing w:after="0" w:line="5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36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rPr>
              <w:t>For the Year ended December 31,</w:t>
            </w: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gridSpan w:val="4"/>
          </w:tcPr>
          <w:p>
            <w:pPr>
              <w:jc w:val="center"/>
              <w:ind w:left="2"/>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21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2002</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2002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Fair-value of stock option (per share)</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$ 3.91</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2.25</w:t>
            </w: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3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2.86</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yields</w:t>
            </w:r>
          </w:p>
        </w:tc>
        <w:tc>
          <w:tcPr>
            <w:tcW w:w="2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1.64%</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2540" w:type="dxa"/>
            <w:vAlign w:val="bottom"/>
            <w:gridSpan w:val="3"/>
          </w:tcPr>
          <w:p>
            <w:pPr>
              <w:jc w:val="right"/>
              <w:ind w:right="240"/>
              <w:spacing w:after="0"/>
              <w:rPr>
                <w:sz w:val="20"/>
                <w:szCs w:val="20"/>
                <w:color w:val="auto"/>
              </w:rPr>
            </w:pPr>
            <w:r>
              <w:rPr>
                <w:rFonts w:ascii="Arial" w:cs="Arial" w:eastAsia="Arial" w:hAnsi="Arial"/>
                <w:sz w:val="18"/>
                <w:szCs w:val="18"/>
                <w:color w:val="auto"/>
              </w:rPr>
              <w:t>1.96%</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20.00%</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18.80%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49 of 72</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fair value of restricted common stock granted to employees, based on the market value of our common stock on the date of grant, is recorded as Unearned deferred compensation and is being amortized over the minimum vesting period of each individual stock grant. The weighted average fair value of the restricted stock granted and issued to employees was $20.63 per share, $10.38 per share and $10.02 per share for the years ended December 31, 2004, 2003 and 2002, respectively, and $10.02 per share for the nine months ended December 31, 2002.</w:t>
      </w:r>
    </w:p>
    <w:p>
      <w:pPr>
        <w:spacing w:after="0" w:line="9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reflects pro forma net income and earnings per share if the fair value based method had been applied to all outstanding and unvested stock-based awards in each period (in thousands, except earnings per share):</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gridSpan w:val="13"/>
          </w:tcPr>
          <w:p>
            <w:pPr>
              <w:jc w:val="right"/>
              <w:ind w:right="660"/>
              <w:spacing w:after="0"/>
              <w:rPr>
                <w:sz w:val="20"/>
                <w:szCs w:val="20"/>
                <w:color w:val="auto"/>
              </w:rPr>
            </w:pPr>
            <w:r>
              <w:rPr>
                <w:rFonts w:ascii="Arial" w:cs="Arial" w:eastAsia="Arial" w:hAnsi="Arial"/>
                <w:sz w:val="14"/>
                <w:szCs w:val="14"/>
                <w:b w:val="1"/>
                <w:bCs w:val="1"/>
                <w:color w:val="auto"/>
                <w:w w:val="99"/>
              </w:rPr>
              <w:t>For the Year ended December 31,</w:t>
            </w:r>
          </w:p>
        </w:tc>
        <w:tc>
          <w:tcPr>
            <w:tcW w:w="18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7"/>
              </w:rPr>
              <w:t>Restated</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1"/>
              </w:rPr>
              <w:t>Restated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5"/>
          </w:tcPr>
          <w:p>
            <w:pPr>
              <w:ind w:left="18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28,559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22,161</w:t>
            </w:r>
          </w:p>
        </w:tc>
        <w:tc>
          <w:tcPr>
            <w:tcW w:w="24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14,153</w:t>
            </w:r>
          </w:p>
        </w:tc>
        <w:tc>
          <w:tcPr>
            <w:tcW w:w="24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Add: Employee and non-employee compensation expense, net of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6"/>
              </w:rPr>
              <w:t>included in reported net income for restricted stock and stock options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granted</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w w:val="91"/>
              </w:rPr>
              <w:t>Deduct: Employee and non-employee compensation expense, net of taxes,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640"/>
              <w:spacing w:after="0"/>
              <w:rPr>
                <w:sz w:val="20"/>
                <w:szCs w:val="20"/>
                <w:color w:val="auto"/>
              </w:rPr>
            </w:pPr>
            <w:r>
              <w:rPr>
                <w:rFonts w:ascii="Arial" w:cs="Arial" w:eastAsia="Arial" w:hAnsi="Arial"/>
                <w:sz w:val="18"/>
                <w:szCs w:val="18"/>
                <w:color w:val="auto"/>
                <w:w w:val="96"/>
              </w:rPr>
              <w:t>determined under the fair value method for restricted stock and stock</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640"/>
              <w:spacing w:after="0"/>
              <w:rPr>
                <w:sz w:val="20"/>
                <w:szCs w:val="20"/>
                <w:color w:val="auto"/>
              </w:rPr>
            </w:pPr>
            <w:r>
              <w:rPr>
                <w:rFonts w:ascii="Arial" w:cs="Arial" w:eastAsia="Arial" w:hAnsi="Arial"/>
                <w:sz w:val="18"/>
                <w:szCs w:val="18"/>
                <w:color w:val="auto"/>
              </w:rPr>
              <w:t>options granted</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(1,079)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(636)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(458)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net income</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28,530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22,094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14,006</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0.68</w:t>
            </w:r>
          </w:p>
        </w:tc>
        <w:tc>
          <w:tcPr>
            <w:tcW w:w="24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0.99</w:t>
            </w:r>
          </w:p>
        </w:tc>
        <w:tc>
          <w:tcPr>
            <w:tcW w:w="24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0.65</w:t>
            </w:r>
          </w:p>
        </w:tc>
        <w:tc>
          <w:tcPr>
            <w:tcW w:w="24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40" w:type="dxa"/>
            <w:vAlign w:val="bottom"/>
            <w:vMerge w:val="restart"/>
          </w:tcPr>
          <w:p>
            <w:pPr>
              <w:ind w:left="4620"/>
              <w:spacing w:after="0"/>
              <w:rPr>
                <w:sz w:val="20"/>
                <w:szCs w:val="20"/>
                <w:color w:val="auto"/>
              </w:rPr>
            </w:pPr>
            <w:r>
              <w:rPr>
                <w:rFonts w:ascii="Arial" w:cs="Arial" w:eastAsia="Arial" w:hAnsi="Arial"/>
                <w:sz w:val="18"/>
                <w:szCs w:val="18"/>
                <w:color w:val="auto"/>
              </w:rPr>
              <w:t>Page 50 of 70</w:t>
            </w: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-1800860</wp:posOffset>
            </wp:positionV>
            <wp:extent cx="254254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54254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-1363980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-1363980</wp:posOffset>
            </wp:positionV>
            <wp:extent cx="2159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-1363980</wp:posOffset>
            </wp:positionV>
            <wp:extent cx="3873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-1363980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-1363980</wp:posOffset>
            </wp:positionV>
            <wp:extent cx="2159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-1363980</wp:posOffset>
            </wp:positionV>
            <wp:extent cx="3873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-1363980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-1363980</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-1363980</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-1363980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-1363980</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-1363980</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-1063625</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-1063625</wp:posOffset>
            </wp:positionV>
            <wp:extent cx="2159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-1063625</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-1063625</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-1063625</wp:posOffset>
            </wp:positionV>
            <wp:extent cx="2159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-1063625</wp:posOffset>
            </wp:positionV>
            <wp:extent cx="3873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-1063625</wp:posOffset>
            </wp:positionV>
            <wp:extent cx="125603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5603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-626110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-626110</wp:posOffset>
            </wp:positionV>
            <wp:extent cx="2159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-626110</wp:posOffset>
            </wp:positionV>
            <wp:extent cx="3873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-626110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-626110</wp:posOffset>
            </wp:positionV>
            <wp:extent cx="2159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-626110</wp:posOffset>
            </wp:positionV>
            <wp:extent cx="3873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-626110</wp:posOffset>
            </wp:positionV>
            <wp:extent cx="125603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5603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-325755</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-325755</wp:posOffset>
            </wp:positionV>
            <wp:extent cx="2159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-325755</wp:posOffset>
            </wp:positionV>
            <wp:extent cx="3873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-325755</wp:posOffset>
            </wp:positionV>
            <wp:extent cx="39878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-325755</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-325755</wp:posOffset>
            </wp:positionV>
            <wp:extent cx="2159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-325755</wp:posOffset>
            </wp:positionV>
            <wp:extent cx="3873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2159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3873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Earnings Per Share</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Basic earnings per share is computed based on the weighted average number of common shares outstanding. Diluted earnings per share is based on the sum of the weighted average number of common shares outstanding, non-vested restricted common stock and common stock equivalents arising out of employee stock options and non-employee stock options and warrants. Our net income is the same for basic and diluted earnings per share calculations. Shares used to calculate earnings per share are as follows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8"/>
              </w:rPr>
              <w:t>For the Year ended December 31,</w:t>
            </w:r>
          </w:p>
        </w:tc>
        <w:tc>
          <w:tcPr>
            <w:tcW w:w="4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60" w:type="dxa"/>
            <w:vAlign w:val="bottom"/>
          </w:tcPr>
          <w:p>
            <w:pPr>
              <w:spacing w:after="0"/>
              <w:rPr>
                <w:sz w:val="22"/>
                <w:szCs w:val="22"/>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2002</w:t>
            </w:r>
          </w:p>
        </w:tc>
        <w:tc>
          <w:tcPr>
            <w:tcW w:w="1200" w:type="dxa"/>
            <w:vAlign w:val="bottom"/>
            <w:gridSpan w:val="2"/>
          </w:tcPr>
          <w:p>
            <w:pPr>
              <w:jc w:val="center"/>
              <w:ind w:left="295"/>
              <w:spacing w:after="0"/>
              <w:rPr>
                <w:sz w:val="20"/>
                <w:szCs w:val="20"/>
                <w:color w:val="auto"/>
              </w:rPr>
            </w:pPr>
            <w:r>
              <w:rPr>
                <w:rFonts w:ascii="Arial" w:cs="Arial" w:eastAsia="Arial" w:hAnsi="Arial"/>
                <w:sz w:val="14"/>
                <w:szCs w:val="14"/>
                <w:b w:val="1"/>
                <w:bCs w:val="1"/>
                <w:color w:val="auto"/>
                <w:w w:val="83"/>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22,104</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21,234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20,898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Restricted stock and stock units weighted average shares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Common stock equivalents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w w:val="93"/>
              </w:rPr>
              <w:t>Diluted weighted average shares used in the calculation of diluted earnings per share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23,454</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22,338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21,790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w w:val="90"/>
              </w:rPr>
              <w:t>Weighted average shares of stock options and warrants included in the determination of</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equivalents for the calculation of diluted earnings per share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w w:val="93"/>
              </w:rPr>
              <w:t>Weighted average shares of stock options which are not included in the calculation of</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earnings per share because their impact is antidilutive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-904240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-904240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-904240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-904240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-904240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-904240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-904240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-904240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-466725</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-466725</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-466725</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-466725</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-466725</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-466725</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-466725</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-466725</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amounts in prior periods have been reclassified to conform to current year’s presentation.</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Variable Interest Entities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FASB issued Interpretation FIN No. 46 (revised December 2003), “Consolidation of Variable Interest Entities,” the provisions of which apply immediately to any variable interest entity created after January 31, 2003, apply no later than the first period ending after December 15, 2003, to special purpose corporations, and apply in the first interim period ending after March 15, 2004, to any variable interest entity created prior to February 1, 2003. This interpretation requires the consolidation of a variable interest entity by its primary beneficiary and may require the consolidation of a portion of a variable interest entity’s assets or liabilities under certain circumstances. We adopted the requirements of FIN No. 46 as of January 1, 2004. The effects of adoption were not significant. See Note 7, Aviation Joint Venture, for additional information.</w:t>
      </w:r>
    </w:p>
    <w:p>
      <w:pPr>
        <w:spacing w:after="0" w:line="10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Inventory Costs</w:t>
      </w:r>
    </w:p>
    <w:p>
      <w:pPr>
        <w:spacing w:after="0" w:line="77"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The FASB issued SFAS No. 151, “Inventory Costs — an amendment of Accounting Research Bulletins No. 43, Chapter 4.” This statement clarifies the requirement that abnormal inventory-related costs be recognized as current-period charges. The provisions of this statement are to be applied prospectively to inventory costs incurred during fiscal years beginning after June 15, 2005. We do not expect the effects of adoption to be significant.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51 of 72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Stock-Based Compensation</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FASB issued a revised SFAS No. 123, “Share-Based Payment.” This statement requires that all share-based payments to employees be recognized in the financial statements based on their grant-date fair value. Under previous guidance, companies had the option of recognizing the fair value of stock-based compensation in the consolidated financial statements or disclosing the pro forma impact of stock-based compensation on the consolidated statement of income in the notes to the consolidated financial statements. As described above, we adopted the fair value recognition provisions of SFAS No. 123, as amended by SFAS No. 148, “Accounting for Stock-Based Compensation – Transition and Disclosure, an amendment of FASB Statement No. 123,” for all employee awards issued after April 2002. The revised statement is effective at the beginning of the first annual or interim period beginning after December 15, 2005, and provides two methods of adoption, the modified-prospective method and the modified-retrospective method. We anticipate adopting the revised statement using the modified-prospective method. We are currently evaluating the provisions of the revised statement but do not expect the impact of adoption to be significant.</w:t>
      </w:r>
    </w:p>
    <w:p>
      <w:pPr>
        <w:spacing w:after="0" w:line="10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American Jobs Creation Act of 2004</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December 2004, the FASB issued Staff Position (“FSP”) No. 109-2, “Accounting and Disclosure Guidance for the Foreign Earnings Repatriation Provision within the American Jobs Creation Act of 2004.” The American Jobs Creation Act of 2004 (the “Act”), signed into law on October 22, 2004, provides for a special one-time tax deduction, or dividend received deduction (“DRD”), of 85% of qualifying foreign earnings that are repatriated in either a company’s last tax year that began before the enactment date or the first tax year that begins during the one-year period beginning on the enactment date. FSP No. 109-2 provides entities additional time to assess the effect of repatriating foreign earnings under the Act for purposes of applying SFAS No. 109, “Accounting for Income Taxes,” which typically requires the effect of a new tax law to be recorded in the period of enactment. The Company will elect, if applicable, to apply the DRD to qualifying dividends of foreign earnings in its fiscal year ending December 31, 2005.</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is awaiting further clarifying guidance from the U.S. Treasury Department on certain provisions of the Act. Once this guidance is received, the Company expects to complete its evaluation of the effects of the Act during 2005. Under the limitations on the amount of dividends qualifying for the DRD of the Act, the maximum repatriation of the Company’s foreign earnings that may qualify for the special one-time DRD is approximately $111.1 million. Therefore, the range of possible amounts of qualifying dividends of foreign earnings is between zero and approximately $111.1 million. Because the evaluation is ongoing, it is not yet practical to estimate a range of possible income tax effects of potential repatriations.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Restatement of Financial Statements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restated our previously reported consolidated financial statements for the years ended December 31, 2003 and 2002, and the nine months ended December 31, 2002. The restatement reflects the correction of the cutoff procedures used by the Company for recognizing sales and sales related costs. Under the corrected cutoff procedures, revenues and sales related costs are recognized at the time fuel deliveries are made and related services are performed. As a result of the restatement, we have also restated our income tax expense. Because we contract with third parties for fuel deliveries and the performance of the related services, this causes delays in our receiving the necessary information for invoicing. As a result of these delays, the Company had historically recorded revenue and sales related costs when supporting documentation relating to fuel deliveries and related services had been received from third parties.</w:t>
      </w:r>
    </w:p>
    <w:p>
      <w:pPr>
        <w:spacing w:after="0" w:line="107"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The primary impact of the restatement on the balance sheets at December 31, 2003 and 2002, and March 31, 2002 was to increase accounts receivable and accounts payable. In the statements of income, the principal impact of the restatement was to increase revenue and cost of sales for the years ended December 31, 2003 and 2002, the nine months ended December 31, 2002, and the year ended March 31, 2002. For the statements of cash flows, there was no impact to net cash from operating activities, investing activities, and financing activities since the changes were to net income and other operating cash flow items.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52 of 72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impact of the restatements on amounts previously reported in the consolidated statements of income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2003 and 2002, the nine months ended December 31, 2002, and the year ended March 31, 2002 (in thousands, except earnings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For the Nine Months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For the Year</w:t>
            </w:r>
          </w:p>
        </w:tc>
      </w:tr>
      <w:tr>
        <w:trPr>
          <w:trHeight w:val="174"/>
        </w:trPr>
        <w:tc>
          <w:tcPr>
            <w:tcW w:w="2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7"/>
          </w:tcPr>
          <w:p>
            <w:pPr>
              <w:ind w:left="20"/>
              <w:spacing w:after="0"/>
              <w:rPr>
                <w:sz w:val="20"/>
                <w:szCs w:val="20"/>
                <w:color w:val="auto"/>
              </w:rPr>
            </w:pPr>
            <w:r>
              <w:rPr>
                <w:rFonts w:ascii="Arial" w:cs="Arial" w:eastAsia="Arial" w:hAnsi="Arial"/>
                <w:sz w:val="14"/>
                <w:szCs w:val="14"/>
                <w:b w:val="1"/>
                <w:bCs w:val="1"/>
                <w:color w:val="auto"/>
                <w:w w:val="97"/>
              </w:rPr>
              <w:t>For the Year ended December 31,</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ended December 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ended March 31,</w:t>
            </w:r>
          </w:p>
        </w:tc>
      </w:tr>
      <w:tr>
        <w:trPr>
          <w:trHeight w:val="95"/>
        </w:trPr>
        <w:tc>
          <w:tcPr>
            <w:tcW w:w="2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2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2003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215"/>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center"/>
              <w:ind w:right="17"/>
              <w:spacing w:after="0"/>
              <w:rPr>
                <w:sz w:val="20"/>
                <w:szCs w:val="20"/>
                <w:color w:val="auto"/>
              </w:rPr>
            </w:pPr>
            <w:r>
              <w:rPr>
                <w:rFonts w:ascii="Arial" w:cs="Arial" w:eastAsia="Arial" w:hAnsi="Arial"/>
                <w:sz w:val="14"/>
                <w:szCs w:val="14"/>
                <w:b w:val="1"/>
                <w:bCs w:val="1"/>
                <w:color w:val="auto"/>
                <w:w w:val="83"/>
              </w:rPr>
              <w:t>2002</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center"/>
              <w:ind w:right="15"/>
              <w:spacing w:after="0"/>
              <w:rPr>
                <w:sz w:val="20"/>
                <w:szCs w:val="20"/>
                <w:color w:val="auto"/>
              </w:rPr>
            </w:pPr>
            <w:r>
              <w:rPr>
                <w:rFonts w:ascii="Arial" w:cs="Arial" w:eastAsia="Arial" w:hAnsi="Arial"/>
                <w:sz w:val="14"/>
                <w:szCs w:val="14"/>
                <w:b w:val="1"/>
                <w:bCs w:val="1"/>
                <w:color w:val="auto"/>
                <w:w w:val="83"/>
              </w:rPr>
              <w:t>2002</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2002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ind w:right="215"/>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center"/>
              <w:ind w:right="19"/>
              <w:spacing w:after="0"/>
              <w:rPr>
                <w:sz w:val="20"/>
                <w:szCs w:val="20"/>
                <w:color w:val="auto"/>
              </w:rPr>
            </w:pPr>
            <w:r>
              <w:rPr>
                <w:rFonts w:ascii="Arial" w:cs="Arial" w:eastAsia="Arial" w:hAnsi="Arial"/>
                <w:sz w:val="14"/>
                <w:szCs w:val="14"/>
                <w:b w:val="1"/>
                <w:bCs w:val="1"/>
                <w:color w:val="auto"/>
                <w:w w:val="83"/>
              </w:rPr>
              <w:t>2002</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15"/>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r>
      <w:tr>
        <w:trPr>
          <w:trHeight w:val="95"/>
        </w:trPr>
        <w:tc>
          <w:tcPr>
            <w:tcW w:w="2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Previously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Previously</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Previously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Previously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49"/>
        </w:trPr>
        <w:tc>
          <w:tcPr>
            <w:tcW w:w="2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Restated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Restated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Restated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Reported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8"/>
              </w:rPr>
              <w:t>Restated</w:t>
            </w:r>
          </w:p>
        </w:tc>
      </w:tr>
      <w:tr>
        <w:trPr>
          <w:trHeight w:val="161"/>
        </w:trPr>
        <w:tc>
          <w:tcPr>
            <w:tcW w:w="2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(Unaudited)</w:t>
            </w:r>
          </w:p>
        </w:tc>
        <w:tc>
          <w:tcPr>
            <w:tcW w:w="1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Revenue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2,661,790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2,671,557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1,898,181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1,904,365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1,546,897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1,551,707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1,365,065</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1,369,392</w:t>
            </w:r>
          </w:p>
        </w:tc>
        <w:tc>
          <w:tcPr>
            <w:tcW w:w="60" w:type="dxa"/>
            <w:vAlign w:val="bottom"/>
          </w:tcPr>
          <w:p>
            <w:pPr>
              <w:spacing w:after="0"/>
              <w:rPr>
                <w:sz w:val="18"/>
                <w:szCs w:val="18"/>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(2,561,082)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(2,570,434)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(1,814,114)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(1,820,538)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(1,483,976)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(1,488,587)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(1,288,891)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(1,293,568)</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100,708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101,123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84,067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83,827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62,921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63,120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76,174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75,824</w:t>
            </w:r>
          </w:p>
        </w:tc>
        <w:tc>
          <w:tcPr>
            <w:tcW w:w="60" w:type="dxa"/>
            <w:vAlign w:val="bottom"/>
          </w:tcPr>
          <w:p>
            <w:pPr>
              <w:spacing w:after="0"/>
              <w:rPr>
                <w:sz w:val="18"/>
                <w:szCs w:val="18"/>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Salaries and wages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(31,554)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(30,460)</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(73,718)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(73,781)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(63,898)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(63,800)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(49,135)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(49,109)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(54,885)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(54,830)</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13,786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20,994</w:t>
            </w:r>
          </w:p>
        </w:tc>
        <w:tc>
          <w:tcPr>
            <w:tcW w:w="60" w:type="dxa"/>
            <w:vAlign w:val="bottom"/>
            <w:shd w:val="clear" w:color="auto" w:fill="CCEEFF"/>
          </w:tcPr>
          <w:p>
            <w:pPr>
              <w:spacing w:after="0"/>
              <w:rPr>
                <w:sz w:val="18"/>
                <w:szCs w:val="18"/>
                <w:color w:val="auto"/>
              </w:rPr>
            </w:pPr>
          </w:p>
        </w:tc>
      </w:tr>
      <w:tr>
        <w:trPr>
          <w:trHeight w:val="208"/>
        </w:trPr>
        <w:tc>
          <w:tcPr>
            <w:tcW w:w="2460" w:type="dxa"/>
            <w:vAlign w:val="bottom"/>
          </w:tcPr>
          <w:p>
            <w:pPr>
              <w:spacing w:after="0"/>
              <w:rPr>
                <w:sz w:val="20"/>
                <w:szCs w:val="20"/>
                <w:color w:val="auto"/>
              </w:rPr>
            </w:pPr>
            <w:r>
              <w:rPr>
                <w:rFonts w:ascii="Arial" w:cs="Arial" w:eastAsia="Arial" w:hAnsi="Arial"/>
                <w:sz w:val="18"/>
                <w:szCs w:val="18"/>
                <w:color w:val="auto"/>
                <w:w w:val="99"/>
              </w:rPr>
              <w:t>Income from operations before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246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27,618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27,970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18,243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18,101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11,756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11,981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23,226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22,931</w:t>
            </w:r>
          </w:p>
        </w:tc>
        <w:tc>
          <w:tcPr>
            <w:tcW w:w="60" w:type="dxa"/>
            <w:vAlign w:val="bottom"/>
          </w:tcPr>
          <w:p>
            <w:pPr>
              <w:spacing w:after="0"/>
              <w:rPr>
                <w:sz w:val="19"/>
                <w:szCs w:val="19"/>
                <w:color w:val="auto"/>
              </w:rPr>
            </w:pPr>
          </w:p>
        </w:tc>
      </w:tr>
      <w:tr>
        <w:trPr>
          <w:trHeight w:val="218"/>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(5,947)</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21,874</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22,161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14,345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14,153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9,872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10,047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17,235</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16,984</w:t>
            </w:r>
          </w:p>
        </w:tc>
        <w:tc>
          <w:tcPr>
            <w:tcW w:w="60" w:type="dxa"/>
            <w:vAlign w:val="bottom"/>
          </w:tcPr>
          <w:p>
            <w:pPr>
              <w:spacing w:after="0"/>
              <w:rPr>
                <w:sz w:val="18"/>
                <w:szCs w:val="18"/>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60" w:type="dxa"/>
            <w:vAlign w:val="bottom"/>
            <w:shd w:val="clear" w:color="auto" w:fill="CCEEFF"/>
          </w:tcPr>
          <w:p>
            <w:pPr>
              <w:spacing w:after="0"/>
              <w:rPr>
                <w:sz w:val="18"/>
                <w:szCs w:val="18"/>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0.98</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0.99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0.66</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0.65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0.45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0.46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0.81</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0.80</w:t>
            </w:r>
          </w:p>
        </w:tc>
        <w:tc>
          <w:tcPr>
            <w:tcW w:w="60" w:type="dxa"/>
            <w:vAlign w:val="bottom"/>
          </w:tcPr>
          <w:p>
            <w:pPr>
              <w:spacing w:after="0"/>
              <w:rPr>
                <w:sz w:val="19"/>
                <w:szCs w:val="19"/>
                <w:color w:val="auto"/>
              </w:rPr>
            </w:pPr>
          </w:p>
        </w:tc>
      </w:tr>
    </w:tbl>
    <w:p>
      <w:pPr>
        <w:spacing w:after="0" w:line="13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sets forth the impact of restatements on amounts previously reported in the consolidated balance sheets as of December 31, 2003 and 2002, and as of March 31, 2002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6"/>
              </w:rPr>
              <w:t>As of December 31, 2003</w:t>
            </w: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w w:val="87"/>
              </w:rPr>
              <w:t>As of December 31, 2002</w:t>
            </w:r>
          </w:p>
        </w:tc>
        <w:tc>
          <w:tcPr>
            <w:tcW w:w="100" w:type="dxa"/>
            <w:vAlign w:val="bottom"/>
          </w:tcPr>
          <w:p>
            <w:pPr>
              <w:spacing w:after="0"/>
              <w:rPr>
                <w:sz w:val="15"/>
                <w:szCs w:val="15"/>
                <w:color w:val="auto"/>
              </w:rPr>
            </w:pPr>
          </w:p>
        </w:tc>
        <w:tc>
          <w:tcPr>
            <w:tcW w:w="150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w w:val="96"/>
              </w:rPr>
              <w:t>As of March 31, 2002</w:t>
            </w:r>
          </w:p>
        </w:tc>
      </w:tr>
      <w:tr>
        <w:trPr>
          <w:trHeight w:val="95"/>
        </w:trPr>
        <w:tc>
          <w:tcPr>
            <w:tcW w:w="49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r>
      <w:tr>
        <w:trPr>
          <w:trHeight w:val="237"/>
        </w:trPr>
        <w:tc>
          <w:tcPr>
            <w:tcW w:w="49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b w:val="1"/>
                <w:bCs w:val="1"/>
                <w:color w:val="auto"/>
                <w:w w:val="87"/>
              </w:rPr>
              <w:t>Previously</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ind w:left="40"/>
              <w:spacing w:after="0"/>
              <w:rPr>
                <w:sz w:val="20"/>
                <w:szCs w:val="20"/>
                <w:color w:val="auto"/>
              </w:rPr>
            </w:pPr>
            <w:r>
              <w:rPr>
                <w:rFonts w:ascii="Arial" w:cs="Arial" w:eastAsia="Arial" w:hAnsi="Arial"/>
                <w:sz w:val="14"/>
                <w:szCs w:val="14"/>
                <w:b w:val="1"/>
                <w:bCs w:val="1"/>
                <w:color w:val="auto"/>
                <w:w w:val="95"/>
              </w:rPr>
              <w:t>Previously</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b w:val="1"/>
                <w:bCs w:val="1"/>
                <w:color w:val="auto"/>
                <w:w w:val="87"/>
              </w:rPr>
              <w:t>Previously</w:t>
            </w:r>
          </w:p>
        </w:tc>
        <w:tc>
          <w:tcPr>
            <w:tcW w:w="760" w:type="dxa"/>
            <w:vAlign w:val="bottom"/>
          </w:tcPr>
          <w:p>
            <w:pPr>
              <w:spacing w:after="0"/>
              <w:rPr>
                <w:sz w:val="20"/>
                <w:szCs w:val="20"/>
                <w:color w:val="auto"/>
              </w:rPr>
            </w:pPr>
          </w:p>
        </w:tc>
      </w:tr>
      <w:tr>
        <w:trPr>
          <w:trHeight w:val="161"/>
        </w:trPr>
        <w:tc>
          <w:tcPr>
            <w:tcW w:w="4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b w:val="1"/>
                <w:bCs w:val="1"/>
                <w:color w:val="auto"/>
                <w:w w:val="94"/>
              </w:rPr>
              <w:t>Reported</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Restated</w:t>
            </w:r>
          </w:p>
        </w:tc>
        <w:tc>
          <w:tcPr>
            <w:tcW w:w="740" w:type="dxa"/>
            <w:vAlign w:val="bottom"/>
          </w:tcPr>
          <w:p>
            <w:pPr>
              <w:jc w:val="right"/>
              <w:ind w:right="56"/>
              <w:spacing w:after="0"/>
              <w:rPr>
                <w:sz w:val="20"/>
                <w:szCs w:val="20"/>
                <w:color w:val="auto"/>
              </w:rPr>
            </w:pPr>
            <w:r>
              <w:rPr>
                <w:rFonts w:ascii="Arial" w:cs="Arial" w:eastAsia="Arial" w:hAnsi="Arial"/>
                <w:sz w:val="14"/>
                <w:szCs w:val="14"/>
                <w:b w:val="1"/>
                <w:bCs w:val="1"/>
                <w:color w:val="auto"/>
                <w:w w:val="94"/>
              </w:rPr>
              <w:t>Reported</w:t>
            </w:r>
          </w:p>
        </w:tc>
        <w:tc>
          <w:tcPr>
            <w:tcW w:w="760" w:type="dxa"/>
            <w:vAlign w:val="bottom"/>
          </w:tcPr>
          <w:p>
            <w:pPr>
              <w:jc w:val="right"/>
              <w:ind w:right="14"/>
              <w:spacing w:after="0"/>
              <w:rPr>
                <w:sz w:val="20"/>
                <w:szCs w:val="20"/>
                <w:color w:val="auto"/>
              </w:rPr>
            </w:pPr>
            <w:r>
              <w:rPr>
                <w:rFonts w:ascii="Arial" w:cs="Arial" w:eastAsia="Arial" w:hAnsi="Arial"/>
                <w:sz w:val="14"/>
                <w:szCs w:val="14"/>
                <w:b w:val="1"/>
                <w:bCs w:val="1"/>
                <w:color w:val="auto"/>
              </w:rPr>
              <w:t>Restated</w:t>
            </w:r>
          </w:p>
        </w:tc>
        <w:tc>
          <w:tcPr>
            <w:tcW w:w="100" w:type="dxa"/>
            <w:vAlign w:val="bottom"/>
          </w:tcPr>
          <w:p>
            <w:pPr>
              <w:spacing w:after="0"/>
              <w:rPr>
                <w:sz w:val="14"/>
                <w:szCs w:val="14"/>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b w:val="1"/>
                <w:bCs w:val="1"/>
                <w:color w:val="auto"/>
                <w:w w:val="97"/>
              </w:rPr>
              <w:t>Reported</w:t>
            </w:r>
          </w:p>
        </w:tc>
        <w:tc>
          <w:tcPr>
            <w:tcW w:w="760" w:type="dxa"/>
            <w:vAlign w:val="bottom"/>
          </w:tcPr>
          <w:p>
            <w:pPr>
              <w:jc w:val="right"/>
              <w:ind w:right="14"/>
              <w:spacing w:after="0"/>
              <w:rPr>
                <w:sz w:val="20"/>
                <w:szCs w:val="20"/>
                <w:color w:val="auto"/>
              </w:rPr>
            </w:pPr>
            <w:r>
              <w:rPr>
                <w:rFonts w:ascii="Arial" w:cs="Arial" w:eastAsia="Arial" w:hAnsi="Arial"/>
                <w:sz w:val="14"/>
                <w:szCs w:val="14"/>
                <w:b w:val="1"/>
                <w:bCs w:val="1"/>
                <w:color w:val="auto"/>
              </w:rPr>
              <w:t>Restated</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1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Accounts and notes receivable, net</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$ 192,119</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$ 243,612</w:t>
            </w:r>
          </w:p>
        </w:tc>
        <w:tc>
          <w:tcPr>
            <w:tcW w:w="740" w:type="dxa"/>
            <w:vAlign w:val="bottom"/>
          </w:tcPr>
          <w:p>
            <w:pPr>
              <w:jc w:val="right"/>
              <w:spacing w:after="0"/>
              <w:rPr>
                <w:sz w:val="20"/>
                <w:szCs w:val="20"/>
                <w:color w:val="auto"/>
              </w:rPr>
            </w:pPr>
            <w:r>
              <w:rPr>
                <w:rFonts w:ascii="Arial" w:cs="Arial" w:eastAsia="Arial" w:hAnsi="Arial"/>
                <w:sz w:val="18"/>
                <w:szCs w:val="18"/>
                <w:color w:val="auto"/>
                <w:w w:val="82"/>
              </w:rPr>
              <w:t>$ 177,360</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$ 212,578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4"/>
              </w:rPr>
              <w:t>$ 132,586</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$ 161,054</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17,084</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14,847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20,429</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19,948</w:t>
            </w:r>
          </w:p>
        </w:tc>
        <w:tc>
          <w:tcPr>
            <w:tcW w:w="740" w:type="dxa"/>
            <w:vAlign w:val="bottom"/>
          </w:tcPr>
          <w:p>
            <w:pPr>
              <w:jc w:val="right"/>
              <w:spacing w:after="0"/>
              <w:rPr>
                <w:sz w:val="20"/>
                <w:szCs w:val="20"/>
                <w:color w:val="auto"/>
              </w:rPr>
            </w:pPr>
            <w:r>
              <w:rPr>
                <w:rFonts w:ascii="Arial" w:cs="Arial" w:eastAsia="Arial" w:hAnsi="Arial"/>
                <w:sz w:val="18"/>
                <w:szCs w:val="18"/>
                <w:color w:val="auto"/>
              </w:rPr>
              <w:t>22,300</w:t>
            </w:r>
          </w:p>
        </w:tc>
        <w:tc>
          <w:tcPr>
            <w:tcW w:w="760" w:type="dxa"/>
            <w:vAlign w:val="bottom"/>
          </w:tcPr>
          <w:p>
            <w:pPr>
              <w:jc w:val="right"/>
              <w:spacing w:after="0"/>
              <w:rPr>
                <w:sz w:val="20"/>
                <w:szCs w:val="20"/>
                <w:color w:val="auto"/>
              </w:rPr>
            </w:pPr>
            <w:r>
              <w:rPr>
                <w:rFonts w:ascii="Arial" w:cs="Arial" w:eastAsia="Arial" w:hAnsi="Arial"/>
                <w:sz w:val="18"/>
                <w:szCs w:val="18"/>
                <w:color w:val="auto"/>
              </w:rPr>
              <w:t>21,884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20,162</w:t>
            </w:r>
          </w:p>
        </w:tc>
        <w:tc>
          <w:tcPr>
            <w:tcW w:w="760" w:type="dxa"/>
            <w:vAlign w:val="bottom"/>
          </w:tcPr>
          <w:p>
            <w:pPr>
              <w:jc w:val="right"/>
              <w:spacing w:after="0"/>
              <w:rPr>
                <w:sz w:val="20"/>
                <w:szCs w:val="20"/>
                <w:color w:val="auto"/>
              </w:rPr>
            </w:pPr>
            <w:r>
              <w:rPr>
                <w:rFonts w:ascii="Arial" w:cs="Arial" w:eastAsia="Arial" w:hAnsi="Arial"/>
                <w:sz w:val="18"/>
                <w:szCs w:val="18"/>
                <w:color w:val="auto"/>
              </w:rPr>
              <w:t>19,796</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305,888</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354,663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261,285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295,289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213,109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240,459</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Total assets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352,075</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400,850</w:t>
            </w:r>
          </w:p>
        </w:tc>
        <w:tc>
          <w:tcPr>
            <w:tcW w:w="740" w:type="dxa"/>
            <w:vAlign w:val="bottom"/>
          </w:tcPr>
          <w:p>
            <w:pPr>
              <w:jc w:val="right"/>
              <w:spacing w:after="0"/>
              <w:rPr>
                <w:sz w:val="20"/>
                <w:szCs w:val="20"/>
                <w:color w:val="auto"/>
              </w:rPr>
            </w:pPr>
            <w:r>
              <w:rPr>
                <w:rFonts w:ascii="Arial" w:cs="Arial" w:eastAsia="Arial" w:hAnsi="Arial"/>
                <w:sz w:val="18"/>
                <w:szCs w:val="18"/>
                <w:color w:val="auto"/>
              </w:rPr>
              <w:t>310,992</w:t>
            </w:r>
          </w:p>
        </w:tc>
        <w:tc>
          <w:tcPr>
            <w:tcW w:w="760" w:type="dxa"/>
            <w:vAlign w:val="bottom"/>
          </w:tcPr>
          <w:p>
            <w:pPr>
              <w:jc w:val="right"/>
              <w:spacing w:after="0"/>
              <w:rPr>
                <w:sz w:val="20"/>
                <w:szCs w:val="20"/>
                <w:color w:val="auto"/>
              </w:rPr>
            </w:pPr>
            <w:r>
              <w:rPr>
                <w:rFonts w:ascii="Arial" w:cs="Arial" w:eastAsia="Arial" w:hAnsi="Arial"/>
                <w:sz w:val="18"/>
                <w:szCs w:val="18"/>
                <w:color w:val="auto"/>
              </w:rPr>
              <w:t>344,996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257,893</w:t>
            </w:r>
          </w:p>
        </w:tc>
        <w:tc>
          <w:tcPr>
            <w:tcW w:w="760" w:type="dxa"/>
            <w:vAlign w:val="bottom"/>
          </w:tcPr>
          <w:p>
            <w:pPr>
              <w:jc w:val="right"/>
              <w:spacing w:after="0"/>
              <w:rPr>
                <w:sz w:val="20"/>
                <w:szCs w:val="20"/>
                <w:color w:val="auto"/>
              </w:rPr>
            </w:pPr>
            <w:r>
              <w:rPr>
                <w:rFonts w:ascii="Arial" w:cs="Arial" w:eastAsia="Arial" w:hAnsi="Arial"/>
                <w:sz w:val="18"/>
                <w:szCs w:val="18"/>
                <w:color w:val="auto"/>
              </w:rPr>
              <w:t>285,243</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167,029</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213,945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145,489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108,237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134,343</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Accrued salaries and wages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9,547</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9,687</w:t>
            </w:r>
          </w:p>
        </w:tc>
        <w:tc>
          <w:tcPr>
            <w:tcW w:w="740" w:type="dxa"/>
            <w:vAlign w:val="bottom"/>
          </w:tcPr>
          <w:p>
            <w:pPr>
              <w:jc w:val="right"/>
              <w:spacing w:after="0"/>
              <w:rPr>
                <w:sz w:val="20"/>
                <w:szCs w:val="20"/>
                <w:color w:val="auto"/>
              </w:rPr>
            </w:pPr>
            <w:r>
              <w:rPr>
                <w:rFonts w:ascii="Arial" w:cs="Arial" w:eastAsia="Arial" w:hAnsi="Arial"/>
                <w:sz w:val="18"/>
                <w:szCs w:val="18"/>
                <w:color w:val="auto"/>
              </w:rPr>
              <w:t>5,634</w:t>
            </w:r>
          </w:p>
        </w:tc>
        <w:tc>
          <w:tcPr>
            <w:tcW w:w="760" w:type="dxa"/>
            <w:vAlign w:val="bottom"/>
          </w:tcPr>
          <w:p>
            <w:pPr>
              <w:jc w:val="right"/>
              <w:spacing w:after="0"/>
              <w:rPr>
                <w:sz w:val="20"/>
                <w:szCs w:val="20"/>
                <w:color w:val="auto"/>
              </w:rPr>
            </w:pPr>
            <w:r>
              <w:rPr>
                <w:rFonts w:ascii="Arial" w:cs="Arial" w:eastAsia="Arial" w:hAnsi="Arial"/>
                <w:sz w:val="18"/>
                <w:szCs w:val="18"/>
                <w:color w:val="auto"/>
              </w:rPr>
              <w:t>5,711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6,461</w:t>
            </w:r>
          </w:p>
        </w:tc>
        <w:tc>
          <w:tcPr>
            <w:tcW w:w="760" w:type="dxa"/>
            <w:vAlign w:val="bottom"/>
          </w:tcPr>
          <w:p>
            <w:pPr>
              <w:jc w:val="right"/>
              <w:spacing w:after="0"/>
              <w:rPr>
                <w:sz w:val="20"/>
                <w:szCs w:val="20"/>
                <w:color w:val="auto"/>
              </w:rPr>
            </w:pPr>
            <w:r>
              <w:rPr>
                <w:rFonts w:ascii="Arial" w:cs="Arial" w:eastAsia="Arial" w:hAnsi="Arial"/>
                <w:sz w:val="18"/>
                <w:szCs w:val="18"/>
                <w:color w:val="auto"/>
              </w:rPr>
              <w:t>6,564</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10,240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10,620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199,159</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246,595</w:t>
            </w:r>
          </w:p>
        </w:tc>
        <w:tc>
          <w:tcPr>
            <w:tcW w:w="740" w:type="dxa"/>
            <w:vAlign w:val="bottom"/>
          </w:tcPr>
          <w:p>
            <w:pPr>
              <w:jc w:val="right"/>
              <w:spacing w:after="0"/>
              <w:rPr>
                <w:sz w:val="20"/>
                <w:szCs w:val="20"/>
                <w:color w:val="auto"/>
              </w:rPr>
            </w:pPr>
            <w:r>
              <w:rPr>
                <w:rFonts w:ascii="Arial" w:cs="Arial" w:eastAsia="Arial" w:hAnsi="Arial"/>
                <w:sz w:val="18"/>
                <w:szCs w:val="18"/>
                <w:color w:val="auto"/>
              </w:rPr>
              <w:t>179,064</w:t>
            </w:r>
          </w:p>
        </w:tc>
        <w:tc>
          <w:tcPr>
            <w:tcW w:w="760" w:type="dxa"/>
            <w:vAlign w:val="bottom"/>
          </w:tcPr>
          <w:p>
            <w:pPr>
              <w:jc w:val="right"/>
              <w:spacing w:after="0"/>
              <w:rPr>
                <w:sz w:val="20"/>
                <w:szCs w:val="20"/>
                <w:color w:val="auto"/>
              </w:rPr>
            </w:pPr>
            <w:r>
              <w:rPr>
                <w:rFonts w:ascii="Arial" w:cs="Arial" w:eastAsia="Arial" w:hAnsi="Arial"/>
                <w:sz w:val="18"/>
                <w:szCs w:val="18"/>
                <w:color w:val="auto"/>
              </w:rPr>
              <w:t>212,016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133,821</w:t>
            </w:r>
          </w:p>
        </w:tc>
        <w:tc>
          <w:tcPr>
            <w:tcW w:w="760" w:type="dxa"/>
            <w:vAlign w:val="bottom"/>
          </w:tcPr>
          <w:p>
            <w:pPr>
              <w:jc w:val="right"/>
              <w:spacing w:after="0"/>
              <w:rPr>
                <w:sz w:val="20"/>
                <w:szCs w:val="20"/>
                <w:color w:val="auto"/>
              </w:rPr>
            </w:pPr>
            <w:r>
              <w:rPr>
                <w:rFonts w:ascii="Arial" w:cs="Arial" w:eastAsia="Arial" w:hAnsi="Arial"/>
                <w:sz w:val="18"/>
                <w:szCs w:val="18"/>
                <w:color w:val="auto"/>
              </w:rPr>
              <w:t>160,294</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203,696</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251,132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183,262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216,214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141,454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167,927</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Retained earnings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132,976</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134,315</w:t>
            </w:r>
          </w:p>
        </w:tc>
        <w:tc>
          <w:tcPr>
            <w:tcW w:w="740" w:type="dxa"/>
            <w:vAlign w:val="bottom"/>
          </w:tcPr>
          <w:p>
            <w:pPr>
              <w:jc w:val="right"/>
              <w:spacing w:after="0"/>
              <w:rPr>
                <w:sz w:val="20"/>
                <w:szCs w:val="20"/>
                <w:color w:val="auto"/>
              </w:rPr>
            </w:pPr>
            <w:r>
              <w:rPr>
                <w:rFonts w:ascii="Arial" w:cs="Arial" w:eastAsia="Arial" w:hAnsi="Arial"/>
                <w:sz w:val="18"/>
                <w:szCs w:val="18"/>
                <w:color w:val="auto"/>
              </w:rPr>
              <w:t>114,334</w:t>
            </w:r>
          </w:p>
        </w:tc>
        <w:tc>
          <w:tcPr>
            <w:tcW w:w="760" w:type="dxa"/>
            <w:vAlign w:val="bottom"/>
          </w:tcPr>
          <w:p>
            <w:pPr>
              <w:jc w:val="right"/>
              <w:spacing w:after="0"/>
              <w:rPr>
                <w:sz w:val="20"/>
                <w:szCs w:val="20"/>
                <w:color w:val="auto"/>
              </w:rPr>
            </w:pPr>
            <w:r>
              <w:rPr>
                <w:rFonts w:ascii="Arial" w:cs="Arial" w:eastAsia="Arial" w:hAnsi="Arial"/>
                <w:sz w:val="18"/>
                <w:szCs w:val="18"/>
                <w:color w:val="auto"/>
              </w:rPr>
              <w:t>115,386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106,841</w:t>
            </w:r>
          </w:p>
        </w:tc>
        <w:tc>
          <w:tcPr>
            <w:tcW w:w="760" w:type="dxa"/>
            <w:vAlign w:val="bottom"/>
          </w:tcPr>
          <w:p>
            <w:pPr>
              <w:jc w:val="right"/>
              <w:spacing w:after="0"/>
              <w:rPr>
                <w:sz w:val="20"/>
                <w:szCs w:val="20"/>
                <w:color w:val="auto"/>
              </w:rPr>
            </w:pPr>
            <w:r>
              <w:rPr>
                <w:rFonts w:ascii="Arial" w:cs="Arial" w:eastAsia="Arial" w:hAnsi="Arial"/>
                <w:sz w:val="18"/>
                <w:szCs w:val="18"/>
                <w:color w:val="auto"/>
              </w:rPr>
              <w:t>107,718</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148,379</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149,718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127,730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128,782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116,439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117,316</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352,075</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400,850</w:t>
            </w:r>
          </w:p>
        </w:tc>
        <w:tc>
          <w:tcPr>
            <w:tcW w:w="740" w:type="dxa"/>
            <w:vAlign w:val="bottom"/>
          </w:tcPr>
          <w:p>
            <w:pPr>
              <w:jc w:val="right"/>
              <w:spacing w:after="0"/>
              <w:rPr>
                <w:sz w:val="20"/>
                <w:szCs w:val="20"/>
                <w:color w:val="auto"/>
              </w:rPr>
            </w:pPr>
            <w:r>
              <w:rPr>
                <w:rFonts w:ascii="Arial" w:cs="Arial" w:eastAsia="Arial" w:hAnsi="Arial"/>
                <w:sz w:val="18"/>
                <w:szCs w:val="18"/>
                <w:color w:val="auto"/>
              </w:rPr>
              <w:t>310,992</w:t>
            </w:r>
          </w:p>
        </w:tc>
        <w:tc>
          <w:tcPr>
            <w:tcW w:w="760" w:type="dxa"/>
            <w:vAlign w:val="bottom"/>
          </w:tcPr>
          <w:p>
            <w:pPr>
              <w:jc w:val="right"/>
              <w:spacing w:after="0"/>
              <w:rPr>
                <w:sz w:val="20"/>
                <w:szCs w:val="20"/>
                <w:color w:val="auto"/>
              </w:rPr>
            </w:pPr>
            <w:r>
              <w:rPr>
                <w:rFonts w:ascii="Arial" w:cs="Arial" w:eastAsia="Arial" w:hAnsi="Arial"/>
                <w:sz w:val="18"/>
                <w:szCs w:val="18"/>
                <w:color w:val="auto"/>
              </w:rPr>
              <w:t>344,996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257,893</w:t>
            </w:r>
          </w:p>
        </w:tc>
        <w:tc>
          <w:tcPr>
            <w:tcW w:w="760" w:type="dxa"/>
            <w:vAlign w:val="bottom"/>
          </w:tcPr>
          <w:p>
            <w:pPr>
              <w:jc w:val="right"/>
              <w:spacing w:after="0"/>
              <w:rPr>
                <w:sz w:val="20"/>
                <w:szCs w:val="20"/>
                <w:color w:val="auto"/>
              </w:rPr>
            </w:pPr>
            <w:r>
              <w:rPr>
                <w:rFonts w:ascii="Arial" w:cs="Arial" w:eastAsia="Arial" w:hAnsi="Arial"/>
                <w:sz w:val="18"/>
                <w:szCs w:val="18"/>
                <w:color w:val="auto"/>
              </w:rPr>
              <w:t>285,243</w:t>
            </w:r>
          </w:p>
        </w:tc>
      </w:tr>
    </w:tbl>
    <w:p>
      <w:pPr>
        <w:spacing w:after="0" w:line="134"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have also determined in our review of our consolidated financial statements that certain of our historical accounts should be reclassified. These reclassifications, which we believe are immaterial and do not require restatement, include inventories, other current assets, accounts payable, and other current liabilities. Accordingly, the consolidated balance sheets as of December 31, 2003 and 2002, and March 31, 2002 have been adjusted to reflect these reclassifications. The previously reported amounts stated above include these reclassifications.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53 of 72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Debt</w:t>
      </w:r>
    </w:p>
    <w:p>
      <w:pPr>
        <w:spacing w:after="0" w:line="8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September 2004, the credit agreement relating to our syndicated revolving credit facility (the “Credit Agreement”) was amended to increase available borrowings under the revolving credit facility to $145.0 million and to provide us with the option to increase available borrowings to $150.0 million. Pursuant to the amendment, our sublimit for the issuance of letters of credit was increased to $60.0 million. In October 2004, we exercised our option to increase our available borrowings under the revolving credit facility to $150.0 million. Our available borrowings under the revolving credit facility are reduced by the amount of outstanding letters of credit. Borrowings under the revolving credit facility bear interest at market rates plus applicable margins ranging from zero percent to 0.75% for U.S. Prime Rate loans and 1.25% to 2.00% for LIBOR Rate loans, as defined. As of December 31, 2004, our weighted average interest rate on borrowings under the credit facility was 4.27%. Letters of credit issued under the revolving credit facility are subject to fees (“L/C Fees”) ranging from 1.25% to 2.00%. Interest and L/C Fees are payable quarterly and at maturity in arrears. The Credit Agreement expires on December 19, 2006. As of December 31, 2004, our outstanding borrowings under the revolving credit facility totaled $50.0 million and our issued letters of credit totaled $28.4 million.</w:t>
      </w:r>
    </w:p>
    <w:p>
      <w:pPr>
        <w:spacing w:after="0" w:line="10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Credit Agreement imposes certain operating and financial restrictions on us. Our failure to comply with these restrictions, including meeting certain financial ratios, could result in an event of default. An event of default, if not cured or waived, would permit acceleration of any outstanding indebtedness under the Credit Agreement, and impair our ability to receive advances and issue letters of credit, and thus have a material adverse effect on our ability to fund operations. Currently, we are in compliance with all material obligations under the Credit Agreement.</w:t>
      </w:r>
    </w:p>
    <w:p>
      <w:pPr>
        <w:spacing w:after="0" w:line="9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April 2004, we obtained a separate $25.0 million credit line for the issuance of letters of credit from one of the banks participating in our revolving credit facility. Letters of credit issued under this credit line are subject to fees at market rates payable semiannually and at maturity in arrears. This credit line is renewable on an annual basis. As of December 31, 2004, we had outstanding letters of credit of $8.6 million under this credit line, in addition to the letters of credit outstanding under our revolving credit facility.</w:t>
      </w:r>
    </w:p>
    <w:p>
      <w:pPr>
        <w:spacing w:after="0" w:line="13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Substantially all of the letters of credit issued under the $150.0 million syndicated revolving credit facility and the $25.0 million credit line were provided to suppliers in the normal course of business, and expire within one year from their issuance. Expired letters of credit are renewed as needed.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debt consisted of the following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84"/>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7"/>
              <w:spacing w:after="0"/>
              <w:rPr>
                <w:sz w:val="20"/>
                <w:szCs w:val="20"/>
                <w:color w:val="auto"/>
              </w:rPr>
            </w:pPr>
            <w:r>
              <w:rPr>
                <w:rFonts w:ascii="Arial" w:cs="Arial" w:eastAsia="Arial" w:hAnsi="Arial"/>
                <w:sz w:val="14"/>
                <w:szCs w:val="14"/>
                <w:b w:val="1"/>
                <w:bCs w:val="1"/>
                <w:color w:val="auto"/>
                <w:w w:val="96"/>
              </w:rPr>
              <w:t>2004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syndicated revolving credit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50,000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Promissory notes issued in connection with acquired business: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1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Non-interest bearing promissory note of $2.5 million, payable annually through January 2006, net of unamortized imputed discount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(at 9%) of $33 and $112 at December 31, 2004 and 2003, respectively</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w w:val="93"/>
              </w:rPr>
              <w:t>Non-interest bearing promissory note of $3.3 million, payable annually through January 2005, net of unamortized imputed discount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100" w:type="dxa"/>
            <w:vAlign w:val="bottom"/>
          </w:tcPr>
          <w:p>
            <w:pPr>
              <w:ind w:left="640"/>
              <w:spacing w:after="0"/>
              <w:rPr>
                <w:sz w:val="20"/>
                <w:szCs w:val="20"/>
                <w:color w:val="auto"/>
              </w:rPr>
            </w:pPr>
            <w:r>
              <w:rPr>
                <w:rFonts w:ascii="Arial" w:cs="Arial" w:eastAsia="Arial" w:hAnsi="Arial"/>
                <w:sz w:val="18"/>
                <w:szCs w:val="18"/>
                <w:color w:val="auto"/>
              </w:rPr>
              <w:t>(at 5%) of $152 at December 31, 2003</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w w:val="88"/>
              </w:rPr>
              <w:t>2,148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51,567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3,536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Short-term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1,600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50,467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1,936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6426200</wp:posOffset>
            </wp:positionH>
            <wp:positionV relativeFrom="paragraph">
              <wp:posOffset>-629285</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-629285</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-629285</wp:posOffset>
            </wp:positionV>
            <wp:extent cx="2159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-629285</wp:posOffset>
            </wp:positionV>
            <wp:extent cx="32131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-329565</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-329565</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-329565</wp:posOffset>
            </wp:positionV>
            <wp:extent cx="2159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-329565</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-329565</wp:posOffset>
            </wp:positionV>
            <wp:extent cx="2159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2159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2004, the aggregate annual maturities of debt, net of unamortized imputed discount, are as follows (in thousands):</w:t>
      </w:r>
    </w:p>
    <w:p>
      <w:pPr>
        <w:spacing w:after="0" w:line="153"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660" w:type="dxa"/>
            <w:vAlign w:val="bottom"/>
            <w:gridSpan w:val="2"/>
          </w:tcPr>
          <w:p>
            <w:pPr>
              <w:spacing w:after="0"/>
              <w:rPr>
                <w:sz w:val="20"/>
                <w:szCs w:val="20"/>
                <w:color w:val="auto"/>
              </w:rPr>
            </w:pPr>
            <w:r>
              <w:rPr>
                <w:rFonts w:ascii="Arial" w:cs="Arial" w:eastAsia="Arial" w:hAnsi="Arial"/>
                <w:sz w:val="14"/>
                <w:szCs w:val="14"/>
                <w:b w:val="1"/>
                <w:bCs w:val="1"/>
                <w:color w:val="auto"/>
              </w:rPr>
              <w:t>For the Year ending December 31,</w:t>
            </w:r>
          </w:p>
        </w:tc>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3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2006</w:t>
            </w: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50,467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51,567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700" w:type="dxa"/>
            <w:vAlign w:val="bottom"/>
            <w:gridSpan w:val="2"/>
          </w:tcPr>
          <w:p>
            <w:pPr>
              <w:jc w:val="right"/>
              <w:ind w:right="2460"/>
              <w:spacing w:after="0"/>
              <w:rPr>
                <w:sz w:val="20"/>
                <w:szCs w:val="20"/>
                <w:color w:val="auto"/>
              </w:rPr>
            </w:pPr>
            <w:r>
              <w:rPr>
                <w:rFonts w:ascii="Arial" w:cs="Arial" w:eastAsia="Arial" w:hAnsi="Arial"/>
                <w:sz w:val="18"/>
                <w:szCs w:val="18"/>
                <w:color w:val="auto"/>
              </w:rPr>
              <w:t>Page 54 of 72</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-325755</wp:posOffset>
            </wp:positionV>
            <wp:extent cx="37274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and foreign income (loss) from continuing operations before income taxes consist of the following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For the</w:t>
            </w:r>
          </w:p>
        </w:tc>
      </w:tr>
      <w:tr>
        <w:trPr>
          <w:trHeight w:val="149"/>
        </w:trPr>
        <w:tc>
          <w:tcPr>
            <w:tcW w:w="36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Nine Months</w:t>
            </w:r>
          </w:p>
        </w:tc>
      </w:tr>
      <w:tr>
        <w:trPr>
          <w:trHeight w:val="149"/>
        </w:trPr>
        <w:tc>
          <w:tcPr>
            <w:tcW w:w="36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74"/>
        </w:trPr>
        <w:tc>
          <w:tcPr>
            <w:tcW w:w="36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980" w:type="dxa"/>
            <w:vAlign w:val="bottom"/>
            <w:gridSpan w:val="11"/>
          </w:tcPr>
          <w:p>
            <w:pPr>
              <w:jc w:val="right"/>
              <w:ind w:right="660"/>
              <w:spacing w:after="0"/>
              <w:rPr>
                <w:sz w:val="20"/>
                <w:szCs w:val="20"/>
                <w:color w:val="auto"/>
              </w:rPr>
            </w:pPr>
            <w:r>
              <w:rPr>
                <w:rFonts w:ascii="Arial" w:cs="Arial" w:eastAsia="Arial" w:hAnsi="Arial"/>
                <w:sz w:val="14"/>
                <w:szCs w:val="14"/>
                <w:b w:val="1"/>
                <w:bCs w:val="1"/>
                <w:color w:val="auto"/>
              </w:rPr>
              <w:t>For the Year ended December 31,</w:t>
            </w:r>
          </w:p>
        </w:tc>
        <w:tc>
          <w:tcPr>
            <w:tcW w:w="180" w:type="dxa"/>
            <w:vAlign w:val="bottom"/>
          </w:tcPr>
          <w:p>
            <w:pPr>
              <w:spacing w:after="0"/>
              <w:rPr>
                <w:sz w:val="15"/>
                <w:szCs w:val="15"/>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December 31,</w:t>
            </w:r>
          </w:p>
        </w:tc>
      </w:tr>
      <w:tr>
        <w:trPr>
          <w:trHeight w:val="95"/>
        </w:trPr>
        <w:tc>
          <w:tcPr>
            <w:tcW w:w="36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3600" w:type="dxa"/>
            <w:vAlign w:val="bottom"/>
          </w:tcPr>
          <w:p>
            <w:pPr>
              <w:spacing w:after="0"/>
              <w:rPr>
                <w:sz w:val="22"/>
                <w:szCs w:val="22"/>
                <w:color w:val="auto"/>
              </w:rPr>
            </w:pPr>
          </w:p>
        </w:tc>
        <w:tc>
          <w:tcPr>
            <w:tcW w:w="32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2002</w:t>
            </w:r>
          </w:p>
        </w:tc>
        <w:tc>
          <w:tcPr>
            <w:tcW w:w="80" w:type="dxa"/>
            <w:vAlign w:val="bottom"/>
          </w:tcPr>
          <w:p>
            <w:pPr>
              <w:spacing w:after="0"/>
              <w:rPr>
                <w:sz w:val="22"/>
                <w:szCs w:val="22"/>
                <w:color w:val="auto"/>
              </w:rPr>
            </w:pPr>
          </w:p>
        </w:tc>
      </w:tr>
      <w:tr>
        <w:trPr>
          <w:trHeight w:val="95"/>
        </w:trPr>
        <w:tc>
          <w:tcPr>
            <w:tcW w:w="36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37"/>
        </w:trPr>
        <w:tc>
          <w:tcPr>
            <w:tcW w:w="36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7"/>
              </w:rPr>
              <w:t>Restated</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1"/>
              </w:rPr>
              <w:t>Restated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Restated</w:t>
            </w:r>
          </w:p>
        </w:tc>
      </w:tr>
      <w:tr>
        <w:trPr>
          <w:trHeight w:val="161"/>
        </w:trPr>
        <w:tc>
          <w:tcPr>
            <w:tcW w:w="36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4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(1,635)</w:t>
            </w:r>
          </w:p>
        </w:tc>
        <w:tc>
          <w:tcPr>
            <w:tcW w:w="10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(6,487)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(5,752)</w:t>
            </w: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Foreign</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37,163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34,457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23,501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17,733</w:t>
            </w:r>
          </w:p>
        </w:tc>
        <w:tc>
          <w:tcPr>
            <w:tcW w:w="80" w:type="dxa"/>
            <w:vAlign w:val="bottom"/>
          </w:tcPr>
          <w:p>
            <w:pPr>
              <w:spacing w:after="0"/>
              <w:rPr>
                <w:sz w:val="19"/>
                <w:szCs w:val="19"/>
                <w:color w:val="auto"/>
              </w:rPr>
            </w:pPr>
          </w:p>
        </w:tc>
      </w:tr>
      <w:tr>
        <w:trPr>
          <w:trHeight w:val="102"/>
        </w:trPr>
        <w:tc>
          <w:tcPr>
            <w:tcW w:w="36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36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360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$35,528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$27,970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11,981</w:t>
            </w:r>
          </w:p>
        </w:tc>
        <w:tc>
          <w:tcPr>
            <w:tcW w:w="80" w:type="dxa"/>
            <w:vAlign w:val="bottom"/>
            <w:shd w:val="clear" w:color="auto" w:fill="CCEEFF"/>
          </w:tcPr>
          <w:p>
            <w:pPr>
              <w:spacing w:after="0"/>
              <w:rPr>
                <w:sz w:val="18"/>
                <w:szCs w:val="18"/>
                <w:color w:val="auto"/>
              </w:rPr>
            </w:pPr>
          </w:p>
        </w:tc>
      </w:tr>
      <w:tr>
        <w:trPr>
          <w:trHeight w:val="132"/>
        </w:trPr>
        <w:tc>
          <w:tcPr>
            <w:tcW w:w="36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-29210</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2159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3873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39878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2159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3873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2159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(benefit) related to continuing operations consist of the following components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11"/>
          </w:tcPr>
          <w:p>
            <w:pPr>
              <w:jc w:val="right"/>
              <w:ind w:right="720"/>
              <w:spacing w:after="0"/>
              <w:rPr>
                <w:sz w:val="20"/>
                <w:szCs w:val="20"/>
                <w:color w:val="auto"/>
              </w:rPr>
            </w:pPr>
            <w:r>
              <w:rPr>
                <w:rFonts w:ascii="Arial" w:cs="Arial" w:eastAsia="Arial" w:hAnsi="Arial"/>
                <w:sz w:val="14"/>
                <w:szCs w:val="14"/>
                <w:b w:val="1"/>
                <w:bCs w:val="1"/>
                <w:color w:val="auto"/>
              </w:rPr>
              <w:t>For the Year ended December 31,</w:t>
            </w:r>
          </w:p>
        </w:tc>
        <w:tc>
          <w:tcPr>
            <w:tcW w:w="220" w:type="dxa"/>
            <w:vAlign w:val="bottom"/>
          </w:tcPr>
          <w:p>
            <w:pPr>
              <w:spacing w:after="0"/>
              <w:rPr>
                <w:sz w:val="15"/>
                <w:szCs w:val="15"/>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2004</w:t>
            </w:r>
          </w:p>
        </w:tc>
        <w:tc>
          <w:tcPr>
            <w:tcW w:w="280" w:type="dxa"/>
            <w:vAlign w:val="bottom"/>
          </w:tcPr>
          <w:p>
            <w:pPr>
              <w:spacing w:after="0"/>
              <w:rPr>
                <w:sz w:val="22"/>
                <w:szCs w:val="22"/>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jc w:val="right"/>
              <w:ind w:right="136"/>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2002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4"/>
              </w:rPr>
              <w:t>Restated</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1"/>
              </w:rPr>
              <w:t>Restated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5"/>
          </w:tcPr>
          <w:p>
            <w:pPr>
              <w:ind w:left="22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U.S. federal</w:t>
            </w: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465</w:t>
            </w:r>
          </w:p>
        </w:tc>
        <w:tc>
          <w:tcPr>
            <w:tcW w:w="280" w:type="dxa"/>
            <w:vAlign w:val="bottom"/>
          </w:tcPr>
          <w:p>
            <w:pPr>
              <w:spacing w:after="0"/>
              <w:rPr>
                <w:sz w:val="18"/>
                <w:szCs w:val="18"/>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8"/>
                <w:szCs w:val="18"/>
                <w:color w:val="auto"/>
              </w:rPr>
              <w:t>$(1,752)</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340</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2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Foreign</w:t>
            </w:r>
          </w:p>
        </w:tc>
        <w:tc>
          <w:tcPr>
            <w:tcW w:w="2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5,175</w:t>
            </w:r>
          </w:p>
        </w:tc>
        <w:tc>
          <w:tcPr>
            <w:tcW w:w="2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3,965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5,180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6,308</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U.S. federal</w:t>
            </w:r>
          </w:p>
        </w:tc>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1,916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2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(388)</w:t>
            </w:r>
          </w:p>
        </w:tc>
        <w:tc>
          <w:tcPr>
            <w:tcW w:w="10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Foreign</w:t>
            </w:r>
          </w:p>
        </w:tc>
        <w:tc>
          <w:tcPr>
            <w:tcW w:w="2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966</w:t>
            </w:r>
          </w:p>
        </w:tc>
        <w:tc>
          <w:tcPr>
            <w:tcW w:w="2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1,689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(745)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w:t>
            </w:r>
          </w:p>
        </w:tc>
        <w:tc>
          <w:tcPr>
            <w:tcW w:w="2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6,969</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$ 5,809</w:t>
            </w:r>
          </w:p>
        </w:tc>
        <w:tc>
          <w:tcPr>
            <w:tcW w:w="2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-29210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2159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3873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38163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2159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3873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2159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As of December 31, 2004, the Company had approximately $116.9 million of earnings attributable to foreign subsidiaries for which no provisions have been recorded for income tax that could occur upon repatriation. Except to the extent such earnings can be repatriated tax efficiently, they are permanently invested abroad. It is not practicable to determine the amount of income taxes payable in the event all such foreign earnings are repatriated.</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2004, the FASB issued Staff Position (“FSP”) No. 109-2, “Accounting and Disclosure Guidance for the Foreign Earnings Repatriation Provision within the American Jobs Creation Act of 2004.” The American Jobs Creation Act of 2004 (the “Act”), signed into law on October 22, 2004, provides for a special one-time tax deduction, or dividend received deduction (“DRD”), of 85% of qualifying foreign earnings that are repatriated in either a company’s last tax year that began before the enactment date or the first tax year that begins during the one-year period beginning on the enactment date. FSP No. 109-2 provides entities additional time to assess the effect of repatriating foreign earnings under the Act for purposes of applying SFAS No. 109, “Accounting for Income Taxes,” which typically requires the effect of a new tax law to be recorded in the period of enactment. The Company will elect, if applicable, to apply the DRD to qualifying dividends of foreign earnings in its fiscal year ending December 31, 2005.</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55 of 72</w:t>
      </w:r>
    </w:p>
    <w:p>
      <w:pPr>
        <w:sectPr>
          <w:pgSz w:w="11900" w:h="16838" w:orient="portrait"/>
          <w:cols w:equalWidth="0" w:num="1">
            <w:col w:w="11340"/>
          </w:cols>
          <w:pgMar w:left="240" w:top="459" w:right="3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is awaiting further clarifying guidance from the U.S. Treasury Department on certain provisions of the Act. Once this guidance is received, the Company expects to complete its evaluation of the effects of the Act during 2005. Under the limitations on the amount of dividends qualifying for the DRD of the Act, the maximum repatriation of the Company’s foreign earnings that may qualify for the special one-time DRD is approximately $111.1 million. Therefore, the range of possible amounts of qualifying dividends of foreign earnings is between zero and approximately $111.1 million. Because the evaluation is ongoing, it is not yet practical to estimate a range of possible income tax effects of potential repatriations.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Federal statutory tax rate with the effective tax rate is as follows (in thousands):</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For the</w:t>
            </w:r>
          </w:p>
        </w:tc>
      </w:tr>
      <w:tr>
        <w:trPr>
          <w:trHeight w:val="149"/>
        </w:trPr>
        <w:tc>
          <w:tcPr>
            <w:tcW w:w="1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Nine Months</w:t>
            </w:r>
          </w:p>
        </w:tc>
      </w:tr>
      <w:tr>
        <w:trPr>
          <w:trHeight w:val="149"/>
        </w:trPr>
        <w:tc>
          <w:tcPr>
            <w:tcW w:w="1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74"/>
        </w:trPr>
        <w:tc>
          <w:tcPr>
            <w:tcW w:w="1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50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w w:val="90"/>
              </w:rPr>
              <w:t>For the Year ended December 31,</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87"/>
              </w:rPr>
              <w:t>December 31,</w:t>
            </w:r>
          </w:p>
        </w:tc>
      </w:tr>
      <w:tr>
        <w:trPr>
          <w:trHeight w:val="95"/>
        </w:trPr>
        <w:tc>
          <w:tcPr>
            <w:tcW w:w="1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12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2004</w:t>
            </w:r>
          </w:p>
        </w:tc>
        <w:tc>
          <w:tcPr>
            <w:tcW w:w="420" w:type="dxa"/>
            <w:vAlign w:val="bottom"/>
          </w:tcPr>
          <w:p>
            <w:pPr>
              <w:spacing w:after="0"/>
              <w:rPr>
                <w:sz w:val="22"/>
                <w:szCs w:val="22"/>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22"/>
                <w:szCs w:val="22"/>
                <w:color w:val="auto"/>
              </w:rPr>
            </w:pPr>
          </w:p>
        </w:tc>
        <w:tc>
          <w:tcPr>
            <w:tcW w:w="780" w:type="dxa"/>
            <w:vAlign w:val="bottom"/>
            <w:gridSpan w:val="2"/>
          </w:tcPr>
          <w:p>
            <w:pPr>
              <w:jc w:val="center"/>
              <w:ind w:left="155"/>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2002</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95"/>
        </w:trPr>
        <w:tc>
          <w:tcPr>
            <w:tcW w:w="1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37"/>
        </w:trPr>
        <w:tc>
          <w:tcPr>
            <w:tcW w:w="1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Restated</w:t>
            </w:r>
          </w:p>
        </w:tc>
        <w:tc>
          <w:tcPr>
            <w:tcW w:w="180" w:type="dxa"/>
            <w:vAlign w:val="bottom"/>
          </w:tcPr>
          <w:p>
            <w:pPr>
              <w:spacing w:after="0"/>
              <w:rPr>
                <w:sz w:val="20"/>
                <w:szCs w:val="20"/>
                <w:color w:val="auto"/>
              </w:rPr>
            </w:pPr>
          </w:p>
        </w:tc>
        <w:tc>
          <w:tcPr>
            <w:tcW w:w="7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4"/>
              </w:rPr>
              <w:t>Restated</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7"/>
              </w:rPr>
              <w:t>Restated</w:t>
            </w:r>
          </w:p>
        </w:tc>
      </w:tr>
      <w:tr>
        <w:trPr>
          <w:trHeight w:val="161"/>
        </w:trPr>
        <w:tc>
          <w:tcPr>
            <w:tcW w:w="1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4"/>
          </w:tcPr>
          <w:p>
            <w:pPr>
              <w:jc w:val="center"/>
              <w:ind w:left="55"/>
              <w:spacing w:after="0"/>
              <w:rPr>
                <w:sz w:val="20"/>
                <w:szCs w:val="20"/>
                <w:color w:val="auto"/>
              </w:rPr>
            </w:pPr>
            <w:r>
              <w:rPr>
                <w:rFonts w:ascii="Arial" w:cs="Arial" w:eastAsia="Arial" w:hAnsi="Arial"/>
                <w:sz w:val="14"/>
                <w:szCs w:val="14"/>
                <w:b w:val="1"/>
                <w:bCs w:val="1"/>
                <w:color w:val="auto"/>
                <w:w w:val="89"/>
              </w:rPr>
              <w:t>(Unaudited)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1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8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97"/>
              </w:rPr>
              <w:t>34.0%</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34.0%</w:t>
            </w:r>
          </w:p>
        </w:tc>
        <w:tc>
          <w:tcPr>
            <w:tcW w:w="1380" w:type="dxa"/>
            <w:vAlign w:val="bottom"/>
            <w:gridSpan w:val="5"/>
            <w:shd w:val="clear" w:color="auto" w:fill="CCEEFF"/>
          </w:tcPr>
          <w:p>
            <w:pPr>
              <w:jc w:val="right"/>
              <w:ind w:right="275"/>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34.0%</w:t>
            </w:r>
          </w:p>
        </w:tc>
      </w:tr>
      <w:tr>
        <w:trPr>
          <w:trHeight w:val="216"/>
        </w:trPr>
        <w:tc>
          <w:tcPr>
            <w:tcW w:w="1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Foreign earnings, net of foreign taxes</w:t>
            </w:r>
          </w:p>
        </w:tc>
        <w:tc>
          <w:tcPr>
            <w:tcW w:w="800" w:type="dxa"/>
            <w:vAlign w:val="bottom"/>
            <w:gridSpan w:val="2"/>
          </w:tcPr>
          <w:p>
            <w:pPr>
              <w:jc w:val="right"/>
              <w:ind w:right="292"/>
              <w:spacing w:after="0"/>
              <w:rPr>
                <w:sz w:val="20"/>
                <w:szCs w:val="20"/>
                <w:color w:val="auto"/>
              </w:rPr>
            </w:pPr>
            <w:r>
              <w:rPr>
                <w:rFonts w:ascii="Arial" w:cs="Arial" w:eastAsia="Arial" w:hAnsi="Arial"/>
                <w:sz w:val="18"/>
                <w:szCs w:val="18"/>
                <w:color w:val="auto"/>
                <w:w w:val="89"/>
              </w:rPr>
              <w:t>(14.8)</w:t>
            </w:r>
          </w:p>
        </w:tc>
        <w:tc>
          <w:tcPr>
            <w:tcW w:w="1200" w:type="dxa"/>
            <w:vAlign w:val="bottom"/>
            <w:gridSpan w:val="3"/>
          </w:tcPr>
          <w:p>
            <w:pPr>
              <w:jc w:val="right"/>
              <w:ind w:right="420"/>
              <w:spacing w:after="0"/>
              <w:rPr>
                <w:sz w:val="20"/>
                <w:szCs w:val="20"/>
                <w:color w:val="auto"/>
              </w:rPr>
            </w:pPr>
            <w:r>
              <w:rPr>
                <w:rFonts w:ascii="Arial" w:cs="Arial" w:eastAsia="Arial" w:hAnsi="Arial"/>
                <w:sz w:val="18"/>
                <w:szCs w:val="18"/>
                <w:color w:val="auto"/>
              </w:rPr>
              <w:t>(12.8)</w:t>
            </w:r>
          </w:p>
        </w:tc>
        <w:tc>
          <w:tcPr>
            <w:tcW w:w="1380" w:type="dxa"/>
            <w:vAlign w:val="bottom"/>
            <w:gridSpan w:val="5"/>
          </w:tcPr>
          <w:p>
            <w:pPr>
              <w:jc w:val="right"/>
              <w:ind w:right="375"/>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(21.6)</w:t>
            </w:r>
          </w:p>
        </w:tc>
        <w:tc>
          <w:tcPr>
            <w:tcW w:w="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 net of U.S. federal income tax benefit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operating loss</w:t>
            </w:r>
          </w:p>
        </w:tc>
        <w:tc>
          <w:tcPr>
            <w:tcW w:w="80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420"/>
              <w:spacing w:after="0"/>
              <w:rPr>
                <w:sz w:val="20"/>
                <w:szCs w:val="20"/>
                <w:color w:val="auto"/>
              </w:rPr>
            </w:pPr>
            <w:r>
              <w:rPr>
                <w:rFonts w:ascii="Arial" w:cs="Arial" w:eastAsia="Arial" w:hAnsi="Arial"/>
                <w:sz w:val="18"/>
                <w:szCs w:val="18"/>
                <w:color w:val="auto"/>
              </w:rPr>
              <w:t>(0.4)</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w:t>
            </w:r>
          </w:p>
        </w:tc>
      </w:tr>
      <w:tr>
        <w:trPr>
          <w:trHeight w:val="216"/>
        </w:trPr>
        <w:tc>
          <w:tcPr>
            <w:tcW w:w="1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credits</w:t>
            </w:r>
          </w:p>
        </w:tc>
        <w:tc>
          <w:tcPr>
            <w:tcW w:w="8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(0.9)</w:t>
            </w: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8"/>
              </w:rPr>
              <w:t>—</w:t>
            </w:r>
          </w:p>
        </w:tc>
      </w:tr>
      <w:tr>
        <w:trPr>
          <w:trHeight w:val="216"/>
        </w:trPr>
        <w:tc>
          <w:tcPr>
            <w:tcW w:w="1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Non-deductible goodwill amortization</w:t>
            </w:r>
          </w:p>
        </w:tc>
        <w:tc>
          <w:tcPr>
            <w:tcW w:w="80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w:t>
            </w:r>
          </w:p>
        </w:tc>
      </w:tr>
      <w:tr>
        <w:trPr>
          <w:trHeight w:val="216"/>
        </w:trPr>
        <w:tc>
          <w:tcPr>
            <w:tcW w:w="1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permanent differences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08"/>
        </w:trPr>
        <w:tc>
          <w:tcPr>
            <w:tcW w:w="1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1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120" w:type="dxa"/>
            <w:vAlign w:val="bottom"/>
          </w:tcPr>
          <w:p>
            <w:pPr>
              <w:spacing w:after="0"/>
              <w:rPr>
                <w:sz w:val="18"/>
                <w:szCs w:val="18"/>
                <w:color w:val="auto"/>
              </w:rPr>
            </w:pPr>
          </w:p>
        </w:tc>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Effective income tax rate</w:t>
            </w:r>
          </w:p>
        </w:tc>
        <w:tc>
          <w:tcPr>
            <w:tcW w:w="8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97"/>
              </w:rPr>
              <w:t>19.6%</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20.8%</w:t>
            </w:r>
          </w:p>
        </w:tc>
        <w:tc>
          <w:tcPr>
            <w:tcW w:w="1380" w:type="dxa"/>
            <w:vAlign w:val="bottom"/>
            <w:gridSpan w:val="5"/>
            <w:shd w:val="clear" w:color="auto" w:fill="CCEEFF"/>
          </w:tcPr>
          <w:p>
            <w:pPr>
              <w:jc w:val="right"/>
              <w:ind w:right="275"/>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16.1%</w:t>
            </w:r>
          </w:p>
        </w:tc>
      </w:tr>
      <w:tr>
        <w:trPr>
          <w:trHeight w:val="108"/>
        </w:trPr>
        <w:tc>
          <w:tcPr>
            <w:tcW w:w="5940" w:type="dxa"/>
            <w:vAlign w:val="bottom"/>
            <w:gridSpan w:val="2"/>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40" w:type="dxa"/>
            <w:vAlign w:val="bottom"/>
            <w:gridSpan w:val="2"/>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464"/>
        </w:trPr>
        <w:tc>
          <w:tcPr>
            <w:tcW w:w="7940" w:type="dxa"/>
            <w:vAlign w:val="bottom"/>
            <w:gridSpan w:val="7"/>
          </w:tcPr>
          <w:p>
            <w:pPr>
              <w:jc w:val="right"/>
              <w:ind w:right="360"/>
              <w:spacing w:after="0"/>
              <w:rPr>
                <w:sz w:val="20"/>
                <w:szCs w:val="20"/>
                <w:color w:val="auto"/>
              </w:rPr>
            </w:pPr>
            <w:r>
              <w:rPr>
                <w:rFonts w:ascii="Arial" w:cs="Arial" w:eastAsia="Arial" w:hAnsi="Arial"/>
                <w:sz w:val="18"/>
                <w:szCs w:val="18"/>
                <w:color w:val="auto"/>
                <w:w w:val="87"/>
              </w:rPr>
              <w:t>The temporary differences which comprise our net deferred income tax assets are as follows (in thousands):</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2"/>
        </w:trPr>
        <w:tc>
          <w:tcPr>
            <w:tcW w:w="1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9"/>
          </w:tcPr>
          <w:p>
            <w:pPr>
              <w:jc w:val="right"/>
              <w:ind w:right="320"/>
              <w:spacing w:after="0"/>
              <w:rPr>
                <w:sz w:val="20"/>
                <w:szCs w:val="20"/>
                <w:color w:val="auto"/>
              </w:rPr>
            </w:pPr>
            <w:r>
              <w:rPr>
                <w:rFonts w:ascii="Arial" w:cs="Arial" w:eastAsia="Arial" w:hAnsi="Arial"/>
                <w:sz w:val="14"/>
                <w:szCs w:val="14"/>
                <w:b w:val="1"/>
                <w:bCs w:val="1"/>
                <w:color w:val="auto"/>
                <w:w w:val="95"/>
              </w:rPr>
              <w:t>As of December 31,</w:t>
            </w:r>
          </w:p>
        </w:tc>
      </w:tr>
      <w:tr>
        <w:trPr>
          <w:trHeight w:val="95"/>
        </w:trPr>
        <w:tc>
          <w:tcPr>
            <w:tcW w:w="1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12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95"/>
        </w:trPr>
        <w:tc>
          <w:tcPr>
            <w:tcW w:w="1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1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4"/>
              </w:rPr>
              <w:t>Restated</w:t>
            </w:r>
          </w:p>
        </w:tc>
      </w:tr>
      <w:tr>
        <w:trPr>
          <w:trHeight w:val="216"/>
        </w:trPr>
        <w:tc>
          <w:tcPr>
            <w:tcW w:w="1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Excess of provision for bad debts over charge-offs</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8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2,974</w:t>
            </w:r>
          </w:p>
        </w:tc>
        <w:tc>
          <w:tcPr>
            <w:tcW w:w="8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operating loss</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5,036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1,730</w:t>
            </w:r>
          </w:p>
        </w:tc>
        <w:tc>
          <w:tcPr>
            <w:tcW w:w="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credits</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Excess of tax over financial reporting for depreciation of fixed assets</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(150)</w:t>
            </w:r>
          </w:p>
        </w:tc>
      </w:tr>
      <w:tr>
        <w:trPr>
          <w:trHeight w:val="216"/>
        </w:trPr>
        <w:tc>
          <w:tcPr>
            <w:tcW w:w="1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Excess of tax over financial reporting amortization of identifiable intangibles and goodwill</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(2,799)</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(2,414)</w:t>
            </w:r>
          </w:p>
        </w:tc>
      </w:tr>
      <w:tr>
        <w:trPr>
          <w:trHeight w:val="208"/>
        </w:trPr>
        <w:tc>
          <w:tcPr>
            <w:tcW w:w="120" w:type="dxa"/>
            <w:vAlign w:val="bottom"/>
          </w:tcPr>
          <w:p>
            <w:pPr>
              <w:spacing w:after="0"/>
              <w:rPr>
                <w:sz w:val="18"/>
                <w:szCs w:val="18"/>
                <w:color w:val="auto"/>
              </w:rPr>
            </w:pPr>
          </w:p>
        </w:tc>
        <w:tc>
          <w:tcPr>
            <w:tcW w:w="7820" w:type="dxa"/>
            <w:vAlign w:val="bottom"/>
            <w:gridSpan w:val="6"/>
          </w:tcPr>
          <w:p>
            <w:pPr>
              <w:spacing w:after="0"/>
              <w:rPr>
                <w:sz w:val="20"/>
                <w:szCs w:val="20"/>
                <w:color w:val="auto"/>
              </w:rPr>
            </w:pPr>
            <w:r>
              <w:rPr>
                <w:rFonts w:ascii="Arial" w:cs="Arial" w:eastAsia="Arial" w:hAnsi="Arial"/>
                <w:sz w:val="18"/>
                <w:szCs w:val="18"/>
                <w:color w:val="auto"/>
                <w:w w:val="90"/>
              </w:rPr>
              <w:t>Accrued compensation expenses recognized for financial reporting purposes, not currently deductible for tax</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120" w:type="dxa"/>
            <w:vAlign w:val="bottom"/>
          </w:tcPr>
          <w:p>
            <w:pPr>
              <w:spacing w:after="0"/>
              <w:rPr>
                <w:sz w:val="19"/>
                <w:szCs w:val="19"/>
                <w:color w:val="auto"/>
              </w:rPr>
            </w:pPr>
          </w:p>
        </w:tc>
        <w:tc>
          <w:tcPr>
            <w:tcW w:w="5820" w:type="dxa"/>
            <w:vAlign w:val="bottom"/>
          </w:tcPr>
          <w:p>
            <w:pPr>
              <w:ind w:left="220"/>
              <w:spacing w:after="0"/>
              <w:rPr>
                <w:sz w:val="20"/>
                <w:szCs w:val="20"/>
                <w:color w:val="auto"/>
              </w:rPr>
            </w:pPr>
            <w:r>
              <w:rPr>
                <w:rFonts w:ascii="Arial" w:cs="Arial" w:eastAsia="Arial" w:hAnsi="Arial"/>
                <w:sz w:val="18"/>
                <w:szCs w:val="18"/>
                <w:color w:val="auto"/>
              </w:rPr>
              <w:t>purposes</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2,711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2,453</w:t>
            </w:r>
          </w:p>
        </w:tc>
        <w:tc>
          <w:tcPr>
            <w:tcW w:w="80" w:type="dxa"/>
            <w:vAlign w:val="bottom"/>
          </w:tcPr>
          <w:p>
            <w:pPr>
              <w:spacing w:after="0"/>
              <w:rPr>
                <w:sz w:val="19"/>
                <w:szCs w:val="19"/>
                <w:color w:val="auto"/>
              </w:rPr>
            </w:pPr>
          </w:p>
        </w:tc>
      </w:tr>
      <w:tr>
        <w:trPr>
          <w:trHeight w:val="218"/>
        </w:trPr>
        <w:tc>
          <w:tcPr>
            <w:tcW w:w="120" w:type="dxa"/>
            <w:vAlign w:val="bottom"/>
          </w:tcPr>
          <w:p>
            <w:pPr>
              <w:spacing w:after="0"/>
              <w:rPr>
                <w:sz w:val="18"/>
                <w:szCs w:val="18"/>
                <w:color w:val="auto"/>
              </w:rPr>
            </w:pPr>
          </w:p>
        </w:tc>
        <w:tc>
          <w:tcPr>
            <w:tcW w:w="782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4"/>
              </w:rPr>
              <w:t>Accrued expenses recognized for financial reporting purposes, not currently deductible for tax purposes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3,250</w:t>
            </w:r>
          </w:p>
        </w:tc>
        <w:tc>
          <w:tcPr>
            <w:tcW w:w="80" w:type="dxa"/>
            <w:vAlign w:val="bottom"/>
            <w:shd w:val="clear" w:color="auto" w:fill="CCEEFF"/>
          </w:tcPr>
          <w:p>
            <w:pPr>
              <w:spacing w:after="0"/>
              <w:rPr>
                <w:sz w:val="18"/>
                <w:szCs w:val="18"/>
                <w:color w:val="auto"/>
              </w:rPr>
            </w:pPr>
          </w:p>
        </w:tc>
      </w:tr>
      <w:tr>
        <w:trPr>
          <w:trHeight w:val="222"/>
        </w:trPr>
        <w:tc>
          <w:tcPr>
            <w:tcW w:w="1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Accrued revenue</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(644)</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(481)</w:t>
            </w:r>
          </w:p>
        </w:tc>
      </w:tr>
      <w:tr>
        <w:trPr>
          <w:trHeight w:val="102"/>
        </w:trPr>
        <w:tc>
          <w:tcPr>
            <w:tcW w:w="1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1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120" w:type="dxa"/>
            <w:vAlign w:val="bottom"/>
          </w:tcPr>
          <w:p>
            <w:pPr>
              <w:spacing w:after="0"/>
              <w:rPr>
                <w:sz w:val="18"/>
                <w:szCs w:val="18"/>
                <w:color w:val="auto"/>
              </w:rPr>
            </w:pPr>
          </w:p>
        </w:tc>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income tax assets, net</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11,569</w:t>
            </w:r>
          </w:p>
        </w:tc>
        <w:tc>
          <w:tcPr>
            <w:tcW w:w="8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7,610</w:t>
            </w:r>
          </w:p>
        </w:tc>
        <w:tc>
          <w:tcPr>
            <w:tcW w:w="80" w:type="dxa"/>
            <w:vAlign w:val="bottom"/>
            <w:shd w:val="clear" w:color="auto" w:fill="CCEEFF"/>
          </w:tcPr>
          <w:p>
            <w:pPr>
              <w:spacing w:after="0"/>
              <w:rPr>
                <w:sz w:val="18"/>
                <w:szCs w:val="18"/>
                <w:color w:val="auto"/>
              </w:rPr>
            </w:pPr>
          </w:p>
        </w:tc>
      </w:tr>
      <w:tr>
        <w:trPr>
          <w:trHeight w:val="132"/>
        </w:trPr>
        <w:tc>
          <w:tcPr>
            <w:tcW w:w="1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spacing w:after="0"/>
              <w:rPr>
                <w:sz w:val="11"/>
                <w:szCs w:val="11"/>
                <w:color w:val="auto"/>
              </w:rPr>
            </w:pPr>
          </w:p>
        </w:tc>
        <w:tc>
          <w:tcPr>
            <w:tcW w:w="80" w:type="dxa"/>
            <w:vAlign w:val="bottom"/>
          </w:tcPr>
          <w:p>
            <w:pPr>
              <w:spacing w:after="0"/>
              <w:rPr>
                <w:sz w:val="11"/>
                <w:szCs w:val="11"/>
                <w:color w:val="auto"/>
              </w:rPr>
            </w:pPr>
          </w:p>
        </w:tc>
      </w:tr>
      <w:tr>
        <w:trPr>
          <w:trHeight w:val="105"/>
        </w:trPr>
        <w:tc>
          <w:tcPr>
            <w:tcW w:w="1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120" w:type="dxa"/>
            <w:vAlign w:val="bottom"/>
          </w:tcPr>
          <w:p>
            <w:pPr>
              <w:spacing w:after="0"/>
              <w:rPr>
                <w:sz w:val="18"/>
                <w:szCs w:val="18"/>
                <w:color w:val="auto"/>
              </w:rPr>
            </w:pPr>
          </w:p>
        </w:tc>
        <w:tc>
          <w:tcPr>
            <w:tcW w:w="5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 assets, current</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8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6,684</w:t>
            </w:r>
          </w:p>
        </w:tc>
        <w:tc>
          <w:tcPr>
            <w:tcW w:w="80" w:type="dxa"/>
            <w:vAlign w:val="bottom"/>
            <w:shd w:val="clear" w:color="auto" w:fill="CCEEFF"/>
          </w:tcPr>
          <w:p>
            <w:pPr>
              <w:spacing w:after="0"/>
              <w:rPr>
                <w:sz w:val="18"/>
                <w:szCs w:val="18"/>
                <w:color w:val="auto"/>
              </w:rPr>
            </w:pPr>
          </w:p>
        </w:tc>
      </w:tr>
      <w:tr>
        <w:trPr>
          <w:trHeight w:val="132"/>
        </w:trPr>
        <w:tc>
          <w:tcPr>
            <w:tcW w:w="1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r>
      <w:tr>
        <w:trPr>
          <w:trHeight w:val="105"/>
        </w:trPr>
        <w:tc>
          <w:tcPr>
            <w:tcW w:w="1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120" w:type="dxa"/>
            <w:vAlign w:val="bottom"/>
          </w:tcPr>
          <w:p>
            <w:pPr>
              <w:spacing w:after="0"/>
              <w:rPr>
                <w:sz w:val="18"/>
                <w:szCs w:val="18"/>
                <w:color w:val="auto"/>
              </w:rPr>
            </w:pPr>
          </w:p>
        </w:tc>
        <w:tc>
          <w:tcPr>
            <w:tcW w:w="5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 assets, non-current</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w:t>
            </w:r>
          </w:p>
        </w:tc>
        <w:tc>
          <w:tcPr>
            <w:tcW w:w="8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80" w:type="dxa"/>
            <w:vAlign w:val="bottom"/>
            <w:shd w:val="clear" w:color="auto" w:fill="CCEEFF"/>
          </w:tcPr>
          <w:p>
            <w:pPr>
              <w:spacing w:after="0"/>
              <w:rPr>
                <w:sz w:val="18"/>
                <w:szCs w:val="18"/>
                <w:color w:val="auto"/>
              </w:rPr>
            </w:pPr>
          </w:p>
        </w:tc>
      </w:tr>
      <w:tr>
        <w:trPr>
          <w:trHeight w:val="132"/>
        </w:trPr>
        <w:tc>
          <w:tcPr>
            <w:tcW w:w="1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-629285</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-629285</wp:posOffset>
            </wp:positionV>
            <wp:extent cx="2159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-629285</wp:posOffset>
            </wp:positionV>
            <wp:extent cx="3873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-629285</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-629285</wp:posOffset>
            </wp:positionV>
            <wp:extent cx="2159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-629285</wp:posOffset>
            </wp:positionV>
            <wp:extent cx="3873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-329565</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-329565</wp:posOffset>
            </wp:positionV>
            <wp:extent cx="2159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-329565</wp:posOffset>
            </wp:positionV>
            <wp:extent cx="3873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-329565</wp:posOffset>
            </wp:positionV>
            <wp:extent cx="38163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2159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3873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38163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the accompanying balance sheets, the current deferred income tax assets are included in prepaid expenses and other current assets, and the non-current income tax assets are included in other assets. The income tax credits of $1.3 million and $248 thousand at December 31, 2004 and 2003, respectively, are comprised of the following: foreign tax credit (“FTC”) carryforward of $978 thousand at December 31, 2004 and an alternative minimum tax (“AMT”) credit carryforward of $368 thousand and $248 at December 31, 2004 and 2003, respectively. The FTC carryforward will expire in 2014, if unused, and the AMT credit carries forward indefinitely.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56 of 72</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December 31, 2004, we have U.S. federal and state net operating losses of approximately $11.6 million and $8.6 million, respectively. These losses, if unused, will start to expire, in varying amounts, after 2024 and 2015. As of December 31, 2003, we have foreign and state net operating losses of approximately $4.4 million and $3.0 million, respectively.</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recorded income tax benefits of $4.5 million, $196 thousand, and $475 thousand related to employee stock compensation transactions during the years ended December 31, 2004 and 2003, and the nine months ended December 31, 2002, respectively. Such benefits were credited to Capital in excess of par value.</w:t>
      </w:r>
    </w:p>
    <w:p>
      <w:pPr>
        <w:spacing w:after="0" w:line="121" w:lineRule="exact"/>
        <w:rPr>
          <w:sz w:val="20"/>
          <w:szCs w:val="20"/>
          <w:color w:val="auto"/>
        </w:rPr>
      </w:pPr>
    </w:p>
    <w:p>
      <w:pPr>
        <w:ind w:left="240" w:right="9660" w:hanging="232"/>
        <w:spacing w:after="0" w:line="332" w:lineRule="auto"/>
        <w:tabs>
          <w:tab w:leader="none" w:pos="187"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i w:val="1"/>
          <w:iCs w:val="1"/>
          <w:color w:val="auto"/>
        </w:rPr>
        <w:t>Dividends</w:t>
      </w:r>
    </w:p>
    <w:p>
      <w:pPr>
        <w:spacing w:after="0" w:line="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declared cash dividends of $0.15 per share for the years ended December 31, 2004, 2003 and 2002, and $0.1125 per share for the nine months ended December 31, 2002.</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Common Stock Grants</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Pursuant to a stock grant program for our non-employee directors, each non-employee director receives an annual stock grant of two thousand shares of our common stock. Prior to 2003, each non-employee director was granted one thousand shares of our common stock per year. In 2003, we adopted a Stock Deferral Plan for non-employee directors to provide for the deferral of the stock grants. Each non-employee director may elect to have his or her annual stock grants paid in stock units, in lieu of stock, with each stock unit being equivalent to one share of our common stock and deferred as provided in the Stock Deferral Plan. As of each cash dividend payment date with respect to common stock, each participant in the Stock Deferral Plan has credited to his or her account, as maintained by the company, a number of stock units equal to the quotient obtained by dividing: (a) the product of (i) the cash dividend payable with respect to each share of common stock on such date; and (ii) the total number of stock units credited to his or her account as of the close of business on the record date applicable to such dividend payment date, by (b) the fair market value of one share of common stock on such dividend payment date. Upon the participant’s termination of service as a director of the company for any reason, or upon a change of control of the company, the participant receives a number of shares of common stock equal to the number of stock units credited to his account.</w:t>
      </w:r>
    </w:p>
    <w:p>
      <w:pPr>
        <w:spacing w:after="0" w:line="10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Stock units issued to non-employee directors are recorded as stockholders’ equity with a related non-employee director compensation expense based on the equivalent common stock fair market value at the date of issuance. Stock issued to non-employee directors are reissued from our treasury stock and the related non-employee director compensation costs are recorded based on the market value of our common stock on the date of grant.</w:t>
      </w:r>
    </w:p>
    <w:p>
      <w:pPr>
        <w:spacing w:after="0" w:line="9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During 2004 and 2003, an aggregate of eight thousand shares of our common stock and six thousand stock units were granted to our non-employee directors. For the nine months ended December 31, 2002, we issued seven thousand shares of our common stock to our non-employee directors. In addition, two non-employee directors each received an additional six hundred shares of our common stock in September 2002, and one non-employee director received an additional two thousand shares of our common stock, for additional services performed by such individuals for their respective Board of Directors committees.</w:t>
      </w:r>
    </w:p>
    <w:p>
      <w:pPr>
        <w:spacing w:after="0" w:line="84"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As of December 31, 2004 and 2003, we had issued approximately twelve thousand and six thousand stock units, respectively, with an aggregate value of approximately $203 thousand and $69 thousand, respectively, which is included in Capital in excess of par value in the accompanying consolidated balance sheets. We recorded non-employee director compensation cost relating to grants of common stock grants or stock units totaling $309 thousand, $159 thousand, and $81 thousand for the years ended December 31, 2004, 2003 and 2002, respectively, and $35 thousand for the nine months ended December 31, 2002.</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Treasury Stock</w:t>
      </w:r>
    </w:p>
    <w:p>
      <w:pPr>
        <w:spacing w:after="0" w:line="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Board of Directors, from time to time, has authorized stock repurchase programs under the terms of which we may repurchase our common stock, subject to certain restrictions contained in our credit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57 of 72</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summarizes the status of our treasury stock repurchase programs at December 31, 2004 (in thousands, except average price per share data):</w:t>
      </w:r>
    </w:p>
    <w:p>
      <w:pPr>
        <w:spacing w:after="0" w:line="33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gridSpan w:val="5"/>
          </w:tcPr>
          <w:p>
            <w:pPr>
              <w:ind w:left="400"/>
              <w:spacing w:after="0"/>
              <w:rPr>
                <w:sz w:val="20"/>
                <w:szCs w:val="20"/>
                <w:color w:val="auto"/>
              </w:rPr>
            </w:pPr>
            <w:r>
              <w:rPr>
                <w:rFonts w:ascii="Arial" w:cs="Arial" w:eastAsia="Arial" w:hAnsi="Arial"/>
                <w:sz w:val="14"/>
                <w:szCs w:val="14"/>
                <w:b w:val="1"/>
                <w:bCs w:val="1"/>
                <w:color w:val="auto"/>
              </w:rPr>
              <w:t>Repurchases</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860" w:type="dxa"/>
            <w:vAlign w:val="bottom"/>
          </w:tcPr>
          <w:p>
            <w:pPr>
              <w:spacing w:after="0"/>
              <w:rPr>
                <w:sz w:val="3"/>
                <w:szCs w:val="3"/>
                <w:color w:val="auto"/>
              </w:rPr>
            </w:pPr>
          </w:p>
        </w:tc>
        <w:tc>
          <w:tcPr>
            <w:tcW w:w="7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Authorized</w:t>
            </w:r>
          </w:p>
        </w:tc>
        <w:tc>
          <w:tcPr>
            <w:tcW w:w="4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Authorized</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8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3"/>
              </w:rPr>
              <w:t>Stock</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gridSpan w:val="5"/>
          </w:tcPr>
          <w:p>
            <w:pPr>
              <w:ind w:left="440"/>
              <w:spacing w:after="0" w:line="149" w:lineRule="exact"/>
              <w:rPr>
                <w:sz w:val="20"/>
                <w:szCs w:val="20"/>
                <w:color w:val="auto"/>
              </w:rPr>
            </w:pPr>
            <w:r>
              <w:rPr>
                <w:rFonts w:ascii="Arial" w:cs="Arial" w:eastAsia="Arial" w:hAnsi="Arial"/>
                <w:sz w:val="14"/>
                <w:szCs w:val="14"/>
                <w:b w:val="1"/>
                <w:bCs w:val="1"/>
                <w:color w:val="auto"/>
              </w:rPr>
              <w:t>Aggregate</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Average</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Repurchase Programs</w:t>
            </w:r>
          </w:p>
        </w:tc>
        <w:tc>
          <w:tcPr>
            <w:tcW w:w="4600" w:type="dxa"/>
            <w:vAlign w:val="bottom"/>
            <w:gridSpan w:val="3"/>
          </w:tcPr>
          <w:p>
            <w:pPr>
              <w:jc w:val="center"/>
              <w:ind w:left="3762"/>
              <w:spacing w:after="0"/>
              <w:rPr>
                <w:sz w:val="20"/>
                <w:szCs w:val="20"/>
                <w:color w:val="auto"/>
              </w:rPr>
            </w:pPr>
            <w:r>
              <w:rPr>
                <w:rFonts w:ascii="Arial" w:cs="Arial" w:eastAsia="Arial" w:hAnsi="Arial"/>
                <w:sz w:val="14"/>
                <w:szCs w:val="14"/>
                <w:b w:val="1"/>
                <w:bCs w:val="1"/>
                <w:color w:val="auto"/>
                <w:w w:val="81"/>
              </w:rPr>
              <w:t>Repurchases</w:t>
            </w:r>
          </w:p>
        </w:tc>
        <w:tc>
          <w:tcPr>
            <w:tcW w:w="4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1"/>
              </w:rPr>
              <w:t>Shares</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5"/>
                <w:szCs w:val="15"/>
                <w:color w:val="auto"/>
              </w:rPr>
            </w:pPr>
          </w:p>
        </w:tc>
        <w:tc>
          <w:tcPr>
            <w:tcW w:w="460" w:type="dxa"/>
            <w:vAlign w:val="bottom"/>
          </w:tcPr>
          <w:p>
            <w:pPr>
              <w:jc w:val="right"/>
              <w:ind w:right="12"/>
              <w:spacing w:after="0"/>
              <w:rPr>
                <w:sz w:val="20"/>
                <w:szCs w:val="20"/>
                <w:color w:val="auto"/>
              </w:rPr>
            </w:pPr>
            <w:r>
              <w:rPr>
                <w:rFonts w:ascii="Arial" w:cs="Arial" w:eastAsia="Arial" w:hAnsi="Arial"/>
                <w:sz w:val="14"/>
                <w:szCs w:val="14"/>
                <w:b w:val="1"/>
                <w:bCs w:val="1"/>
                <w:color w:val="auto"/>
              </w:rPr>
              <w:t>Price</w:t>
            </w:r>
          </w:p>
        </w:tc>
        <w:tc>
          <w:tcPr>
            <w:tcW w:w="1200" w:type="dxa"/>
            <w:vAlign w:val="bottom"/>
            <w:gridSpan w:val="3"/>
          </w:tcPr>
          <w:p>
            <w:pPr>
              <w:jc w:val="center"/>
              <w:ind w:left="342"/>
              <w:spacing w:after="0"/>
              <w:rPr>
                <w:sz w:val="20"/>
                <w:szCs w:val="20"/>
                <w:color w:val="auto"/>
              </w:rPr>
            </w:pPr>
            <w:r>
              <w:rPr>
                <w:rFonts w:ascii="Arial" w:cs="Arial" w:eastAsia="Arial" w:hAnsi="Arial"/>
                <w:sz w:val="14"/>
                <w:szCs w:val="14"/>
                <w:b w:val="1"/>
                <w:bCs w:val="1"/>
                <w:color w:val="auto"/>
                <w:w w:val="84"/>
              </w:rPr>
              <w:t>Repurchases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August 1998</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5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ind w:left="13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January 2000</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2,782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center"/>
              <w:ind w:left="13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September 2000</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97"/>
              <w:spacing w:after="0"/>
              <w:rPr>
                <w:sz w:val="20"/>
                <w:szCs w:val="20"/>
                <w:color w:val="auto"/>
              </w:rPr>
            </w:pPr>
            <w:r>
              <w:rPr>
                <w:rFonts w:ascii="Arial" w:cs="Arial" w:eastAsia="Arial" w:hAnsi="Arial"/>
                <w:sz w:val="18"/>
                <w:szCs w:val="18"/>
                <w:color w:val="auto"/>
                <w:w w:val="84"/>
              </w:rPr>
              <w:t>6,013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5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19,987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-29210</wp:posOffset>
            </wp:positionV>
            <wp:extent cx="1270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2159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Prior to August 1998, with the approval from our Board of Directors, we acquired approximately 44 thousand shares of our common stock with an aggregate cost of $194 thousand. Since March 14, 2002, we have not repurchased any shares of our common stock.</w:t>
      </w:r>
    </w:p>
    <w:p>
      <w:pPr>
        <w:spacing w:after="0" w:line="7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Board of Directors also resolved that the repurchased shares may be reissued for any proper corporate purpose, including without limitation, future acquisitions. In March 2002, we began reissuing our repurchased shares in connection with restricted stock grants to employees, non-restricted stock grants to non-employee directors, and exercises of stock options by employee and non-employee directors. The difference between the aggregate cost of the repurchased shares and the fair value of our common stock at the date of grant of restricted and non-restricted stock or the proceeds from the employee and non-employee stock option exercises is recorded in Capital in excess of par value in the accompanying consolidated balance sheets. As of December 31, 2004, we have reissued 2.1 million shares of treasury stock with an aggregate cost of $8.9 million.</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 Plans</w:t>
      </w:r>
    </w:p>
    <w:p>
      <w:pPr>
        <w:spacing w:after="0" w:line="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1986, our shareholders approved the 1986 Employee Stock Option Plan (the “1986 Plan”), as amended. The 1986 Plan expired in 1996. Options granted under the 1986 Plan, but not yet exercised, survive the 1986 Plan until the options expire. Outstanding options at December 31, 2004 under the 1986 Plan expire in March 2005.</w:t>
      </w:r>
    </w:p>
    <w:p>
      <w:pPr>
        <w:spacing w:after="0" w:line="12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1997, our shareholders approved the 1996 Employee Stock Option Plan (the “1996 Plan”), as amended. The 1996 Plan was replaced by the 2001 Omnibus Plan (the “2001 Plan”). Options granted under the 1996 Plan, but not yet exercised, survive the 1996 Plan until the options expire. Outstanding options at December 31, 2004 under the 1996 Plan expire between August 2006 and October 2011.</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2001 Plan was approved by our shareholders in August 2001. The 2001 Plan is administered by the Compensation Committee of the Board of Directors (the “Compensation Committee”) and its purpose is to recruit, reward, and motivate all executives and key employees of the Company to work as a team to achieve our corporate goal of maximizing shareholder return, and to permit the Compensation Committee to use a broader range of stock incentives, such as stock appreciation rights, performance share awards and restricted stock, as well as non-stock performance awards, to motivate executives and key employees of the Company.</w:t>
      </w:r>
    </w:p>
    <w:p>
      <w:pPr>
        <w:spacing w:after="0" w:line="1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total of one million shares of Common Stock were originally reserved for issuance under the 2001 Plan. Additional shares of Common Stock that may be granted under the 2001 Plan include any shares that are available for future grant under any of our prior stock option plans, and any stock or options granted under the 2001 Plan or any prior plans that are forfeited, expired or canceled. Furthermore, pursuant to the 2001 Plan and upon our Board of Directors’ authorization in January 2002, any shares of Common Stock that are reacquired by the Company in the open market or in private transactions after the effective date of the 2001 Plan, were added to the limitation on the total shares which may be issued under the 2001 Plan. Subsequently, in April 2004, our Board of Directors amended the Plan to provide that shares repurchased by the Company would not be added to the maximum amount of shares that may be issued under the plan. The total number of shares of Common Stock that was reacquired by the Company and added to the limitation on the shares which may be issued under the 2001 Plan was approximately 518 thousand shares. Also, in April 2004, our Board of Directors adopted amendments to reserve an additional 1.2 million shares of Common Stock for issuance under the plan and to extend the expiration date of the 2001 Plan for five years, or until May 2009. These amendments were approved by the shareholders in May 2004. As of December 31, 2004, the aggregate limit on the shares of common stock which may be issued under the 2001 Plan was 2.8 million shares, of which 1.2 million shares are subject to options already issued and an additional 460 thousand shares have been issued as restricted common stock grants.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58 of 72</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provisions of the 2001 Plan, the Compensation Committee is authorized to grant common stock, which can be restricted, or stock options which can be “qualified” or “nonqualified” under the Internal Revenue Code of 1986, as amended, or stock appreciation rights, or other stock or non-stock-based awards, including but not limited to stock units, performance units, or dividend equivalent payments. The 2001 Plan is unlimited in duration and, in the event of its termination, the 2001 Plan will remain in effect as long as any of the above items granted by the Compensation Committee are outstanding; provided, however, that no awards may be granted under the 2001 Plan after May 2009. The term and vesting period of awards granted under the 2001 Plan is established by the Compensation Committee, but in no event shall stock options or stock appreciation rights remain exercisable after the five-year anniversary of the date of grant. Outstanding options at December 31, 2004 under the 2001 Plan expire between September 2006 and January 2009.</w:t>
      </w:r>
    </w:p>
    <w:p>
      <w:pPr>
        <w:spacing w:after="0" w:line="105"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Beginning in October 2001, we started granting shares of restricted common stock to our employees under our 2001 Plan. In addition, in April 2004, we granted 38 thousand shares of restricted common stock in connection with our acquisition of Tramp Oil. Unvested restricted common stock at December 31, 2004, will vest between March 2005 and March 2009. The following table summarizes the status of our unvested restricted stock outstanding and related transactions for years ended December 31, 2004 and 2003, and the nine months ended December 31, 2002 (in thousands):</w:t>
      </w:r>
    </w:p>
    <w:p>
      <w:pPr>
        <w:spacing w:after="0" w:line="8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Restricted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60" w:type="dxa"/>
            <w:vAlign w:val="bottom"/>
          </w:tcPr>
          <w:p>
            <w:pPr>
              <w:spacing w:after="0"/>
              <w:rPr>
                <w:sz w:val="15"/>
                <w:szCs w:val="15"/>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Restricted outstanding at March 31, 2002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Granted and issued</w:t>
            </w:r>
          </w:p>
        </w:tc>
        <w:tc>
          <w:tcPr>
            <w:tcW w:w="720" w:type="dxa"/>
            <w:vAlign w:val="bottom"/>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Restricted outstanding at December 31, 2002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Granted and issued</w:t>
            </w: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Restricted outstanding at December 31, 2003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Granted and issued</w:t>
            </w:r>
          </w:p>
        </w:tc>
        <w:tc>
          <w:tcPr>
            <w:tcW w:w="720" w:type="dxa"/>
            <w:vAlign w:val="bottom"/>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Granted and issued in connection with an acquisition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Vested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Restricted outstanding at December 31, 2004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1994, our shareholders approved the 1993 Non-Employee Directors Stock Option Plan (the “Directors Plan”). The Directors Plan permits the issuance of options to purchase up to an aggregate of 500 thousand shares of our common stock. Additional options to purchase shares of our common stock may be granted under the Directors Plan for any options that are forfeited, expired or canceled without delivery of shares of our common stock. Under the Directors Plan, members of the Board of Directors who are not our employees receive a non-qualified option to purchase ten thousand shares, on a pro-rata basis, when such person is first elected to the Board of Directors and will receive a non-qualified option to purchase ten thousand shares each year that the individual is re-elected. Options granted are fully exercisable upon grant. All options under the Directors Plan expire five years after the date of grant. Outstanding options at December 31, 2004 under the Directors Plan expire between September 2005 and May 2009.</w:t>
      </w:r>
    </w:p>
    <w:p>
      <w:pPr>
        <w:spacing w:after="0" w:line="10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December 31, 2004, the following table summarizes the outstanding stock options issued pursuant to the plans described above (in thousands, except weighted-average exercise price):</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(b)</w:t>
            </w:r>
          </w:p>
        </w:tc>
        <w:tc>
          <w:tcPr>
            <w:tcW w:w="78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28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78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available for 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920" w:type="dxa"/>
            <w:vAlign w:val="bottom"/>
            <w:gridSpan w:val="4"/>
          </w:tcPr>
          <w:p>
            <w:pPr>
              <w:jc w:val="center"/>
              <w:ind w:left="1356"/>
              <w:spacing w:after="0" w:line="149" w:lineRule="exact"/>
              <w:rPr>
                <w:sz w:val="20"/>
                <w:szCs w:val="20"/>
                <w:color w:val="auto"/>
              </w:rPr>
            </w:pPr>
            <w:r>
              <w:rPr>
                <w:rFonts w:ascii="Arial" w:cs="Arial" w:eastAsia="Arial" w:hAnsi="Arial"/>
                <w:sz w:val="14"/>
                <w:szCs w:val="14"/>
                <w:b w:val="1"/>
                <w:bCs w:val="1"/>
                <w:color w:val="auto"/>
                <w:w w:val="82"/>
              </w:rPr>
              <w:t>to be issued upon exercise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78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equity compensation plans (excluding</w:t>
            </w:r>
          </w:p>
        </w:tc>
        <w:tc>
          <w:tcPr>
            <w:tcW w:w="0" w:type="dxa"/>
            <w:vAlign w:val="bottom"/>
          </w:tcPr>
          <w:p>
            <w:pPr>
              <w:spacing w:after="0"/>
              <w:rPr>
                <w:sz w:val="1"/>
                <w:szCs w:val="1"/>
                <w:color w:val="auto"/>
              </w:rPr>
            </w:pPr>
          </w:p>
        </w:tc>
      </w:tr>
      <w:tr>
        <w:trPr>
          <w:trHeight w:val="174"/>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Plan name or description</w:t>
            </w: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of outstanding options</w:t>
            </w:r>
          </w:p>
        </w:tc>
        <w:tc>
          <w:tcPr>
            <w:tcW w:w="1440" w:type="dxa"/>
            <w:vAlign w:val="bottom"/>
            <w:gridSpan w:val="3"/>
          </w:tcPr>
          <w:p>
            <w:pPr>
              <w:ind w:left="280"/>
              <w:spacing w:after="0"/>
              <w:rPr>
                <w:sz w:val="20"/>
                <w:szCs w:val="20"/>
                <w:color w:val="auto"/>
              </w:rPr>
            </w:pPr>
            <w:r>
              <w:rPr>
                <w:rFonts w:ascii="Arial" w:cs="Arial" w:eastAsia="Arial" w:hAnsi="Arial"/>
                <w:sz w:val="14"/>
                <w:szCs w:val="14"/>
                <w:b w:val="1"/>
                <w:bCs w:val="1"/>
                <w:color w:val="auto"/>
                <w:w w:val="84"/>
              </w:rPr>
              <w:t>outstanding options</w:t>
            </w:r>
          </w:p>
        </w:tc>
        <w:tc>
          <w:tcPr>
            <w:tcW w:w="78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5"/>
              </w:rPr>
              <w:t>securities reflected 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2001 Plan</w:t>
            </w:r>
          </w:p>
        </w:tc>
        <w:tc>
          <w:tcPr>
            <w:tcW w:w="3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4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1996 Plan</w:t>
            </w:r>
          </w:p>
        </w:tc>
        <w:tc>
          <w:tcPr>
            <w:tcW w:w="3440" w:type="dxa"/>
            <w:vAlign w:val="bottom"/>
            <w:gridSpan w:val="3"/>
          </w:tcPr>
          <w:p>
            <w:pPr>
              <w:jc w:val="right"/>
              <w:spacing w:after="0"/>
              <w:rPr>
                <w:sz w:val="20"/>
                <w:szCs w:val="20"/>
                <w:color w:val="auto"/>
              </w:rPr>
            </w:pPr>
            <w:r>
              <w:rPr>
                <w:rFonts w:ascii="Arial" w:cs="Arial" w:eastAsia="Arial" w:hAnsi="Arial"/>
                <w:sz w:val="18"/>
                <w:szCs w:val="18"/>
                <w:color w:val="auto"/>
              </w:rPr>
              <w:t>868</w:t>
            </w:r>
          </w:p>
        </w:tc>
        <w:tc>
          <w:tcPr>
            <w:tcW w:w="48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6.82</w:t>
            </w:r>
          </w:p>
        </w:tc>
        <w:tc>
          <w:tcPr>
            <w:tcW w:w="780" w:type="dxa"/>
            <w:vAlign w:val="bottom"/>
          </w:tcPr>
          <w:p>
            <w:pPr>
              <w:spacing w:after="0"/>
              <w:rPr>
                <w:sz w:val="18"/>
                <w:szCs w:val="18"/>
                <w:color w:val="auto"/>
              </w:rPr>
            </w:pPr>
          </w:p>
        </w:tc>
        <w:tc>
          <w:tcPr>
            <w:tcW w:w="2180" w:type="dxa"/>
            <w:vAlign w:val="bottom"/>
          </w:tcPr>
          <w:p>
            <w:pPr>
              <w:jc w:val="right"/>
              <w:ind w:right="2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1986 Plan</w:t>
            </w:r>
          </w:p>
        </w:tc>
        <w:tc>
          <w:tcPr>
            <w:tcW w:w="3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78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Directors Plan</w:t>
            </w:r>
          </w:p>
        </w:tc>
        <w:tc>
          <w:tcPr>
            <w:tcW w:w="3440" w:type="dxa"/>
            <w:vAlign w:val="bottom"/>
            <w:gridSpan w:val="3"/>
          </w:tcPr>
          <w:p>
            <w:pPr>
              <w:jc w:val="right"/>
              <w:spacing w:after="0"/>
              <w:rPr>
                <w:sz w:val="20"/>
                <w:szCs w:val="20"/>
                <w:color w:val="auto"/>
              </w:rPr>
            </w:pPr>
            <w:r>
              <w:rPr>
                <w:rFonts w:ascii="Arial" w:cs="Arial" w:eastAsia="Arial" w:hAnsi="Arial"/>
                <w:sz w:val="18"/>
                <w:szCs w:val="18"/>
                <w:color w:val="auto"/>
              </w:rPr>
              <w:t>236</w:t>
            </w:r>
          </w:p>
        </w:tc>
        <w:tc>
          <w:tcPr>
            <w:tcW w:w="48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13.25</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4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2"/>
          </w:tcPr>
          <w:p>
            <w:pPr>
              <w:ind w:left="720"/>
              <w:spacing w:after="0"/>
              <w:rPr>
                <w:sz w:val="20"/>
                <w:szCs w:val="20"/>
                <w:color w:val="auto"/>
              </w:rPr>
            </w:pPr>
            <w:r>
              <w:rPr>
                <w:rFonts w:ascii="Arial" w:cs="Arial" w:eastAsia="Arial" w:hAnsi="Arial"/>
                <w:sz w:val="18"/>
                <w:szCs w:val="18"/>
                <w:color w:val="auto"/>
              </w:rPr>
              <w:t>Page 59 of 72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-325755</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-325755</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-325755</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summarizes the status of our stock options outstanding and exercisable, and related transactions for years ended December 31, 2004 and 2003, and the nine months ended December 31, 2002 (in thousands, except weighted-average exercise price):</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gridSpan w:val="5"/>
          </w:tcPr>
          <w:p>
            <w:pPr>
              <w:jc w:val="right"/>
              <w:ind w:right="194"/>
              <w:spacing w:after="0"/>
              <w:rPr>
                <w:sz w:val="20"/>
                <w:szCs w:val="20"/>
                <w:color w:val="auto"/>
              </w:rPr>
            </w:pPr>
            <w:r>
              <w:rPr>
                <w:rFonts w:ascii="Arial" w:cs="Arial" w:eastAsia="Arial" w:hAnsi="Arial"/>
                <w:sz w:val="14"/>
                <w:szCs w:val="14"/>
                <w:b w:val="1"/>
                <w:bCs w:val="1"/>
                <w:color w:val="auto"/>
              </w:rPr>
              <w:t>Options Outstanding</w:t>
            </w:r>
          </w:p>
        </w:tc>
        <w:tc>
          <w:tcPr>
            <w:tcW w:w="680" w:type="dxa"/>
            <w:vAlign w:val="bottom"/>
          </w:tcPr>
          <w:p>
            <w:pPr>
              <w:spacing w:after="0"/>
              <w:rPr>
                <w:sz w:val="15"/>
                <w:szCs w:val="15"/>
                <w:color w:val="auto"/>
              </w:rPr>
            </w:pPr>
          </w:p>
        </w:tc>
        <w:tc>
          <w:tcPr>
            <w:tcW w:w="174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gridSpan w:val="3"/>
          </w:tcPr>
          <w:p>
            <w:pPr>
              <w:ind w:left="340"/>
              <w:spacing w:after="0"/>
              <w:rPr>
                <w:sz w:val="20"/>
                <w:szCs w:val="20"/>
                <w:color w:val="auto"/>
              </w:rPr>
            </w:pPr>
            <w:r>
              <w:rPr>
                <w:rFonts w:ascii="Arial" w:cs="Arial" w:eastAsia="Arial" w:hAnsi="Arial"/>
                <w:sz w:val="14"/>
                <w:szCs w:val="14"/>
                <w:b w:val="1"/>
                <w:bCs w:val="1"/>
                <w:color w:val="auto"/>
                <w:w w:val="85"/>
              </w:rPr>
              <w:t>Weighted-</w:t>
            </w: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gridSpan w:val="3"/>
          </w:tcPr>
          <w:p>
            <w:pPr>
              <w:ind w:left="68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3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center"/>
              <w:ind w:right="14"/>
              <w:spacing w:after="0"/>
              <w:rPr>
                <w:sz w:val="20"/>
                <w:szCs w:val="20"/>
                <w:color w:val="auto"/>
              </w:rPr>
            </w:pPr>
            <w:r>
              <w:rPr>
                <w:rFonts w:ascii="Arial" w:cs="Arial" w:eastAsia="Arial" w:hAnsi="Arial"/>
                <w:sz w:val="14"/>
                <w:szCs w:val="14"/>
                <w:b w:val="1"/>
                <w:bCs w:val="1"/>
                <w:color w:val="auto"/>
                <w:w w:val="87"/>
              </w:rPr>
              <w:t>Price</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Options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center"/>
              <w:ind w:right="36"/>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March 31, 2002</w:t>
            </w: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Granted</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162</w:t>
            </w:r>
          </w:p>
        </w:tc>
        <w:tc>
          <w:tcPr>
            <w:tcW w:w="38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9.26</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3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(442)</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Forfeited/expired</w:t>
            </w:r>
          </w:p>
        </w:tc>
        <w:tc>
          <w:tcPr>
            <w:tcW w:w="2380" w:type="dxa"/>
            <w:vAlign w:val="bottom"/>
            <w:gridSpan w:val="4"/>
          </w:tcPr>
          <w:p>
            <w:pPr>
              <w:jc w:val="right"/>
              <w:ind w:right="340"/>
              <w:spacing w:after="0"/>
              <w:rPr>
                <w:sz w:val="20"/>
                <w:szCs w:val="20"/>
                <w:color w:val="auto"/>
              </w:rPr>
            </w:pPr>
            <w:r>
              <w:rPr>
                <w:rFonts w:ascii="Arial" w:cs="Arial" w:eastAsia="Arial" w:hAnsi="Arial"/>
                <w:sz w:val="18"/>
                <w:szCs w:val="18"/>
                <w:color w:val="auto"/>
              </w:rPr>
              <w:t>(56)</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8.70</w:t>
            </w: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2002</w:t>
            </w: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Granted</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1,046</w:t>
            </w:r>
          </w:p>
        </w:tc>
        <w:tc>
          <w:tcPr>
            <w:tcW w:w="38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12.97</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3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(144)</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2003</w:t>
            </w: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Granted</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20.48</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3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(1,080)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Forfeited/expired</w:t>
            </w:r>
          </w:p>
        </w:tc>
        <w:tc>
          <w:tcPr>
            <w:tcW w:w="2380" w:type="dxa"/>
            <w:vAlign w:val="bottom"/>
            <w:gridSpan w:val="4"/>
          </w:tcPr>
          <w:p>
            <w:pPr>
              <w:jc w:val="right"/>
              <w:ind w:right="340"/>
              <w:spacing w:after="0"/>
              <w:rPr>
                <w:sz w:val="20"/>
                <w:szCs w:val="20"/>
                <w:color w:val="auto"/>
              </w:rPr>
            </w:pPr>
            <w:r>
              <w:rPr>
                <w:rFonts w:ascii="Arial" w:cs="Arial" w:eastAsia="Arial" w:hAnsi="Arial"/>
                <w:sz w:val="18"/>
                <w:szCs w:val="18"/>
                <w:color w:val="auto"/>
              </w:rPr>
              <w:t>(32)</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11.50</w:t>
            </w: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2004</w:t>
            </w: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4222115</wp:posOffset>
            </wp:positionH>
            <wp:positionV relativeFrom="paragraph">
              <wp:posOffset>-29210</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3873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summarizes the exercise prices of our stock options outstanding and exercisable at December 31, 2004 (in thousands, except exercise price data and contractual life):</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w w:val="86"/>
              </w:rPr>
              <w:t>Options Outstanding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4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Average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Remaining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gridSpan w:val="3"/>
          </w:tcPr>
          <w:p>
            <w:pPr>
              <w:ind w:left="50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0" w:type="dxa"/>
            <w:vAlign w:val="bottom"/>
          </w:tcPr>
          <w:p>
            <w:pPr>
              <w:spacing w:after="0"/>
              <w:rPr>
                <w:sz w:val="1"/>
                <w:szCs w:val="1"/>
                <w:color w:val="auto"/>
              </w:rPr>
            </w:pPr>
          </w:p>
        </w:tc>
      </w:tr>
      <w:tr>
        <w:trPr>
          <w:trHeight w:val="174"/>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Range of Exercise Price</w:t>
            </w:r>
          </w:p>
        </w:tc>
        <w:tc>
          <w:tcPr>
            <w:tcW w:w="2960" w:type="dxa"/>
            <w:vAlign w:val="bottom"/>
            <w:gridSpan w:val="2"/>
          </w:tcPr>
          <w:p>
            <w:pPr>
              <w:jc w:val="right"/>
              <w:spacing w:after="0"/>
              <w:rPr>
                <w:sz w:val="20"/>
                <w:szCs w:val="20"/>
                <w:color w:val="auto"/>
              </w:rPr>
            </w:pPr>
            <w:r>
              <w:rPr>
                <w:rFonts w:ascii="Arial" w:cs="Arial" w:eastAsia="Arial" w:hAnsi="Arial"/>
                <w:sz w:val="14"/>
                <w:szCs w:val="14"/>
                <w:b w:val="1"/>
                <w:bCs w:val="1"/>
                <w:color w:val="auto"/>
              </w:rPr>
              <w:t>Options</w:t>
            </w:r>
          </w:p>
        </w:tc>
        <w:tc>
          <w:tcPr>
            <w:tcW w:w="18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Life (in Years)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55"/>
              <w:spacing w:after="0"/>
              <w:rPr>
                <w:sz w:val="20"/>
                <w:szCs w:val="20"/>
                <w:color w:val="auto"/>
              </w:rPr>
            </w:pPr>
            <w:r>
              <w:rPr>
                <w:rFonts w:ascii="Arial" w:cs="Arial" w:eastAsia="Arial" w:hAnsi="Arial"/>
                <w:sz w:val="14"/>
                <w:szCs w:val="14"/>
                <w:b w:val="1"/>
                <w:bCs w:val="1"/>
                <w:color w:val="auto"/>
                <w:w w:val="83"/>
              </w:rPr>
              <w:t>Exercise Price</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Options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55"/>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$3.44 to $4.63</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$5.38 to $6.64</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50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$8.37 to $10.35</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$10.50 to $12.50</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520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11.35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$13.62 to $16.97</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$22.13</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50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22.13</w:t>
            </w:r>
          </w:p>
        </w:tc>
        <w:tc>
          <w:tcPr>
            <w:tcW w:w="520" w:type="dxa"/>
            <w:vAlign w:val="bottom"/>
          </w:tcPr>
          <w:p>
            <w:pPr>
              <w:spacing w:after="0"/>
              <w:rPr>
                <w:sz w:val="19"/>
                <w:szCs w:val="19"/>
                <w:color w:val="auto"/>
              </w:rPr>
            </w:pPr>
          </w:p>
        </w:tc>
        <w:tc>
          <w:tcPr>
            <w:tcW w:w="46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-29210</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-29210</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ind w:left="240" w:right="8580" w:hanging="232"/>
        <w:spacing w:after="0" w:line="332" w:lineRule="auto"/>
        <w:tabs>
          <w:tab w:leader="none" w:pos="187"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Surety Bonds</w:t>
      </w:r>
    </w:p>
    <w:p>
      <w:pPr>
        <w:spacing w:after="0" w:line="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the normal course of business, we are required to post bid, performance and garnishment bonds. The majority of the surety bonds posted relate to our aviation fuel services business. As of December 31, 2004, we had $19.3 million in outstanding bonds.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60 of 72</w:t>
      </w:r>
    </w:p>
    <w:p>
      <w:pPr>
        <w:sectPr>
          <w:pgSz w:w="11900" w:h="16838" w:orient="portrait"/>
          <w:cols w:equalWidth="0" w:num="1">
            <w:col w:w="11260"/>
          </w:cols>
          <w:pgMar w:left="240" w:top="459" w:right="3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 Commitments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December 31, 2004, our future minimum lease payments under non-cancelable operating leases for rental properties were as follows (in thousands):</w:t>
      </w:r>
    </w:p>
    <w:p>
      <w:pPr>
        <w:spacing w:after="0" w:line="188"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For the Year ending December 31,</w:t>
            </w: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2006</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2008</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Thereafter</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10,968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-29210</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2159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incurred rental expense for all properties of $2.6 million, $2.3 million and $1.9 million for the years ended December 31, 2004, 2003 and 2002, respectively, and $1.5 million for the nine months ended December 31, 2002.</w:t>
      </w:r>
    </w:p>
    <w:p>
      <w:pPr>
        <w:spacing w:after="0" w:line="118" w:lineRule="exact"/>
        <w:rPr>
          <w:sz w:val="20"/>
          <w:szCs w:val="20"/>
          <w:color w:val="auto"/>
        </w:rPr>
      </w:pPr>
    </w:p>
    <w:p>
      <w:pPr>
        <w:jc w:val="both"/>
        <w:ind w:right="580" w:firstLine="456"/>
        <w:spacing w:after="0" w:line="306" w:lineRule="auto"/>
        <w:rPr>
          <w:sz w:val="20"/>
          <w:szCs w:val="20"/>
          <w:color w:val="auto"/>
        </w:rPr>
      </w:pPr>
      <w:r>
        <w:rPr>
          <w:rFonts w:ascii="Arial" w:cs="Arial" w:eastAsia="Arial" w:hAnsi="Arial"/>
          <w:sz w:val="16"/>
          <w:szCs w:val="16"/>
          <w:color w:val="auto"/>
        </w:rPr>
        <w:t>In the normal course of business, we may enter into non-cancelable operating leases for office and computer equipment, and service contracts with minimum service fee commitments for telecommunication, and computer data and document storage. As of December 31, 2004, we had no material non-cancelable operating leases for office and computer equipment or service contracts with minimum service fee commitments.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Concentration of Credit Risk</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marine and aviation businesses extend unsecured credit to most of their customers. Part of our success in attracting business has been due, in part, to our willingness to extend credit on an unsecured basis to customers which exhibit a high credit risk profile and would otherwise be required to prepay or post letters of credit with their suppliers of fuel and related services. We recognize that extending credit and setting the appropriate reserves for receivables is largely a subjective decision based on knowledge of the customer and the industry. Active management of our credit risk is essential to our success. We do not insure our receivables. Diversification of credit risk is difficult since we sell primarily within the marine and aviation industries. Our sales executives and their respective staff meet regularly to evaluate credit exposure, in the aggregate and by individual credit. Credit exposure also includes the amount of estimated unbilled sales. We also have a credit committee for each of our segments. The credit committees are responsible for approving credit limits above certain amounts, setting and maintaining credit standards, and managing the overall quality of the credit portfolio. The level of credit granted to a customer is influenced by a customer’s credit history with us, including claims experience and payment patterns. In our marine fuel services segment, we have extended lines of credit of at least $6.0 million to 20 non-governmental customers, and seven of these customers have lines of credit ranging from $15.0 to $28.0 million (currently, our largest credit lines). In our aviation fuel services segment, we have extended lines of credit of at least $4.0 million to five non-governmental customers, and one of these customers has a credit line of $14.0 million.</w:t>
      </w:r>
    </w:p>
    <w:p>
      <w:pPr>
        <w:spacing w:after="0" w:line="11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World oil prices have been very volatile over the last several years, and since fuel costs represent a significant part of a vessel’s and airline’s operating expenses, the volatility in fuel prices can adversely affect our customers’ business, and consequently our credit losses.</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Although most of our transactions are denominated in U.S. dollars, many of our customers are foreign customers and may be required to purchase U.S. dollars to pay for our products and services. A rapid devaluation in currency affecting our customers could have an adverse effect on our customers’ operations and their ability to convert local currency to U.S. dollars to make the required payments to us. This would in turn result in higher credit losses for us.</w:t>
      </w:r>
    </w:p>
    <w:p>
      <w:pPr>
        <w:spacing w:after="0" w:line="9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may also incur credit losses due to other causes, including deteriorating conditions in the world economy, or in the shipping or aviation industries, and continued conflicts and instability in the Middle East, Asia and Latin America, as well as potential future terrorist activities and possible military retaliation. Any credit losses, if significant, will have a material adverse effect on our financial position and results of operations.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61 of 72</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Environmental and Other Liabilities; Uninsured Risks</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the marine and aviation fuel services business, we utilize subcontractors to provide various services to customers, including into-plane fueling at airports, fueling of vessels in-port and at-sea, and transportation and storage of fuel and fuel products. We are subject to possible claims by customers, regulators and others who may be injured by a fuel spill or other accident. In addition, we may be held liable for damages to the environment arising out of such events. Although we generally require our subcontractors to carry liability insurance, not all subcontractors carry adequate insurance. Our marine business does not have liability insurance to cover the acts or omissions of our subcontractors. None of our liability insurance covers acts of war and terrorism. If we are held responsible for any acts of war or terrorism, accident or other event, and the liability is not adequately covered by insurance and is of sufficient magnitude, our financial position and results of operations will be adversely affected.</w:t>
      </w:r>
    </w:p>
    <w:p>
      <w:pPr>
        <w:spacing w:after="0" w:line="10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exited several businesses which handled hazardous and non-hazardous waste. We treated and/or transported this waste to various disposal facilities. We may be held liable as a potentially responsible party for the clean-up of such disposal facilities, or required to clean up facilities previously operated by us, pursuant to current U.S. federal and state laws and regulations.</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continuously review the adequacy of our insurance coverage. However, we lack coverage for various risks, including environmental claims. An uninsured claim arising out of our activities, if successful and of sufficient magnitude, will have a material adverse effect on our financial position and results of operations.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Matters</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April 2001, Miami-Dade County, Florida (the “County”) filed suit (the “County Suit”) against 17 defendants to seek reimbursement for the cost of remediating environmental contamination at Miami International Airport (the “Airport”). Page Avjet Fuel Corporation, now known as PAFCO LLC (“PAFCO”), is a defendant. We acquired a 50% interest in PAFCO from Signature Flight Support Corporation (“Signature”) in December 2000. Pursuant to the PAFCO acquisition agreement, Signature agreed to indemnify us for all PAFCO liabilities arising prior to the closing date (“Closing”). Because the Airport contamination occurred prior to Closing, we believe that the County Suit is covered by Signature’s indemnification obligation. We have notified Signature of the County Suit, as stipulated in the acquisition agreement. We expect Signature to defend this claim on behalf of PAFCO and at Signature’s expense.</w:t>
      </w:r>
    </w:p>
    <w:p>
      <w:pPr>
        <w:spacing w:after="0" w:line="10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Also in April 2001, the County sent a letter to approximately 250 potentially responsible parties (“PRP’s”), including World Fuel Services Corporation and one of our subsidiaries, advising them of their potential liability for the clean-up costs of the contamination that is the subject of the County Suit. The County has threatened to add the PRP’s as defendants in the County Suit, unless they agree to share in the cost of the environmental clean-up at the Airport. In May 2001, we advised the County that: (1) neither we nor any of our subsidiaries were responsible for any environmental contamination at the Airport, and (2) to the extent that we or any of our subsidiaries were so responsible, our liability was subject to indemnification by the County pursuant to the indemnity provisions contained in our lease agreement with the County.</w:t>
      </w:r>
    </w:p>
    <w:p>
      <w:pPr>
        <w:spacing w:after="0" w:line="131"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 claims asserted by the County relating to environmental contamination at the Airport remain pending; however, no significant developments occurred during the year ended December 31, 2004. We intend to vigorously defend these claims, and we believe our liability in these matters (if any) should be adequately covered by the indemnification obligations of Signature as to PAFCO, and the County as to World Fuel Services Corporation and our other subsidiaries.</w:t>
      </w:r>
    </w:p>
    <w:p>
      <w:pPr>
        <w:spacing w:after="0" w:line="7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November 2004, World Fuel was served with process in a lawsuit titled Action Manufacturing Co., Inc. et al. v. Simon Wrecking Company, et al. This action, pending in U.S. Federal District Court for the Eastern District of Pennsylvania, relates to the environmental clean up of the Malvern TCE Superfund site in Chester County, Pennsylvania. The plaintiffs are a group of private corporations that entered into a consent decree with the Environmental Protection Agency in 1999, under the terms of which the plaintiffs agreed to pay for remediation of the site. In the action, the Plaintiffs are seeking contribution from the various Defendants toward the costs of remediating the site. Plaintiffs have alleged that World Fuel is a “successor” to Resource Technology Services, Inc., a Pennsylvania corporation that arranged for disposal of wastes at the site. In 1988, Resource Recovery Atlantic, Inc., a Delaware corporation that was then an indirect subsidiary of World Fuel, purchased selected assets from Resource Technology Services, Inc. The plaintiffs claim that this transaction gives rise to our successor liability pursuant to the Pennsylvania Hazardous Sites Cleanup Act. The plaintiffs have alleged that Resource Technology Services Inc.’s share of the clean-up costs is $1.0 million.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62 of 72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World Fuel’s subsidiary, Resource Recovery Atlantic, Inc., acquired only selected assets of Resource Technology Services, Inc., and did not assume any of its liabilities, except for four vehicle leases. We believe that neither World Fuel, nor any of our subsidiaries, is a “successor” to Resource Technology Services, Inc. and that we are not responsible for any liabilities of that company. We intend to vigorously defend all claims asserted against us arising from liabilities of Resource Technology Services, Inc.</w:t>
      </w:r>
    </w:p>
    <w:p>
      <w:pPr>
        <w:spacing w:after="0" w:line="13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We may not prevail in the legal proceedings described above and we cannot estimate our ultimate exposure if we do not prevail. A ruling against us in certain of the proceedings described above could have a material adverse effect on our financial condition and results of operations.</w:t>
      </w:r>
    </w:p>
    <w:p>
      <w:pPr>
        <w:spacing w:after="0" w:line="72"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In addition to the matters described above, we are also involved in litigation and administrative proceedings primarily arising in the normal course of our business. In the opinion of management, except as set forth above, our liability, if any, under any other pending litigation or administrative proceedings, even if determined adversely, would not materially affect our financial condition or results of operations.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Purchase Commitments</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offer to our marine and aviation customers fixed fuel prices on future sales. As of December 31, 2004, sales and purchase commitments amounted to approximately $31.4 million and $30.5 million, respectively.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July 2002, our Board of Directors elected a new Chairman and Chief Executive Officer (“CEO”), and agreed to employ our former Chairman and CEO as an advisor to the new Chairman for a term of two years. During this two-year period, the advisor will receive a salary of $100 thousand per year, and he will not be an officer or director of the company. Pursuant to the terms of our former Chairman and CEO’s employment contract, the changes in his compensation and responsibilities entitles him to receive a severance equal to three times his average salary and bonus during the five-year period preceding termination, plus all deferred compensation, including accrued interest. In addition, from July to September 2002, we terminated the employment of our former Chief Financial Officer, Chief Information Officer, and two other executives. Accordingly, we recorded severance expense totaling $4.5 million, of which $3.7 million related to our former Chairman and CEO during the nine months and year ended December 31, 2002. In August 2002, we paid our former Chairman and CEO his executive severance plus deferred compensation, including accrued interest. The other executive severance amounts are paid on a monthly basis over a period of six months to twenty-one months from the date of termination.</w:t>
      </w:r>
    </w:p>
    <w:p>
      <w:pPr>
        <w:spacing w:after="0" w:line="10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connection with the promotion of our new Chairman and CEO and new President and Chief Operating Officer (“COO”) to their respective positions, in July 2002, they received new employment agreements, which among provisions, provide for an individual base salary of $525 thousand, an employment period that expires in July 2007, and termination severance benefits. Pursuant to these employment agreements, our CEO and COO are eligible to receive an annual bonus upon achievement of performance targets, which targets are based on diluted earnings per share growth. The bonus payout may range from 15% of base salary if at least 5% diluted earnings per share growth is achieved, to 200% of base salary if diluted earnings per share growth equals or exceeds 15%. For the years ended December 31, 2004 and 2003, our CEO and COO each earned an annual bonus equal to 200% of base salary. For the nine months ended December 31, 2002, our CEO and COO each earned and received a prorated annual bonus equal to 100% of base salary. As of December 31, 2004 and 2003, $2.1 million was included in Accrued salaries and wages in the accompanying consolidated balance sheets.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63 of 72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prior to May 2004, the payment of any portion of the bonus causing the compensation of any of the above two executives to exceed $1.0 million during any fiscal year was deferred and accrues interest at the U.S. Prime rate, until a fiscal year during the employment term in which the executive earns less than $1.0 million; provided, however, that in the event of the executive’s death, the termination of the executive for any reason, or the expiration of the employment agreement, the deferred portion of any bonus, including any interest earned thereon, shall be paid to the executive within ten days of such death, termination or expiration. As of December 31, 2004 and 2003, $121 thousand was deferred under the employment agreements of our Chairman and President. Such deferred compensation was included in Deferred compensation and other long-term liabilities in the accompanying consolidated balance sheets. Following shareholder approval of our 2003 Executive Incentive Plan in May 2004, the deferral of compensation as described above is no longer required.</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Pursuant to their employment agreements, our CEO and COO each is entitled to receive a cash severance payment if: (a) we terminate the executive for any reason other than death, disability or cause; (b) the executive resigns for good reason (generally a reduction in his responsibilities or compensation, or a breach by us), or resigns for any reason following a change of control; or (c) we elect not to renew the executive’s employment agreement upon expiration, for any reason other than cause. The severance payment is equal to two times the executive’s average salary and bonus during the three-year period preceding termination; provided, if (i) the termination occurs within three years after a change of control the multiple set forth above will be three instead of two, and (ii) in the case of a non-renewal, as described in item (c) above, the multiple will be one and the severance will be paid in 26 equal installments over a one year period. Upon any such termination, we will continue to provide coverage to the executive under our group insurance plans for up to three years, and all of the executive’s stock options and stock grants will immediately vest.</w:t>
      </w:r>
    </w:p>
    <w:p>
      <w:pPr>
        <w:spacing w:after="0" w:line="10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have also entered into employment agreements with certain of our other executive officers and key employees. These agreements provide for minimum salary levels, and, in most cases, bonuses which are payable if specified performance goals are attained. Some executive officers and key employees are also entitled to severance benefits upon termination or non-renewal of their contracts under certain circumstances.</w:t>
      </w:r>
    </w:p>
    <w:p>
      <w:pPr>
        <w:spacing w:after="0" w:line="9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As of December 31, 2004, the approximate future minimum commitments under employment agreements, excluding discretionary and performance bonuses, are as follows (in thousands):</w:t>
      </w:r>
    </w:p>
    <w:p>
      <w:pPr>
        <w:spacing w:after="0" w:line="114"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For the Year ending December 31,</w:t>
            </w:r>
          </w:p>
        </w:tc>
        <w:tc>
          <w:tcPr>
            <w:tcW w:w="2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2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2006</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9,541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2008</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$25,427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-29210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2159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recorded expenses under the terms of the above described agreements, including discretionary and performance bonuses, and executive severance charges of approximately $17.9 million, $13.0 million and $11.4 million for the years ended December 31, 2004, 2003 and 2002, respectively, and approximately $14.9 million for the nine months ended December 31, 2002.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64 of 72</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Compensation Plans</w:t>
      </w:r>
    </w:p>
    <w:p>
      <w:pPr>
        <w:spacing w:after="0" w:line="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September 2003, the Compensation Committee amended our Executive Incentive Plan to provide for long-term incentive awards (“LTIP awards”) in addition to the annual bonuses already provided in the plan. Under the terms of the plan, as amended, our five senior executives are eligible to receive long term incentive awards (“LTIP awards”) upon achievement of long-term performance goals. The performance goals are based on achieving certain Compound Average Annual Growth Rates (“CAGR”) in net income over a three-year performance period. In September 2004, the Compensation Committee of the Board of Directors elected to reconsider the use of net income as the performance measure for LTIP awards due to an increase in the disparity between the growth rates of net income and diluted earnings per share. In connection with this decision, the Compensation Committee agreed to suspend future LTIP awards until a more appropriate performance measure could be established and to cancel the LTIP award for the three-year performance period commencing January 2004. The LTIP award for the three-year performance period commencing January 2003 was left in effect. Target awards for the three-year performance period commencing January 2003 are $750 thousand for each of our Chief Executive Officer and Chief Operating Officer, and $200 thousand for each of the other three senior executives. The executives would earn 50% of the target award if we achieve a 15% CAGR in net income over the three-year performance period, and 100% of the target award if an 18% CAGR in net income is achieved over the three-year performance period. The maximum award is 200% of the target award, and would be earned if at least a 21% CAGR in net income is achieved over the three-year performance period. If and when an award is earned, such award may be deferred at the executive’s option, on such terms and conditions as may be approved by the Compensation Committee. The deferred amounts will earn interest at the U.S. Prime Rate, with a maximum rate of 10% per year.</w:t>
      </w:r>
    </w:p>
    <w:p>
      <w:pPr>
        <w:spacing w:after="0" w:line="11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accrual for LTIP awards is made equally over each award’s three-year performance period based on management’s estimate of the ultimate award to be earned by the senior executives at the end of each three-year performance period. As of December 31, 2004 and 2003, we had accrued $2.8 million and $700 thousand, respectively, for the LTIP award for the three-year performance period commencing January 2003. The accrual for the LTIP award for the three-year performance period commencing January 2003 is included in Deferred compensation and other long-term liabilities in the accompanying consolidated balance sheets.</w:t>
      </w:r>
    </w:p>
    <w:p>
      <w:pPr>
        <w:spacing w:after="0" w:line="12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addition to LTIP awards, senior executives, including our CEO and COO, are eligible to receive annual bonuses under the Executive Incentive Plan upon achievement of annual performance targets, which targets are based on diluted earnings per share growth and other yearly objectives determined by the Compensation Committee. The bonus payout may range from 15% of base salary if at least 5% diluted earnings per share growth is achieved, to 200% of base salary if diluted earnings per share growth equals or exceeds 15%. As previously stated above in “Employment Agreements,” our CEO and COO earned an aggregate annual bonus of $2.1 million, or 200% of base salary, for the years ended December 31, 2004 and 2003, and $788 thousand, or prorated 100% of base salary, for the nine-months ended December 31, 2002. Under the Executive Incentive Plan, our other senior executives earned an aggregate annual bonus of $1.2 million and $1.1 million, respectively, for the years ended December 31, 2004 and 2003, and $365 thousand for the nine months ended December 31, 2002. As of December 31, 2004 and 2003, annual bonuses for senior executives amounted to $3.3 million and $3.2 million, respectively, and was included in Accrued salaries and wages in the accompanying consolidated balance sheets.</w:t>
      </w:r>
    </w:p>
    <w:p>
      <w:pPr>
        <w:spacing w:after="0" w:line="10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maintain long-term service award programs under which certain key employees receive cash awards for long-term service with the company and our subsidiaries. Our liabilities under these programs were $2.1 million and $563 thousand at December 31, 2004 and 2003, respectively.</w:t>
      </w:r>
    </w:p>
    <w:p>
      <w:pPr>
        <w:spacing w:after="0" w:line="7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maintain a 401(k) defined contribution plan which covers all U.S. employees who meet minimum requirements and elect to participate. Participants may contribute up to 15% of their compensation, subject to certain limitations. During each of the periods presented on the consolidated statements of income, we made matching contributions of 25% of each 1% of the participants’ contributions up to the first 4% contributed. Annual contributions by us are made at our sole discretion, as approved by the Compensation Committee. We recorded expenses for our contribution of approximately $130 thousand, $100 thousand and $97 thousand for the years ended December 31, 2004, 2003 and 2002, respectively, and $71 thousand for the nine months ended December 31, 2002.</w:t>
      </w:r>
    </w:p>
    <w:p>
      <w:pPr>
        <w:spacing w:after="0" w:line="10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Certain of our foreign subsidiaries have defined contribution benefit plans, which allow for voluntary contributions by the employees. The foreign subsidiaries paid all general and administrative expenses of the plans and in some cases made employer contributions on behalf of the employees. We recorded expenses for our contribution of approximately $290 thousand, $193 thousand and $134 thousand for the years ended December 31, 2004, 2003 and 2002, respectively, and $104 thousand for the nine months ended December 31, 2002.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65 of 72</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Severance Benefits Payable</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accordance with local laws which apply to certain foreign subsidiaries, we have accrued employee severance benefits payable of approximately $211 thousand and $123 thousand at December 31, 2004 and 2003,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Aviation Joint Venture</w:t>
      </w:r>
    </w:p>
    <w:p>
      <w:pPr>
        <w:spacing w:after="0" w:line="8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In December 2000, we entered into a joint venture with Signature Flight Support Corporation through the acquisition of a 50% equity interest in PAFCO LLC (“PAFCO”) from Signature. We paid Signature $1.0 million in cash and $2.5 million in the form of a non-interest bearing note, payable over five years through January 2006. PAFCO markets aviation fuel and related services. The non-interest bearing promissory note was discounted at 9% and the discount of $558 thousand is being amortized as interest expense over a five-year term using the interest method. We recorded interest expense of $79 thousand, $114 thousand and $146 thousand for the years ended December 31, 2004, 2003 and 2002, respectively, and $110 thousand for the nine months ended December 31, 2002.</w:t>
      </w:r>
    </w:p>
    <w:p>
      <w:pPr>
        <w:spacing w:after="0" w:line="13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accordance with PAFCO’s operating agreement, we are entitled to 80% of the income from PAFCO’s operations. The higher allocation percentage versus the ownership percentage is in consideration of the risks assumed by us with respect to credit losses on PAFCO’s accounts receivable. PAFCO distributes its income to its partners on a quarterly basis. We are required to purchase, without recourse, PAFCO’s accounts receivable that are 120 days past due, subject to certain requirements. Net losses (including infrequent or unusual losses), interest expense incurred by PAFCO, and any gain resulting from the liquidation of the joint venture will be shared equally between Signature and us. We purchased PAFCO accounts receivable totaling $38 thousand for the nine months and year ended December 31, 2002. Subsequent to these purchases, we wrote off these accounts receivable. For the year ended December 31, 2003, we did not purchase any of PAFCO’s accounts receivable.</w:t>
      </w:r>
    </w:p>
    <w:p>
      <w:pPr>
        <w:spacing w:after="0" w:line="10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recorded earnings from the PAFCO aviation joint venture of $607 thousand and $559 thousand for the years ended December 31, 2003 and 2002, respectively, and $420 thousand for the nine months ended December 31, 2002. These net earnings from aviation joint venture were included in Other (expense) income, net in the accompanying consolidated statements of income. As of December 31, 2003, amounts due from PAFCO of $280 thousand was included in prepaid expenses and other current assets in the accompanying consolidated balance sheets.</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Prior to January 1, 2004, we used the equity method of accounting to record our share of the earnings and losses of our aviation joint venture. In addition, the amortized interest expense on the non-interest bearing promissory note was also included in net earnings from aviation joint venture. Effective January 1, 2004, with the implementation of the FIN No. 46, we consolidated PAFCO’s financial position and results of operations, after elimination of all significant intercompany accounts, transactions and profits. As a result of the consolidation of PAFCO, we recorded minority interest of $306 thousand, which was included in Other (expense) income, net, in the accompanying consolidated statements of income.</w:t>
      </w:r>
    </w:p>
    <w:p>
      <w:pPr>
        <w:spacing w:after="0" w:line="102"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following table summarizes the effect of PAFCO on our consolidated results of operations, after elimination of all significant intercompany transactions and profits (in thousands):</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9"/>
          </w:tcPr>
          <w:p>
            <w:pPr>
              <w:jc w:val="right"/>
              <w:ind w:right="20"/>
              <w:spacing w:after="0"/>
              <w:rPr>
                <w:sz w:val="20"/>
                <w:szCs w:val="20"/>
                <w:color w:val="auto"/>
              </w:rPr>
            </w:pPr>
            <w:r>
              <w:rPr>
                <w:rFonts w:ascii="Arial" w:cs="Arial" w:eastAsia="Arial" w:hAnsi="Arial"/>
                <w:sz w:val="14"/>
                <w:szCs w:val="14"/>
                <w:b w:val="1"/>
                <w:bCs w:val="1"/>
                <w:color w:val="auto"/>
                <w:w w:val="99"/>
              </w:rPr>
              <w:t>For the Year ended December 31,</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83"/>
              </w:rPr>
              <w:t>2003</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2002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194,173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3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493</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413</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310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(190)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(159)</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(119)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303</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254</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191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940" w:type="dxa"/>
            <w:vAlign w:val="bottom"/>
            <w:gridSpan w:val="2"/>
          </w:tcPr>
          <w:p>
            <w:pPr>
              <w:jc w:val="right"/>
              <w:ind w:right="640"/>
              <w:spacing w:after="0"/>
              <w:rPr>
                <w:sz w:val="20"/>
                <w:szCs w:val="20"/>
                <w:color w:val="auto"/>
              </w:rPr>
            </w:pPr>
            <w:r>
              <w:rPr>
                <w:rFonts w:ascii="Arial" w:cs="Arial" w:eastAsia="Arial" w:hAnsi="Arial"/>
                <w:sz w:val="18"/>
                <w:szCs w:val="18"/>
                <w:color w:val="auto"/>
              </w:rPr>
              <w:t>Page 66 of 72</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-1826895</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-1826895</wp:posOffset>
            </wp:positionV>
            <wp:extent cx="2159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-1826895</wp:posOffset>
            </wp:positionV>
            <wp:extent cx="3873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-1826895</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-1826895</wp:posOffset>
            </wp:positionV>
            <wp:extent cx="2159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-1826895</wp:posOffset>
            </wp:positionV>
            <wp:extent cx="3873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-1826895</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-1826895</wp:posOffset>
            </wp:positionV>
            <wp:extent cx="2159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-1826895</wp:posOffset>
            </wp:positionV>
            <wp:extent cx="3873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-1826895</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-1826895</wp:posOffset>
            </wp:positionV>
            <wp:extent cx="2159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-1826895</wp:posOffset>
            </wp:positionV>
            <wp:extent cx="3873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-1526540</wp:posOffset>
            </wp:positionV>
            <wp:extent cx="49276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-1526540</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-1526540</wp:posOffset>
            </wp:positionV>
            <wp:extent cx="2159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-1526540</wp:posOffset>
            </wp:positionV>
            <wp:extent cx="3873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-1526540</wp:posOffset>
            </wp:positionV>
            <wp:extent cx="34734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-1526540</wp:posOffset>
            </wp:positionV>
            <wp:extent cx="1270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-1526540</wp:posOffset>
            </wp:positionV>
            <wp:extent cx="2159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-1526540</wp:posOffset>
            </wp:positionV>
            <wp:extent cx="38735"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-1226185</wp:posOffset>
            </wp:positionV>
            <wp:extent cx="49276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-1226185</wp:posOffset>
            </wp:positionV>
            <wp:extent cx="3302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-1226185</wp:posOffset>
            </wp:positionV>
            <wp:extent cx="1179195"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179195"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-926465</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-926465</wp:posOffset>
            </wp:positionV>
            <wp:extent cx="2159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-926465</wp:posOffset>
            </wp:positionV>
            <wp:extent cx="3873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-926465</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-926465</wp:posOffset>
            </wp:positionV>
            <wp:extent cx="2159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-926465</wp:posOffset>
            </wp:positionV>
            <wp:extent cx="38735"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-926465</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-926465</wp:posOffset>
            </wp:positionV>
            <wp:extent cx="2159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-926465</wp:posOffset>
            </wp:positionV>
            <wp:extent cx="3873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-926465</wp:posOffset>
            </wp:positionV>
            <wp:extent cx="53594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-626110</wp:posOffset>
            </wp:positionV>
            <wp:extent cx="1270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-626110</wp:posOffset>
            </wp:positionV>
            <wp:extent cx="2159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-626110</wp:posOffset>
            </wp:positionV>
            <wp:extent cx="38735"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-626110</wp:posOffset>
            </wp:positionV>
            <wp:extent cx="3302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-626110</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-626110</wp:posOffset>
            </wp:positionV>
            <wp:extent cx="2159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-626110</wp:posOffset>
            </wp:positionV>
            <wp:extent cx="3873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-626110</wp:posOffset>
            </wp:positionV>
            <wp:extent cx="53594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-325755</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-325755</wp:posOffset>
            </wp:positionV>
            <wp:extent cx="2159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-325755</wp:posOffset>
            </wp:positionV>
            <wp:extent cx="38735"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-325755</wp:posOffset>
            </wp:positionV>
            <wp:extent cx="33020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-325755</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-325755</wp:posOffset>
            </wp:positionV>
            <wp:extent cx="2159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-325755</wp:posOffset>
            </wp:positionV>
            <wp:extent cx="38735"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-325755</wp:posOffset>
            </wp:positionV>
            <wp:extent cx="2159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3873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20"/>
          </w:cols>
          <w:pgMar w:left="24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summarizes the effect of PAFCO on our consolidated financial position, after elimination of all significant intercompany accounts (in thousands):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5"/>
          </w:tcPr>
          <w:p>
            <w:pPr>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720" w:type="dxa"/>
            <w:vAlign w:val="bottom"/>
            <w:gridSpan w:val="3"/>
          </w:tcPr>
          <w:p>
            <w:pPr>
              <w:ind w:left="400"/>
              <w:spacing w:after="0"/>
              <w:rPr>
                <w:sz w:val="20"/>
                <w:szCs w:val="20"/>
                <w:color w:val="auto"/>
              </w:rPr>
            </w:pPr>
            <w:r>
              <w:rPr>
                <w:rFonts w:ascii="Arial" w:cs="Arial" w:eastAsia="Arial" w:hAnsi="Arial"/>
                <w:sz w:val="14"/>
                <w:szCs w:val="14"/>
                <w:b w:val="1"/>
                <w:bCs w:val="1"/>
                <w:color w:val="auto"/>
                <w:w w:val="96"/>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3,039</w:t>
            </w:r>
          </w:p>
        </w:tc>
        <w:tc>
          <w:tcPr>
            <w:tcW w:w="7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Accounts and notes receivable</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4,311</w:t>
            </w:r>
          </w:p>
        </w:tc>
        <w:tc>
          <w:tcPr>
            <w:tcW w:w="7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2,740</w:t>
            </w:r>
          </w:p>
        </w:tc>
        <w:tc>
          <w:tcPr>
            <w:tcW w:w="7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10,782</w:t>
            </w:r>
          </w:p>
        </w:tc>
        <w:tc>
          <w:tcPr>
            <w:tcW w:w="7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10,782</w:t>
            </w:r>
          </w:p>
        </w:tc>
        <w:tc>
          <w:tcPr>
            <w:tcW w:w="7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-1229995</wp:posOffset>
            </wp:positionV>
            <wp:extent cx="1270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-1229995</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-1229995</wp:posOffset>
            </wp:positionV>
            <wp:extent cx="2159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-1229995</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-1229995</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-1229995</wp:posOffset>
            </wp:positionV>
            <wp:extent cx="2159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-929640</wp:posOffset>
            </wp:positionV>
            <wp:extent cx="372745"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-929640</wp:posOffset>
            </wp:positionV>
            <wp:extent cx="235585"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-629285</wp:posOffset>
            </wp:positionV>
            <wp:extent cx="1270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-629285</wp:posOffset>
            </wp:positionV>
            <wp:extent cx="1270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-629285</wp:posOffset>
            </wp:positionV>
            <wp:extent cx="2159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-629285</wp:posOffset>
            </wp:positionV>
            <wp:extent cx="1270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-629285</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-629285</wp:posOffset>
            </wp:positionV>
            <wp:extent cx="2159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-329565</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-329565</wp:posOffset>
            </wp:positionV>
            <wp:extent cx="1270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-329565</wp:posOffset>
            </wp:positionV>
            <wp:extent cx="2159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-329565</wp:posOffset>
            </wp:positionV>
            <wp:extent cx="23558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372745"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2159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Included in Accounts and notes receivable, as of December 31, 2004, were net receivables due from Signature, a related party, of $768 thousand, net of certain accounts payable and minority interest payable. For the year ended December 31, 2004, sales to Signature from PAFCO amounted to $131.1 million for the year ended December 31, 2004. In addition to PAFCO’s sales to Signature, in the normal course of business, we utilize Signature and Aircraft Service International Group (“ASIG”), a sister company of Signature, as subcontractors to provide various services to customers, including into-plane fueling at airports, and transportation and storage of fuel and fuel products. These activities with Signature and ASIG were not considered to be significant.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Settlement Charge Related to the Sale of Business</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February 2000, we sold the stock of our oil-recycling subsidiaries, the International Petroleum Corporation group (“IPC”), to EarthCare Company (“EarthCare”), for $33.0 million, of which we received $28.0 million in cash and $5.0 million in EarthCare common stock, subject to lock-up and price protection agreements. In addition, after the sale, EarthCare was to pay us the value of certain assets employed in the oil-recycling business through the collection of our accounts receivable by EarthCare and the sale of inventory, prepaid expenses and other assets to EarthCare. EarthCare failed to pay us the amounts due after closing of the sale, and we commenced legal proceedings to collect these amounts. In March 2001, we entered into a settlement agreement with EarthCare (the “Settlement Agreement”). Pursuant to this settlement, in April 2001, we received $1.75 million from EarthCare in settlement of amounts due to us. The Settlement Agreement also released us from all indemnifications previously provided to EarthCare, including environmental indemnifications, as stated in the original purchase agreement for the IPC companies. The settlement resulted in a reduction in the amount of assets we ultimately realized in connection with the discontinuance of our used oil-recycling business, which amounted to an after-tax charge of $656 thousand. In addition, we also recorded additional income taxes of $496 thousand associated with the discontinued operations based on the actual income tax returns filed. The after-tax settlement charge and the additional income taxes was recorded in 2001.</w:t>
      </w:r>
    </w:p>
    <w:p>
      <w:pPr>
        <w:spacing w:after="0" w:line="11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part of the Settlement Agreement, Donald F. Moorehead, Jr., Chairman of EarthCare on the closing of the sale, agreed to purchase the EarthCare stock owned by us for approximately $5.0 million. In May 2001, Mr. Moorehead defaulted on his agreement to purchase those shares. We sought enforcement of the purchase obligation and received principal and interest payments totaling $1.1 million from Mr. Moorehead from August 2001 to August 2002. Then, in October 2002, we received $3.0 million as a final payment to settle the remaining balance due us. Accordingly, in connection with the settlement, we recorded a charge of approximately $1.6 million for the nine months and year ended December 31, 2002.</w:t>
      </w:r>
    </w:p>
    <w:p>
      <w:pPr>
        <w:spacing w:after="0" w:line="96" w:lineRule="exact"/>
        <w:rPr>
          <w:sz w:val="20"/>
          <w:szCs w:val="20"/>
          <w:color w:val="auto"/>
        </w:rPr>
      </w:pPr>
    </w:p>
    <w:p>
      <w:pPr>
        <w:ind w:right="6140" w:firstLine="8"/>
        <w:spacing w:after="0" w:line="332" w:lineRule="auto"/>
        <w:tabs>
          <w:tab w:leader="none" w:pos="17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 Geographic Information, and Major Customers Business Segments</w:t>
      </w:r>
    </w:p>
    <w:p>
      <w:pPr>
        <w:spacing w:after="0" w:line="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market fuel and related services, and have two reportable operating segments: marine and aviation fuel services. Performance measurement and resource allocation for the reportable operating segments are based on many factors. Corporate expenses are allocated to the segments based on usage, where possible, or on other factors according to the nature of the activity. The accounting policies of the reportable operating segments are the same as those described in the Summary of Significant Accounting Policies (see Note 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67 of 72</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Information concerning our revenue, income from operations, depreciation and amortization, and capital expenditures by business segment is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6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87"/>
              </w:rPr>
              <w:t>For the Year ended December 31,</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2003</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2002</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center"/>
              <w:ind w:right="36"/>
              <w:spacing w:after="0"/>
              <w:rPr>
                <w:sz w:val="20"/>
                <w:szCs w:val="20"/>
                <w:color w:val="auto"/>
              </w:rPr>
            </w:pPr>
            <w:r>
              <w:rPr>
                <w:rFonts w:ascii="Arial" w:cs="Arial" w:eastAsia="Arial" w:hAnsi="Arial"/>
                <w:sz w:val="14"/>
                <w:szCs w:val="14"/>
                <w:b w:val="1"/>
                <w:bCs w:val="1"/>
                <w:color w:val="auto"/>
                <w:w w:val="83"/>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Restated</w:t>
            </w:r>
          </w:p>
        </w:tc>
        <w:tc>
          <w:tcPr>
            <w:tcW w:w="80" w:type="dxa"/>
            <w:vAlign w:val="bottom"/>
          </w:tcPr>
          <w:p>
            <w:pPr>
              <w:spacing w:after="0"/>
              <w:rPr>
                <w:sz w:val="20"/>
                <w:szCs w:val="20"/>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Restated</w:t>
            </w:r>
          </w:p>
        </w:tc>
        <w:tc>
          <w:tcPr>
            <w:tcW w:w="100" w:type="dxa"/>
            <w:vAlign w:val="bottom"/>
          </w:tcPr>
          <w:p>
            <w:pPr>
              <w:spacing w:after="0"/>
              <w:rPr>
                <w:sz w:val="20"/>
                <w:szCs w:val="20"/>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420"/>
              <w:spacing w:after="0"/>
              <w:rPr>
                <w:sz w:val="20"/>
                <w:szCs w:val="20"/>
                <w:color w:val="auto"/>
              </w:rPr>
            </w:pPr>
            <w:r>
              <w:rPr>
                <w:rFonts w:ascii="Arial" w:cs="Arial" w:eastAsia="Arial" w:hAnsi="Arial"/>
                <w:sz w:val="18"/>
                <w:szCs w:val="18"/>
                <w:color w:val="auto"/>
              </w:rPr>
              <w:t>Marine fuel services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3,031,474</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1,644,598</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1,287,417</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1,033,664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Aviation fuel services</w:t>
            </w:r>
          </w:p>
        </w:tc>
        <w:tc>
          <w:tcPr>
            <w:tcW w:w="3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2,622,899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1,026,959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3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5,654,373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2,671,557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1,904,365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1,551,707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00" w:type="dxa"/>
            <w:vAlign w:val="bottom"/>
          </w:tcPr>
          <w:p>
            <w:pPr>
              <w:spacing w:after="0"/>
              <w:rPr>
                <w:sz w:val="9"/>
                <w:szCs w:val="9"/>
                <w:color w:val="auto"/>
              </w:rPr>
            </w:pPr>
          </w:p>
        </w:tc>
        <w:tc>
          <w:tcPr>
            <w:tcW w:w="3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420"/>
              <w:spacing w:after="0"/>
              <w:rPr>
                <w:sz w:val="20"/>
                <w:szCs w:val="20"/>
                <w:color w:val="auto"/>
              </w:rPr>
            </w:pPr>
            <w:r>
              <w:rPr>
                <w:rFonts w:ascii="Arial" w:cs="Arial" w:eastAsia="Arial" w:hAnsi="Arial"/>
                <w:sz w:val="18"/>
                <w:szCs w:val="18"/>
                <w:color w:val="auto"/>
              </w:rPr>
              <w:t>Marine fuel services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23,150</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18,476</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13,366</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10,179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Aviation fuel services</w:t>
            </w:r>
          </w:p>
        </w:tc>
        <w:tc>
          <w:tcPr>
            <w:tcW w:w="3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3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420"/>
              <w:spacing w:after="0"/>
              <w:rPr>
                <w:sz w:val="20"/>
                <w:szCs w:val="20"/>
                <w:color w:val="auto"/>
              </w:rPr>
            </w:pPr>
            <w:r>
              <w:rPr>
                <w:rFonts w:ascii="Arial" w:cs="Arial" w:eastAsia="Arial" w:hAnsi="Arial"/>
                <w:sz w:val="18"/>
                <w:szCs w:val="18"/>
                <w:color w:val="auto"/>
              </w:rPr>
              <w:t>Corporate overhead</w:t>
            </w:r>
          </w:p>
        </w:tc>
        <w:tc>
          <w:tcPr>
            <w:tcW w:w="3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(15,267)</w:t>
            </w:r>
          </w:p>
        </w:tc>
        <w:tc>
          <w:tcPr>
            <w:tcW w:w="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(13,104)</w:t>
            </w:r>
          </w:p>
        </w:tc>
        <w:tc>
          <w:tcPr>
            <w:tcW w:w="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(12,301)</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(10,249)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00" w:type="dxa"/>
            <w:vAlign w:val="bottom"/>
          </w:tcPr>
          <w:p>
            <w:pPr>
              <w:spacing w:after="0"/>
              <w:rPr>
                <w:sz w:val="9"/>
                <w:szCs w:val="9"/>
                <w:color w:val="auto"/>
              </w:rPr>
            </w:pPr>
          </w:p>
        </w:tc>
        <w:tc>
          <w:tcPr>
            <w:tcW w:w="3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420"/>
              <w:spacing w:after="0"/>
              <w:rPr>
                <w:sz w:val="20"/>
                <w:szCs w:val="20"/>
                <w:color w:val="auto"/>
              </w:rPr>
            </w:pPr>
            <w:r>
              <w:rPr>
                <w:rFonts w:ascii="Arial" w:cs="Arial" w:eastAsia="Arial" w:hAnsi="Arial"/>
                <w:sz w:val="18"/>
                <w:szCs w:val="18"/>
                <w:color w:val="auto"/>
              </w:rPr>
              <w:t>Marine fuel services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2,036</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1,487</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1,195</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Aviation fuel services</w:t>
            </w:r>
          </w:p>
        </w:tc>
        <w:tc>
          <w:tcPr>
            <w:tcW w:w="3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420"/>
              <w:spacing w:after="0"/>
              <w:rPr>
                <w:sz w:val="20"/>
                <w:szCs w:val="20"/>
                <w:color w:val="auto"/>
              </w:rPr>
            </w:pPr>
            <w:r>
              <w:rPr>
                <w:rFonts w:ascii="Arial" w:cs="Arial" w:eastAsia="Arial" w:hAnsi="Arial"/>
                <w:sz w:val="18"/>
                <w:szCs w:val="18"/>
                <w:color w:val="auto"/>
              </w:rPr>
              <w:t>Corporate</w:t>
            </w:r>
          </w:p>
        </w:tc>
        <w:tc>
          <w:tcPr>
            <w:tcW w:w="3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00" w:type="dxa"/>
            <w:vAlign w:val="bottom"/>
          </w:tcPr>
          <w:p>
            <w:pPr>
              <w:spacing w:after="0"/>
              <w:rPr>
                <w:sz w:val="9"/>
                <w:szCs w:val="9"/>
                <w:color w:val="auto"/>
              </w:rPr>
            </w:pPr>
          </w:p>
        </w:tc>
        <w:tc>
          <w:tcPr>
            <w:tcW w:w="3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w:t>
            </w:r>
          </w:p>
        </w:tc>
        <w:tc>
          <w:tcPr>
            <w:tcW w:w="3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420"/>
              <w:spacing w:after="0"/>
              <w:rPr>
                <w:sz w:val="20"/>
                <w:szCs w:val="20"/>
                <w:color w:val="auto"/>
              </w:rPr>
            </w:pPr>
            <w:r>
              <w:rPr>
                <w:rFonts w:ascii="Arial" w:cs="Arial" w:eastAsia="Arial" w:hAnsi="Arial"/>
                <w:sz w:val="18"/>
                <w:szCs w:val="18"/>
                <w:color w:val="auto"/>
              </w:rPr>
              <w:t>Marine fuel services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574</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490</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1,194</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Aviation fuel services</w:t>
            </w:r>
          </w:p>
        </w:tc>
        <w:tc>
          <w:tcPr>
            <w:tcW w:w="3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420"/>
              <w:spacing w:after="0"/>
              <w:rPr>
                <w:sz w:val="20"/>
                <w:szCs w:val="20"/>
                <w:color w:val="auto"/>
              </w:rPr>
            </w:pPr>
            <w:r>
              <w:rPr>
                <w:rFonts w:ascii="Arial" w:cs="Arial" w:eastAsia="Arial" w:hAnsi="Arial"/>
                <w:sz w:val="18"/>
                <w:szCs w:val="18"/>
                <w:color w:val="auto"/>
              </w:rPr>
              <w:t>Corporate</w:t>
            </w:r>
          </w:p>
        </w:tc>
        <w:tc>
          <w:tcPr>
            <w:tcW w:w="3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80" w:type="dxa"/>
            <w:vAlign w:val="bottom"/>
            <w:gridSpan w:val="2"/>
          </w:tcPr>
          <w:p>
            <w:pPr>
              <w:jc w:val="right"/>
              <w:ind w:right="1200"/>
              <w:spacing w:after="0"/>
              <w:rPr>
                <w:sz w:val="20"/>
                <w:szCs w:val="20"/>
                <w:color w:val="auto"/>
              </w:rPr>
            </w:pPr>
            <w:r>
              <w:rPr>
                <w:rFonts w:ascii="Arial" w:cs="Arial" w:eastAsia="Arial" w:hAnsi="Arial"/>
                <w:sz w:val="18"/>
                <w:szCs w:val="18"/>
                <w:color w:val="auto"/>
              </w:rPr>
              <w:t>Page 68 of 72</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-3593465</wp:posOffset>
            </wp:positionV>
            <wp:extent cx="1270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-3593465</wp:posOffset>
            </wp:positionV>
            <wp:extent cx="2159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-3593465</wp:posOffset>
            </wp:positionV>
            <wp:extent cx="38735"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-3593465</wp:posOffset>
            </wp:positionV>
            <wp:extent cx="1270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-3593465</wp:posOffset>
            </wp:positionV>
            <wp:extent cx="2159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-3593465</wp:posOffset>
            </wp:positionV>
            <wp:extent cx="38735"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-3593465</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-3593465</wp:posOffset>
            </wp:positionV>
            <wp:extent cx="2159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-3593465</wp:posOffset>
            </wp:positionV>
            <wp:extent cx="38735"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-3593465</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-3593465</wp:posOffset>
            </wp:positionV>
            <wp:extent cx="2159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-3593465</wp:posOffset>
            </wp:positionV>
            <wp:extent cx="3873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-2315845</wp:posOffset>
            </wp:positionV>
            <wp:extent cx="127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-2315845</wp:posOffset>
            </wp:positionV>
            <wp:extent cx="2159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-2315845</wp:posOffset>
            </wp:positionV>
            <wp:extent cx="38735"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-2315845</wp:posOffset>
            </wp:positionV>
            <wp:extent cx="1270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-2315845</wp:posOffset>
            </wp:positionV>
            <wp:extent cx="2159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-2315845</wp:posOffset>
            </wp:positionV>
            <wp:extent cx="94742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94742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-2315845</wp:posOffset>
            </wp:positionV>
            <wp:extent cx="38735"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-1320800</wp:posOffset>
            </wp:positionV>
            <wp:extent cx="1270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-1320800</wp:posOffset>
            </wp:positionV>
            <wp:extent cx="2159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-1320800</wp:posOffset>
            </wp:positionV>
            <wp:extent cx="38735"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-1320800</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-1320800</wp:posOffset>
            </wp:positionV>
            <wp:extent cx="2159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-1320800</wp:posOffset>
            </wp:positionV>
            <wp:extent cx="38735"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-1320800</wp:posOffset>
            </wp:positionV>
            <wp:extent cx="1270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-1320800</wp:posOffset>
            </wp:positionV>
            <wp:extent cx="2159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-1320800</wp:posOffset>
            </wp:positionV>
            <wp:extent cx="38735"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-1320800</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-1320800</wp:posOffset>
            </wp:positionV>
            <wp:extent cx="2159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-1320800</wp:posOffset>
            </wp:positionV>
            <wp:extent cx="38735"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-325755</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-325755</wp:posOffset>
            </wp:positionV>
            <wp:extent cx="2159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-325755</wp:posOffset>
            </wp:positionV>
            <wp:extent cx="38735"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-325755</wp:posOffset>
            </wp:positionV>
            <wp:extent cx="1270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-325755</wp:posOffset>
            </wp:positionV>
            <wp:extent cx="2159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38735"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1270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2159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-325755</wp:posOffset>
            </wp:positionV>
            <wp:extent cx="38735"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Information concerning our accounts and notes receivable, goodwill and identifiable intangible assets, and total assets by business segment is as follows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6"/>
          </w:tcPr>
          <w:p>
            <w:pPr>
              <w:ind w:left="1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13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Accounts and notes receivable,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w w:val="97"/>
              </w:rPr>
              <w:t>Marine fuel services, net of allowance for bad debts of $5,741 and $5,704 at December 31, 2004 and 2003, respectively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330,966</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162,105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Aviation fuel services, net of allowance for bad debts of $5,536 and $4,834 at December 31, 2004 and 2003, respectively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159,814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490,780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243,612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Goodwill and identifiable intangible asset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w w:val="96"/>
              </w:rPr>
              <w:t>Marine fuel services, net of accumulated amortization of $4,345 and $3,167 at December 31, 2004 and 2003, respectively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41,624</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Aviation fuel services, net of accumulated amortization of $1,134 at December 31, 2004 and 2003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49,833</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Marine fuel services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428,651</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228,904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Aviation fuel services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262,223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143,192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21,297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28,754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712,171</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400,850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-1881505</wp:posOffset>
            </wp:positionV>
            <wp:extent cx="1270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-1881505</wp:posOffset>
            </wp:positionV>
            <wp:extent cx="98171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98171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-1024255</wp:posOffset>
            </wp:positionV>
            <wp:extent cx="1033145"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03314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98171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98171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8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Information concerning our operations, as segregated between U.S. and foreign, is presented as follows, based on the country of incorporation of the relevant subsidiary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For the 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7"/>
              </w:rPr>
              <w:t>For the Year ended December 31,</w:t>
            </w:r>
          </w:p>
        </w:tc>
        <w:tc>
          <w:tcPr>
            <w:tcW w:w="120" w:type="dxa"/>
            <w:vAlign w:val="bottom"/>
          </w:tcPr>
          <w:p>
            <w:pPr>
              <w:spacing w:after="0"/>
              <w:rPr>
                <w:sz w:val="15"/>
                <w:szCs w:val="15"/>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2003</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2002</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center"/>
              <w:ind w:right="38"/>
              <w:spacing w:after="0"/>
              <w:rPr>
                <w:sz w:val="20"/>
                <w:szCs w:val="20"/>
                <w:color w:val="auto"/>
              </w:rPr>
            </w:pPr>
            <w:r>
              <w:rPr>
                <w:rFonts w:ascii="Arial" w:cs="Arial" w:eastAsia="Arial" w:hAnsi="Arial"/>
                <w:sz w:val="14"/>
                <w:szCs w:val="14"/>
                <w:b w:val="1"/>
                <w:bCs w:val="1"/>
                <w:color w:val="auto"/>
                <w:w w:val="83"/>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Restated</w:t>
            </w:r>
          </w:p>
        </w:tc>
        <w:tc>
          <w:tcPr>
            <w:tcW w:w="80" w:type="dxa"/>
            <w:vAlign w:val="bottom"/>
          </w:tcPr>
          <w:p>
            <w:pPr>
              <w:spacing w:after="0"/>
              <w:rPr>
                <w:sz w:val="20"/>
                <w:szCs w:val="2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Restated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2,441,973</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1,178,418</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1,040,143</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840,869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Singapore</w:t>
            </w:r>
          </w:p>
        </w:tc>
        <w:tc>
          <w:tcPr>
            <w:tcW w:w="3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1,726,072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United Kingdom</w:t>
            </w:r>
          </w:p>
        </w:tc>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893,118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278,676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244,844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foreign countries</w:t>
            </w:r>
          </w:p>
        </w:tc>
        <w:tc>
          <w:tcPr>
            <w:tcW w:w="3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593,210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425,362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3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5,654,373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2,671,557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1,904,365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1,551,707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3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(6,708)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(5,598)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Singapore</w:t>
            </w:r>
          </w:p>
        </w:tc>
        <w:tc>
          <w:tcPr>
            <w:tcW w:w="3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United Kingdom</w:t>
            </w:r>
          </w:p>
        </w:tc>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4,205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5,708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foreign countries</w:t>
            </w:r>
          </w:p>
        </w:tc>
        <w:tc>
          <w:tcPr>
            <w:tcW w:w="3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3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700" w:type="dxa"/>
            <w:vAlign w:val="bottom"/>
            <w:gridSpan w:val="2"/>
          </w:tcPr>
          <w:p>
            <w:pPr>
              <w:jc w:val="right"/>
              <w:ind w:right="1200"/>
              <w:spacing w:after="0"/>
              <w:rPr>
                <w:sz w:val="20"/>
                <w:szCs w:val="20"/>
                <w:color w:val="auto"/>
              </w:rPr>
            </w:pPr>
            <w:r>
              <w:rPr>
                <w:rFonts w:ascii="Arial" w:cs="Arial" w:eastAsia="Arial" w:hAnsi="Arial"/>
                <w:sz w:val="18"/>
                <w:szCs w:val="18"/>
                <w:color w:val="auto"/>
              </w:rPr>
              <w:t>Page 69 of 72</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-1457960</wp:posOffset>
            </wp:positionV>
            <wp:extent cx="758825"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5882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-1457960</wp:posOffset>
            </wp:positionV>
            <wp:extent cx="1410335"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41033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-325755</wp:posOffset>
            </wp:positionV>
            <wp:extent cx="1270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-325755</wp:posOffset>
            </wp:positionV>
            <wp:extent cx="2159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-325755</wp:posOffset>
            </wp:positionV>
            <wp:extent cx="94742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94742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-325755</wp:posOffset>
            </wp:positionV>
            <wp:extent cx="724535"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45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Our total assets segregated between U.S. and foreign, is presented as follows, based on the country of incorporation of the relevant subsidiary (in thousands):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3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6"/>
              </w:rPr>
              <w:t>As of December 31,</w:t>
            </w:r>
          </w:p>
        </w:tc>
      </w:tr>
      <w:tr>
        <w:trPr>
          <w:trHeight w:val="95"/>
        </w:trPr>
        <w:tc>
          <w:tcPr>
            <w:tcW w:w="53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263"/>
        </w:trPr>
        <w:tc>
          <w:tcPr>
            <w:tcW w:w="5340" w:type="dxa"/>
            <w:vAlign w:val="bottom"/>
          </w:tcPr>
          <w:p>
            <w:pPr>
              <w:spacing w:after="0"/>
              <w:rPr>
                <w:sz w:val="22"/>
                <w:szCs w:val="22"/>
                <w:color w:val="auto"/>
              </w:rPr>
            </w:pPr>
          </w:p>
        </w:tc>
        <w:tc>
          <w:tcPr>
            <w:tcW w:w="396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2003</w:t>
            </w:r>
          </w:p>
        </w:tc>
      </w:tr>
      <w:tr>
        <w:trPr>
          <w:trHeight w:val="95"/>
        </w:trPr>
        <w:tc>
          <w:tcPr>
            <w:tcW w:w="53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250"/>
        </w:trPr>
        <w:tc>
          <w:tcPr>
            <w:tcW w:w="53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Restated</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3960" w:type="dxa"/>
            <w:vAlign w:val="bottom"/>
            <w:gridSpan w:val="3"/>
          </w:tcPr>
          <w:p>
            <w:pPr>
              <w:jc w:val="right"/>
              <w:spacing w:after="0"/>
              <w:rPr>
                <w:sz w:val="20"/>
                <w:szCs w:val="20"/>
                <w:color w:val="auto"/>
              </w:rPr>
            </w:pPr>
            <w:r>
              <w:rPr>
                <w:rFonts w:ascii="Arial" w:cs="Arial" w:eastAsia="Arial" w:hAnsi="Arial"/>
                <w:sz w:val="18"/>
                <w:szCs w:val="18"/>
                <w:color w:val="auto"/>
              </w:rPr>
              <w:t>$270,659</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$177,815</w:t>
            </w: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Singapore</w:t>
            </w:r>
          </w:p>
        </w:tc>
        <w:tc>
          <w:tcPr>
            <w:tcW w:w="3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179,116</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105,093</w:t>
            </w: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United Kingdom</w:t>
            </w:r>
          </w:p>
        </w:tc>
        <w:tc>
          <w:tcPr>
            <w:tcW w:w="3960" w:type="dxa"/>
            <w:vAlign w:val="bottom"/>
            <w:gridSpan w:val="3"/>
          </w:tcPr>
          <w:p>
            <w:pPr>
              <w:jc w:val="right"/>
              <w:spacing w:after="0"/>
              <w:rPr>
                <w:sz w:val="20"/>
                <w:szCs w:val="20"/>
                <w:color w:val="auto"/>
              </w:rPr>
            </w:pPr>
            <w:r>
              <w:rPr>
                <w:rFonts w:ascii="Arial" w:cs="Arial" w:eastAsia="Arial" w:hAnsi="Arial"/>
                <w:sz w:val="18"/>
                <w:szCs w:val="18"/>
                <w:color w:val="auto"/>
              </w:rPr>
              <w:t>178,609</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45,636</w:t>
            </w: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foreign countries</w:t>
            </w:r>
          </w:p>
        </w:tc>
        <w:tc>
          <w:tcPr>
            <w:tcW w:w="3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83,787</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72,306</w:t>
            </w:r>
          </w:p>
        </w:tc>
      </w:tr>
      <w:tr>
        <w:trPr>
          <w:trHeight w:val="108"/>
        </w:trPr>
        <w:tc>
          <w:tcPr>
            <w:tcW w:w="534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r>
      <w:tr>
        <w:trPr>
          <w:trHeight w:val="102"/>
        </w:trPr>
        <w:tc>
          <w:tcPr>
            <w:tcW w:w="53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5340" w:type="dxa"/>
            <w:vAlign w:val="bottom"/>
            <w:shd w:val="clear" w:color="auto" w:fill="CCEEFF"/>
          </w:tcPr>
          <w:p>
            <w:pPr>
              <w:spacing w:after="0"/>
              <w:rPr>
                <w:sz w:val="18"/>
                <w:szCs w:val="18"/>
                <w:color w:val="auto"/>
              </w:rPr>
            </w:pPr>
          </w:p>
        </w:tc>
        <w:tc>
          <w:tcPr>
            <w:tcW w:w="3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$712,171</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$400,850</w:t>
            </w:r>
          </w:p>
        </w:tc>
      </w:tr>
      <w:tr>
        <w:trPr>
          <w:trHeight w:val="129"/>
        </w:trPr>
        <w:tc>
          <w:tcPr>
            <w:tcW w:w="53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-27305</wp:posOffset>
            </wp:positionV>
            <wp:extent cx="1050290"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050290" cy="298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each of the periods presented on the consolidated statements of income, none of our customers accounted for more than 10% of total consolidated revenue.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Summary Quarterly Information (Unaudited)</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unaudited quarterly results for the year ended December 31, 2003 and the unaudited results for the three months ended March 31, 2004, June 30, 2004, and September 30, 2004 have been restated to reflect the correction of the cutoff procedures used by the Company for recognizing sales and sales related costs. Under the corrected cutoff procedures, revenues and sales related costs are recognized at the time fuel deliveries are made and related services are performed. Because we contract with third parties for fuel deliveries and related services performance, this causes delays in our receiving the necessary information for invoicing. As a result of these delays, the Company had historically recorded revenue and sales related costs when supporting documentation relating to fuel deliveries and related services had been received from third parties. In addition, the restated quarterly amounts reflect the correction of inventory derivative accounting. The impact of the restatement for inventory derivative accounting related to timing between the four quarters of 2003 and 2004. There was no impact on the full year 2003 and a minor impact on the full year 2004.</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the previously reported and restated unaudited results for the three months ended March 31, 2004, June 30, 2004,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2004 and the unaudited results for the three months ended December 31, 2004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3"/>
              </w:rPr>
              <w:t>For the Three Months ended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5"/>
          </w:tcPr>
          <w:p>
            <w:pPr>
              <w:jc w:val="right"/>
              <w:ind w:right="256"/>
              <w:spacing w:after="0"/>
              <w:rPr>
                <w:sz w:val="20"/>
                <w:szCs w:val="20"/>
                <w:color w:val="auto"/>
              </w:rPr>
            </w:pPr>
            <w:r>
              <w:rPr>
                <w:rFonts w:ascii="Arial" w:cs="Arial" w:eastAsia="Arial" w:hAnsi="Arial"/>
                <w:sz w:val="14"/>
                <w:szCs w:val="14"/>
                <w:b w:val="1"/>
                <w:bCs w:val="1"/>
                <w:color w:val="auto"/>
              </w:rPr>
              <w:t>March 31, 2004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gridSpan w:val="4"/>
          </w:tcPr>
          <w:p>
            <w:pPr>
              <w:jc w:val="right"/>
              <w:ind w:right="436"/>
              <w:spacing w:after="0"/>
              <w:rPr>
                <w:sz w:val="20"/>
                <w:szCs w:val="20"/>
                <w:color w:val="auto"/>
              </w:rPr>
            </w:pPr>
            <w:r>
              <w:rPr>
                <w:rFonts w:ascii="Arial" w:cs="Arial" w:eastAsia="Arial" w:hAnsi="Arial"/>
                <w:sz w:val="14"/>
                <w:szCs w:val="14"/>
                <w:b w:val="1"/>
                <w:bCs w:val="1"/>
                <w:color w:val="auto"/>
              </w:rPr>
              <w:t>June 30, 2004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rPr>
              <w:t>September 30, 2004</w:t>
            </w:r>
          </w:p>
        </w:tc>
        <w:tc>
          <w:tcPr>
            <w:tcW w:w="220" w:type="dxa"/>
            <w:vAlign w:val="bottom"/>
          </w:tcPr>
          <w:p>
            <w:pPr>
              <w:spacing w:after="0"/>
              <w:rPr>
                <w:sz w:val="22"/>
                <w:szCs w:val="22"/>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7"/>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Previously</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4"/>
                <w:szCs w:val="14"/>
                <w:b w:val="1"/>
                <w:bCs w:val="1"/>
                <w:color w:val="auto"/>
                <w:w w:val="81"/>
              </w:rPr>
              <w:t>Previously</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4"/>
                <w:szCs w:val="14"/>
                <w:b w:val="1"/>
                <w:bCs w:val="1"/>
                <w:color w:val="auto"/>
                <w:w w:val="84"/>
              </w:rPr>
              <w:t>Previously</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Reported</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6"/>
              <w:spacing w:after="0"/>
              <w:rPr>
                <w:sz w:val="20"/>
                <w:szCs w:val="20"/>
                <w:color w:val="auto"/>
              </w:rPr>
            </w:pPr>
            <w:r>
              <w:rPr>
                <w:rFonts w:ascii="Arial" w:cs="Arial" w:eastAsia="Arial" w:hAnsi="Arial"/>
                <w:sz w:val="14"/>
                <w:szCs w:val="14"/>
                <w:b w:val="1"/>
                <w:bCs w:val="1"/>
                <w:color w:val="auto"/>
                <w:w w:val="81"/>
              </w:rPr>
              <w:t>Restated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40"/>
              <w:spacing w:after="0"/>
              <w:rPr>
                <w:sz w:val="20"/>
                <w:szCs w:val="20"/>
                <w:color w:val="auto"/>
              </w:rPr>
            </w:pPr>
            <w:r>
              <w:rPr>
                <w:rFonts w:ascii="Arial" w:cs="Arial" w:eastAsia="Arial" w:hAnsi="Arial"/>
                <w:sz w:val="14"/>
                <w:szCs w:val="14"/>
                <w:b w:val="1"/>
                <w:bCs w:val="1"/>
                <w:color w:val="auto"/>
                <w:w w:val="91"/>
              </w:rPr>
              <w:t>Reported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76"/>
              <w:spacing w:after="0"/>
              <w:rPr>
                <w:sz w:val="20"/>
                <w:szCs w:val="20"/>
                <w:color w:val="auto"/>
              </w:rPr>
            </w:pPr>
            <w:r>
              <w:rPr>
                <w:rFonts w:ascii="Arial" w:cs="Arial" w:eastAsia="Arial" w:hAnsi="Arial"/>
                <w:sz w:val="14"/>
                <w:szCs w:val="14"/>
                <w:b w:val="1"/>
                <w:bCs w:val="1"/>
                <w:color w:val="auto"/>
                <w:w w:val="91"/>
              </w:rPr>
              <w:t>Restated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60"/>
              <w:spacing w:after="0"/>
              <w:rPr>
                <w:sz w:val="20"/>
                <w:szCs w:val="20"/>
                <w:color w:val="auto"/>
              </w:rPr>
            </w:pPr>
            <w:r>
              <w:rPr>
                <w:rFonts w:ascii="Arial" w:cs="Arial" w:eastAsia="Arial" w:hAnsi="Arial"/>
                <w:sz w:val="14"/>
                <w:szCs w:val="14"/>
                <w:b w:val="1"/>
                <w:bCs w:val="1"/>
                <w:color w:val="auto"/>
                <w:w w:val="91"/>
              </w:rPr>
              <w:t>Reported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76"/>
              <w:spacing w:after="0"/>
              <w:rPr>
                <w:sz w:val="20"/>
                <w:szCs w:val="20"/>
                <w:color w:val="auto"/>
              </w:rPr>
            </w:pPr>
            <w:r>
              <w:rPr>
                <w:rFonts w:ascii="Arial" w:cs="Arial" w:eastAsia="Arial" w:hAnsi="Arial"/>
                <w:sz w:val="14"/>
                <w:szCs w:val="14"/>
                <w:b w:val="1"/>
                <w:bCs w:val="1"/>
                <w:color w:val="auto"/>
                <w:w w:val="91"/>
              </w:rPr>
              <w:t>Restated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911,797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914,596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1,377,378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1,379,956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1,579,371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1,568,974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1,790,847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41,898(1)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10,391(2)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0.46(2)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0.44(2)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-1373505</wp:posOffset>
            </wp:positionV>
            <wp:extent cx="1270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-1373505</wp:posOffset>
            </wp:positionV>
            <wp:extent cx="1270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-1373505</wp:posOffset>
            </wp:positionV>
            <wp:extent cx="2159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-1373505</wp:posOffset>
            </wp:positionV>
            <wp:extent cx="1270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-1373505</wp:posOffset>
            </wp:positionV>
            <wp:extent cx="3914775"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914775" cy="2984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-1073150</wp:posOffset>
            </wp:positionV>
            <wp:extent cx="4531995"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4531995" cy="2984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-773430</wp:posOffset>
            </wp:positionV>
            <wp:extent cx="4531995"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4531995" cy="2984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-473075</wp:posOffset>
            </wp:positionV>
            <wp:extent cx="1270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-473075</wp:posOffset>
            </wp:positionV>
            <wp:extent cx="448056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4480560" cy="2984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-172720</wp:posOffset>
            </wp:positionV>
            <wp:extent cx="12700"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-172720</wp:posOffset>
            </wp:positionV>
            <wp:extent cx="1270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-172720</wp:posOffset>
            </wp:positionV>
            <wp:extent cx="21590"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-172720</wp:posOffset>
            </wp:positionV>
            <wp:extent cx="12700"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-172720</wp:posOffset>
            </wp:positionV>
            <wp:extent cx="1270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-172720</wp:posOffset>
            </wp:positionV>
            <wp:extent cx="2159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-172720</wp:posOffset>
            </wp:positionV>
            <wp:extent cx="12700"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-172720</wp:posOffset>
            </wp:positionV>
            <wp:extent cx="1270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-172720</wp:posOffset>
            </wp:positionV>
            <wp:extent cx="2159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-172720</wp:posOffset>
            </wp:positionV>
            <wp:extent cx="12700"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-172720</wp:posOffset>
            </wp:positionV>
            <wp:extent cx="1270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-172720</wp:posOffset>
            </wp:positionV>
            <wp:extent cx="2159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-172720</wp:posOffset>
            </wp:positionV>
            <wp:extent cx="1270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-172720</wp:posOffset>
            </wp:positionV>
            <wp:extent cx="1270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-172720</wp:posOffset>
            </wp:positionV>
            <wp:extent cx="2159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-172720</wp:posOffset>
            </wp:positionV>
            <wp:extent cx="12700"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-172720</wp:posOffset>
            </wp:positionV>
            <wp:extent cx="12700"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-172720</wp:posOffset>
            </wp:positionV>
            <wp:extent cx="2159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-172720</wp:posOffset>
            </wp:positionV>
            <wp:extent cx="12700"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-172720</wp:posOffset>
            </wp:positionV>
            <wp:extent cx="21590"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-172720</wp:posOffset>
            </wp:positionV>
            <wp:extent cx="38735"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the write-down of inventory associated with the exiting of the Panamanian market of approximately $2.1 million.</w:t>
      </w:r>
    </w:p>
    <w:p>
      <w:pPr>
        <w:spacing w:after="0" w:line="15" w:lineRule="exact"/>
        <w:rPr>
          <w:rFonts w:ascii="Arial" w:cs="Arial" w:eastAsia="Arial" w:hAnsi="Arial"/>
          <w:sz w:val="18"/>
          <w:szCs w:val="18"/>
          <w:color w:val="auto"/>
        </w:rPr>
      </w:pPr>
    </w:p>
    <w:p>
      <w:pPr>
        <w:ind w:left="460" w:right="6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a charge of $824 thousand, or $0.04 per basic and diluted share, relating to an inventory write-down associated with the exiting of the Panamanian market, net of taxes and reduced performance based compensation.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70 of 72</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following is a summary of the previously reported and restated unaudited quarterly results for the year ended December 31, 2003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9"/>
          </w:tcPr>
          <w:p>
            <w:pPr>
              <w:ind w:left="20"/>
              <w:spacing w:after="0"/>
              <w:rPr>
                <w:sz w:val="20"/>
                <w:szCs w:val="20"/>
                <w:color w:val="auto"/>
              </w:rPr>
            </w:pPr>
            <w:r>
              <w:rPr>
                <w:rFonts w:ascii="Arial" w:cs="Arial" w:eastAsia="Arial" w:hAnsi="Arial"/>
                <w:sz w:val="14"/>
                <w:szCs w:val="14"/>
                <w:b w:val="1"/>
                <w:bCs w:val="1"/>
                <w:color w:val="auto"/>
                <w:w w:val="88"/>
              </w:rPr>
              <w:t>For the Three Months ended</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March 31, 2003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7"/>
          </w:tcPr>
          <w:p>
            <w:pPr>
              <w:ind w:left="260"/>
              <w:spacing w:after="0"/>
              <w:rPr>
                <w:sz w:val="20"/>
                <w:szCs w:val="20"/>
                <w:color w:val="auto"/>
              </w:rPr>
            </w:pPr>
            <w:r>
              <w:rPr>
                <w:rFonts w:ascii="Arial" w:cs="Arial" w:eastAsia="Arial" w:hAnsi="Arial"/>
                <w:sz w:val="14"/>
                <w:szCs w:val="14"/>
                <w:b w:val="1"/>
                <w:bCs w:val="1"/>
                <w:color w:val="auto"/>
              </w:rPr>
              <w:t>June 30, 2003</w:t>
            </w:r>
          </w:p>
        </w:tc>
        <w:tc>
          <w:tcPr>
            <w:tcW w:w="80" w:type="dxa"/>
            <w:vAlign w:val="bottom"/>
          </w:tcPr>
          <w:p>
            <w:pPr>
              <w:spacing w:after="0"/>
              <w:rPr>
                <w:sz w:val="22"/>
                <w:szCs w:val="22"/>
                <w:color w:val="auto"/>
              </w:rPr>
            </w:pPr>
          </w:p>
        </w:tc>
        <w:tc>
          <w:tcPr>
            <w:tcW w:w="1500" w:type="dxa"/>
            <w:vAlign w:val="bottom"/>
            <w:gridSpan w:val="6"/>
          </w:tcPr>
          <w:p>
            <w:pPr>
              <w:ind w:left="100"/>
              <w:spacing w:after="0"/>
              <w:rPr>
                <w:sz w:val="20"/>
                <w:szCs w:val="20"/>
                <w:color w:val="auto"/>
              </w:rPr>
            </w:pPr>
            <w:r>
              <w:rPr>
                <w:rFonts w:ascii="Arial" w:cs="Arial" w:eastAsia="Arial" w:hAnsi="Arial"/>
                <w:sz w:val="14"/>
                <w:szCs w:val="14"/>
                <w:b w:val="1"/>
                <w:bCs w:val="1"/>
                <w:color w:val="auto"/>
              </w:rPr>
              <w:t>September 30, 2003</w:t>
            </w:r>
          </w:p>
        </w:tc>
        <w:tc>
          <w:tcPr>
            <w:tcW w:w="100" w:type="dxa"/>
            <w:vAlign w:val="bottom"/>
          </w:tcPr>
          <w:p>
            <w:pPr>
              <w:spacing w:after="0"/>
              <w:rPr>
                <w:sz w:val="22"/>
                <w:szCs w:val="22"/>
                <w:color w:val="auto"/>
              </w:rPr>
            </w:pPr>
          </w:p>
        </w:tc>
        <w:tc>
          <w:tcPr>
            <w:tcW w:w="1440" w:type="dxa"/>
            <w:vAlign w:val="bottom"/>
            <w:gridSpan w:val="5"/>
          </w:tcPr>
          <w:p>
            <w:pPr>
              <w:ind w:left="120"/>
              <w:spacing w:after="0"/>
              <w:rPr>
                <w:sz w:val="20"/>
                <w:szCs w:val="20"/>
                <w:color w:val="auto"/>
              </w:rPr>
            </w:pPr>
            <w:r>
              <w:rPr>
                <w:rFonts w:ascii="Arial" w:cs="Arial" w:eastAsia="Arial" w:hAnsi="Arial"/>
                <w:sz w:val="14"/>
                <w:szCs w:val="14"/>
                <w:b w:val="1"/>
                <w:bCs w:val="1"/>
                <w:color w:val="auto"/>
              </w:rPr>
              <w:t>December 31,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Previously</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7"/>
              </w:rPr>
              <w:t>Previously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4"/>
              </w:rPr>
              <w:t>Previously</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Previously</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5"/>
                <w:szCs w:val="15"/>
                <w:color w:val="auto"/>
              </w:rPr>
            </w:pPr>
          </w:p>
        </w:tc>
        <w:tc>
          <w:tcPr>
            <w:tcW w:w="600" w:type="dxa"/>
            <w:vAlign w:val="bottom"/>
          </w:tcPr>
          <w:p>
            <w:pPr>
              <w:jc w:val="right"/>
              <w:ind w:right="16"/>
              <w:spacing w:after="0"/>
              <w:rPr>
                <w:sz w:val="20"/>
                <w:szCs w:val="20"/>
                <w:color w:val="auto"/>
              </w:rPr>
            </w:pPr>
            <w:r>
              <w:rPr>
                <w:rFonts w:ascii="Arial" w:cs="Arial" w:eastAsia="Arial" w:hAnsi="Arial"/>
                <w:sz w:val="14"/>
                <w:szCs w:val="14"/>
                <w:b w:val="1"/>
                <w:bCs w:val="1"/>
                <w:color w:val="auto"/>
                <w:w w:val="81"/>
              </w:rPr>
              <w:t>Restated</w:t>
            </w:r>
          </w:p>
        </w:tc>
        <w:tc>
          <w:tcPr>
            <w:tcW w:w="100" w:type="dxa"/>
            <w:vAlign w:val="bottom"/>
          </w:tcPr>
          <w:p>
            <w:pPr>
              <w:spacing w:after="0"/>
              <w:rPr>
                <w:sz w:val="15"/>
                <w:szCs w:val="15"/>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7"/>
              </w:rPr>
              <w:t>Reported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Restated</w:t>
            </w:r>
          </w:p>
        </w:tc>
        <w:tc>
          <w:tcPr>
            <w:tcW w:w="8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Reported</w:t>
            </w: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Restated</w:t>
            </w: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658,000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710,898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645,918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618,937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652,301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629,428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705,571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712,294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25,482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-1229995</wp:posOffset>
            </wp:positionV>
            <wp:extent cx="1270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-1229995</wp:posOffset>
            </wp:positionV>
            <wp:extent cx="1270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-1229995</wp:posOffset>
            </wp:positionV>
            <wp:extent cx="2159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-1229995</wp:posOffset>
            </wp:positionV>
            <wp:extent cx="12700"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-1229995</wp:posOffset>
            </wp:positionV>
            <wp:extent cx="344297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44297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-929640</wp:posOffset>
            </wp:positionV>
            <wp:extent cx="1270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-929640</wp:posOffset>
            </wp:positionV>
            <wp:extent cx="12700"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-929640</wp:posOffset>
            </wp:positionV>
            <wp:extent cx="2159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-929640</wp:posOffset>
            </wp:positionV>
            <wp:extent cx="1270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-929640</wp:posOffset>
            </wp:positionV>
            <wp:extent cx="12700"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-929640</wp:posOffset>
            </wp:positionV>
            <wp:extent cx="21590"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-929640</wp:posOffset>
            </wp:positionV>
            <wp:extent cx="12700"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-929640</wp:posOffset>
            </wp:positionV>
            <wp:extent cx="12700"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-929640</wp:posOffset>
            </wp:positionV>
            <wp:extent cx="21590"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-929640</wp:posOffset>
            </wp:positionV>
            <wp:extent cx="12700"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-929640</wp:posOffset>
            </wp:positionV>
            <wp:extent cx="2430780"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43078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-629285</wp:posOffset>
            </wp:positionV>
            <wp:extent cx="4000500"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400050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-329565</wp:posOffset>
            </wp:positionV>
            <wp:extent cx="12700"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-329565</wp:posOffset>
            </wp:positionV>
            <wp:extent cx="1270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-329565</wp:posOffset>
            </wp:positionV>
            <wp:extent cx="21590"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-329565</wp:posOffset>
            </wp:positionV>
            <wp:extent cx="12700"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-329565</wp:posOffset>
            </wp:positionV>
            <wp:extent cx="344297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44297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-29210</wp:posOffset>
            </wp:positionV>
            <wp:extent cx="1270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-29210</wp:posOffset>
            </wp:positionV>
            <wp:extent cx="3949065"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94906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71 of 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Form 10-K to be signed on its behalf by the undersigned, thereunto duly authorized, on the 30th day of March 2005.</w:t>
      </w:r>
    </w:p>
    <w:p>
      <w:pPr>
        <w:spacing w:after="0" w:line="2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WORLD FUEL SERVICES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74447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J. Kasbar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Director, President, and Chief Operating Officer</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Form 10-K has been signed below by the following persons on behalf of the registrant and in the capacities on the 30th day of March 2005.</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202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r>
      <w:tr>
        <w:trPr>
          <w:trHeight w:val="95"/>
        </w:trPr>
        <w:tc>
          <w:tcPr>
            <w:tcW w:w="760" w:type="dxa"/>
            <w:vAlign w:val="bottom"/>
            <w:tcBorders>
              <w:bottom w:val="single" w:sz="8" w:color="auto"/>
            </w:tcBorders>
          </w:tcPr>
          <w:p>
            <w:pPr>
              <w:spacing w:after="0"/>
              <w:rPr>
                <w:sz w:val="8"/>
                <w:szCs w:val="8"/>
                <w:color w:val="auto"/>
              </w:rPr>
            </w:pPr>
          </w:p>
        </w:tc>
        <w:tc>
          <w:tcPr>
            <w:tcW w:w="30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/s/ Paul H. Stebbins</w:t>
            </w:r>
          </w:p>
        </w:tc>
        <w:tc>
          <w:tcPr>
            <w:tcW w:w="20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92"/>
              </w:rPr>
              <w:t>Chairman of the Board and Chief Executive Officer</w:t>
            </w:r>
          </w:p>
        </w:tc>
      </w:tr>
      <w:tr>
        <w:trPr>
          <w:trHeight w:val="110"/>
        </w:trPr>
        <w:tc>
          <w:tcPr>
            <w:tcW w:w="3800" w:type="dxa"/>
            <w:vAlign w:val="bottom"/>
            <w:tcBorders>
              <w:bottom w:val="single" w:sz="8" w:color="auto"/>
            </w:tcBorders>
            <w:gridSpan w:val="2"/>
          </w:tcPr>
          <w:p>
            <w:pPr>
              <w:spacing w:after="0"/>
              <w:rPr>
                <w:sz w:val="9"/>
                <w:szCs w:val="9"/>
                <w:color w:val="auto"/>
              </w:rPr>
            </w:pPr>
          </w:p>
        </w:tc>
        <w:tc>
          <w:tcPr>
            <w:tcW w:w="2020" w:type="dxa"/>
            <w:vAlign w:val="bottom"/>
          </w:tcPr>
          <w:p>
            <w:pPr>
              <w:spacing w:after="0"/>
              <w:rPr>
                <w:sz w:val="9"/>
                <w:szCs w:val="9"/>
                <w:color w:val="auto"/>
              </w:rPr>
            </w:pPr>
          </w:p>
        </w:tc>
        <w:tc>
          <w:tcPr>
            <w:tcW w:w="3740" w:type="dxa"/>
            <w:vAlign w:val="bottom"/>
            <w:gridSpan w:val="2"/>
          </w:tcPr>
          <w:p>
            <w:pPr>
              <w:spacing w:after="0"/>
              <w:rPr>
                <w:sz w:val="9"/>
                <w:szCs w:val="9"/>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Paul H. Stebbins</w:t>
            </w:r>
          </w:p>
        </w:tc>
        <w:tc>
          <w:tcPr>
            <w:tcW w:w="20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color w:val="auto"/>
              </w:rPr>
              <w:t>/s/ Michael J. Kasbar</w:t>
            </w:r>
          </w:p>
        </w:tc>
        <w:tc>
          <w:tcPr>
            <w:tcW w:w="20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98"/>
              </w:rPr>
              <w:t>Director, President, and Chief Operating Officer</w:t>
            </w:r>
          </w:p>
        </w:tc>
      </w:tr>
      <w:tr>
        <w:trPr>
          <w:trHeight w:val="110"/>
        </w:trPr>
        <w:tc>
          <w:tcPr>
            <w:tcW w:w="3800" w:type="dxa"/>
            <w:vAlign w:val="bottom"/>
            <w:tcBorders>
              <w:bottom w:val="single" w:sz="8" w:color="auto"/>
            </w:tcBorders>
            <w:gridSpan w:val="2"/>
          </w:tcPr>
          <w:p>
            <w:pPr>
              <w:spacing w:after="0"/>
              <w:rPr>
                <w:sz w:val="9"/>
                <w:szCs w:val="9"/>
                <w:color w:val="auto"/>
              </w:rPr>
            </w:pPr>
          </w:p>
        </w:tc>
        <w:tc>
          <w:tcPr>
            <w:tcW w:w="2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340" w:type="dxa"/>
            <w:vAlign w:val="bottom"/>
          </w:tcPr>
          <w:p>
            <w:pPr>
              <w:spacing w:after="0"/>
              <w:rPr>
                <w:sz w:val="9"/>
                <w:szCs w:val="9"/>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Michael J. Kasbar</w:t>
            </w:r>
          </w:p>
        </w:tc>
        <w:tc>
          <w:tcPr>
            <w:tcW w:w="2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color w:val="auto"/>
              </w:rPr>
              <w:t>/s/ Robert S. Tocci</w:t>
            </w:r>
          </w:p>
        </w:tc>
        <w:tc>
          <w:tcPr>
            <w:tcW w:w="20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89"/>
              </w:rPr>
              <w:t>Executive Vice President and Chief Financial Officer</w:t>
            </w:r>
          </w:p>
        </w:tc>
      </w:tr>
      <w:tr>
        <w:trPr>
          <w:trHeight w:val="110"/>
        </w:trPr>
        <w:tc>
          <w:tcPr>
            <w:tcW w:w="3800" w:type="dxa"/>
            <w:vAlign w:val="bottom"/>
            <w:tcBorders>
              <w:bottom w:val="single" w:sz="8" w:color="auto"/>
            </w:tcBorders>
            <w:gridSpan w:val="2"/>
          </w:tcPr>
          <w:p>
            <w:pPr>
              <w:spacing w:after="0"/>
              <w:rPr>
                <w:sz w:val="9"/>
                <w:szCs w:val="9"/>
                <w:color w:val="auto"/>
              </w:rPr>
            </w:pPr>
          </w:p>
        </w:tc>
        <w:tc>
          <w:tcPr>
            <w:tcW w:w="2020" w:type="dxa"/>
            <w:vAlign w:val="bottom"/>
          </w:tcPr>
          <w:p>
            <w:pPr>
              <w:spacing w:after="0"/>
              <w:rPr>
                <w:sz w:val="9"/>
                <w:szCs w:val="9"/>
                <w:color w:val="auto"/>
              </w:rPr>
            </w:pPr>
          </w:p>
        </w:tc>
        <w:tc>
          <w:tcPr>
            <w:tcW w:w="3740" w:type="dxa"/>
            <w:vAlign w:val="bottom"/>
            <w:gridSpan w:val="2"/>
          </w:tcPr>
          <w:p>
            <w:pPr>
              <w:spacing w:after="0"/>
              <w:rPr>
                <w:sz w:val="9"/>
                <w:szCs w:val="9"/>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Robert S. Tocci</w:t>
            </w:r>
          </w:p>
        </w:tc>
        <w:tc>
          <w:tcPr>
            <w:tcW w:w="20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color w:val="auto"/>
              </w:rPr>
              <w:t>/s/ Francis X. Shea</w:t>
            </w:r>
          </w:p>
        </w:tc>
        <w:tc>
          <w:tcPr>
            <w:tcW w:w="20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Executive Vice President and Chief Risk and</w:t>
            </w:r>
          </w:p>
        </w:tc>
      </w:tr>
      <w:tr>
        <w:trPr>
          <w:trHeight w:val="110"/>
        </w:trPr>
        <w:tc>
          <w:tcPr>
            <w:tcW w:w="3800" w:type="dxa"/>
            <w:vAlign w:val="bottom"/>
            <w:tcBorders>
              <w:bottom w:val="single" w:sz="8" w:color="auto"/>
            </w:tcBorders>
            <w:gridSpan w:val="2"/>
          </w:tcPr>
          <w:p>
            <w:pPr>
              <w:spacing w:after="0"/>
              <w:rPr>
                <w:sz w:val="9"/>
                <w:szCs w:val="9"/>
                <w:color w:val="auto"/>
              </w:rPr>
            </w:pPr>
          </w:p>
        </w:tc>
        <w:tc>
          <w:tcPr>
            <w:tcW w:w="2020" w:type="dxa"/>
            <w:vAlign w:val="bottom"/>
          </w:tcPr>
          <w:p>
            <w:pPr>
              <w:spacing w:after="0"/>
              <w:rPr>
                <w:sz w:val="9"/>
                <w:szCs w:val="9"/>
                <w:color w:val="auto"/>
              </w:rPr>
            </w:pPr>
          </w:p>
        </w:tc>
        <w:tc>
          <w:tcPr>
            <w:tcW w:w="3740" w:type="dxa"/>
            <w:vAlign w:val="bottom"/>
            <w:gridSpan w:val="2"/>
          </w:tcPr>
          <w:p>
            <w:pPr>
              <w:spacing w:after="0"/>
              <w:rPr>
                <w:sz w:val="9"/>
                <w:szCs w:val="9"/>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Francis X. Shea</w:t>
            </w:r>
          </w:p>
        </w:tc>
        <w:tc>
          <w:tcPr>
            <w:tcW w:w="20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Administrative Officer</w:t>
            </w: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color w:val="auto"/>
              </w:rPr>
              <w:t>/s/ Ken Bakshi</w:t>
            </w:r>
          </w:p>
        </w:tc>
        <w:tc>
          <w:tcPr>
            <w:tcW w:w="20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110"/>
        </w:trPr>
        <w:tc>
          <w:tcPr>
            <w:tcW w:w="3800" w:type="dxa"/>
            <w:vAlign w:val="bottom"/>
            <w:tcBorders>
              <w:bottom w:val="single" w:sz="8" w:color="auto"/>
            </w:tcBorders>
            <w:gridSpan w:val="2"/>
          </w:tcPr>
          <w:p>
            <w:pPr>
              <w:spacing w:after="0"/>
              <w:rPr>
                <w:sz w:val="9"/>
                <w:szCs w:val="9"/>
                <w:color w:val="auto"/>
              </w:rPr>
            </w:pPr>
          </w:p>
        </w:tc>
        <w:tc>
          <w:tcPr>
            <w:tcW w:w="2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340" w:type="dxa"/>
            <w:vAlign w:val="bottom"/>
          </w:tcPr>
          <w:p>
            <w:pPr>
              <w:spacing w:after="0"/>
              <w:rPr>
                <w:sz w:val="9"/>
                <w:szCs w:val="9"/>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Ken Bakshi</w:t>
            </w:r>
          </w:p>
        </w:tc>
        <w:tc>
          <w:tcPr>
            <w:tcW w:w="2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color w:val="auto"/>
              </w:rPr>
              <w:t>/s/ John R. Benbow</w:t>
            </w:r>
          </w:p>
        </w:tc>
        <w:tc>
          <w:tcPr>
            <w:tcW w:w="20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110"/>
        </w:trPr>
        <w:tc>
          <w:tcPr>
            <w:tcW w:w="3800" w:type="dxa"/>
            <w:vAlign w:val="bottom"/>
            <w:tcBorders>
              <w:bottom w:val="single" w:sz="8" w:color="auto"/>
            </w:tcBorders>
            <w:gridSpan w:val="2"/>
          </w:tcPr>
          <w:p>
            <w:pPr>
              <w:spacing w:after="0"/>
              <w:rPr>
                <w:sz w:val="9"/>
                <w:szCs w:val="9"/>
                <w:color w:val="auto"/>
              </w:rPr>
            </w:pPr>
          </w:p>
        </w:tc>
        <w:tc>
          <w:tcPr>
            <w:tcW w:w="2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340" w:type="dxa"/>
            <w:vAlign w:val="bottom"/>
          </w:tcPr>
          <w:p>
            <w:pPr>
              <w:spacing w:after="0"/>
              <w:rPr>
                <w:sz w:val="9"/>
                <w:szCs w:val="9"/>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John R. Benbow</w:t>
            </w:r>
          </w:p>
        </w:tc>
        <w:tc>
          <w:tcPr>
            <w:tcW w:w="2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color w:val="auto"/>
              </w:rPr>
              <w:t>/s/ Richard A. Kassar</w:t>
            </w:r>
          </w:p>
        </w:tc>
        <w:tc>
          <w:tcPr>
            <w:tcW w:w="20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110"/>
        </w:trPr>
        <w:tc>
          <w:tcPr>
            <w:tcW w:w="3800" w:type="dxa"/>
            <w:vAlign w:val="bottom"/>
            <w:tcBorders>
              <w:bottom w:val="single" w:sz="8" w:color="auto"/>
            </w:tcBorders>
            <w:gridSpan w:val="2"/>
          </w:tcPr>
          <w:p>
            <w:pPr>
              <w:spacing w:after="0"/>
              <w:rPr>
                <w:sz w:val="9"/>
                <w:szCs w:val="9"/>
                <w:color w:val="auto"/>
              </w:rPr>
            </w:pPr>
          </w:p>
        </w:tc>
        <w:tc>
          <w:tcPr>
            <w:tcW w:w="2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340" w:type="dxa"/>
            <w:vAlign w:val="bottom"/>
          </w:tcPr>
          <w:p>
            <w:pPr>
              <w:spacing w:after="0"/>
              <w:rPr>
                <w:sz w:val="9"/>
                <w:szCs w:val="9"/>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Richard A. Kassar</w:t>
            </w:r>
          </w:p>
        </w:tc>
        <w:tc>
          <w:tcPr>
            <w:tcW w:w="2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color w:val="auto"/>
              </w:rPr>
              <w:t>/s/ Myles Klein</w:t>
            </w:r>
          </w:p>
        </w:tc>
        <w:tc>
          <w:tcPr>
            <w:tcW w:w="20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110"/>
        </w:trPr>
        <w:tc>
          <w:tcPr>
            <w:tcW w:w="3800" w:type="dxa"/>
            <w:vAlign w:val="bottom"/>
            <w:tcBorders>
              <w:bottom w:val="single" w:sz="8" w:color="auto"/>
            </w:tcBorders>
            <w:gridSpan w:val="2"/>
          </w:tcPr>
          <w:p>
            <w:pPr>
              <w:spacing w:after="0"/>
              <w:rPr>
                <w:sz w:val="9"/>
                <w:szCs w:val="9"/>
                <w:color w:val="auto"/>
              </w:rPr>
            </w:pPr>
          </w:p>
        </w:tc>
        <w:tc>
          <w:tcPr>
            <w:tcW w:w="2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340" w:type="dxa"/>
            <w:vAlign w:val="bottom"/>
          </w:tcPr>
          <w:p>
            <w:pPr>
              <w:spacing w:after="0"/>
              <w:rPr>
                <w:sz w:val="9"/>
                <w:szCs w:val="9"/>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Myles Klein</w:t>
            </w:r>
          </w:p>
        </w:tc>
        <w:tc>
          <w:tcPr>
            <w:tcW w:w="2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color w:val="auto"/>
              </w:rPr>
              <w:t>/s/ J. Thoms Presby</w:t>
            </w:r>
          </w:p>
        </w:tc>
        <w:tc>
          <w:tcPr>
            <w:tcW w:w="20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110"/>
        </w:trPr>
        <w:tc>
          <w:tcPr>
            <w:tcW w:w="3800" w:type="dxa"/>
            <w:vAlign w:val="bottom"/>
            <w:tcBorders>
              <w:bottom w:val="single" w:sz="8" w:color="auto"/>
            </w:tcBorders>
            <w:gridSpan w:val="2"/>
          </w:tcPr>
          <w:p>
            <w:pPr>
              <w:spacing w:after="0"/>
              <w:rPr>
                <w:sz w:val="9"/>
                <w:szCs w:val="9"/>
                <w:color w:val="auto"/>
              </w:rPr>
            </w:pPr>
          </w:p>
        </w:tc>
        <w:tc>
          <w:tcPr>
            <w:tcW w:w="2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340" w:type="dxa"/>
            <w:vAlign w:val="bottom"/>
          </w:tcPr>
          <w:p>
            <w:pPr>
              <w:spacing w:after="0"/>
              <w:rPr>
                <w:sz w:val="9"/>
                <w:szCs w:val="9"/>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J. Thomas Presby</w:t>
            </w:r>
          </w:p>
        </w:tc>
        <w:tc>
          <w:tcPr>
            <w:tcW w:w="2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color w:val="auto"/>
              </w:rPr>
              <w:t>/s/ Jerome Sidel</w:t>
            </w:r>
          </w:p>
        </w:tc>
        <w:tc>
          <w:tcPr>
            <w:tcW w:w="20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110"/>
        </w:trPr>
        <w:tc>
          <w:tcPr>
            <w:tcW w:w="3800" w:type="dxa"/>
            <w:vAlign w:val="bottom"/>
            <w:tcBorders>
              <w:bottom w:val="single" w:sz="8" w:color="auto"/>
            </w:tcBorders>
            <w:gridSpan w:val="2"/>
          </w:tcPr>
          <w:p>
            <w:pPr>
              <w:spacing w:after="0"/>
              <w:rPr>
                <w:sz w:val="9"/>
                <w:szCs w:val="9"/>
                <w:color w:val="auto"/>
              </w:rPr>
            </w:pPr>
          </w:p>
        </w:tc>
        <w:tc>
          <w:tcPr>
            <w:tcW w:w="2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340" w:type="dxa"/>
            <w:vAlign w:val="bottom"/>
          </w:tcPr>
          <w:p>
            <w:pPr>
              <w:spacing w:after="0"/>
              <w:rPr>
                <w:sz w:val="9"/>
                <w:szCs w:val="9"/>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Jerome Sidel</w:t>
            </w:r>
          </w:p>
        </w:tc>
        <w:tc>
          <w:tcPr>
            <w:tcW w:w="2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color w:val="auto"/>
              </w:rPr>
              <w:t>/s/ Luis R. Tinoco</w:t>
            </w:r>
          </w:p>
        </w:tc>
        <w:tc>
          <w:tcPr>
            <w:tcW w:w="20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110"/>
        </w:trPr>
        <w:tc>
          <w:tcPr>
            <w:tcW w:w="3800" w:type="dxa"/>
            <w:vAlign w:val="bottom"/>
            <w:tcBorders>
              <w:bottom w:val="single" w:sz="8" w:color="auto"/>
            </w:tcBorders>
            <w:gridSpan w:val="2"/>
          </w:tcPr>
          <w:p>
            <w:pPr>
              <w:spacing w:after="0"/>
              <w:rPr>
                <w:sz w:val="9"/>
                <w:szCs w:val="9"/>
                <w:color w:val="auto"/>
              </w:rPr>
            </w:pPr>
          </w:p>
        </w:tc>
        <w:tc>
          <w:tcPr>
            <w:tcW w:w="2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340" w:type="dxa"/>
            <w:vAlign w:val="bottom"/>
          </w:tcPr>
          <w:p>
            <w:pPr>
              <w:spacing w:after="0"/>
              <w:rPr>
                <w:sz w:val="9"/>
                <w:szCs w:val="9"/>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Luis R. Tinoco</w:t>
            </w:r>
          </w:p>
        </w:tc>
        <w:tc>
          <w:tcPr>
            <w:tcW w:w="2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65"/>
        </w:trPr>
        <w:tc>
          <w:tcPr>
            <w:tcW w:w="7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760" w:type="dxa"/>
            <w:vAlign w:val="bottom"/>
            <w:gridSpan w:val="3"/>
          </w:tcPr>
          <w:p>
            <w:pPr>
              <w:ind w:left="1420"/>
              <w:spacing w:after="0"/>
              <w:rPr>
                <w:sz w:val="20"/>
                <w:szCs w:val="20"/>
                <w:color w:val="auto"/>
              </w:rPr>
            </w:pPr>
            <w:r>
              <w:rPr>
                <w:rFonts w:ascii="Arial" w:cs="Arial" w:eastAsia="Arial" w:hAnsi="Arial"/>
                <w:sz w:val="18"/>
                <w:szCs w:val="18"/>
                <w:color w:val="auto"/>
              </w:rPr>
              <w:t>Page 72 of 72</w:t>
            </w:r>
          </w:p>
        </w:tc>
      </w:tr>
    </w:tbl>
    <w:p>
      <w:pPr>
        <w:sectPr>
          <w:pgSz w:w="11900" w:h="16838" w:orient="portrait"/>
          <w:cols w:equalWidth="0" w:num="1">
            <w:col w:w="11260"/>
          </w:cols>
          <w:pgMar w:left="240" w:top="459" w:right="39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4.4</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2001 OMNIBUS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October 26, 2004)</w:t>
      </w:r>
    </w:p>
    <w:p>
      <w:pPr>
        <w:spacing w:after="0" w:line="15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SECTION 1</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GENERAL</w:t>
      </w:r>
    </w:p>
    <w:p>
      <w:pPr>
        <w:spacing w:after="0" w:line="15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Purpose</w:t>
      </w:r>
      <w:r>
        <w:rPr>
          <w:rFonts w:ascii="Arial" w:cs="Arial" w:eastAsia="Arial" w:hAnsi="Arial"/>
          <w:sz w:val="18"/>
          <w:szCs w:val="18"/>
          <w:color w:val="auto"/>
        </w:rPr>
        <w:t>. The World Fuel Services Corporation 2001 Omnibus Plan (the “Plan”) has been established by World Fuel Services Corporation (the “Company”), a Florida corporation, to: (i) attract and retain persons eligible to participate in the Plan; (ii) motivate Participants, by means of appropriate incentives, to achieve long-range goals; (iii) provide incentive compensation opportunities that are competitive with those of other similar companies; and (iv) further identify Participants’ interests with those of the Company’s other shareholders through compensation that is based on the Company’s common stock; and thereby promote the long-term financial interest of the Company and the Subsidiaries, including the growth in value of the Company’s equity and enhancement of long-term shareholder return.</w:t>
      </w:r>
    </w:p>
    <w:p>
      <w:pPr>
        <w:spacing w:after="0" w:line="13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Participation</w:t>
      </w:r>
      <w:r>
        <w:rPr>
          <w:rFonts w:ascii="Arial" w:cs="Arial" w:eastAsia="Arial" w:hAnsi="Arial"/>
          <w:sz w:val="16"/>
          <w:szCs w:val="16"/>
          <w:color w:val="auto"/>
        </w:rPr>
        <w:t>. Subject to the terms and conditions of the Plan, the Committee shall determine and designate, from time to time, from among the Eligible Employees, those persons who will be granted one or more Awards under the Plan, and thereby become “Participants” in the Plan.</w:t>
      </w:r>
    </w:p>
    <w:p>
      <w:pPr>
        <w:spacing w:after="0" w:line="7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Operation, Administration, and Definitions</w:t>
      </w:r>
      <w:r>
        <w:rPr>
          <w:rFonts w:ascii="Arial" w:cs="Arial" w:eastAsia="Arial" w:hAnsi="Arial"/>
          <w:sz w:val="18"/>
          <w:szCs w:val="18"/>
          <w:color w:val="auto"/>
        </w:rPr>
        <w:t>. The operation and administration of the Plan, including the Awards made under the Plan, shall be subject to the provisions of Section 4 (relating to operation and administration). Capitalized terms in the Plan shall be defined as set forth in the Plan (including the definition provisions of Section 8 of the Plan).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OPTIONS AND SARS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77" w:lineRule="exact"/>
        <w:rPr>
          <w:sz w:val="20"/>
          <w:szCs w:val="20"/>
          <w:color w:val="auto"/>
        </w:rPr>
      </w:pPr>
    </w:p>
    <w:p>
      <w:pPr>
        <w:ind w:right="180" w:firstLine="921"/>
        <w:spacing w:after="0" w:line="298" w:lineRule="auto"/>
        <w:tabs>
          <w:tab w:leader="none" w:pos="1148"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grant of an “Option” entitles the Participant to purchase shares of Stock at an Exercise Price established by the Committee. Any Option granted under this Section 2 may be either an incentive stock option (an “ISO”) or a non-qualified stock option (an “NQSO”), as determined in the discretion of the Committee. An “ISO” is an Option that is intended to satisfy the requirements applicable to an “incentive stock option” described in section 422(b) of the Code. An “NQSO” is an Option that is not intended to be an “incentive stock option” as that term is described in section 422(b) of the Code.</w:t>
      </w:r>
    </w:p>
    <w:p>
      <w:pPr>
        <w:spacing w:after="0" w:line="99" w:lineRule="exact"/>
        <w:rPr>
          <w:rFonts w:ascii="Arial" w:cs="Arial" w:eastAsia="Arial" w:hAnsi="Arial"/>
          <w:sz w:val="16"/>
          <w:szCs w:val="16"/>
          <w:color w:val="auto"/>
        </w:rPr>
      </w:pPr>
    </w:p>
    <w:p>
      <w:pPr>
        <w:ind w:right="180" w:firstLine="921"/>
        <w:spacing w:after="0" w:line="306" w:lineRule="auto"/>
        <w:tabs>
          <w:tab w:leader="none" w:pos="1162"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stock appreciation right (an “SAR”) entitles the Participant to receive, in cash or Stock (as determined in accordance with Section 4.7), value equal to (or otherwise based on) the excess of: (a) the Fair Market Value of a specified number of shares of Stock at the time of exercise; over (b) an Exercise Price established by the Committee. Such excess is sometimes referred to herein as the “Award Value” of an Option or SAR.</w:t>
      </w:r>
    </w:p>
    <w:p>
      <w:pPr>
        <w:sectPr>
          <w:pgSz w:w="11900" w:h="16838" w:orient="portrait"/>
          <w:cols w:equalWidth="0" w:num="1">
            <w:col w:w="11420"/>
          </w:cols>
          <w:pgMar w:left="240" w:top="125" w:right="239" w:bottom="1440" w:gutter="0" w:footer="0" w:header="0"/>
        </w:sectPr>
      </w:pPr>
    </w:p>
    <w:bookmarkStart w:id="76" w:name="page77"/>
    <w:bookmarkEnd w:id="76"/>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2.2 </w:t>
      </w: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each Option and SAR granted under this Section 2 shall be established by the Committee or shall be determined by a method established by the Committee at the time the Option or SAR is granted; except that the Exercise Price shall not be less than 100% of the Fair Market Value of a share of Stock on the date of grant (or, if greater, the par value of a share of Stock).</w:t>
      </w:r>
    </w:p>
    <w:p>
      <w:pPr>
        <w:spacing w:after="0" w:line="12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Exercise</w:t>
      </w:r>
      <w:r>
        <w:rPr>
          <w:rFonts w:ascii="Arial" w:cs="Arial" w:eastAsia="Arial" w:hAnsi="Arial"/>
          <w:sz w:val="18"/>
          <w:szCs w:val="18"/>
          <w:color w:val="auto"/>
        </w:rPr>
        <w:t>. An Option and an SAR shall become exercisable in accordance with such terms and conditions and during such periods as may be established by the Committee, but in no event shall the Option remain exercisable after the five-year anniversary of the date of grant.</w:t>
      </w:r>
    </w:p>
    <w:p>
      <w:pPr>
        <w:spacing w:after="0" w:line="11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Payment of Option Exercise Price</w:t>
      </w:r>
      <w:r>
        <w:rPr>
          <w:rFonts w:ascii="Arial" w:cs="Arial" w:eastAsia="Arial" w:hAnsi="Arial"/>
          <w:sz w:val="16"/>
          <w:szCs w:val="16"/>
          <w:color w:val="auto"/>
        </w:rPr>
        <w:t>. The payment of the Exercise Price of an Option granted under this Section 2 shall be subject to the following:</w:t>
      </w:r>
    </w:p>
    <w:p>
      <w:pPr>
        <w:spacing w:after="0" w:line="100" w:lineRule="exact"/>
        <w:rPr>
          <w:sz w:val="20"/>
          <w:szCs w:val="20"/>
          <w:color w:val="auto"/>
        </w:rPr>
      </w:pPr>
    </w:p>
    <w:p>
      <w:pPr>
        <w:ind w:right="200" w:firstLine="921"/>
        <w:spacing w:after="0" w:line="259" w:lineRule="auto"/>
        <w:tabs>
          <w:tab w:leader="none" w:pos="11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the following provisions of this subsection 2.4, the full Exercise Price for shares of Stock purchased upon the exercise of any Option shall be paid at the time of such exercise (except that, in the case of an exercise arrangement approved by the Committee and described in paragraph 2.4(c), payment may be made as soon as practicable after the exercise).</w:t>
      </w:r>
    </w:p>
    <w:p>
      <w:pPr>
        <w:spacing w:after="0" w:line="126" w:lineRule="exact"/>
        <w:rPr>
          <w:rFonts w:ascii="Arial" w:cs="Arial" w:eastAsia="Arial" w:hAnsi="Arial"/>
          <w:sz w:val="18"/>
          <w:szCs w:val="18"/>
          <w:color w:val="auto"/>
        </w:rPr>
      </w:pPr>
    </w:p>
    <w:p>
      <w:pPr>
        <w:ind w:right="80" w:firstLine="921"/>
        <w:spacing w:after="0" w:line="332" w:lineRule="auto"/>
        <w:tabs>
          <w:tab w:leader="none" w:pos="116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Exercise Price shall be payable in cash or by tendering, by either actual delivery of shares or by attestation, shares of Stock acceptable to the Committee, and valued at Fair Market Value as of the day of exercise, or in any combination thereof, as determined by the Committee.</w:t>
      </w:r>
    </w:p>
    <w:p>
      <w:pPr>
        <w:spacing w:after="0" w:line="71" w:lineRule="exact"/>
        <w:rPr>
          <w:rFonts w:ascii="Arial" w:cs="Arial" w:eastAsia="Arial" w:hAnsi="Arial"/>
          <w:sz w:val="16"/>
          <w:szCs w:val="16"/>
          <w:color w:val="auto"/>
        </w:rPr>
      </w:pPr>
    </w:p>
    <w:p>
      <w:pPr>
        <w:ind w:right="40" w:firstLine="921"/>
        <w:spacing w:after="0" w:line="259" w:lineRule="auto"/>
        <w:tabs>
          <w:tab w:leader="none" w:pos="11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Committee may permit a Participant to elect to pay the Exercise Price upon the exercise of an Option by irrevocably authorizing a third party to sell shares of Stock (or a sufficient portion of the shares) acquired upon exercise of the Option and remit to the Company a sufficient portion of the sale proceeds to pay the entire Exercise Price and any tax withholding resulting from such exercise.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Settlement of Award</w:t>
      </w:r>
      <w:r>
        <w:rPr>
          <w:rFonts w:ascii="Arial" w:cs="Arial" w:eastAsia="Arial" w:hAnsi="Arial"/>
          <w:sz w:val="18"/>
          <w:szCs w:val="18"/>
          <w:color w:val="auto"/>
        </w:rPr>
        <w:t>. Settlement of Options and SARs is subject to subsection 4.7.</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SECTION 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OTHER STOCK AWARDS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77" w:lineRule="exact"/>
        <w:rPr>
          <w:sz w:val="20"/>
          <w:szCs w:val="20"/>
          <w:color w:val="auto"/>
        </w:rPr>
      </w:pPr>
    </w:p>
    <w:p>
      <w:pPr>
        <w:ind w:left="1160" w:hanging="239"/>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“Stock Unit” Award is the grant of a right to receive shares of Stock in the future.</w:t>
      </w:r>
    </w:p>
    <w:p>
      <w:pPr>
        <w:spacing w:after="0" w:line="157" w:lineRule="exact"/>
        <w:rPr>
          <w:rFonts w:ascii="Arial" w:cs="Arial" w:eastAsia="Arial" w:hAnsi="Arial"/>
          <w:sz w:val="18"/>
          <w:szCs w:val="18"/>
          <w:color w:val="auto"/>
        </w:rPr>
      </w:pPr>
    </w:p>
    <w:p>
      <w:pPr>
        <w:ind w:right="780" w:firstLine="921"/>
        <w:spacing w:after="0" w:line="268" w:lineRule="auto"/>
        <w:tabs>
          <w:tab w:leader="none" w:pos="11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“Performance Share” Award is a grant of a right to receive shares of Stock or Stock Units which is contingent on the achievement of performance or other objectives during a specified period.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77" w:name="page78"/>
    <w:bookmarkEnd w:id="77"/>
    <w:p>
      <w:pPr>
        <w:ind w:right="100" w:firstLine="921"/>
        <w:spacing w:after="0" w:line="268" w:lineRule="auto"/>
        <w:tabs>
          <w:tab w:leader="none" w:pos="1152"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“Performance Unit” Award is a grant of a right to receive a designated dollar value amount of cash which is contingent on the achievement of performance or other objectives during a specified period.</w:t>
      </w:r>
    </w:p>
    <w:p>
      <w:pPr>
        <w:spacing w:after="0" w:line="118" w:lineRule="exact"/>
        <w:rPr>
          <w:rFonts w:ascii="Arial" w:cs="Arial" w:eastAsia="Arial" w:hAnsi="Arial"/>
          <w:sz w:val="18"/>
          <w:szCs w:val="18"/>
          <w:color w:val="auto"/>
        </w:rPr>
      </w:pPr>
    </w:p>
    <w:p>
      <w:pPr>
        <w:ind w:firstLine="921"/>
        <w:spacing w:after="0" w:line="256" w:lineRule="auto"/>
        <w:tabs>
          <w:tab w:leader="none" w:pos="1162"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“Restricted Stock” Award is a grant of shares of Stock, and a “Restricted Stock Unit” Award is the grant of a right to receive shares of Stock in the future, with such shares of Stock or right to future delivery of such shares of Stock subject to a risk of forfeiture or other restrictions that will lapse upon the achievement of one or more goals relating to completion of service by the Participant, or achievement of performance or other objectives, as determined by the Committee.</w:t>
      </w:r>
    </w:p>
    <w:p>
      <w:pPr>
        <w:spacing w:after="0" w:line="13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Restrictions on Awards</w:t>
      </w:r>
      <w:r>
        <w:rPr>
          <w:rFonts w:ascii="Arial" w:cs="Arial" w:eastAsia="Arial" w:hAnsi="Arial"/>
          <w:sz w:val="18"/>
          <w:szCs w:val="18"/>
          <w:color w:val="auto"/>
        </w:rPr>
        <w:t>. Each Stock Unit Award, Restricted Stock Award, Restricted Stock Unit Award, Performance Share Award, and Performance Unit Award shall be subject to the following:</w:t>
      </w:r>
    </w:p>
    <w:p>
      <w:pPr>
        <w:spacing w:after="0" w:line="37" w:lineRule="exact"/>
        <w:rPr>
          <w:sz w:val="20"/>
          <w:szCs w:val="20"/>
          <w:color w:val="auto"/>
        </w:rPr>
      </w:pPr>
    </w:p>
    <w:p>
      <w:pPr>
        <w:ind w:left="1160" w:hanging="239"/>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such Award shall be subject to such conditions, restrictions and contingencies as the Committee shall determine.</w:t>
      </w:r>
    </w:p>
    <w:p>
      <w:pPr>
        <w:spacing w:after="0" w:line="157" w:lineRule="exact"/>
        <w:rPr>
          <w:rFonts w:ascii="Arial" w:cs="Arial" w:eastAsia="Arial" w:hAnsi="Arial"/>
          <w:sz w:val="18"/>
          <w:szCs w:val="18"/>
          <w:color w:val="auto"/>
        </w:rPr>
      </w:pPr>
    </w:p>
    <w:p>
      <w:pPr>
        <w:ind w:right="40" w:firstLine="921"/>
        <w:spacing w:after="0" w:line="312" w:lineRule="auto"/>
        <w:tabs>
          <w:tab w:leader="none" w:pos="1162"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Committee may designate whether any such Award being granted to any Participant is intended to be “performance-based compensation” as that term is used in section 162(m) of the Code. Any such Awards designated as intended to be “performance-based compensation” shall be conditioned on the achievement of one or more “Performance Measures”, to the extent required by Code section 162(m). The Performance Measures that may be used by the Committee for such Awards shall be based on any one or more of the following, as selected by the Committee: revenues, earnings, stock price, total shareholder return, economic value added, cash flow, operating income, return on assets, return on equity, return on capital, return on revenues, and other operating profit criteria including EBIT, EBITDA, pre-tax profit, and after-tax profit. For Awards under this Section 3 intended to be “performance-based compensation,” the grant of the Awards and the establishment of the Performance Measures shall be made during the period required under Code section 162(m).</w:t>
      </w:r>
    </w:p>
    <w:p>
      <w:pPr>
        <w:spacing w:after="0" w:line="9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Other Restrictions on Restricted Stock Awards</w:t>
      </w:r>
      <w:r>
        <w:rPr>
          <w:rFonts w:ascii="Arial" w:cs="Arial" w:eastAsia="Arial" w:hAnsi="Arial"/>
          <w:sz w:val="18"/>
          <w:szCs w:val="18"/>
          <w:color w:val="auto"/>
        </w:rPr>
        <w:t>. In addition to any other restrictions set forth in the Plan, Restricted Stock Awards shall be subject to the following:</w:t>
      </w:r>
    </w:p>
    <w:p>
      <w:pPr>
        <w:spacing w:after="0" w:line="37" w:lineRule="exact"/>
        <w:rPr>
          <w:sz w:val="20"/>
          <w:szCs w:val="20"/>
          <w:color w:val="auto"/>
        </w:rPr>
      </w:pPr>
    </w:p>
    <w:p>
      <w:pPr>
        <w:ind w:left="1160" w:hanging="239"/>
        <w:spacing w:after="0"/>
        <w:tabs>
          <w:tab w:leader="none" w:pos="11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Restricted Stock Awards subject to the achievement of performance objectives shall also be subject to a minimum vesting period of one (1) year.</w:t>
      </w:r>
    </w:p>
    <w:p>
      <w:pPr>
        <w:spacing w:after="0" w:line="192" w:lineRule="exact"/>
        <w:rPr>
          <w:rFonts w:ascii="Arial" w:cs="Arial" w:eastAsia="Arial" w:hAnsi="Arial"/>
          <w:sz w:val="15"/>
          <w:szCs w:val="15"/>
          <w:color w:val="auto"/>
        </w:rPr>
      </w:pPr>
    </w:p>
    <w:p>
      <w:pPr>
        <w:ind w:right="400" w:firstLine="921"/>
        <w:spacing w:after="0" w:line="268" w:lineRule="auto"/>
        <w:tabs>
          <w:tab w:leader="none" w:pos="1162"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Restricted Stock Awards not subject to the achievement of performance objectives shall be subject to a minimum vesting period of three (3) years; provided that a pro-rata portion of such Awards may vest each year during the applicable vesting period.</w:t>
      </w:r>
    </w:p>
    <w:p>
      <w:pPr>
        <w:spacing w:after="0" w:line="118" w:lineRule="exact"/>
        <w:rPr>
          <w:rFonts w:ascii="Arial" w:cs="Arial" w:eastAsia="Arial" w:hAnsi="Arial"/>
          <w:sz w:val="18"/>
          <w:szCs w:val="18"/>
          <w:color w:val="auto"/>
        </w:rPr>
      </w:pPr>
    </w:p>
    <w:p>
      <w:pPr>
        <w:ind w:right="20" w:firstLine="921"/>
        <w:spacing w:after="0" w:line="268" w:lineRule="auto"/>
        <w:tabs>
          <w:tab w:leader="none" w:pos="11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Notwithstanding 3.3(a) and (b) above, up to ten percent (10%) of the shares of Stock available under the Plan may be granted as Restricted Stock Awards free of any vesting requirements.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OPERATION AND ADMINISTRATION</w:t>
      </w:r>
    </w:p>
    <w:p>
      <w:pPr>
        <w:spacing w:after="0" w:line="15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Effective Dates</w:t>
      </w:r>
      <w:r>
        <w:rPr>
          <w:rFonts w:ascii="Arial" w:cs="Arial" w:eastAsia="Arial" w:hAnsi="Arial"/>
          <w:sz w:val="18"/>
          <w:szCs w:val="18"/>
          <w:color w:val="auto"/>
        </w:rPr>
        <w:t>. The Plan shall be unlimited in duration and, in the event of Plan termination, shall remain in effect as long as any Awards under it are outstanding; provided, however, that no Awards may be granted under the Plan after May 27, 2009 (except for Awards granted pursuant to commitments entered into prior to such five-year anniversary).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Shares Subject to Plan</w:t>
      </w:r>
      <w:r>
        <w:rPr>
          <w:rFonts w:ascii="Arial" w:cs="Arial" w:eastAsia="Arial" w:hAnsi="Arial"/>
          <w:sz w:val="18"/>
          <w:szCs w:val="18"/>
          <w:color w:val="auto"/>
        </w:rPr>
        <w:t>. The shares of Stock for which Awards may be granted under the Plan shall be subject to the following:</w:t>
      </w:r>
    </w:p>
    <w:p>
      <w:pPr>
        <w:spacing w:after="0" w:line="77" w:lineRule="exact"/>
        <w:rPr>
          <w:sz w:val="20"/>
          <w:szCs w:val="20"/>
          <w:color w:val="auto"/>
        </w:rPr>
      </w:pPr>
    </w:p>
    <w:p>
      <w:pPr>
        <w:ind w:right="40" w:firstLine="921"/>
        <w:spacing w:after="0" w:line="332" w:lineRule="auto"/>
        <w:tabs>
          <w:tab w:leader="none" w:pos="11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shares of Stock with respect to which Awards may be made under the Plan shall be shares currently authorized but unissued or currently held or subsequently acquired by the Company as treasury shares, including shares purchased in the open market or in private transactions.</w:t>
      </w:r>
    </w:p>
    <w:p>
      <w:pPr>
        <w:spacing w:after="0" w:line="71" w:lineRule="exact"/>
        <w:rPr>
          <w:rFonts w:ascii="Arial" w:cs="Arial" w:eastAsia="Arial" w:hAnsi="Arial"/>
          <w:sz w:val="16"/>
          <w:szCs w:val="16"/>
          <w:color w:val="auto"/>
        </w:rPr>
      </w:pPr>
    </w:p>
    <w:p>
      <w:pPr>
        <w:ind w:firstLine="921"/>
        <w:spacing w:after="0" w:line="255" w:lineRule="auto"/>
        <w:tabs>
          <w:tab w:leader="none" w:pos="1162"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the following provisions of this subsection 4.2, the maximum number of shares of Stock that may be delivered to Participants and their beneficiaries under the Plan shall be equal to the sum of: (i) 600,000 shares of Stock; and (ii) any shares of Stock available for future awards under any prior long-term incentive plan of the Company (the “Prior Plans”) as of the Effective Date, and any shares of Stock that are represented by awards granted under this Plan or any Prior Plans which are forfeited, expire or are canceled without delivery of shares of Stock or which result in the forfeiture of the shares of Stock back to the Company.</w:t>
      </w:r>
    </w:p>
    <w:p>
      <w:pPr>
        <w:spacing w:after="0" w:line="129" w:lineRule="exact"/>
        <w:rPr>
          <w:rFonts w:ascii="Arial" w:cs="Arial" w:eastAsia="Arial" w:hAnsi="Arial"/>
          <w:sz w:val="18"/>
          <w:szCs w:val="18"/>
          <w:color w:val="auto"/>
        </w:rPr>
      </w:pPr>
    </w:p>
    <w:p>
      <w:pPr>
        <w:jc w:val="both"/>
        <w:ind w:right="20" w:firstLine="921"/>
        <w:spacing w:after="0" w:line="256" w:lineRule="auto"/>
        <w:tabs>
          <w:tab w:leader="none" w:pos="11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the extent provided by the Committee, any Award may be settled in cash rather than Stock. To the extent any shares of Stock covered by an Award are not delivered to a Participant or beneficiary because the Award is forfeited or canceled, or the shares of Stock are not delivered because the Award is settled in cash or used to satisfy the applicable tax withholding obligation, such shares shall not be deemed to have been delivered for purposes of determining the maximum number of shares of Stock available for delivery under the Plan.</w:t>
      </w:r>
    </w:p>
    <w:p>
      <w:pPr>
        <w:spacing w:after="0" w:line="129" w:lineRule="exact"/>
        <w:rPr>
          <w:rFonts w:ascii="Arial" w:cs="Arial" w:eastAsia="Arial" w:hAnsi="Arial"/>
          <w:sz w:val="18"/>
          <w:szCs w:val="18"/>
          <w:color w:val="auto"/>
        </w:rPr>
      </w:pPr>
    </w:p>
    <w:p>
      <w:pPr>
        <w:ind w:right="220" w:firstLine="921"/>
        <w:spacing w:after="0" w:line="259" w:lineRule="auto"/>
        <w:tabs>
          <w:tab w:leader="none" w:pos="116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exercise price of any stock option granted under the Plan or any Prior Plan is satisfied by tendering shares of Stock to the Company (by either actual delivery or by attestation), only the number of shares of Stock issued net of the shares of Stock tendered shall be deemed delivered for purposes of determining the maximum number of shares of Stock available for delivery under the Plan.</w:t>
      </w:r>
    </w:p>
    <w:p>
      <w:pPr>
        <w:spacing w:after="0" w:line="126" w:lineRule="exact"/>
        <w:rPr>
          <w:rFonts w:ascii="Arial" w:cs="Arial" w:eastAsia="Arial" w:hAnsi="Arial"/>
          <w:sz w:val="18"/>
          <w:szCs w:val="18"/>
          <w:color w:val="auto"/>
        </w:rPr>
      </w:pPr>
    </w:p>
    <w:p>
      <w:pPr>
        <w:ind w:left="1160" w:hanging="239"/>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paragraph 4.2(f), the following additional maximums are imposed under the Plan.</w:t>
      </w:r>
    </w:p>
    <w:p>
      <w:pPr>
        <w:spacing w:after="0" w:line="157" w:lineRule="exact"/>
        <w:rPr>
          <w:rFonts w:ascii="Arial" w:cs="Arial" w:eastAsia="Arial" w:hAnsi="Arial"/>
          <w:sz w:val="18"/>
          <w:szCs w:val="18"/>
          <w:color w:val="auto"/>
        </w:rPr>
      </w:pPr>
    </w:p>
    <w:p>
      <w:pPr>
        <w:ind w:left="1700" w:hanging="208"/>
        <w:spacing w:after="0"/>
        <w:tabs>
          <w:tab w:leader="none" w:pos="1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maximum number of shares of Stock that may be issued by Options intended to be ISOs shall be 600,000 shares.</w:t>
      </w:r>
    </w:p>
    <w:p>
      <w:pPr>
        <w:spacing w:after="0" w:line="157" w:lineRule="exact"/>
        <w:rPr>
          <w:rFonts w:ascii="Arial" w:cs="Arial" w:eastAsia="Arial" w:hAnsi="Arial"/>
          <w:sz w:val="18"/>
          <w:szCs w:val="18"/>
          <w:color w:val="auto"/>
        </w:rPr>
      </w:pPr>
    </w:p>
    <w:p>
      <w:pPr>
        <w:ind w:right="80" w:firstLine="1492"/>
        <w:spacing w:after="0" w:line="298" w:lineRule="auto"/>
        <w:tabs>
          <w:tab w:leader="none" w:pos="1742"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maximum number of shares that may be covered by Awards granted to any one individual pursuant to Section 2 (relating to Options and SARs) shall be 150,000 shares during any one fiscal-year period. If an Option is in tandem with an SAR, such that the exercise of the Option or SAR with respect to a share of Stock cancels the tandem SAR or Option right, respectively, with respect to such share, the tandem Option and SAR rights with respect to each share of Stock shall be counted as covering but one share of Stock for purposes of applying the limitations of this paragraph (ii).</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9" w:name="page80"/>
    <w:bookmarkEnd w:id="79"/>
    <w:p>
      <w:pPr>
        <w:ind w:firstLine="1492"/>
        <w:spacing w:after="0" w:line="268" w:lineRule="auto"/>
        <w:tabs>
          <w:tab w:leader="none" w:pos="1791" w:val="left"/>
        </w:tabs>
        <w:numPr>
          <w:ilvl w:val="1"/>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maximum number of shares of Stock that may be issued in conjunction with Awards granted pursuant to Section 3 (relating to Other Stock Awards) shall be 300,000 shares during any one fiscal-year period.</w:t>
      </w:r>
    </w:p>
    <w:p>
      <w:pPr>
        <w:spacing w:after="0" w:line="118" w:lineRule="exact"/>
        <w:rPr>
          <w:rFonts w:ascii="Arial" w:cs="Arial" w:eastAsia="Arial" w:hAnsi="Arial"/>
          <w:sz w:val="18"/>
          <w:szCs w:val="18"/>
          <w:color w:val="auto"/>
        </w:rPr>
      </w:pPr>
    </w:p>
    <w:p>
      <w:pPr>
        <w:ind w:right="140" w:firstLine="1492"/>
        <w:spacing w:after="0" w:line="256" w:lineRule="auto"/>
        <w:tabs>
          <w:tab w:leader="none" w:pos="1781" w:val="left"/>
        </w:tabs>
        <w:numPr>
          <w:ilvl w:val="1"/>
          <w:numId w:val="22"/>
        </w:numPr>
        <w:rPr>
          <w:rFonts w:ascii="Arial" w:cs="Arial" w:eastAsia="Arial" w:hAnsi="Arial"/>
          <w:sz w:val="18"/>
          <w:szCs w:val="18"/>
          <w:color w:val="auto"/>
        </w:rPr>
      </w:pPr>
      <w:r>
        <w:rPr>
          <w:rFonts w:ascii="Arial" w:cs="Arial" w:eastAsia="Arial" w:hAnsi="Arial"/>
          <w:sz w:val="18"/>
          <w:szCs w:val="18"/>
          <w:color w:val="auto"/>
        </w:rPr>
        <w:t>For Stock Unit Awards, Restricted Stock Awards, Restricted Stock Unit Awards and Performance Share Awards that are intended to be “performance-based compensation” (as that term is used for purposes of Code section 162(m)), no more than 100,000 shares of Stock may be subject to such Awards granted to any one individual during any one fiscal-year period. If, after shares have been earned, the delivery is deferred, any additional shares attributable to dividends during the deferral period shall be disregarded.</w:t>
      </w:r>
    </w:p>
    <w:p>
      <w:pPr>
        <w:spacing w:after="0" w:line="129" w:lineRule="exact"/>
        <w:rPr>
          <w:rFonts w:ascii="Arial" w:cs="Arial" w:eastAsia="Arial" w:hAnsi="Arial"/>
          <w:sz w:val="18"/>
          <w:szCs w:val="18"/>
          <w:color w:val="auto"/>
        </w:rPr>
      </w:pPr>
    </w:p>
    <w:p>
      <w:pPr>
        <w:ind w:right="100" w:firstLine="1492"/>
        <w:spacing w:after="0" w:line="256" w:lineRule="auto"/>
        <w:tabs>
          <w:tab w:leader="none" w:pos="1732" w:val="left"/>
        </w:tabs>
        <w:numPr>
          <w:ilvl w:val="1"/>
          <w:numId w:val="22"/>
        </w:numPr>
        <w:rPr>
          <w:rFonts w:ascii="Arial" w:cs="Arial" w:eastAsia="Arial" w:hAnsi="Arial"/>
          <w:sz w:val="18"/>
          <w:szCs w:val="18"/>
          <w:color w:val="auto"/>
        </w:rPr>
      </w:pPr>
      <w:r>
        <w:rPr>
          <w:rFonts w:ascii="Arial" w:cs="Arial" w:eastAsia="Arial" w:hAnsi="Arial"/>
          <w:sz w:val="18"/>
          <w:szCs w:val="18"/>
          <w:color w:val="auto"/>
        </w:rPr>
        <w:t>For Performance Unit Awards that are intended to be “performance-based compensation” (as that term is used for purposes of Code section 162(m)), no more than $2,500,000 may be subject to such Awards granted to any one individual during any one fiscal-year period. If, after amounts have been earned with respect to Performance Unit Awards, the delivery of such amounts is deferred, any additional amounts attributable to earnings during the deferral period shall be disregarded.</w:t>
      </w:r>
    </w:p>
    <w:p>
      <w:pPr>
        <w:spacing w:after="0" w:line="129" w:lineRule="exact"/>
        <w:rPr>
          <w:rFonts w:ascii="Arial" w:cs="Arial" w:eastAsia="Arial" w:hAnsi="Arial"/>
          <w:sz w:val="18"/>
          <w:szCs w:val="18"/>
          <w:color w:val="auto"/>
        </w:rPr>
      </w:pPr>
    </w:p>
    <w:p>
      <w:pPr>
        <w:ind w:right="40" w:firstLine="921"/>
        <w:spacing w:after="0" w:line="291" w:lineRule="auto"/>
        <w:tabs>
          <w:tab w:leader="none" w:pos="11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the event of a corporate transaction involving the Company (including, without limitation, any stock dividend, stock split, extraordinary cash dividend, recapitalization, reorganization, merger, consolidation, split-up, spin-off, combination or exchange of shares), the Committee may adjust Awards to preserve the benefits or potential benefits of the Awards. Action by the Committee may include: (i) adjustment of the number and kind of shares which may be delivered under the Plan, including but not limited to, increases in the limitations set forth in subsection (b) above and paragraphs (i) through (v) of subsection (e) above; (ii) adjustment of the number and kind of shares subject to outstanding Awards; (iii) adjustment of the Exercise Price of outstanding Options and SARs; and (iv) any other adjustments that the Committee determines to be equitable.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General Restrictions</w:t>
      </w:r>
      <w:r>
        <w:rPr>
          <w:rFonts w:ascii="Arial" w:cs="Arial" w:eastAsia="Arial" w:hAnsi="Arial"/>
          <w:sz w:val="18"/>
          <w:szCs w:val="18"/>
          <w:color w:val="auto"/>
        </w:rPr>
        <w:t>. Delivery of shares of Stock or other amounts under the Plan shall be subject to the following:</w:t>
      </w:r>
    </w:p>
    <w:p>
      <w:pPr>
        <w:spacing w:after="0" w:line="77" w:lineRule="exact"/>
        <w:rPr>
          <w:sz w:val="20"/>
          <w:szCs w:val="20"/>
          <w:color w:val="auto"/>
        </w:rPr>
      </w:pPr>
    </w:p>
    <w:p>
      <w:pPr>
        <w:ind w:right="180" w:firstLine="921"/>
        <w:spacing w:after="0" w:line="306" w:lineRule="auto"/>
        <w:tabs>
          <w:tab w:leader="none" w:pos="1152"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Notwithstanding any other provision of the Plan, the Company shall have no liability to deliver any shares of Stock under the Plan or make any other distribution of benefits under the Plan unless such delivery or distribution would comply with all applicable laws (including, without limitation, the requirements of the Securities Act of 1933), and the applicable requirements of any securities exchange or similar entity.</w:t>
      </w:r>
    </w:p>
    <w:p>
      <w:pPr>
        <w:spacing w:after="0" w:line="93" w:lineRule="exact"/>
        <w:rPr>
          <w:rFonts w:ascii="Arial" w:cs="Arial" w:eastAsia="Arial" w:hAnsi="Arial"/>
          <w:sz w:val="16"/>
          <w:szCs w:val="16"/>
          <w:color w:val="auto"/>
        </w:rPr>
      </w:pPr>
    </w:p>
    <w:p>
      <w:pPr>
        <w:ind w:right="120" w:firstLine="921"/>
        <w:spacing w:after="0" w:line="268" w:lineRule="auto"/>
        <w:tabs>
          <w:tab w:leader="none" w:pos="116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the extent that the Plan provides for issuance of stock certificates to reflect the issuance of shares of Stock, the issuance may be effected on a non-certificated basis, to the extent not prohibited by applicable law or the applicable rules of any stock exchange.</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Tax Withholding</w:t>
      </w:r>
      <w:r>
        <w:rPr>
          <w:rFonts w:ascii="Arial" w:cs="Arial" w:eastAsia="Arial" w:hAnsi="Arial"/>
          <w:sz w:val="18"/>
          <w:szCs w:val="18"/>
          <w:color w:val="auto"/>
        </w:rPr>
        <w:t>. All distributions under the Plan are subject to withholding of all applicable taxes, and the Committee may condition the delivery of any shares or other benefits under the Plan on satisfaction of the applicable withholding obligations. The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80" w:name="page81"/>
    <w:bookmarkEnd w:id="80"/>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its discretion, and subject to such requirements as the Committee may impose prior to the occurrence of such withholding, may permit such withholding obligations to be satisfied through cash payment by the Participant, through the surrender of shares of Stock which the Participant already owns, or through the surrender of shares of Stock to which the Participant is otherwise entitled under the Plan.</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Grant and Use of Awards</w:t>
      </w:r>
      <w:r>
        <w:rPr>
          <w:rFonts w:ascii="Arial" w:cs="Arial" w:eastAsia="Arial" w:hAnsi="Arial"/>
          <w:sz w:val="16"/>
          <w:szCs w:val="16"/>
          <w:color w:val="auto"/>
        </w:rPr>
        <w:t>. In the discretion of the Committee, a Participant may be granted any Award permitted under the provisions of the Plan, and more than one Award may be granted to a Participant. Awards may be granted as alternatives to or replacement of awards granted or outstanding under the Plan, or any other plan or arrangement of the Company or a Subsidiary (including a plan or arrangement of a business or entity, all or a portion of which is acquired by the Company or a Subsidiary). Subject to the overall limitation on the number of shares of Stock that may be delivered under the Plan, the Committee may use available shares of Stock as the form of payment for compensation, grants or rights earned or due under any other compensation plans or arrangements of the Company or a Subsidiary, including the plans and arrangements of the Company or a Subsidiary assumed in business combinations.</w:t>
      </w:r>
    </w:p>
    <w:p>
      <w:pPr>
        <w:spacing w:after="0" w:line="10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Dividends and Dividend Equivalents</w:t>
      </w:r>
      <w:r>
        <w:rPr>
          <w:rFonts w:ascii="Arial" w:cs="Arial" w:eastAsia="Arial" w:hAnsi="Arial"/>
          <w:sz w:val="18"/>
          <w:szCs w:val="18"/>
          <w:color w:val="auto"/>
        </w:rPr>
        <w:t>. An Award (including without limitation an Option or SAR Award) may provide the Participant with the right to receive dividend payments or dividend equivalent payments with respect to Stock subject to the Award (both before and after the Stock subject to the Award is earned, vested, or acquired), which payments may be either made currently or credited to an account for the Participant, and may be settled in cash or Stock, as determined by the Committee. Any such settlements, and any such crediting of dividends or dividend equivalents or reinvestment in shares of Stock, may be subject to such conditions, restrictions and contingencies as the Committee shall establish, including the reinvestment of such credited amounts in Stock equivalents.</w:t>
      </w:r>
    </w:p>
    <w:p>
      <w:pPr>
        <w:spacing w:after="0" w:line="131"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 xml:space="preserve">4.7 </w:t>
      </w:r>
      <w:r>
        <w:rPr>
          <w:rFonts w:ascii="Arial" w:cs="Arial" w:eastAsia="Arial" w:hAnsi="Arial"/>
          <w:sz w:val="15"/>
          <w:szCs w:val="15"/>
          <w:u w:val="single" w:color="auto"/>
          <w:color w:val="auto"/>
        </w:rPr>
        <w:t>Settlement of Awards</w:t>
      </w:r>
      <w:r>
        <w:rPr>
          <w:rFonts w:ascii="Arial" w:cs="Arial" w:eastAsia="Arial" w:hAnsi="Arial"/>
          <w:sz w:val="15"/>
          <w:szCs w:val="15"/>
          <w:color w:val="auto"/>
        </w:rPr>
        <w:t>. The obligation to make payments and distributions with respect to Awards may be satisfied through cash payments, the delivery of shares of Stock, the granting of replacement Awards, or combination thereof as the Committee shall determine. Satisfaction of any such obligations under an Award, which is sometimes referred to as “settlement” of the Award, may be subject to such conditions, restrictions and contingencies as the Committee shall determine. The Committee may permit or require the deferral of any Award payment, subject to such rules and procedures as it may establish, which may include provisions for the payment or crediting of interest or dividend equivalents, and may include converting such credits into deferred Stock equivalents. Each Subsidiary shall be liable for payment of cash due under the Plan with respect to any Participant to the extent that such benefits are attributable to the services rendered for that Subsidiary by the Participant. Any disputes relating to liability of a Subsidiary for cash payments shall be resolved by the Committee.</w:t>
      </w:r>
    </w:p>
    <w:p>
      <w:pPr>
        <w:spacing w:after="0" w:line="9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otherwise provided by the Committee, Awards under the Plan are not transferable except as designated by the Participant by will or by the laws of descent and distribution.</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Form and Time of Elections</w:t>
      </w:r>
      <w:r>
        <w:rPr>
          <w:rFonts w:ascii="Arial" w:cs="Arial" w:eastAsia="Arial" w:hAnsi="Arial"/>
          <w:sz w:val="16"/>
          <w:szCs w:val="16"/>
          <w:color w:val="auto"/>
        </w:rPr>
        <w:t>. Unless otherwise specified herein, each election required or permitted to be made by any Participant or other person entitled to benefits under the Plan, and any permitted modification, or revocation thereof, shall be in writing filed with the Committee at such times, in such form, and subject to such restrictions and limitations, not inconsistent with the terms of the Plan, as the Committee shall require.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81" w:name="page82"/>
    <w:bookmarkEnd w:id="81"/>
    <w:p>
      <w:pPr>
        <w:ind w:right="140" w:firstLine="456"/>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4.10 </w:t>
      </w:r>
      <w:r>
        <w:rPr>
          <w:rFonts w:ascii="Arial" w:cs="Arial" w:eastAsia="Arial" w:hAnsi="Arial"/>
          <w:sz w:val="15"/>
          <w:szCs w:val="15"/>
          <w:u w:val="single" w:color="auto"/>
          <w:color w:val="auto"/>
        </w:rPr>
        <w:t>Agreement With Company</w:t>
      </w:r>
      <w:r>
        <w:rPr>
          <w:rFonts w:ascii="Arial" w:cs="Arial" w:eastAsia="Arial" w:hAnsi="Arial"/>
          <w:sz w:val="15"/>
          <w:szCs w:val="15"/>
          <w:color w:val="auto"/>
        </w:rPr>
        <w:t>. An Award under the Plan shall be subject to such terms and conditions, not inconsistent with the Plan, as the Committee shall, in its sole discretion, prescribe. The terms and conditions of any Award to any Participant shall be reflected in such form of written document as is determined by the Committee. A copy of such document shall be provided to the Participant, and the Committee may, but need not require that the Participant sign a copy of such document. Such document is referred to in the Plan as an “Award Agreement” regardless of whether any Participant signature is required.</w:t>
      </w:r>
    </w:p>
    <w:p>
      <w:pPr>
        <w:spacing w:after="0" w:line="8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Action by Company or Subsidiary</w:t>
      </w:r>
      <w:r>
        <w:rPr>
          <w:rFonts w:ascii="Arial" w:cs="Arial" w:eastAsia="Arial" w:hAnsi="Arial"/>
          <w:sz w:val="16"/>
          <w:szCs w:val="16"/>
          <w:color w:val="auto"/>
        </w:rPr>
        <w:t>. Any action required or permitted to be taken by the Company or any Subsidiary shall be by resolution of its board of directors, or by action of one or more members of the board (including a committee of the board) who are duly authorized to act for the board, or (except to the extent prohibited by applicable law or applicable rules of any stock exchange) by a duly authorized officer of such company.</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Gender and Number</w:t>
      </w:r>
      <w:r>
        <w:rPr>
          <w:rFonts w:ascii="Arial" w:cs="Arial" w:eastAsia="Arial" w:hAnsi="Arial"/>
          <w:sz w:val="18"/>
          <w:szCs w:val="18"/>
          <w:color w:val="auto"/>
        </w:rPr>
        <w:t>. Where the context admits, words in any gender shall include any other gender, words in the singular shall include the plural and the plural shall include the singular.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Limitation of Implied Rights</w:t>
      </w:r>
      <w:r>
        <w:rPr>
          <w:rFonts w:ascii="Arial" w:cs="Arial" w:eastAsia="Arial" w:hAnsi="Arial"/>
          <w:sz w:val="18"/>
          <w:szCs w:val="18"/>
          <w:color w:val="auto"/>
        </w:rPr>
        <w:t>.</w:t>
      </w:r>
    </w:p>
    <w:p>
      <w:pPr>
        <w:spacing w:after="0" w:line="77" w:lineRule="exact"/>
        <w:rPr>
          <w:sz w:val="20"/>
          <w:szCs w:val="20"/>
          <w:color w:val="auto"/>
        </w:rPr>
      </w:pPr>
    </w:p>
    <w:p>
      <w:pPr>
        <w:ind w:right="20" w:firstLine="921"/>
        <w:spacing w:after="0" w:line="294" w:lineRule="auto"/>
        <w:tabs>
          <w:tab w:leader="none" w:pos="1152"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Neither a Participant nor any other person shall, by reason of participation in the Plan, acquire any right in or title to any assets, funds or property of the Company or any Subsidiary whatsoever, including, without limitation, any specific funds, assets, or other property which the Company or any Subsidiary, in its sole discretion, may set aside in anticipation of a liability under the Plan. A Participant shall have only a contractual right to the Stock or amounts, if any, payable under the Plan, unsecured by any assets of the Company or any Subsidiary, and nothing contained in the Plan shall constitute a guarantee that the assets of the Company or any Subsidiary shall be sufficient to pay any benefits to any person.</w:t>
      </w:r>
    </w:p>
    <w:p>
      <w:pPr>
        <w:spacing w:after="0" w:line="102" w:lineRule="exact"/>
        <w:rPr>
          <w:rFonts w:ascii="Arial" w:cs="Arial" w:eastAsia="Arial" w:hAnsi="Arial"/>
          <w:sz w:val="16"/>
          <w:szCs w:val="16"/>
          <w:color w:val="auto"/>
        </w:rPr>
      </w:pPr>
    </w:p>
    <w:p>
      <w:pPr>
        <w:ind w:right="40" w:firstLine="921"/>
        <w:spacing w:after="0" w:line="298" w:lineRule="auto"/>
        <w:tabs>
          <w:tab w:leader="none" w:pos="1162"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Plan does not constitute a contract of employment, and selection as a Participant will not give any participating employee the right to be retained in the employ of the Company or any Subsidiary, nor any right or claim to any benefit under the Plan, unless such right or claim has specifically accrued under the terms of the Plan. Except as otherwise provided in the Plan, no Award under the Plan shall confer upon the holder thereof any rights as a shareholder of the Company prior to the date on which the individual fulfills all conditions for receipt of such rights.</w:t>
      </w:r>
    </w:p>
    <w:p>
      <w:pPr>
        <w:spacing w:after="0" w:line="9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Evidence</w:t>
      </w:r>
      <w:r>
        <w:rPr>
          <w:rFonts w:ascii="Arial" w:cs="Arial" w:eastAsia="Arial" w:hAnsi="Arial"/>
          <w:sz w:val="18"/>
          <w:szCs w:val="18"/>
          <w:color w:val="auto"/>
        </w:rPr>
        <w:t>. Evidence required of anyone under the Plan may be by certificate, affidavit, document or other information which the person acting on it considers pertinent and reliable, and signed, made or presented by the proper party or parties.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CHANGE IN CONTROL</w:t>
      </w:r>
    </w:p>
    <w:p>
      <w:pPr>
        <w:spacing w:after="0" w:line="15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Subject to the provisions of paragraph 4.2(f) (relating to the adjustment of shares), and except as otherwise expressly provided in the Plan or the Award Agreement reflecting the applicable Award, upon the occurrence of a Change in Control:</w:t>
      </w:r>
    </w:p>
    <w:p>
      <w:pPr>
        <w:spacing w:after="0" w:line="37" w:lineRule="exact"/>
        <w:rPr>
          <w:sz w:val="20"/>
          <w:szCs w:val="20"/>
          <w:color w:val="auto"/>
        </w:rPr>
      </w:pPr>
    </w:p>
    <w:p>
      <w:pPr>
        <w:ind w:left="1160" w:hanging="239"/>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outstanding Options (regardless of whether in tandem with SARs) shall become fully exercisable.</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outstanding SARs (regardless of whether in tandem with Options) shall become fully exercisable.</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Stock Units, Restricted Stock, Restricted Stock Units, Performance Shares, and Performance Units shall become fully vested.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6</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COMMITTEE</w:t>
      </w:r>
    </w:p>
    <w:p>
      <w:pPr>
        <w:spacing w:after="0" w:line="1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Administration</w:t>
      </w:r>
      <w:r>
        <w:rPr>
          <w:rFonts w:ascii="Arial" w:cs="Arial" w:eastAsia="Arial" w:hAnsi="Arial"/>
          <w:sz w:val="16"/>
          <w:szCs w:val="16"/>
          <w:color w:val="auto"/>
        </w:rPr>
        <w:t>. The authority to control and manage the operation and administration of the Plan shall be vested in the Compensation Committee of the Board of Directors (the “Committee”) in accordance with this Section 6. The Committee shall be selected by the Board. If the Committee does not exist, or for any other reason determined by the Board, the Board may take any action under the Plan that would otherwise be the responsibility of the Committee.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Powers of Committee</w:t>
      </w:r>
      <w:r>
        <w:rPr>
          <w:rFonts w:ascii="Arial" w:cs="Arial" w:eastAsia="Arial" w:hAnsi="Arial"/>
          <w:sz w:val="18"/>
          <w:szCs w:val="18"/>
          <w:color w:val="auto"/>
        </w:rPr>
        <w:t>. The Committee’s administration of the Plan shall be subject to the following:</w:t>
      </w:r>
    </w:p>
    <w:p>
      <w:pPr>
        <w:spacing w:after="0" w:line="77" w:lineRule="exact"/>
        <w:rPr>
          <w:sz w:val="20"/>
          <w:szCs w:val="20"/>
          <w:color w:val="auto"/>
        </w:rPr>
      </w:pPr>
    </w:p>
    <w:p>
      <w:pPr>
        <w:ind w:right="20" w:firstLine="921"/>
        <w:spacing w:after="0" w:line="256" w:lineRule="auto"/>
        <w:tabs>
          <w:tab w:leader="none" w:pos="11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Subject to the provisions of the Plan, the Committee will have the authority and discretion to select from among the Eligible Employees those persons who shall receive Awards, to determine the time or times of receipt, to determine the types of Awards and the number of shares covered by the Awards, to establish the terms, conditions, performance and vesting criteria, restrictions, terms of exercise and settlement, and other provisions of such Awards, and (subject to the restrictions imposed by Section 7) to cancel or suspend Awards.</w:t>
      </w:r>
    </w:p>
    <w:p>
      <w:pPr>
        <w:spacing w:after="0" w:line="129" w:lineRule="exact"/>
        <w:rPr>
          <w:rFonts w:ascii="Arial" w:cs="Arial" w:eastAsia="Arial" w:hAnsi="Arial"/>
          <w:sz w:val="18"/>
          <w:szCs w:val="18"/>
          <w:color w:val="auto"/>
        </w:rPr>
      </w:pPr>
    </w:p>
    <w:p>
      <w:pPr>
        <w:ind w:right="140" w:firstLine="921"/>
        <w:spacing w:after="0" w:line="306" w:lineRule="auto"/>
        <w:tabs>
          <w:tab w:leader="none" w:pos="1162"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the extent that the Committee determines that the restrictions imposed by the Plan preclude the achievement of the material purposes of the Awards in jurisdictions outside the United States, the Committee will have the authority and discretion to modify those restrictions as the Committee determines to be necessary or appropriate to conform to applicable requirements or practices of jurisdictions outside of the United States.</w:t>
      </w:r>
    </w:p>
    <w:p>
      <w:pPr>
        <w:spacing w:after="0" w:line="93" w:lineRule="exact"/>
        <w:rPr>
          <w:rFonts w:ascii="Arial" w:cs="Arial" w:eastAsia="Arial" w:hAnsi="Arial"/>
          <w:sz w:val="16"/>
          <w:szCs w:val="16"/>
          <w:color w:val="auto"/>
        </w:rPr>
      </w:pPr>
    </w:p>
    <w:p>
      <w:pPr>
        <w:ind w:right="180" w:firstLine="921"/>
        <w:spacing w:after="0" w:line="256" w:lineRule="auto"/>
        <w:tabs>
          <w:tab w:leader="none" w:pos="11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Committee will have full and complete authority and discretion to interpret the Plan, to establish, amend, and rescind any rules and regulations relating to the Plan, to determine the terms and provisions of any Award Agreement made pursuant to the Plan, and to make all other determinations that may be necessary or advisable for the administration of the Plan; it being the intention of the Plan that the Committee have the utmost authority and discretion permitted by law in making decisions and performing its other functions under the Plan.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3" w:name="page84"/>
    <w:bookmarkEnd w:id="83"/>
    <w:p>
      <w:pPr>
        <w:ind w:left="1160" w:hanging="239"/>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interpretation of the Plan by the Committee and any decision made by it under the Plan is final and binding on all persons.</w:t>
      </w:r>
    </w:p>
    <w:p>
      <w:pPr>
        <w:spacing w:after="0" w:line="157" w:lineRule="exact"/>
        <w:rPr>
          <w:rFonts w:ascii="Arial" w:cs="Arial" w:eastAsia="Arial" w:hAnsi="Arial"/>
          <w:sz w:val="18"/>
          <w:szCs w:val="18"/>
          <w:color w:val="auto"/>
        </w:rPr>
      </w:pPr>
    </w:p>
    <w:p>
      <w:pPr>
        <w:ind w:right="480" w:firstLine="921"/>
        <w:spacing w:after="0" w:line="268" w:lineRule="auto"/>
        <w:tabs>
          <w:tab w:leader="none" w:pos="11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controlling and managing the operation and administration of the Plan, the Committee shall take action in a manner that conforms to the articles and by-laws of the Company, and applicable state corporate law.</w:t>
      </w:r>
    </w:p>
    <w:p>
      <w:pPr>
        <w:spacing w:after="0" w:line="118" w:lineRule="exact"/>
        <w:rPr>
          <w:rFonts w:ascii="Arial" w:cs="Arial" w:eastAsia="Arial" w:hAnsi="Arial"/>
          <w:sz w:val="18"/>
          <w:szCs w:val="18"/>
          <w:color w:val="auto"/>
        </w:rPr>
      </w:pPr>
    </w:p>
    <w:p>
      <w:pPr>
        <w:ind w:right="460" w:firstLine="921"/>
        <w:spacing w:after="0" w:line="332" w:lineRule="auto"/>
        <w:tabs>
          <w:tab w:leader="none" w:pos="1132"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no event, however, shall the Committee have the power to cancel outstanding stock options or stock appreciation rights (“SARs”) for the purpose of replacing or re-granting such options or SARs with a purchase price that is less than the purchase price of the original option or SAR.</w:t>
      </w:r>
    </w:p>
    <w:p>
      <w:pPr>
        <w:spacing w:after="0" w:line="7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Delegation by Committee</w:t>
      </w:r>
      <w:r>
        <w:rPr>
          <w:rFonts w:ascii="Arial" w:cs="Arial" w:eastAsia="Arial" w:hAnsi="Arial"/>
          <w:sz w:val="16"/>
          <w:szCs w:val="16"/>
          <w:color w:val="auto"/>
        </w:rPr>
        <w:t>. Except to the extent prohibited by applicable law or the applicable rules of a stock exchange,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w:t>
      </w:r>
    </w:p>
    <w:p>
      <w:pPr>
        <w:spacing w:after="0" w:line="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Information to be Furnished to Committee</w:t>
      </w:r>
      <w:r>
        <w:rPr>
          <w:rFonts w:ascii="Arial" w:cs="Arial" w:eastAsia="Arial" w:hAnsi="Arial"/>
          <w:sz w:val="18"/>
          <w:szCs w:val="18"/>
          <w:color w:val="auto"/>
        </w:rPr>
        <w:t>. The Company and Subsidiaries shall furnish the Committee with such data and information as it determines may be required for it to discharge its duties. The records of the Company and Subsidiaries as to an employee’s or Participant’s employment, termination of employment, leave of absence, reemployment and compensation shall be conclusive on all persons unless determined to be incorrect. Participants and other persons entitled to benefits under the Plan must furnish the Committee such evidence, data or information as the Committee considers desirable to carry out the terms of the Plan.</w:t>
      </w:r>
    </w:p>
    <w:p>
      <w:pPr>
        <w:spacing w:after="0" w:line="129"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The Committee, each member thereof, and any other person acting pursuant to authority delegated by the Committee shall be entitled, in good faith, to rely or act upon any report or other information furnished by any officer or employee of the Company, the Company’s independent auditors, consultants or any other agents assisting in the administration of the Plan. Members of the Committee or any other person acting pursuant to authority delegated by the Committee, and any officer or employee of the Company acting at the direction or on behalf of the Committee or other delegee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Indemnification</w:t>
      </w:r>
      <w:r>
        <w:rPr>
          <w:rFonts w:ascii="Arial" w:cs="Arial" w:eastAsia="Arial" w:hAnsi="Arial"/>
          <w:sz w:val="18"/>
          <w:szCs w:val="18"/>
          <w:color w:val="auto"/>
        </w:rPr>
        <w:t>. Each person who is or shall have been a member of the Committee or of the Board shall be indemnified and held harmless by the Company against and from any loss, cost, liability, or expense that may be imposed upon or reasonably incurred by him in connection with or resulting from any claim, action, suit, or proceeding to which he may be a party or in which he may be involved by reason of any action taken or failure to act under the Plan and against and from any and all amounts paid by him in settlement thereof, with the Company’s approval, or paid by him in satisfaction of any judgment in any such action, suit, or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84" w:name="page85"/>
    <w:bookmarkEnd w:id="84"/>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proceeding against him, provided he shall give the Company an opportunity, at its own expense, to handle and defend the same before he undertakes to handle and defend it on his own behalf.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SECTION 7</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AMENDMENT AND TERMINATION</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Board may, at any time, amend or terminate the Plan, provided that no amendment or termination may, in the absence of written consent to the change by the affected Participant (or, if the Participant is not then living, the affected beneficiary), adversely affect the rights of any Participant or beneficiary under any Award granted under the Plan prior to the date such amendment is adopted by the Board; and further provided that adjustments pursuant to paragraph 4.2(f) shall not be subject to the foregoing limitations of this Section 7. Notwithstanding the foregoing, approval of the Company’s shareholders shall be required for any of the following amendments to the Plan:</w:t>
      </w:r>
    </w:p>
    <w:p>
      <w:pPr>
        <w:spacing w:after="0" w:line="48" w:lineRule="exact"/>
        <w:rPr>
          <w:sz w:val="20"/>
          <w:szCs w:val="20"/>
          <w:color w:val="auto"/>
        </w:rPr>
      </w:pPr>
    </w:p>
    <w:p>
      <w:pPr>
        <w:ind w:left="900" w:right="28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material increase in the number of shares available under the Plan (other than an increase solely to reflect a reorganization, stock split, merger, spinoff or similar transaction).</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expansion of the types of awards available under the Plan.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material expansion of the class of employees, directors or other service providers eligible to participate in the Plan.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material extension of the term of the Plan.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material change to the method of determining the exercise price of Options or SARs under the Plan.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deletion or limitation of any provision prohibiting re-pricing of Options or SARs.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determined by the Committee, any amendments to the Plan will apply prospectively only.</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SECTION 8</w:t>
      </w:r>
    </w:p>
    <w:p>
      <w:pPr>
        <w:spacing w:after="0" w:line="15" w:lineRule="exact"/>
        <w:rPr>
          <w:sz w:val="20"/>
          <w:szCs w:val="20"/>
          <w:color w:val="auto"/>
        </w:rPr>
      </w:pPr>
    </w:p>
    <w:p>
      <w:pPr>
        <w:ind w:left="5020"/>
        <w:spacing w:after="0"/>
        <w:rPr>
          <w:sz w:val="20"/>
          <w:szCs w:val="20"/>
          <w:color w:val="auto"/>
        </w:rPr>
      </w:pPr>
      <w:r>
        <w:rPr>
          <w:rFonts w:ascii="Arial" w:cs="Arial" w:eastAsia="Arial" w:hAnsi="Arial"/>
          <w:sz w:val="18"/>
          <w:szCs w:val="18"/>
          <w:u w:val="single" w:color="auto"/>
          <w:color w:val="auto"/>
        </w:rPr>
        <w:t>DEFINED TERMS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other definitions contained herein, the following definitions shall apply:</w:t>
      </w:r>
    </w:p>
    <w:p>
      <w:pPr>
        <w:spacing w:after="0" w:line="77" w:lineRule="exact"/>
        <w:rPr>
          <w:sz w:val="20"/>
          <w:szCs w:val="20"/>
          <w:color w:val="auto"/>
        </w:rPr>
      </w:pPr>
    </w:p>
    <w:p>
      <w:pPr>
        <w:ind w:right="280" w:firstLine="921"/>
        <w:spacing w:after="0" w:line="332" w:lineRule="auto"/>
        <w:tabs>
          <w:tab w:leader="none" w:pos="1152"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Award</w:t>
      </w:r>
      <w:r>
        <w:rPr>
          <w:rFonts w:ascii="Arial" w:cs="Arial" w:eastAsia="Arial" w:hAnsi="Arial"/>
          <w:sz w:val="16"/>
          <w:szCs w:val="16"/>
          <w:color w:val="auto"/>
        </w:rPr>
        <w:t>. The term “Award” shall mean any award or benefit granted under the Plan, including, without limitation, the grant of Options, SARs, Stock Unit Awards, Restricted Stock Awards, Restricted Stock Unit Awards, Performance Unit Awards, and Performance Share Awards.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80" w:right="319" w:bottom="1440" w:gutter="0" w:footer="0" w:header="0"/>
        </w:sectPr>
      </w:pPr>
    </w:p>
    <w:bookmarkStart w:id="85" w:name="page86"/>
    <w:bookmarkEnd w:id="85"/>
    <w:p>
      <w:pPr>
        <w:ind w:left="1140" w:hanging="239"/>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w:t>
      </w:r>
      <w:r>
        <w:rPr>
          <w:rFonts w:ascii="Arial" w:cs="Arial" w:eastAsia="Arial" w:hAnsi="Arial"/>
          <w:sz w:val="18"/>
          <w:szCs w:val="18"/>
          <w:color w:val="auto"/>
        </w:rPr>
        <w:t>. The term “Board” shall mean the Board of Directors of the Company.</w:t>
      </w:r>
    </w:p>
    <w:p>
      <w:pPr>
        <w:spacing w:after="0" w:line="157" w:lineRule="exact"/>
        <w:rPr>
          <w:rFonts w:ascii="Arial" w:cs="Arial" w:eastAsia="Arial" w:hAnsi="Arial"/>
          <w:sz w:val="18"/>
          <w:szCs w:val="18"/>
          <w:color w:val="auto"/>
        </w:rPr>
      </w:pPr>
    </w:p>
    <w:p>
      <w:pPr>
        <w:ind w:left="1140" w:hanging="239"/>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For purposes of this Plan, a “Change of Control” means any one of the following events:</w:t>
      </w:r>
    </w:p>
    <w:p>
      <w:pPr>
        <w:spacing w:after="0" w:line="76" w:lineRule="exact"/>
        <w:rPr>
          <w:rFonts w:ascii="Arial" w:cs="Arial" w:eastAsia="Arial" w:hAnsi="Arial"/>
          <w:sz w:val="18"/>
          <w:szCs w:val="18"/>
          <w:color w:val="auto"/>
        </w:rPr>
      </w:pPr>
    </w:p>
    <w:p>
      <w:pPr>
        <w:ind w:left="-20" w:right="160" w:firstLine="1492"/>
        <w:spacing w:after="0" w:line="256" w:lineRule="auto"/>
        <w:tabs>
          <w:tab w:leader="none" w:pos="1673"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person or “group” as defined in Section 13(d)(3) of the Securities Exchange Act of 1934, as amended (the “Exchange Act”), but excluding any employee benefit plan or plans of the Company and its subsidiaries, becomes the beneficial owner, directly or indirectly, of twenty percent (20%) or more of the combined voting power of the Company’s outstanding voting securities ordinarily having the right to vote for the election of directors of the Company; or</w:t>
      </w:r>
    </w:p>
    <w:p>
      <w:pPr>
        <w:spacing w:after="0" w:line="129" w:lineRule="exact"/>
        <w:rPr>
          <w:rFonts w:ascii="Arial" w:cs="Arial" w:eastAsia="Arial" w:hAnsi="Arial"/>
          <w:sz w:val="18"/>
          <w:szCs w:val="18"/>
          <w:color w:val="auto"/>
        </w:rPr>
      </w:pPr>
    </w:p>
    <w:p>
      <w:pPr>
        <w:jc w:val="both"/>
        <w:ind w:left="-20" w:right="180" w:firstLine="1492"/>
        <w:spacing w:after="0" w:line="259" w:lineRule="auto"/>
        <w:tabs>
          <w:tab w:leader="none" w:pos="1722"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merger, consolidation, reorganization or similar event of the Company or any of its subsidiaries, as a result of which the holders of the voting stock of the Company immediately prior to such merger, consolidation, reorganization or similar event do not directly or indirectly hold at least fifty-one percent (51%) of the aggregate voting power of the capital stock of the surviving entity; or</w:t>
      </w:r>
    </w:p>
    <w:p>
      <w:pPr>
        <w:spacing w:after="0" w:line="126" w:lineRule="exact"/>
        <w:rPr>
          <w:rFonts w:ascii="Arial" w:cs="Arial" w:eastAsia="Arial" w:hAnsi="Arial"/>
          <w:sz w:val="18"/>
          <w:szCs w:val="18"/>
          <w:color w:val="auto"/>
        </w:rPr>
      </w:pPr>
    </w:p>
    <w:p>
      <w:pPr>
        <w:ind w:left="-20" w:firstLine="1492"/>
        <w:spacing w:after="0" w:line="287" w:lineRule="auto"/>
        <w:tabs>
          <w:tab w:leader="none" w:pos="1771"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individuals who, as of March 1, 2003 (the “Effective Date”), constitute the Board of Directors of the Company (the “Board” generally and as of the Effective Date the “Incumbent Board”) cease for any reason to constitute at least two-thirds (2/3) of the Board, or in the case of a merger or consolidation of the Company, do not constitute or cease to constitute at least two-thirds (2/3) of the board of directors of the surviving company (or in a case where the surviving corporation is controlled, directly or indirectly by another corporation or entity, do not constitute or cease to constitute at least two-thirds (2/3) of the board of such controlling corporation or do not have or cease to have at least two-thirds (2/3) of the voting seats on any body comparable to a board of directors of such controlling entity, or if there is no body comparable to a board of directors, at least two-thirds (2/3) voting control of such controlling entity); provided that any person becoming a director (or, in the case of a controlling non-corporate entity, obtaining a position comparable to a director or obtaining a voting interest in such entity) subsequent to the Effective Date whose election, or nomination for election, was approved by a vote of the persons comprising at least two-thirds (2/3) of the Incumbent Board (other than an election or nomination of an individual whose initial assumption of office is in connection with an actual or threatened election contest), shall be, for purposes of this Agreement, considered as though such person were a member of the Incumbent Board; or</w:t>
      </w:r>
    </w:p>
    <w:p>
      <w:pPr>
        <w:spacing w:after="0" w:line="109" w:lineRule="exact"/>
        <w:rPr>
          <w:rFonts w:ascii="Arial" w:cs="Arial" w:eastAsia="Arial" w:hAnsi="Arial"/>
          <w:sz w:val="16"/>
          <w:szCs w:val="16"/>
          <w:color w:val="auto"/>
        </w:rPr>
      </w:pPr>
    </w:p>
    <w:p>
      <w:pPr>
        <w:ind w:left="1760" w:hanging="288"/>
        <w:spacing w:after="0"/>
        <w:tabs>
          <w:tab w:leader="none" w:pos="17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there is a liquidation or dissolution of the Company or all or substantially all of the assets of the Company have been sold.</w:t>
      </w:r>
    </w:p>
    <w:p>
      <w:pPr>
        <w:spacing w:after="0" w:line="180" w:lineRule="exact"/>
        <w:rPr>
          <w:rFonts w:ascii="Arial" w:cs="Arial" w:eastAsia="Arial" w:hAnsi="Arial"/>
          <w:sz w:val="16"/>
          <w:szCs w:val="16"/>
          <w:color w:val="auto"/>
        </w:rPr>
      </w:pPr>
    </w:p>
    <w:p>
      <w:pPr>
        <w:ind w:left="-20" w:right="80" w:firstLine="921"/>
        <w:spacing w:after="0" w:line="268" w:lineRule="auto"/>
        <w:tabs>
          <w:tab w:leader="none" w:pos="114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The term “Code” means the Internal Revenue Code of 1986, as amended. A reference to any provision of the Code shall include reference to any successor provision of the Code.</w:t>
      </w:r>
    </w:p>
    <w:p>
      <w:pPr>
        <w:spacing w:after="0" w:line="118" w:lineRule="exact"/>
        <w:rPr>
          <w:rFonts w:ascii="Arial" w:cs="Arial" w:eastAsia="Arial" w:hAnsi="Arial"/>
          <w:sz w:val="18"/>
          <w:szCs w:val="18"/>
          <w:color w:val="auto"/>
        </w:rPr>
      </w:pPr>
    </w:p>
    <w:p>
      <w:pPr>
        <w:ind w:left="1140" w:hanging="239"/>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Eligible Employee</w:t>
      </w:r>
      <w:r>
        <w:rPr>
          <w:rFonts w:ascii="Arial" w:cs="Arial" w:eastAsia="Arial" w:hAnsi="Arial"/>
          <w:sz w:val="18"/>
          <w:szCs w:val="18"/>
          <w:color w:val="auto"/>
        </w:rPr>
        <w:t>. The term “Eligible Employee” shall mean any employee of the Company or a Subsidiary of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60" w:top="280" w:right="239" w:bottom="1440" w:gutter="0" w:footer="0" w:header="0"/>
        </w:sectPr>
      </w:pPr>
    </w:p>
    <w:bookmarkStart w:id="86" w:name="page87"/>
    <w:bookmarkEnd w:id="86"/>
    <w:p>
      <w:pPr>
        <w:ind w:left="1060" w:hanging="219"/>
        <w:spacing w:after="0"/>
        <w:tabs>
          <w:tab w:leader="none" w:pos="106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Fair Market Value</w:t>
      </w:r>
      <w:r>
        <w:rPr>
          <w:rFonts w:ascii="Arial" w:cs="Arial" w:eastAsia="Arial" w:hAnsi="Arial"/>
          <w:sz w:val="16"/>
          <w:szCs w:val="16"/>
          <w:color w:val="auto"/>
        </w:rPr>
        <w:t>. For purposes of determining the “Fair Market Value” of a share of Stock as of any date, the following rules shall apply:</w:t>
      </w:r>
    </w:p>
    <w:p>
      <w:pPr>
        <w:spacing w:after="0" w:line="99" w:lineRule="exact"/>
        <w:rPr>
          <w:rFonts w:ascii="Arial" w:cs="Arial" w:eastAsia="Arial" w:hAnsi="Arial"/>
          <w:sz w:val="16"/>
          <w:szCs w:val="16"/>
          <w:color w:val="auto"/>
        </w:rPr>
      </w:pPr>
    </w:p>
    <w:p>
      <w:pPr>
        <w:ind w:left="-80" w:right="140" w:firstLine="1492"/>
        <w:spacing w:after="0" w:line="332" w:lineRule="auto"/>
        <w:tabs>
          <w:tab w:leader="none" w:pos="1613" w:val="left"/>
        </w:tabs>
        <w:numPr>
          <w:ilvl w:val="1"/>
          <w:numId w:val="32"/>
        </w:numPr>
        <w:rPr>
          <w:rFonts w:ascii="Arial" w:cs="Arial" w:eastAsia="Arial" w:hAnsi="Arial"/>
          <w:sz w:val="16"/>
          <w:szCs w:val="16"/>
          <w:color w:val="auto"/>
        </w:rPr>
      </w:pPr>
      <w:r>
        <w:rPr>
          <w:rFonts w:ascii="Arial" w:cs="Arial" w:eastAsia="Arial" w:hAnsi="Arial"/>
          <w:sz w:val="16"/>
          <w:szCs w:val="16"/>
          <w:color w:val="auto"/>
        </w:rPr>
        <w:t>If the principal market for the Stock is a national securities exchange or the NASDAQ stock market, then the “Fair Market Value” as of that date shall be the closing sales price of the Stock on that date on the principal exchange or market on which the Stock is then listed or admitted to trading.</w:t>
      </w:r>
    </w:p>
    <w:p>
      <w:pPr>
        <w:spacing w:after="0" w:line="71" w:lineRule="exact"/>
        <w:rPr>
          <w:rFonts w:ascii="Arial" w:cs="Arial" w:eastAsia="Arial" w:hAnsi="Arial"/>
          <w:sz w:val="16"/>
          <w:szCs w:val="16"/>
          <w:color w:val="auto"/>
        </w:rPr>
      </w:pPr>
    </w:p>
    <w:p>
      <w:pPr>
        <w:ind w:left="-80" w:firstLine="1492"/>
        <w:spacing w:after="0" w:line="259" w:lineRule="auto"/>
        <w:tabs>
          <w:tab w:leader="none" w:pos="1662" w:val="left"/>
        </w:tabs>
        <w:numPr>
          <w:ilvl w:val="1"/>
          <w:numId w:val="32"/>
        </w:numPr>
        <w:rPr>
          <w:rFonts w:ascii="Arial" w:cs="Arial" w:eastAsia="Arial" w:hAnsi="Arial"/>
          <w:sz w:val="18"/>
          <w:szCs w:val="18"/>
          <w:color w:val="auto"/>
        </w:rPr>
      </w:pPr>
      <w:r>
        <w:rPr>
          <w:rFonts w:ascii="Arial" w:cs="Arial" w:eastAsia="Arial" w:hAnsi="Arial"/>
          <w:sz w:val="18"/>
          <w:szCs w:val="18"/>
          <w:color w:val="auto"/>
        </w:rPr>
        <w:t>If sale prices are not available or if the principal market for the Stock is not a national securities exchange and the Stock is not quoted on the NASDAQ stock market, the average between the highest bid and lowest asked prices for the Stock on such day as reported on the NASDAQ OTC Bulletin Board Service or by the National Quotation Bureau, Incorporated or a comparable service.</w:t>
      </w:r>
    </w:p>
    <w:p>
      <w:pPr>
        <w:spacing w:after="0" w:line="126" w:lineRule="exact"/>
        <w:rPr>
          <w:rFonts w:ascii="Arial" w:cs="Arial" w:eastAsia="Arial" w:hAnsi="Arial"/>
          <w:sz w:val="18"/>
          <w:szCs w:val="18"/>
          <w:color w:val="auto"/>
        </w:rPr>
      </w:pPr>
    </w:p>
    <w:p>
      <w:pPr>
        <w:jc w:val="both"/>
        <w:ind w:left="-80" w:right="200" w:firstLine="1492"/>
        <w:spacing w:after="0" w:line="259" w:lineRule="auto"/>
        <w:tabs>
          <w:tab w:leader="none" w:pos="1711" w:val="left"/>
        </w:tabs>
        <w:numPr>
          <w:ilvl w:val="1"/>
          <w:numId w:val="32"/>
        </w:numPr>
        <w:rPr>
          <w:rFonts w:ascii="Arial" w:cs="Arial" w:eastAsia="Arial" w:hAnsi="Arial"/>
          <w:sz w:val="18"/>
          <w:szCs w:val="18"/>
          <w:color w:val="auto"/>
        </w:rPr>
      </w:pPr>
      <w:r>
        <w:rPr>
          <w:rFonts w:ascii="Arial" w:cs="Arial" w:eastAsia="Arial" w:hAnsi="Arial"/>
          <w:sz w:val="18"/>
          <w:szCs w:val="18"/>
          <w:color w:val="auto"/>
        </w:rPr>
        <w:t>If the day is not a business day, and as a result, paragraphs (i) and (ii) next above are inapplicable, the Fair Market Value of the Stock shall be determined as of the next earlier business day. If paragraphs (i) and (ii) next above are otherwise inapplicable, then the Fair Market Value of the Stock shall be determined in good faith by the Committee.</w:t>
      </w:r>
    </w:p>
    <w:p>
      <w:pPr>
        <w:spacing w:after="0" w:line="126" w:lineRule="exact"/>
        <w:rPr>
          <w:rFonts w:ascii="Arial" w:cs="Arial" w:eastAsia="Arial" w:hAnsi="Arial"/>
          <w:sz w:val="18"/>
          <w:szCs w:val="18"/>
          <w:color w:val="auto"/>
        </w:rPr>
      </w:pPr>
    </w:p>
    <w:p>
      <w:pPr>
        <w:ind w:left="-80" w:right="180" w:firstLine="921"/>
        <w:spacing w:after="0" w:line="268" w:lineRule="auto"/>
        <w:tabs>
          <w:tab w:leader="none" w:pos="108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The term “Subsidiary” means any company during any period in which it is a “subsidiary corporation” (as that term is defined in Code section 424(f)) with respect to the Company.</w:t>
      </w:r>
    </w:p>
    <w:p>
      <w:pPr>
        <w:spacing w:after="0" w:line="118" w:lineRule="exact"/>
        <w:rPr>
          <w:rFonts w:ascii="Arial" w:cs="Arial" w:eastAsia="Arial" w:hAnsi="Arial"/>
          <w:sz w:val="18"/>
          <w:szCs w:val="18"/>
          <w:color w:val="auto"/>
        </w:rPr>
      </w:pPr>
    </w:p>
    <w:p>
      <w:pPr>
        <w:ind w:left="1080" w:hanging="239"/>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Stock</w:t>
      </w:r>
      <w:r>
        <w:rPr>
          <w:rFonts w:ascii="Arial" w:cs="Arial" w:eastAsia="Arial" w:hAnsi="Arial"/>
          <w:sz w:val="18"/>
          <w:szCs w:val="18"/>
          <w:color w:val="auto"/>
        </w:rPr>
        <w:t>. The term “Stock” shall mean shares of common stock of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320" w:top="280" w:right="31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10.6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64"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THIS AGREEMENT is entered into as of September 1, 2002 (“Effective Date”), by and between World Fuel Services Corporation, a Florida corporation (“Company”) and Francis X. Shea (“Executive”).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64"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WHEREAS, the parties wish to provide for the employment of the Executive by the Company and to restrict the ability of the Executive to compete with the Company, all on the terms and conditions herein set forth;</w:t>
      </w:r>
    </w:p>
    <w:p>
      <w:pPr>
        <w:spacing w:after="0" w:line="118"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NOW THEREFORE, for and in consideration of the premises and the mutual covenants and agreements herein contained, and for other valuable consideration, the receipt and sufficiency of which is hereby acknowledged, the parties hereby agree as follows:</w:t>
      </w:r>
    </w:p>
    <w:p>
      <w:pPr>
        <w:spacing w:after="0" w:line="37" w:lineRule="exact"/>
        <w:rPr>
          <w:sz w:val="20"/>
          <w:szCs w:val="20"/>
          <w:color w:val="auto"/>
        </w:rPr>
      </w:pPr>
    </w:p>
    <w:p>
      <w:pPr>
        <w:ind w:firstLine="464"/>
        <w:spacing w:after="0" w:line="314" w:lineRule="auto"/>
        <w:tabs>
          <w:tab w:leader="none" w:pos="632" w:val="left"/>
        </w:tabs>
        <w:numPr>
          <w:ilvl w:val="0"/>
          <w:numId w:val="33"/>
        </w:numPr>
        <w:rPr>
          <w:rFonts w:ascii="Arial" w:cs="Arial" w:eastAsia="Arial" w:hAnsi="Arial"/>
          <w:sz w:val="15"/>
          <w:szCs w:val="15"/>
          <w:color w:val="auto"/>
        </w:rPr>
      </w:pPr>
      <w:r>
        <w:rPr>
          <w:rFonts w:ascii="Arial" w:cs="Arial" w:eastAsia="Arial" w:hAnsi="Arial"/>
          <w:sz w:val="15"/>
          <w:szCs w:val="15"/>
          <w:u w:val="single" w:color="auto"/>
          <w:color w:val="auto"/>
        </w:rPr>
        <w:t>Employment</w:t>
      </w:r>
      <w:r>
        <w:rPr>
          <w:rFonts w:ascii="Arial" w:cs="Arial" w:eastAsia="Arial" w:hAnsi="Arial"/>
          <w:sz w:val="15"/>
          <w:szCs w:val="15"/>
          <w:color w:val="auto"/>
        </w:rPr>
        <w:t>. The Company hereby employs Executive for a term of three (3) years (“Employment Term”), commencing on the Effective Date, to serve as Executive Vice-President of Finance and Chief Financial Officer of the Company, and to perform such services and duties as are consistent with such positions. Executive hereby accepts such employment. During the term of his employment hereunder, Executive shall devote his attention, knowledge and skills faithfully, diligently and to the best of his ability to perform his duties hereunder, and Executive shall not engage in any venture or activity which materially interferes with Executive’s performance of his duties hereunder. The Executive shall also comply with the Company’s Code of Corporate Conduct and the Company’s Stock Trading Policy (“Corporate Policies”), copies of which have been provided to Executive, as such Corporate Policies may be amended from time to time.</w:t>
      </w:r>
    </w:p>
    <w:p>
      <w:pPr>
        <w:spacing w:after="0" w:line="91" w:lineRule="exact"/>
        <w:rPr>
          <w:rFonts w:ascii="Arial" w:cs="Arial" w:eastAsia="Arial" w:hAnsi="Arial"/>
          <w:sz w:val="15"/>
          <w:szCs w:val="15"/>
          <w:color w:val="auto"/>
        </w:rPr>
      </w:pPr>
    </w:p>
    <w:p>
      <w:pPr>
        <w:ind w:left="640" w:hanging="176"/>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Compensation and Benefits</w:t>
      </w:r>
      <w:r>
        <w:rPr>
          <w:rFonts w:ascii="Arial" w:cs="Arial" w:eastAsia="Arial" w:hAnsi="Arial"/>
          <w:sz w:val="16"/>
          <w:szCs w:val="16"/>
          <w:color w:val="auto"/>
        </w:rPr>
        <w:t>. During the Employment Term, the Company shall pay Executive the compensation and other amounts set forth below.</w:t>
      </w:r>
    </w:p>
    <w:p>
      <w:pPr>
        <w:spacing w:after="0" w:line="181"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Salary</w:t>
      </w:r>
      <w:r>
        <w:rPr>
          <w:rFonts w:ascii="Arial" w:cs="Arial" w:eastAsia="Arial" w:hAnsi="Arial"/>
          <w:sz w:val="18"/>
          <w:szCs w:val="18"/>
          <w:color w:val="auto"/>
        </w:rPr>
        <w:t>. The Company shall pay Executive an annual salary (“Salary”) of $290,000 during the Employment Term, payable in installments according to the Company’s regular payroll practices and subject to such deductions as may be required by law.</w:t>
      </w:r>
    </w:p>
    <w:p>
      <w:pPr>
        <w:spacing w:after="0" w:line="118"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Benefits.</w:t>
      </w:r>
      <w:r>
        <w:rPr>
          <w:rFonts w:ascii="Arial" w:cs="Arial" w:eastAsia="Arial" w:hAnsi="Arial"/>
          <w:sz w:val="16"/>
          <w:szCs w:val="16"/>
          <w:color w:val="auto"/>
        </w:rPr>
        <w:t xml:space="preserve"> Executive shall receive: (i) family medical insurance coverage at no cost and the benefits and perquisites provided by the Company to its executives from time-to-time; (ii) reimbursement for reasonable and necessary out-of-pocket expenses incurred in the performance of his duties hereunder, including but not limited to travel and entertainment expenses (such expenses shall be reimbursed by the Company, from time to time, upon presentation of appropriate receipts therefor); and (iii) four (4) weeks paid vacation during each calendar year.</w:t>
      </w:r>
    </w:p>
    <w:p>
      <w:pPr>
        <w:spacing w:after="0" w:line="99"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Automobile Allowance</w:t>
      </w:r>
      <w:r>
        <w:rPr>
          <w:rFonts w:ascii="Arial" w:cs="Arial" w:eastAsia="Arial" w:hAnsi="Arial"/>
          <w:sz w:val="18"/>
          <w:szCs w:val="18"/>
          <w:color w:val="auto"/>
        </w:rPr>
        <w:t>. Executive shall be provided an automobile allowance of $500.00 per month, which shall be inclusive of gasoline and maintenance.</w:t>
      </w:r>
    </w:p>
    <w:p>
      <w:pPr>
        <w:spacing w:after="0" w:line="118"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Restricted Stock.</w:t>
      </w:r>
      <w:r>
        <w:rPr>
          <w:rFonts w:ascii="Arial" w:cs="Arial" w:eastAsia="Arial" w:hAnsi="Arial"/>
          <w:sz w:val="18"/>
          <w:szCs w:val="18"/>
          <w:color w:val="auto"/>
        </w:rPr>
        <w:t xml:space="preserve"> Upon execution of this Agreement, the Company shall issue to the Executive 3,000 shares of the Common Stock of the Company (the “Restricted</w:t>
      </w:r>
    </w:p>
    <w:p>
      <w:pPr>
        <w:sectPr>
          <w:pgSz w:w="11900" w:h="16838" w:orient="portrait"/>
          <w:cols w:equalWidth="0" w:num="1">
            <w:col w:w="11420"/>
          </w:cols>
          <w:pgMar w:left="240" w:top="125" w:right="239" w:bottom="1440" w:gutter="0" w:footer="0" w:header="0"/>
        </w:sectPr>
      </w:pPr>
    </w:p>
    <w:bookmarkStart w:id="88" w:name="page89"/>
    <w:bookmarkEnd w:id="88"/>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subject to such terms and conditions as are set forth in a Restricted Stock Agreement to be entered into by and between the Company and the Executive in the form attached as Exhibit “A” hereto (“the Restricted Stock Agreement”). The Executive’s rights with respect to the Restricted Stock shall become fully vested immediately upon the occurrence of any of the following events: (i) a Change of Control of the Company as defined in the Company’s 2001 Omnibus Plan, (ii) the Executive’s complete Disability as defined in Section 3.1 (b) hereof, (iii) the Executive’s death, or (iv) the Company terminates the Executive’s employment with the Company, other than for Cause, as defined in Section 3.1 (d) hereof.</w:t>
      </w:r>
    </w:p>
    <w:p>
      <w:pPr>
        <w:spacing w:after="0" w:line="102" w:lineRule="exact"/>
        <w:rPr>
          <w:sz w:val="20"/>
          <w:szCs w:val="20"/>
          <w:color w:val="auto"/>
        </w:rPr>
      </w:pPr>
    </w:p>
    <w:p>
      <w:pPr>
        <w:jc w:val="both"/>
        <w:ind w:right="140" w:firstLine="913"/>
        <w:spacing w:after="0" w:line="335" w:lineRule="auto"/>
        <w:rPr>
          <w:sz w:val="20"/>
          <w:szCs w:val="20"/>
          <w:color w:val="auto"/>
        </w:rPr>
      </w:pPr>
      <w:r>
        <w:rPr>
          <w:rFonts w:ascii="Arial" w:cs="Arial" w:eastAsia="Arial" w:hAnsi="Arial"/>
          <w:sz w:val="15"/>
          <w:szCs w:val="15"/>
          <w:color w:val="auto"/>
        </w:rPr>
        <w:t xml:space="preserve">2.5. </w:t>
      </w:r>
      <w:r>
        <w:rPr>
          <w:rFonts w:ascii="Arial" w:cs="Arial" w:eastAsia="Arial" w:hAnsi="Arial"/>
          <w:sz w:val="15"/>
          <w:szCs w:val="15"/>
          <w:u w:val="single" w:color="auto"/>
          <w:color w:val="auto"/>
        </w:rPr>
        <w:t>Bonus</w:t>
      </w:r>
      <w:r>
        <w:rPr>
          <w:rFonts w:ascii="Arial" w:cs="Arial" w:eastAsia="Arial" w:hAnsi="Arial"/>
          <w:sz w:val="15"/>
          <w:szCs w:val="15"/>
          <w:color w:val="auto"/>
        </w:rPr>
        <w:t>. The Executive shall be eligible to receive an annual bonus (the “Bonus”) for the period beginning April 1, 2002 and ending March 31, 2003, and for each 12 month period beginning each April thereafter (each a “Bonus Period”) equal to a percentage of the Executive’s Base Salary as of the last day of the Bonus Period for which the Bonus is being calculated, determined and paid in accordance with the Company’s Annual Incentive Plan (the “AIP”).</w:t>
      </w:r>
    </w:p>
    <w:p>
      <w:pPr>
        <w:spacing w:after="0" w:line="75" w:lineRule="exact"/>
        <w:rPr>
          <w:sz w:val="20"/>
          <w:szCs w:val="20"/>
          <w:color w:val="auto"/>
        </w:rPr>
      </w:pPr>
    </w:p>
    <w:p>
      <w:pPr>
        <w:ind w:left="640" w:hanging="17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 Executive’s employment pursuant to this Agreement shall be terminated by the first to occur of the following events:</w:t>
      </w:r>
    </w:p>
    <w:p>
      <w:pPr>
        <w:spacing w:after="0" w:line="77" w:lineRule="exact"/>
        <w:rPr>
          <w:sz w:val="20"/>
          <w:szCs w:val="20"/>
          <w:color w:val="auto"/>
        </w:rPr>
      </w:pPr>
    </w:p>
    <w:p>
      <w:pPr>
        <w:ind w:left="1740" w:hanging="248"/>
        <w:spacing w:after="0"/>
        <w:tabs>
          <w:tab w:leader="none" w:pos="1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57" w:lineRule="exact"/>
        <w:rPr>
          <w:rFonts w:ascii="Arial" w:cs="Arial" w:eastAsia="Arial" w:hAnsi="Arial"/>
          <w:sz w:val="18"/>
          <w:szCs w:val="18"/>
          <w:color w:val="auto"/>
        </w:rPr>
      </w:pPr>
    </w:p>
    <w:p>
      <w:pPr>
        <w:jc w:val="both"/>
        <w:ind w:right="80" w:firstLine="1492"/>
        <w:spacing w:after="0" w:line="259" w:lineRule="auto"/>
        <w:tabs>
          <w:tab w:leader="none" w:pos="17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Complete Disability of Executive. Complete Disability as used herein shall mean the inability of Executive, due to illness, accident or any other physical or mental incapacity, to perform the services provided for in this Agreement for an aggregate of one hundred eighty (180) days within any period of twelve (12) consecutive months during the term hereof;</w:t>
      </w:r>
    </w:p>
    <w:p>
      <w:pPr>
        <w:spacing w:after="0" w:line="126" w:lineRule="exact"/>
        <w:rPr>
          <w:rFonts w:ascii="Arial" w:cs="Arial" w:eastAsia="Arial" w:hAnsi="Arial"/>
          <w:sz w:val="18"/>
          <w:szCs w:val="18"/>
          <w:color w:val="auto"/>
        </w:rPr>
      </w:pPr>
    </w:p>
    <w:p>
      <w:pPr>
        <w:ind w:left="1740" w:hanging="248"/>
        <w:spacing w:after="0"/>
        <w:tabs>
          <w:tab w:leader="none" w:pos="1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resignation of Executive; or</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discharge of Executive by the Company for Cause. Cause as used herein shall mean:</w:t>
      </w:r>
    </w:p>
    <w:p>
      <w:pPr>
        <w:spacing w:after="0" w:line="76" w:lineRule="exact"/>
        <w:rPr>
          <w:rFonts w:ascii="Arial" w:cs="Arial" w:eastAsia="Arial" w:hAnsi="Arial"/>
          <w:sz w:val="18"/>
          <w:szCs w:val="18"/>
          <w:color w:val="auto"/>
        </w:rPr>
      </w:pPr>
    </w:p>
    <w:p>
      <w:pPr>
        <w:ind w:left="2380" w:hanging="441"/>
        <w:spacing w:after="0"/>
        <w:tabs>
          <w:tab w:leader="none" w:pos="23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illegal drug use;</w:t>
      </w:r>
    </w:p>
    <w:p>
      <w:pPr>
        <w:spacing w:after="0" w:line="76" w:lineRule="exact"/>
        <w:rPr>
          <w:rFonts w:ascii="Arial" w:cs="Arial" w:eastAsia="Arial" w:hAnsi="Arial"/>
          <w:sz w:val="18"/>
          <w:szCs w:val="18"/>
          <w:color w:val="auto"/>
        </w:rPr>
      </w:pPr>
    </w:p>
    <w:p>
      <w:pPr>
        <w:ind w:left="2380" w:hanging="441"/>
        <w:spacing w:after="0"/>
        <w:tabs>
          <w:tab w:leader="none" w:pos="23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alcohol abuse;</w:t>
      </w:r>
    </w:p>
    <w:p>
      <w:pPr>
        <w:spacing w:after="0" w:line="76" w:lineRule="exact"/>
        <w:rPr>
          <w:rFonts w:ascii="Arial" w:cs="Arial" w:eastAsia="Arial" w:hAnsi="Arial"/>
          <w:sz w:val="18"/>
          <w:szCs w:val="18"/>
          <w:color w:val="auto"/>
        </w:rPr>
      </w:pPr>
    </w:p>
    <w:p>
      <w:pPr>
        <w:ind w:left="2380" w:hanging="441"/>
        <w:spacing w:after="0"/>
        <w:tabs>
          <w:tab w:leader="none" w:pos="23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Executive is convicted of a felony;</w:t>
      </w:r>
    </w:p>
    <w:p>
      <w:pPr>
        <w:spacing w:after="0" w:line="76" w:lineRule="exact"/>
        <w:rPr>
          <w:rFonts w:ascii="Arial" w:cs="Arial" w:eastAsia="Arial" w:hAnsi="Arial"/>
          <w:sz w:val="18"/>
          <w:szCs w:val="18"/>
          <w:color w:val="auto"/>
        </w:rPr>
      </w:pPr>
    </w:p>
    <w:p>
      <w:pPr>
        <w:ind w:left="2380" w:hanging="441"/>
        <w:spacing w:after="0"/>
        <w:tabs>
          <w:tab w:leader="none" w:pos="23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Executive engages in fraud, theft, or embezzlement in connection with his activities hereunder; or</w:t>
      </w:r>
    </w:p>
    <w:p>
      <w:pPr>
        <w:spacing w:after="0" w:line="76" w:lineRule="exact"/>
        <w:rPr>
          <w:rFonts w:ascii="Arial" w:cs="Arial" w:eastAsia="Arial" w:hAnsi="Arial"/>
          <w:sz w:val="18"/>
          <w:szCs w:val="18"/>
          <w:color w:val="auto"/>
        </w:rPr>
      </w:pPr>
    </w:p>
    <w:p>
      <w:pPr>
        <w:ind w:left="2380" w:hanging="441"/>
        <w:spacing w:after="0" w:line="306" w:lineRule="auto"/>
        <w:tabs>
          <w:tab w:leader="none" w:pos="23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Executive’s willful failure or refusal to comply with the provisions of this Agreement or to perform Executive’s duties and obligations under this Agreement, in any material respect; provided, however, that in case of this subsection (v), termination for Cause shall occur only if the Company has given written notice of the Default to Executive and</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89" w:name="page90"/>
    <w:bookmarkEnd w:id="89"/>
    <w:p>
      <w:pPr>
        <w:ind w:left="2400"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has failed to cure the Default in question during a period of ten (10) days after the date of Executive’s receipt of such notice.</w:t>
      </w:r>
    </w:p>
    <w:p>
      <w:pPr>
        <w:spacing w:after="0" w:line="118" w:lineRule="exact"/>
        <w:rPr>
          <w:sz w:val="20"/>
          <w:szCs w:val="20"/>
          <w:color w:val="auto"/>
        </w:rPr>
      </w:pPr>
    </w:p>
    <w:p>
      <w:pPr>
        <w:ind w:right="180" w:firstLine="913"/>
        <w:spacing w:after="0" w:line="306" w:lineRule="auto"/>
        <w:rPr>
          <w:sz w:val="20"/>
          <w:szCs w:val="20"/>
          <w:color w:val="auto"/>
        </w:rPr>
      </w:pPr>
      <w:r>
        <w:rPr>
          <w:rFonts w:ascii="Arial" w:cs="Arial" w:eastAsia="Arial" w:hAnsi="Arial"/>
          <w:sz w:val="16"/>
          <w:szCs w:val="16"/>
          <w:color w:val="auto"/>
        </w:rPr>
        <w:t>3.2 Upon any termination pursuant to subsections (a), (c), or (d) of Section 3.1, the Company shall be released from all obligations hereunder, including without limitation, the obligation to compensate Executive pursuant to Section 2. Upon termination pursuant to Section 3.1 (b), the Executive shall be entitled to receive all compensation and benefits provided in Sections 2.1 through 2.3, for the first one hundred and eighty (180) days of his disability.</w:t>
      </w:r>
    </w:p>
    <w:p>
      <w:pPr>
        <w:spacing w:after="0" w:line="93"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3.3 Notwithstanding the foregoing, the Company may terminate Executive’s employment pursuant to this Agreement, at any time, and for any reason upon giving 30 days prior written notice to Executive; provided, however, that in the event such employment is terminated by the Company for reasons other than those enumerated in subsections (a), (b), or (d) of Section 3.1, the Company will: (i) continue to pay Executive his Salary (at the rate in effect on the date of termination), and to provide the Executive the family medical coverage described in Section 2.2(i) herein, during the remaining months left in the Employment Term; and (ii) pay Executive a pro-rated portion of the Bonus, if any, earned during the fiscal year in which the termination occurs. Pro-ration for purposes of subsection (ii) shall be based on the number of days the Executive worked in the fiscal year of termination. Such payments and benefits shall be in full satisfaction of all claims by Executive against the Company, and the Company shall not provide Executive with any other compensation or benefits described in Section 2.</w:t>
      </w:r>
    </w:p>
    <w:p>
      <w:pPr>
        <w:spacing w:after="0" w:line="132" w:lineRule="exact"/>
        <w:rPr>
          <w:sz w:val="20"/>
          <w:szCs w:val="20"/>
          <w:color w:val="auto"/>
        </w:rPr>
      </w:pPr>
    </w:p>
    <w:p>
      <w:pPr>
        <w:ind w:left="640" w:hanging="17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Covenant Against Unfair Competition</w:t>
      </w:r>
      <w:r>
        <w:rPr>
          <w:rFonts w:ascii="Arial" w:cs="Arial" w:eastAsia="Arial" w:hAnsi="Arial"/>
          <w:sz w:val="18"/>
          <w:szCs w:val="18"/>
          <w:color w:val="auto"/>
        </w:rPr>
        <w:t>.</w:t>
      </w:r>
    </w:p>
    <w:p>
      <w:pPr>
        <w:spacing w:after="0" w:line="77" w:lineRule="exact"/>
        <w:rPr>
          <w:sz w:val="20"/>
          <w:szCs w:val="20"/>
          <w:color w:val="auto"/>
        </w:rPr>
      </w:pPr>
    </w:p>
    <w:p>
      <w:pPr>
        <w:jc w:val="both"/>
        <w:ind w:right="460" w:firstLine="913"/>
        <w:spacing w:after="0" w:line="259" w:lineRule="auto"/>
        <w:rPr>
          <w:sz w:val="20"/>
          <w:szCs w:val="20"/>
          <w:color w:val="auto"/>
        </w:rPr>
      </w:pPr>
      <w:r>
        <w:rPr>
          <w:rFonts w:ascii="Arial" w:cs="Arial" w:eastAsia="Arial" w:hAnsi="Arial"/>
          <w:sz w:val="18"/>
          <w:szCs w:val="18"/>
          <w:color w:val="auto"/>
        </w:rPr>
        <w:t>4.1 Executive agrees that for a period (the “Restricted Period”) starting on the date hereof and ending one (1) year following the termination of his/her employment for any reason, he/she will not, for his/her own account or jointly with another, directly or indirectly, for or on behalf of any individual, partnership, corporation, or other legal entity, as principal, agent or otherwise:</w:t>
      </w:r>
    </w:p>
    <w:p>
      <w:pPr>
        <w:spacing w:after="0" w:line="46" w:lineRule="exact"/>
        <w:rPr>
          <w:sz w:val="20"/>
          <w:szCs w:val="20"/>
          <w:color w:val="auto"/>
        </w:rPr>
      </w:pPr>
    </w:p>
    <w:p>
      <w:pPr>
        <w:ind w:right="240" w:firstLine="1492"/>
        <w:spacing w:after="0" w:line="298" w:lineRule="auto"/>
        <w:tabs>
          <w:tab w:leader="none" w:pos="1722" w:val="left"/>
        </w:tabs>
        <w:numPr>
          <w:ilvl w:val="0"/>
          <w:numId w:val="37"/>
        </w:numPr>
        <w:rPr>
          <w:rFonts w:ascii="Arial" w:cs="Arial" w:eastAsia="Arial" w:hAnsi="Arial"/>
          <w:sz w:val="16"/>
          <w:szCs w:val="16"/>
          <w:color w:val="auto"/>
        </w:rPr>
      </w:pPr>
      <w:r>
        <w:rPr>
          <w:rFonts w:ascii="Arial" w:cs="Arial" w:eastAsia="Arial" w:hAnsi="Arial"/>
          <w:sz w:val="16"/>
          <w:szCs w:val="16"/>
          <w:color w:val="auto"/>
        </w:rPr>
        <w:t>own, control, manage be employed by, consult with, or otherwise participate in, a business (other than that of the Company) involved within the Trade Area (as hereinafter defined) with any of the following activities (the “Business”): (1) the storage, handling, delivery, marketing, sale, distribution or brokerage of aviation fuel, marine fuel or lubricants, aviation flight services, or marine fuel services, or (2) any other service or activity which is competitive with the services or activities which are or have been performed by the Company or its subsidiaries or affiliates since January 1, 1998;</w:t>
      </w:r>
    </w:p>
    <w:p>
      <w:pPr>
        <w:spacing w:after="0" w:line="99" w:lineRule="exact"/>
        <w:rPr>
          <w:rFonts w:ascii="Arial" w:cs="Arial" w:eastAsia="Arial" w:hAnsi="Arial"/>
          <w:sz w:val="16"/>
          <w:szCs w:val="16"/>
          <w:color w:val="auto"/>
        </w:rPr>
      </w:pPr>
    </w:p>
    <w:p>
      <w:pPr>
        <w:ind w:right="40" w:firstLine="1492"/>
        <w:spacing w:after="0" w:line="306" w:lineRule="auto"/>
        <w:tabs>
          <w:tab w:leader="none" w:pos="1732" w:val="left"/>
        </w:tabs>
        <w:numPr>
          <w:ilvl w:val="0"/>
          <w:numId w:val="37"/>
        </w:numPr>
        <w:rPr>
          <w:rFonts w:ascii="Arial" w:cs="Arial" w:eastAsia="Arial" w:hAnsi="Arial"/>
          <w:sz w:val="16"/>
          <w:szCs w:val="16"/>
          <w:color w:val="auto"/>
        </w:rPr>
      </w:pPr>
      <w:r>
        <w:rPr>
          <w:rFonts w:ascii="Arial" w:cs="Arial" w:eastAsia="Arial" w:hAnsi="Arial"/>
          <w:sz w:val="16"/>
          <w:szCs w:val="16"/>
          <w:color w:val="auto"/>
        </w:rPr>
        <w:t>solicit or induce, or in any manner attempt to solicit, any person employed by the Company or any of its subsidiaries or affiliates to leave such employment, whether or not such employment is pursuant to a written contract and whether or not such employment is at will, or hire any person who has been employed by the Company or any of its subsidiaries or affiliates at any time during the one (1) year period preceding such hiring; 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90" w:name="page91"/>
    <w:bookmarkEnd w:id="90"/>
    <w:p>
      <w:pPr>
        <w:ind w:right="40" w:firstLine="1492"/>
        <w:spacing w:after="0" w:line="255" w:lineRule="auto"/>
        <w:tabs>
          <w:tab w:leader="none" w:pos="1722"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use or disclose any trade secrets or confidential information concerning the Business or any segment thereof. Trade secrets and confidential information concerning the Business shall include, but not be limited to: (1) lists of names and addresses of customers and suppliers of the Company or any of its subsidiaries or affiliates, and (2) software and computer programs, market research and data bases, sources of leads and methods of obtaining new business, and methods of purchasing, marketing, selling, performing and pricing products and services employed by the Company or any of its subsidiaries or affiliates in the Business or any segment thereof.</w:t>
      </w:r>
    </w:p>
    <w:p>
      <w:pPr>
        <w:spacing w:after="0" w:line="129"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4.2 As used herein, the term “Trade Area” shall mean the United States of America, and any other foreign countries or regions, which are regularly serviced by the Company during the Employment Term, which areas define the territory in which the Company conducts or has conducted the majority of its business and solicits the majority of its patronage.</w:t>
      </w:r>
    </w:p>
    <w:p>
      <w:pPr>
        <w:spacing w:after="0" w:line="127"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4.3 Executive recognizes the importance of the covenant contained in this Section 4 and acknowledges that, based on his/her past experience and training as an Executive of the Company and the projected expansion of the Company’s business, the restrictions imposed herein are: (i) reasonable as to scope, time and area; (ii) necessary for the protection of the Company’s legitimate business interests, including without limitation, the Company’s trade secrets, goodwill, and its relationship with customers and suppliers; and (iii) not unduly restrictive of any of Executive’s rights as an individual. Executive acknowledges and agrees that the covenants contained in this Section 4 are essential elements of this Agreement and that but for these covenants, the Company would not have entered into this Agreement. Such covenants shall be construed as agreements independent of any other provision of this Agreement. The existence of any claim or cause of action against the Company by Executive, whether predicated on the breach of this Agreement or otherwise, shall not constitute a defense to the enforcement by the Company of the covenants contained in this Section 4.</w:t>
      </w:r>
    </w:p>
    <w:p>
      <w:pPr>
        <w:spacing w:after="0" w:line="105"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4.4 If Executive commits a breach or threatens to commit a breach of any of the provisions of this Section 4, the Company shall have the right and remedy, in addition to any others that may be available, at law or in equity, to have the provisions of this Section 4 specifically enforced by any court having equity jurisdiction, through injunctive or other relief (without any bond or security being required to be posted), it being acknowledged that any such breach or threatened breach will cause irreparable injury to the Company, the amount of which will be difficult to determine, and that money damages will not provide an adequate remedy to the Company.</w:t>
      </w:r>
    </w:p>
    <w:p>
      <w:pPr>
        <w:spacing w:after="0" w:line="129" w:lineRule="exact"/>
        <w:rPr>
          <w:sz w:val="20"/>
          <w:szCs w:val="20"/>
          <w:color w:val="auto"/>
        </w:rPr>
      </w:pPr>
    </w:p>
    <w:p>
      <w:pPr>
        <w:ind w:firstLine="913"/>
        <w:spacing w:after="0" w:line="323" w:lineRule="auto"/>
        <w:rPr>
          <w:sz w:val="20"/>
          <w:szCs w:val="20"/>
          <w:color w:val="auto"/>
        </w:rPr>
      </w:pPr>
      <w:r>
        <w:rPr>
          <w:rFonts w:ascii="Arial" w:cs="Arial" w:eastAsia="Arial" w:hAnsi="Arial"/>
          <w:sz w:val="15"/>
          <w:szCs w:val="15"/>
          <w:color w:val="auto"/>
        </w:rPr>
        <w:t>4.5 If any covenant contained in this Section 4, or any part thereof, is hereafter construed to be invalid or unenforceable, the same shall not affect the remainder of the covenants, which shall be given full effect, without regard to the invalid portions, and any court having jurisdiction shall have the power to reduce the duration, scope and/or area of such covenant and, in its reduced form, said covenant shall then be enforceable. If Executive breaches the covenants set forth in this Section 4, the running of the non-compete period described herein (but not his/her obligation) shall be tolled for so long as such breach continues.</w:t>
      </w:r>
    </w:p>
    <w:p>
      <w:pPr>
        <w:spacing w:after="0" w:line="84"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4.6 The provisions of this Section 4 shall survive the expiration and termination of this Agreement, and the termination of Executive’s employment hereunder for any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91" w:name="page92"/>
    <w:bookmarkEnd w:id="91"/>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 If after termination of this Agreement, or the initial Employment Term (or any renewal thereof), the Executive remains employed by the Company, as an at-will employee, consultant or on any other full or part-time basis, then notwithstanding anything to the contrary set forth herein, the Restricted Period shall not commence to run until the last day Executive is employed by or is providing services to the Company, even though this Agreement or the Employment Term may have terminated at an earlier date.</w:t>
      </w:r>
    </w:p>
    <w:p>
      <w:pPr>
        <w:spacing w:after="0" w:line="130" w:lineRule="exact"/>
        <w:rPr>
          <w:sz w:val="20"/>
          <w:szCs w:val="20"/>
          <w:color w:val="auto"/>
        </w:rPr>
      </w:pPr>
    </w:p>
    <w:p>
      <w:pPr>
        <w:ind w:right="100" w:firstLine="464"/>
        <w:spacing w:after="0" w:line="294" w:lineRule="auto"/>
        <w:tabs>
          <w:tab w:leader="none" w:pos="632"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Related Party Transactions</w:t>
      </w:r>
      <w:r>
        <w:rPr>
          <w:rFonts w:ascii="Arial" w:cs="Arial" w:eastAsia="Arial" w:hAnsi="Arial"/>
          <w:sz w:val="16"/>
          <w:szCs w:val="16"/>
          <w:color w:val="auto"/>
        </w:rPr>
        <w:t>. So long as Executive is employed by the Company, he shall not, without the prior written consent of the Company, cause or permit the Company or any of its subsidiaries or affiliates to enter into or effect any agreement or transaction, or provide or receive any service, between the Company on the one hand, and Executive or a Related Party, on the other hand, except for the employment relationship contemplated hereby. In any event, any such agreements, transactions or services shall be at prices and terms which are not less favorable to the Company than the prices and terms available for similar agreements, transactions or services with unrelated third parties.</w:t>
      </w:r>
    </w:p>
    <w:p>
      <w:pPr>
        <w:spacing w:after="0" w:line="102" w:lineRule="exact"/>
        <w:rPr>
          <w:rFonts w:ascii="Arial" w:cs="Arial" w:eastAsia="Arial" w:hAnsi="Arial"/>
          <w:sz w:val="16"/>
          <w:szCs w:val="16"/>
          <w:color w:val="auto"/>
        </w:rPr>
      </w:pPr>
    </w:p>
    <w:p>
      <w:pPr>
        <w:ind w:left="640" w:hanging="17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Company Property</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right="20" w:firstLine="1492"/>
        <w:spacing w:after="0" w:line="288" w:lineRule="auto"/>
        <w:tabs>
          <w:tab w:leader="none" w:pos="1722"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Company shall be the sole owner of all products and proceeds of the Executive’s services hereunder, including, but not limited to, all materials, ideas, concepts, formats, suggestions, developments, arrangements, packages, programs and other intellectual properties that the Executive may acquire, obtain, develop or create in connection with and during the term of the Executive’s employment hereunder, free and clear of any claims by the Executive (or anyone claiming under the Executive) of any kind or character whatsoever (other than the Executive’s right to receive compensation hereunder). The Executive shall, at the request of the Company, execute such assignments, certificates or other instruments as the Company may from time to time deem necessary or desirable to evidence, establish, maintain, perfect, protect, enforce or defend its right, title and interest in or to any such properties. Upon the termination of the Executive’s employment for any reason whatsoever, all documents, records, notebooks, equipment, price lists, specifications, programs, customer and prospective customer lists and other materials which refer or relate to any aspect of the Business which are in the possession of the Executive (including all copies thereof), shall be promptly returned to the Company.</w:t>
      </w:r>
    </w:p>
    <w:p>
      <w:pPr>
        <w:spacing w:after="0" w:line="106" w:lineRule="exact"/>
        <w:rPr>
          <w:rFonts w:ascii="Arial" w:cs="Arial" w:eastAsia="Arial" w:hAnsi="Arial"/>
          <w:sz w:val="16"/>
          <w:szCs w:val="16"/>
          <w:color w:val="auto"/>
        </w:rPr>
      </w:pPr>
    </w:p>
    <w:p>
      <w:pPr>
        <w:ind w:firstLine="1492"/>
        <w:spacing w:after="0" w:line="291" w:lineRule="auto"/>
        <w:tabs>
          <w:tab w:leader="none" w:pos="1732"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Executive agrees that all processes, technologies and inventions (“Inventions”), including new contributions, improvements, ideas and discoveries, whether patentable or not, conceived, developed, invented or made by him during his employment by the Company shall belong to the Company, provided that such Inventions grew out of the Executive’s work with the Company, are related in any manner to the Business or are conceived or made on the Company’s time or with the use of the Company’s facilities or materials. The Executive shall (i) promptly disclose such Inventions to the Company; (ii) assign to the Company, without additional compensation, all patent and other rights to such Inventions for the United States and foreign countries; (iii) sign all papers necessary to carry out the foregoing; and (iv) give testimony in support of his inventorship.</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92" w:name="page93"/>
    <w:bookmarkEnd w:id="92"/>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Procedures</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Modification and Waiver</w:t>
      </w:r>
      <w:r>
        <w:rPr>
          <w:rFonts w:ascii="Arial" w:cs="Arial" w:eastAsia="Arial" w:hAnsi="Arial"/>
          <w:sz w:val="16"/>
          <w:szCs w:val="16"/>
          <w:color w:val="auto"/>
        </w:rPr>
        <w:t>. Any term or condition of this Agreement may be waived at any time by the party hereto that is entitled to the benefit thereof; provided, however, that any such waiver shall be in writing and signed by the waiving party, and no such waiver of any breach or default hereunder is to be implied from the omission of the other party to take any action on account thereof. A waiver on one occasion shall not be deemed to be a waiver of the same or of any other breach on a future occasion. This Agreement may be modified or amended only by a writing signed by both parties hereto.</w:t>
      </w:r>
    </w:p>
    <w:p>
      <w:pPr>
        <w:spacing w:after="0" w:line="99"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Governing Law/Arbitration</w:t>
      </w:r>
      <w:r>
        <w:rPr>
          <w:rFonts w:ascii="Arial" w:cs="Arial" w:eastAsia="Arial" w:hAnsi="Arial"/>
          <w:sz w:val="16"/>
          <w:szCs w:val="16"/>
          <w:color w:val="auto"/>
        </w:rPr>
        <w:t>. The validity and effect of this Agreement shall be governed by and construed and enforced in accordance with the laws of the State of Florida, without regard to any conflict-of-law rule or principle that would give effect to the laws of another jurisdiction. Any dispute, controversy, or question of interpretation arising under, out of, in connection with, or in relation to this Agreement or any amendments hereof, or any breach or default hereunder, shall be submitted to, and determined and settled by, arbitration to be held in Miami-Dade County, Florida. The arbitration shall be conducted in accordance with the employment dispute arbitration rules of the American Arbitration Association. Each of the parties hereby irrevocably submits to the jurisdiction of the arbitrator(s) in an arbitration proceeding held in Miami-Dade County, Florida. Each party hereby irrevocably waives, to the fullest extent it may effectively do so, the defense of an inconvenient forum to the maintenance of any arbitration proceeding in Miami-Dade County, Florida.</w:t>
      </w:r>
    </w:p>
    <w:p>
      <w:pPr>
        <w:spacing w:after="0" w:line="105"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Tax Withholding</w:t>
      </w:r>
      <w:r>
        <w:rPr>
          <w:rFonts w:ascii="Arial" w:cs="Arial" w:eastAsia="Arial" w:hAnsi="Arial"/>
          <w:sz w:val="18"/>
          <w:szCs w:val="18"/>
          <w:color w:val="auto"/>
        </w:rPr>
        <w:t>. The Company may withhold from any amounts payable under this Agreement such taxes as shall be required to be withheld pursuant to any applicable law or regulation.</w:t>
      </w:r>
    </w:p>
    <w:p>
      <w:pPr>
        <w:spacing w:after="0" w:line="118"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Section Captions</w:t>
      </w:r>
      <w:r>
        <w:rPr>
          <w:rFonts w:ascii="Arial" w:cs="Arial" w:eastAsia="Arial" w:hAnsi="Arial"/>
          <w:sz w:val="18"/>
          <w:szCs w:val="18"/>
          <w:color w:val="auto"/>
        </w:rPr>
        <w:t>. Section and other captions contained in this Agreement are for reference purposes only and are in no way intended to describe, interpret, define or limit the scope, extent or intent of this Agreement or any provision hereof.</w:t>
      </w:r>
    </w:p>
    <w:p>
      <w:pPr>
        <w:spacing w:after="0" w:line="118"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Severability</w:t>
      </w:r>
      <w:r>
        <w:rPr>
          <w:rFonts w:ascii="Arial" w:cs="Arial" w:eastAsia="Arial" w:hAnsi="Arial"/>
          <w:sz w:val="18"/>
          <w:szCs w:val="18"/>
          <w:color w:val="auto"/>
        </w:rPr>
        <w:t>. Every provision of this Agreement is intended to be severable. If any term or provision hereof is illegal or invalid for any reason whatsoever, such illegality or invalidity shall not affect the validity of the remainder of this Agreement.</w:t>
      </w:r>
    </w:p>
    <w:p>
      <w:pPr>
        <w:spacing w:after="0" w:line="118" w:lineRule="exact"/>
        <w:rPr>
          <w:sz w:val="20"/>
          <w:szCs w:val="20"/>
          <w:color w:val="auto"/>
        </w:rPr>
      </w:pPr>
    </w:p>
    <w:p>
      <w:pPr>
        <w:ind w:right="200" w:firstLine="913"/>
        <w:spacing w:after="0" w:line="306"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Integrated Agreement</w:t>
      </w:r>
      <w:r>
        <w:rPr>
          <w:rFonts w:ascii="Arial" w:cs="Arial" w:eastAsia="Arial" w:hAnsi="Arial"/>
          <w:sz w:val="16"/>
          <w:szCs w:val="16"/>
          <w:color w:val="auto"/>
        </w:rPr>
        <w:t>. This Agreement constitutes the entire understanding and agreement among the parties hereto with respect to the subject matter hereof, and supersedes any other employment agreements executed before the date hereof. There are no agreements, understandings, restrictions, representations, or warranties among the parties other than those set forth herein or herein provided for.</w:t>
      </w:r>
    </w:p>
    <w:p>
      <w:pPr>
        <w:spacing w:after="0" w:line="93"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Interpretation</w:t>
      </w:r>
      <w:r>
        <w:rPr>
          <w:rFonts w:ascii="Arial" w:cs="Arial" w:eastAsia="Arial" w:hAnsi="Arial"/>
          <w:sz w:val="18"/>
          <w:szCs w:val="18"/>
          <w:color w:val="auto"/>
        </w:rPr>
        <w:t>. No provision of this Agreement is to be interpreted for or against any party because that party or that party’s legal representative drafted such provision. For purposes of this Agreement: “herein,” “hereby,” “hereunder,” “herewith,” “hereafter,” and “hereinafter” refer to this Agreement in its entirety, and not to any particular section or subsection. This Agreement may be executed in any number of counterparts, each of which shall be deemed an original, and all of which shall constitute one and the same instrument.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93" w:name="page94"/>
    <w:bookmarkEnd w:id="93"/>
    <w:p>
      <w:pPr>
        <w:jc w:val="both"/>
        <w:ind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7.8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requests, demands, or other communications required or permitted hereunder shall be in writing and shall be deemed to have been duly given upon receipt if delivered in person or by facsimile transmission (with confirmation transmission), or upon the expiration of four (4) days after the date sent, if sent by Federal Express (or similar overnight courier service) to the parties at the following addresses:</w:t>
      </w:r>
    </w:p>
    <w:p>
      <w:pPr>
        <w:spacing w:after="0" w:line="93" w:lineRule="exact"/>
        <w:rPr>
          <w:sz w:val="20"/>
          <w:szCs w:val="20"/>
          <w:color w:val="auto"/>
        </w:rPr>
      </w:pPr>
    </w:p>
    <w:p>
      <w:pPr>
        <w:ind w:left="920"/>
        <w:spacing w:after="0"/>
        <w:tabs>
          <w:tab w:leader="none" w:pos="2360" w:val="left"/>
        </w:tabs>
        <w:rPr>
          <w:sz w:val="20"/>
          <w:szCs w:val="20"/>
          <w:color w:val="auto"/>
        </w:rPr>
      </w:pPr>
      <w:r>
        <w:rPr>
          <w:rFonts w:ascii="Arial" w:cs="Arial" w:eastAsia="Arial" w:hAnsi="Arial"/>
          <w:sz w:val="18"/>
          <w:szCs w:val="18"/>
          <w:u w:val="single" w:color="auto"/>
          <w:color w:val="auto"/>
        </w:rPr>
        <w:t>If to Executive</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Francis X. Shea</w:t>
      </w:r>
    </w:p>
    <w:p>
      <w:pPr>
        <w:spacing w:after="0" w:line="15"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2899 Collins Avenue, Apt # 944</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Miami Beach, FL 33140</w:t>
      </w:r>
    </w:p>
    <w:p>
      <w:pPr>
        <w:spacing w:after="0" w:line="11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  World Fuel Services Corporation</w:t>
      </w:r>
    </w:p>
    <w:p>
      <w:pPr>
        <w:spacing w:after="0" w:line="15"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700 S. Royal Poinciana Blvd., Suite 800</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Miami Springs, Florida 33166</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Attn: Ileana de Armas, VP of Human Resources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Fax Number: (305) 805-6153</w:t>
      </w:r>
    </w:p>
    <w:p>
      <w:pPr>
        <w:spacing w:after="0" w:line="15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Notices may also be given in any other manner permitted by law, effective upon actual receipt. Any party may change the address to which notices, requests, demands or other communications to such party shall be delivered or mailed by giving notice thereof to the other parties hereto in the manner provided herein. Any notice may be given on behalf of a party by its counsel.</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7.9 </w:t>
      </w:r>
      <w:r>
        <w:rPr>
          <w:rFonts w:ascii="Arial" w:cs="Arial" w:eastAsia="Arial" w:hAnsi="Arial"/>
          <w:sz w:val="15"/>
          <w:szCs w:val="15"/>
          <w:u w:val="single" w:color="auto"/>
          <w:color w:val="auto"/>
        </w:rPr>
        <w:t>Successors</w:t>
      </w:r>
      <w:r>
        <w:rPr>
          <w:rFonts w:ascii="Arial" w:cs="Arial" w:eastAsia="Arial" w:hAnsi="Arial"/>
          <w:sz w:val="15"/>
          <w:szCs w:val="15"/>
          <w:color w:val="auto"/>
        </w:rPr>
        <w:t>. This Agreement is personal to Executive and without the prior written consent of the Company shall not be assignable by Executive.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is assignable by the Company and shall inure to the benefit of and be binding upon the Company and its successors and assigns.</w:t>
      </w:r>
    </w:p>
    <w:p>
      <w:pPr>
        <w:spacing w:after="0" w:line="174"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 xml:space="preserve">7.10 </w:t>
      </w:r>
      <w:r>
        <w:rPr>
          <w:rFonts w:ascii="Arial" w:cs="Arial" w:eastAsia="Arial" w:hAnsi="Arial"/>
          <w:sz w:val="16"/>
          <w:szCs w:val="16"/>
          <w:u w:val="single" w:color="auto"/>
          <w:color w:val="auto"/>
        </w:rPr>
        <w:t>NO JURY TRIAL</w:t>
      </w:r>
      <w:r>
        <w:rPr>
          <w:rFonts w:ascii="Arial" w:cs="Arial" w:eastAsia="Arial" w:hAnsi="Arial"/>
          <w:sz w:val="16"/>
          <w:szCs w:val="16"/>
          <w:color w:val="auto"/>
        </w:rPr>
        <w:t>. THE PARTIES HEREBY KNOWINGLY, VOLUNTARILY AND INTENTIONALLY WAIVE THE RIGHT ANY OF THEM MAY HAVE TO A TRIAL BY JURY IN RESPECT OF ANY LEGAL PROCEEDING BASED HEREON OR ARISING OUT OF, UNDER OR IN CONNECTION WITH THIS AGREEMENT AND ANY DOCUMENT CONTEMPLATED TO BE EXECUTED IN CONJUNCTION HEREWITH, OR ANY COURSE OF CONDUCT, COURSE OF DEALING, STATEMENTS (WHETHER VERBAL OR WRITTEN) OR ACTIONS OF ANY PARTY. THIS PROVISION IS A MATERIAL INDUCEMENT FOR THE PARTIES’ ACCEPTANCE OF THIS AGREEMENT.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94" w:name="page95"/>
    <w:bookmarkEnd w:id="9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as of October 14, 2004.</w:t>
      </w:r>
    </w:p>
    <w:p>
      <w:pPr>
        <w:spacing w:after="0" w:line="158" w:lineRule="exact"/>
        <w:rPr>
          <w:sz w:val="20"/>
          <w:szCs w:val="20"/>
          <w:color w:val="auto"/>
        </w:rPr>
      </w:pPr>
    </w:p>
    <w:p>
      <w:pPr>
        <w:jc w:val="right"/>
        <w:ind w:right="1379"/>
        <w:spacing w:after="0"/>
        <w:rPr>
          <w:sz w:val="20"/>
          <w:szCs w:val="20"/>
          <w:color w:val="auto"/>
        </w:rPr>
      </w:pPr>
      <w:r>
        <w:rPr>
          <w:rFonts w:ascii="Arial" w:cs="Arial" w:eastAsia="Arial" w:hAnsi="Arial"/>
          <w:sz w:val="18"/>
          <w:szCs w:val="18"/>
          <w:color w:val="auto"/>
        </w:rPr>
        <w:t>WORLD FUEL SERVICES CORPORATION</w:t>
      </w:r>
    </w:p>
    <w:p>
      <w:pPr>
        <w:sectPr>
          <w:pgSz w:w="11900" w:h="16838" w:orient="portrait"/>
          <w:cols w:equalWidth="0" w:num="1">
            <w:col w:w="10219"/>
          </w:cols>
          <w:pgMar w:left="240" w:top="280" w:right="1440"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/s/ Ileana De Armas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286448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Ileana De Armas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WITNESSES: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/s/ Ileana De Armas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286448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Ileana De Armas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By:  /s/ Paul Stebbins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94615</wp:posOffset>
            </wp:positionV>
            <wp:extent cx="347345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4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Paul Stebbins</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Chairman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Francis X.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80010</wp:posOffset>
            </wp:positionV>
            <wp:extent cx="370459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Francis X. Shea</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4860" w:space="720"/>
            <w:col w:w="4639"/>
          </w:cols>
          <w:pgMar w:left="240" w:top="280" w:right="1440" w:bottom="1440" w:gutter="0" w:footer="0" w:header="0"/>
          <w:type w:val="continuous"/>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10.7</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64" w:lineRule="exact"/>
        <w:rPr>
          <w:sz w:val="20"/>
          <w:szCs w:val="20"/>
          <w:color w:val="auto"/>
        </w:rPr>
      </w:pPr>
    </w:p>
    <w:p>
      <w:pPr>
        <w:ind w:right="840" w:firstLine="913"/>
        <w:spacing w:after="0" w:line="268" w:lineRule="auto"/>
        <w:rPr>
          <w:sz w:val="20"/>
          <w:szCs w:val="20"/>
          <w:color w:val="auto"/>
        </w:rPr>
      </w:pPr>
      <w:r>
        <w:rPr>
          <w:rFonts w:ascii="Arial" w:cs="Arial" w:eastAsia="Arial" w:hAnsi="Arial"/>
          <w:sz w:val="18"/>
          <w:szCs w:val="18"/>
          <w:color w:val="auto"/>
        </w:rPr>
        <w:t>THIS AGREEMENT is entered into as of July 1, 2002 (“Effective Date”), by and between World Fuel Services, Inc., a Texas corporation (“Company”) and Michael S. Clementi (“Executive”).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64"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WHEREAS, the parties wish to provide for the employment of the Executive by the Company and to restrict the ability of the Executive to compete with the Company, all on the terms and conditions herein set forth;</w:t>
      </w:r>
    </w:p>
    <w:p>
      <w:pPr>
        <w:spacing w:after="0" w:line="118"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NOW THEREFORE, for and in consideration of the premises and the mutual covenants and agreements herein contained, and for other valuable consideration, the receipt and sufficiency of which is hereby acknowledged, the parties hereby agree as follows:</w:t>
      </w:r>
    </w:p>
    <w:p>
      <w:pPr>
        <w:spacing w:after="0" w:line="37" w:lineRule="exact"/>
        <w:rPr>
          <w:sz w:val="20"/>
          <w:szCs w:val="20"/>
          <w:color w:val="auto"/>
        </w:rPr>
      </w:pPr>
    </w:p>
    <w:p>
      <w:pPr>
        <w:ind w:firstLine="464"/>
        <w:spacing w:after="0" w:line="291" w:lineRule="auto"/>
        <w:tabs>
          <w:tab w:leader="none" w:pos="632"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Employment</w:t>
      </w:r>
      <w:r>
        <w:rPr>
          <w:rFonts w:ascii="Arial" w:cs="Arial" w:eastAsia="Arial" w:hAnsi="Arial"/>
          <w:sz w:val="16"/>
          <w:szCs w:val="16"/>
          <w:color w:val="auto"/>
        </w:rPr>
        <w:t>. The Company hereby employs Executive for a term commencing on the Effective date and ending on March 31, 2007 (“Employment Term”), to serve as President of the Aviation Division of the Company and to perform such duties as are consistent with such position. Executive hereby accepts such employment. During the term of his employment hereunder, Executive shall devote his attention, knowledge and skills faithfully, diligently and to the best of his ability to perform his duties hereunder, and Executive shall not engage in any venture or activity which materially interferes with Executive’s performance of his duties hereunder. The Executive shall also comply with the Company’s Code of Corporate Conduct and the Company’s Securities Trading Policy (“Corporate Policies”), copies of which have been provided to Executive, as such Corporate Policies may be amended from time to time.</w:t>
      </w:r>
    </w:p>
    <w:p>
      <w:pPr>
        <w:spacing w:after="0" w:line="106" w:lineRule="exact"/>
        <w:rPr>
          <w:rFonts w:ascii="Arial" w:cs="Arial" w:eastAsia="Arial" w:hAnsi="Arial"/>
          <w:sz w:val="16"/>
          <w:szCs w:val="16"/>
          <w:color w:val="auto"/>
        </w:rPr>
      </w:pPr>
    </w:p>
    <w:p>
      <w:pPr>
        <w:ind w:left="640" w:hanging="176"/>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Compensation and Benefits</w:t>
      </w:r>
      <w:r>
        <w:rPr>
          <w:rFonts w:ascii="Arial" w:cs="Arial" w:eastAsia="Arial" w:hAnsi="Arial"/>
          <w:sz w:val="16"/>
          <w:szCs w:val="16"/>
          <w:color w:val="auto"/>
        </w:rPr>
        <w:t>. During the Employment Term, the Company shall pay Executive the compensation and other amounts set forth below.</w:t>
      </w:r>
    </w:p>
    <w:p>
      <w:pPr>
        <w:spacing w:after="0" w:line="181"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Salary</w:t>
      </w:r>
      <w:r>
        <w:rPr>
          <w:rFonts w:ascii="Arial" w:cs="Arial" w:eastAsia="Arial" w:hAnsi="Arial"/>
          <w:sz w:val="18"/>
          <w:szCs w:val="18"/>
          <w:color w:val="auto"/>
        </w:rPr>
        <w:t>. The Company shall pay Executive an annual salary (“Salary”) of $425,000 during each year of the Employment Term, payable in installments according to the Company’s regular payroll practices and subject to such deductions as may be required by law. Future Salary adjustments will be subject to discretionary review.</w:t>
      </w:r>
    </w:p>
    <w:p>
      <w:pPr>
        <w:spacing w:after="0" w:line="127" w:lineRule="exact"/>
        <w:rPr>
          <w:sz w:val="20"/>
          <w:szCs w:val="20"/>
          <w:color w:val="auto"/>
        </w:rPr>
      </w:pPr>
    </w:p>
    <w:p>
      <w:pPr>
        <w:ind w:right="160" w:firstLine="913"/>
        <w:spacing w:after="0" w:line="294"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Benefits.</w:t>
      </w:r>
      <w:r>
        <w:rPr>
          <w:rFonts w:ascii="Arial" w:cs="Arial" w:eastAsia="Arial" w:hAnsi="Arial"/>
          <w:sz w:val="16"/>
          <w:szCs w:val="16"/>
          <w:color w:val="auto"/>
        </w:rPr>
        <w:t xml:space="preserve"> Executive shall receive: (i) family medical insurance coverage at no cost and the benefits and perquisites provided by the Company to its executives from time-to-time; (ii) reimbursement for reasonable and necessary out-of-pocket expenses incurred in the performance of his duties hereunder, including but not limited to travel and entertainment expenses (such expenses shall be reimbursed by the Company, from time to time, upon presentation of appropriate receipts therefor); and (iii) four (4) weeks paid vacation during each calendar year, however, any vacation time not taken during each year of the Employment Term shall not be paid or carried over into any other Employment Term year.</w:t>
      </w:r>
    </w:p>
    <w:p>
      <w:pPr>
        <w:sectPr>
          <w:pgSz w:w="11900" w:h="16838" w:orient="portrait"/>
          <w:cols w:equalWidth="0" w:num="1">
            <w:col w:w="11420"/>
          </w:cols>
          <w:pgMar w:left="240" w:top="125" w:right="239" w:bottom="1440" w:gutter="0" w:footer="0" w:header="0"/>
        </w:sectPr>
      </w:pPr>
    </w:p>
    <w:bookmarkStart w:id="96" w:name="page97"/>
    <w:bookmarkEnd w:id="96"/>
    <w:p>
      <w:pPr>
        <w:ind w:right="2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2.3 </w:t>
      </w:r>
      <w:r>
        <w:rPr>
          <w:rFonts w:ascii="Arial" w:cs="Arial" w:eastAsia="Arial" w:hAnsi="Arial"/>
          <w:sz w:val="18"/>
          <w:szCs w:val="18"/>
          <w:u w:val="single" w:color="auto"/>
          <w:color w:val="auto"/>
        </w:rPr>
        <w:t>Automobile Allowance</w:t>
      </w:r>
      <w:r>
        <w:rPr>
          <w:rFonts w:ascii="Arial" w:cs="Arial" w:eastAsia="Arial" w:hAnsi="Arial"/>
          <w:sz w:val="18"/>
          <w:szCs w:val="18"/>
          <w:color w:val="auto"/>
        </w:rPr>
        <w:t>. Executive shall be provided an automobile allowance of $750.00 per month, which shall be inclusive of gasoline and maintenance.</w:t>
      </w:r>
    </w:p>
    <w:p>
      <w:pPr>
        <w:spacing w:after="0" w:line="118"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Restricted Stock.</w:t>
      </w:r>
      <w:r>
        <w:rPr>
          <w:rFonts w:ascii="Arial" w:cs="Arial" w:eastAsia="Arial" w:hAnsi="Arial"/>
          <w:sz w:val="16"/>
          <w:szCs w:val="16"/>
          <w:color w:val="auto"/>
        </w:rPr>
        <w:t xml:space="preserve"> Upon execution of this Agreement, the Company shall issue to the Executive 10,000 shares of the Common Stock of the Company (the “Restricted Stock”), which shall vest in accordance with the Restricted Stock Agreement to be entered into by and between the Company and the Executive (“the Restricted Stock Agreement”). The Executive’s rights with respect to the Restricted Stock shall become fully vested immediately upon the occurrence of any of the following events: (i) a Change of Control of the Company as defined in the Company’s 2001 Omnibus Plan, (ii) the Executive’s complete Disability as defined in Section 3.1 (b) hereof, (iii) the Executive’s death, or (iv) the Company terminates the Executive’s employment with the Company, other than for Cause, as defined in Section 3.1 (d) hereof.</w:t>
      </w:r>
    </w:p>
    <w:p>
      <w:pPr>
        <w:spacing w:after="0" w:line="107"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Bonus</w:t>
      </w:r>
      <w:r>
        <w:rPr>
          <w:rFonts w:ascii="Arial" w:cs="Arial" w:eastAsia="Arial" w:hAnsi="Arial"/>
          <w:sz w:val="16"/>
          <w:szCs w:val="16"/>
          <w:color w:val="auto"/>
        </w:rPr>
        <w:t>. The Company shall pay Executive an annual bonus (the “Bonus”) for the period beginning April 1, 2002 and ending March 31, 2003, and for each 12 month period beginning each April thereafter (each a “Bonus Period”) equal to a percentage of the Executive’s Base Salary as of the last day of the Bonus Period for which the Bonus is being calculated, determined and paid in accordance with the Company’s Annual Incentive Plan (the “AIP”). The Executive acknowledges that the Company’s Compensation Committee is evaluating an AIP for the Company’s senior executives, and when so adopted, the AIP will be considered part of this Agreement and effective April 1, 2002.</w:t>
      </w:r>
    </w:p>
    <w:p>
      <w:pPr>
        <w:spacing w:after="0" w:line="102" w:lineRule="exact"/>
        <w:rPr>
          <w:sz w:val="20"/>
          <w:szCs w:val="20"/>
          <w:color w:val="auto"/>
        </w:rPr>
      </w:pPr>
    </w:p>
    <w:p>
      <w:pPr>
        <w:ind w:left="640" w:hanging="17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 Executive’s employment pursuant to this Agreement shall be terminated by the first to occur of the following events:</w:t>
      </w:r>
    </w:p>
    <w:p>
      <w:pPr>
        <w:spacing w:after="0" w:line="77" w:lineRule="exact"/>
        <w:rPr>
          <w:sz w:val="20"/>
          <w:szCs w:val="20"/>
          <w:color w:val="auto"/>
        </w:rPr>
      </w:pPr>
    </w:p>
    <w:p>
      <w:pPr>
        <w:ind w:left="1740" w:hanging="248"/>
        <w:spacing w:after="0"/>
        <w:tabs>
          <w:tab w:leader="none" w:pos="1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57" w:lineRule="exact"/>
        <w:rPr>
          <w:rFonts w:ascii="Arial" w:cs="Arial" w:eastAsia="Arial" w:hAnsi="Arial"/>
          <w:sz w:val="18"/>
          <w:szCs w:val="18"/>
          <w:color w:val="auto"/>
        </w:rPr>
      </w:pPr>
    </w:p>
    <w:p>
      <w:pPr>
        <w:jc w:val="both"/>
        <w:ind w:right="140" w:firstLine="1492"/>
        <w:spacing w:after="0" w:line="259" w:lineRule="auto"/>
        <w:tabs>
          <w:tab w:leader="none" w:pos="17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Complete Disability of Executive. Complete Disability as used herein shall mean the inability of Executive, due to illness, accident or any other physical or mental incapacity, to perform the services provided for in this Agreement for an aggregate of one hundred eighty (180) days within any period of twelve (12) consecutive months during the term hereof;</w:t>
      </w:r>
    </w:p>
    <w:p>
      <w:pPr>
        <w:spacing w:after="0" w:line="126" w:lineRule="exact"/>
        <w:rPr>
          <w:rFonts w:ascii="Arial" w:cs="Arial" w:eastAsia="Arial" w:hAnsi="Arial"/>
          <w:sz w:val="18"/>
          <w:szCs w:val="18"/>
          <w:color w:val="auto"/>
        </w:rPr>
      </w:pPr>
    </w:p>
    <w:p>
      <w:pPr>
        <w:ind w:left="1740" w:hanging="248"/>
        <w:spacing w:after="0"/>
        <w:tabs>
          <w:tab w:leader="none" w:pos="1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resignation of Executive; or</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discharge of Executive by the Company for Cause. Cause as used herein shall mean:</w:t>
      </w:r>
    </w:p>
    <w:p>
      <w:pPr>
        <w:spacing w:after="0" w:line="76" w:lineRule="exact"/>
        <w:rPr>
          <w:rFonts w:ascii="Arial" w:cs="Arial" w:eastAsia="Arial" w:hAnsi="Arial"/>
          <w:sz w:val="18"/>
          <w:szCs w:val="18"/>
          <w:color w:val="auto"/>
        </w:rPr>
      </w:pPr>
    </w:p>
    <w:p>
      <w:pPr>
        <w:ind w:left="2380" w:hanging="441"/>
        <w:spacing w:after="0"/>
        <w:tabs>
          <w:tab w:leader="none" w:pos="23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illegal drug use;</w:t>
      </w:r>
    </w:p>
    <w:p>
      <w:pPr>
        <w:spacing w:after="0" w:line="76" w:lineRule="exact"/>
        <w:rPr>
          <w:rFonts w:ascii="Arial" w:cs="Arial" w:eastAsia="Arial" w:hAnsi="Arial"/>
          <w:sz w:val="18"/>
          <w:szCs w:val="18"/>
          <w:color w:val="auto"/>
        </w:rPr>
      </w:pPr>
    </w:p>
    <w:p>
      <w:pPr>
        <w:ind w:left="2380" w:hanging="441"/>
        <w:spacing w:after="0"/>
        <w:tabs>
          <w:tab w:leader="none" w:pos="23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alcohol abuse;</w:t>
      </w:r>
    </w:p>
    <w:p>
      <w:pPr>
        <w:spacing w:after="0" w:line="76" w:lineRule="exact"/>
        <w:rPr>
          <w:rFonts w:ascii="Arial" w:cs="Arial" w:eastAsia="Arial" w:hAnsi="Arial"/>
          <w:sz w:val="18"/>
          <w:szCs w:val="18"/>
          <w:color w:val="auto"/>
        </w:rPr>
      </w:pPr>
    </w:p>
    <w:p>
      <w:pPr>
        <w:ind w:left="2380" w:hanging="441"/>
        <w:spacing w:after="0"/>
        <w:tabs>
          <w:tab w:leader="none" w:pos="23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Executive is convicted of a felony;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97" w:name="page98"/>
    <w:bookmarkEnd w:id="97"/>
    <w:p>
      <w:pPr>
        <w:ind w:left="2380" w:hanging="441"/>
        <w:spacing w:after="0"/>
        <w:tabs>
          <w:tab w:leader="none" w:pos="2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engages in fraud, theft, or embezzlement in connection with his activities hereunder; or</w:t>
      </w:r>
    </w:p>
    <w:p>
      <w:pPr>
        <w:spacing w:after="0" w:line="76" w:lineRule="exact"/>
        <w:rPr>
          <w:rFonts w:ascii="Arial" w:cs="Arial" w:eastAsia="Arial" w:hAnsi="Arial"/>
          <w:sz w:val="18"/>
          <w:szCs w:val="18"/>
          <w:color w:val="auto"/>
        </w:rPr>
      </w:pPr>
    </w:p>
    <w:p>
      <w:pPr>
        <w:ind w:left="2380" w:right="60" w:hanging="441"/>
        <w:spacing w:after="0" w:line="298" w:lineRule="auto"/>
        <w:tabs>
          <w:tab w:leader="none" w:pos="2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Executive’s willful failure or refusal to comply with the provisions of this Agreement or to perform Executive’s duties and obligations under this Agreement, in any material respect; provided, however, that in case of this subsection (v), termination for Cause shall occur only if the Company has given written notice of the Default to Executive and Executive has failed to cure the Default in question during a period of ten (10) days after the date of Executive’s receipt of such notice.</w:t>
      </w:r>
    </w:p>
    <w:p>
      <w:pPr>
        <w:spacing w:after="0" w:line="99" w:lineRule="exact"/>
        <w:rPr>
          <w:sz w:val="20"/>
          <w:szCs w:val="20"/>
          <w:color w:val="auto"/>
        </w:rPr>
      </w:pPr>
    </w:p>
    <w:p>
      <w:pPr>
        <w:ind w:right="180" w:firstLine="913"/>
        <w:spacing w:after="0" w:line="306" w:lineRule="auto"/>
        <w:rPr>
          <w:sz w:val="20"/>
          <w:szCs w:val="20"/>
          <w:color w:val="auto"/>
        </w:rPr>
      </w:pPr>
      <w:r>
        <w:rPr>
          <w:rFonts w:ascii="Arial" w:cs="Arial" w:eastAsia="Arial" w:hAnsi="Arial"/>
          <w:sz w:val="16"/>
          <w:szCs w:val="16"/>
          <w:color w:val="auto"/>
        </w:rPr>
        <w:t>3.2 Upon any termination pursuant to subsections (a), (c), or (d) of Section 3.1, the Company shall be released from all obligations hereunder, including without limitation, the obligation to compensate Executive pursuant to Section 2. Upon termination pursuant to Section 3.1 (b), the Executive shall be entitled to receive all compensation and benefits provided in Sections 2.1 through 2.3, for the first one hundred and eighty (180) days of his disability.</w:t>
      </w:r>
    </w:p>
    <w:p>
      <w:pPr>
        <w:spacing w:after="0" w:line="93"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3.3 Notwithstanding the foregoing, the Company may terminate Executive’s employment pursuant to this Agreement, at any time, and for any reason upon giving 30 days prior written notice to Executive; provided, however, that in the event such employment is terminated by the Company for reasons other than those enumerated in subsections (a), (b), or (d) of Section 3.1, the Company will: (i) continue to pay Executive his Salary (at the rate in effect on the date of termination), and to provide the Executive the family medical coverage described in Section 2.2(i) herein, during the remaining months left in the Employment Term; and (ii) pay Executive a pro-rated portion of the Bonus, if any, earned during the fiscal year in which the termination occurs. Pro-ration for purposes of subsection (ii) shall be based on the number of days the Executive worked in the fiscal year of termination. Such payments and benefits shall be in full satisfaction of all claims by Executive against the Company, and the Company shall not provide Executive with any other compensation or benefits described in Section 2.</w:t>
      </w:r>
    </w:p>
    <w:p>
      <w:pPr>
        <w:spacing w:after="0" w:line="132" w:lineRule="exact"/>
        <w:rPr>
          <w:sz w:val="20"/>
          <w:szCs w:val="20"/>
          <w:color w:val="auto"/>
        </w:rPr>
      </w:pPr>
    </w:p>
    <w:p>
      <w:pPr>
        <w:ind w:left="640" w:hanging="17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Covenant Against Unfair Competition</w:t>
      </w:r>
      <w:r>
        <w:rPr>
          <w:rFonts w:ascii="Arial" w:cs="Arial" w:eastAsia="Arial" w:hAnsi="Arial"/>
          <w:sz w:val="18"/>
          <w:szCs w:val="18"/>
          <w:color w:val="auto"/>
        </w:rPr>
        <w:t>.</w:t>
      </w:r>
    </w:p>
    <w:p>
      <w:pPr>
        <w:spacing w:after="0" w:line="77"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4.1 Executive agrees that during the Employment Term and for a period of one (1) year following the termination of his/her employment for any reason (the “Restricted Period”) he/she will not, for his/her own account or jointly with another, directly or indirectly, for or on behalf of any individual, partnership, corporation, or other legal entity, as principal, agent or otherwise:</w:t>
      </w:r>
    </w:p>
    <w:p>
      <w:pPr>
        <w:spacing w:after="0" w:line="46" w:lineRule="exact"/>
        <w:rPr>
          <w:sz w:val="20"/>
          <w:szCs w:val="20"/>
          <w:color w:val="auto"/>
        </w:rPr>
      </w:pPr>
    </w:p>
    <w:p>
      <w:pPr>
        <w:ind w:right="240" w:firstLine="1492"/>
        <w:spacing w:after="0" w:line="298" w:lineRule="auto"/>
        <w:tabs>
          <w:tab w:leader="none" w:pos="1722" w:val="left"/>
        </w:tabs>
        <w:numPr>
          <w:ilvl w:val="0"/>
          <w:numId w:val="46"/>
        </w:numPr>
        <w:rPr>
          <w:rFonts w:ascii="Arial" w:cs="Arial" w:eastAsia="Arial" w:hAnsi="Arial"/>
          <w:sz w:val="16"/>
          <w:szCs w:val="16"/>
          <w:color w:val="auto"/>
        </w:rPr>
      </w:pPr>
      <w:r>
        <w:rPr>
          <w:rFonts w:ascii="Arial" w:cs="Arial" w:eastAsia="Arial" w:hAnsi="Arial"/>
          <w:sz w:val="16"/>
          <w:szCs w:val="16"/>
          <w:color w:val="auto"/>
        </w:rPr>
        <w:t>own, control, manage be employed by, consult with, or otherwise participate in, a business (other than that of the Company) involved within the Trade Area (as hereinafter defined) with any of the following businesses (the “Businesses”): (1) the storage, handling, delivery, marketing, sale, distribution or brokerage of aviation fuel, marine fuel or lubricants, aviation flight services, or marine fuel services, or (2) any other service or activity which is competitive with the services or activities which are or have been performed by the Company or its subsidiaries or affiliates.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98" w:name="page99"/>
    <w:bookmarkEnd w:id="98"/>
    <w:p>
      <w:pPr>
        <w:ind w:firstLine="1492"/>
        <w:spacing w:after="0" w:line="306" w:lineRule="auto"/>
        <w:tabs>
          <w:tab w:leader="none" w:pos="1732" w:val="left"/>
        </w:tabs>
        <w:numPr>
          <w:ilvl w:val="0"/>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solicit or induce, or in any manner attempt to solicit, any person employed by the Company or any of its subsidiaries or affiliates to leave such employment, whether or not such employment is pursuant to a written contract and whether or not such employment is at will, or hire any person who has been employed by the Company or any of its subsidiaries or affiliates at any time during the one (1) year period preceding such hiring; or</w:t>
      </w:r>
    </w:p>
    <w:p>
      <w:pPr>
        <w:spacing w:after="0" w:line="93" w:lineRule="exact"/>
        <w:rPr>
          <w:rFonts w:ascii="Arial" w:cs="Arial" w:eastAsia="Arial" w:hAnsi="Arial"/>
          <w:sz w:val="16"/>
          <w:szCs w:val="16"/>
          <w:color w:val="auto"/>
        </w:rPr>
      </w:pPr>
    </w:p>
    <w:p>
      <w:pPr>
        <w:ind w:right="40" w:firstLine="1492"/>
        <w:spacing w:after="0" w:line="255" w:lineRule="auto"/>
        <w:tabs>
          <w:tab w:leader="none" w:pos="1722" w:val="left"/>
        </w:tabs>
        <w:numPr>
          <w:ilvl w:val="0"/>
          <w:numId w:val="47"/>
        </w:numPr>
        <w:rPr>
          <w:rFonts w:ascii="Arial" w:cs="Arial" w:eastAsia="Arial" w:hAnsi="Arial"/>
          <w:sz w:val="18"/>
          <w:szCs w:val="18"/>
          <w:color w:val="auto"/>
        </w:rPr>
      </w:pPr>
      <w:r>
        <w:rPr>
          <w:rFonts w:ascii="Arial" w:cs="Arial" w:eastAsia="Arial" w:hAnsi="Arial"/>
          <w:sz w:val="18"/>
          <w:szCs w:val="18"/>
          <w:color w:val="auto"/>
        </w:rPr>
        <w:t>use or disclose any trade secrets or confidential information concerning the Business or any segment thereof. Trade secrets and confidential information concerning the Business shall include, but not be limited to: (1) lists of names and addresses of customers and suppliers of the Company or any of its subsidiaries or affiliates, and (2) software and computer programs, market research and data bases, sources of leads and methods of obtaining new business, and methods of purchasing, marketing, selling, performing and pricing products and services employed by the Company or any of its subsidiaries or affiliates in the Business or any segment thereof.</w:t>
      </w:r>
    </w:p>
    <w:p>
      <w:pPr>
        <w:spacing w:after="0" w:line="129"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4.2 As used herein, the term “Trade Area” shall mean the United States of America, and any other foreign countries or regions, which are regularly serviced by the Company during the Employment Term, which areas define the territory in which the Company conducts or has conducted the majority of its business and solicits the majority of its patronage.</w:t>
      </w:r>
    </w:p>
    <w:p>
      <w:pPr>
        <w:spacing w:after="0" w:line="127"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4.3 Executive recognizes the importance of the covenant contained in this Section 4 and acknowledges that, based on his/her past experience and training as an Executive of the Company and the projected expansion of the Company’s business, the restrictions imposed herein are: (i) reasonable as to scope, time and area; (ii) necessary for the protection of the Company’s legitimate business interests, including without limitation, the Company’s trade secrets, goodwill, and its relationship with customers and suppliers; and (iii) not unduly restrictive of any of Executive’s rights as an individual. Executive acknowledges and agrees that the covenants contained in this Section 4 are essential elements of this Agreement and that but for these covenants, the Company would not have entered into this Agreement. Such covenants shall be construed as agreements independent of any other provision of this Agreement. The existence of any claim or cause of action against the Company by Executive, whether predicated on the breach of this Agreement or otherwise, shall not constitute a defense to the enforcement by the Company of the covenants contained in this Section 4.</w:t>
      </w:r>
    </w:p>
    <w:p>
      <w:pPr>
        <w:spacing w:after="0" w:line="105"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4.4 If Executive commits a breach or threatens to commit a breach of any of the provisions of this Section 4, the Company shall have the right and remedy, in addition to any others that may be available, at law or in equity, to have the provisions of this Section 4 specifically enforced by any court having equity jurisdiction, through injunctive or other relief (without any bond or security being required to be posted), it being acknowledged that any such breach or threatened breach will cause irreparable injury to the Company, the amount of which will be difficult to determine, and that money damages will not provide an adequate remedy to the Company.</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99" w:name="page100"/>
    <w:bookmarkEnd w:id="99"/>
    <w:p>
      <w:pPr>
        <w:ind w:right="20" w:firstLine="913"/>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4.5 If any covenant contained in this Section 4, or any part thereof, is hereafter construed to be invalid or unenforceable, the same shall not affect the remainder of the covenants, which shall be given full effect, without regard to the invalid portions, and any court having jurisdiction shall have the power to reduce the duration, scope and/or area of such covenant and, in its reduced form, said covenant shall then be enforceable. If Executive breaches the covenants set forth in this Section 4, the running of the non-compete period described herein (but not his/her obligation) shall be tolled for so long as such breach continues.</w:t>
      </w:r>
    </w:p>
    <w:p>
      <w:pPr>
        <w:spacing w:after="0" w:line="84"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4.6 The provisions of this Section 4 shall survive the expiration and termination of this Agreement, and the termination of Executive’s employment hereunder for any reason. If after termination of this Agreement, or the initial Employment Term (or any renewal thereof), the Executive remains employed by the Company, as an at-will employee, consultant or on any other full or part-time basis, then notwithstanding anything to the contrary set forth herein, the Restricted Period shall not commence to run until the last day Executive is employed by or is providing services to the Company, even though this Agreement or the Employment Term may have terminated at an earlier date.</w:t>
      </w:r>
    </w:p>
    <w:p>
      <w:pPr>
        <w:spacing w:after="0" w:line="102" w:lineRule="exact"/>
        <w:rPr>
          <w:sz w:val="20"/>
          <w:szCs w:val="20"/>
          <w:color w:val="auto"/>
        </w:rPr>
      </w:pPr>
    </w:p>
    <w:p>
      <w:pPr>
        <w:ind w:right="100" w:firstLine="464"/>
        <w:spacing w:after="0" w:line="294" w:lineRule="auto"/>
        <w:tabs>
          <w:tab w:leader="none" w:pos="632"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Related Party Transactions</w:t>
      </w:r>
      <w:r>
        <w:rPr>
          <w:rFonts w:ascii="Arial" w:cs="Arial" w:eastAsia="Arial" w:hAnsi="Arial"/>
          <w:sz w:val="16"/>
          <w:szCs w:val="16"/>
          <w:color w:val="auto"/>
        </w:rPr>
        <w:t>. So long as Executive is employed by the Company, he shall not, without the prior written consent of the Company, cause or permit the Company or any of its subsidiaries or affiliates to enter into or effect any agreement or transaction, or provide or receive any service, between the Company on the one hand, and Executive or a Related Party, on the other hand, except for the employment relationship contemplated hereby. In any event, any such agreements, transactions or services shall be at prices and terms which are not less favorable to the Company than the prices and terms available for similar agreements, transactions or services with unrelated third parties.</w:t>
      </w:r>
    </w:p>
    <w:p>
      <w:pPr>
        <w:spacing w:after="0" w:line="102" w:lineRule="exact"/>
        <w:rPr>
          <w:rFonts w:ascii="Arial" w:cs="Arial" w:eastAsia="Arial" w:hAnsi="Arial"/>
          <w:sz w:val="16"/>
          <w:szCs w:val="16"/>
          <w:color w:val="auto"/>
        </w:rPr>
      </w:pPr>
    </w:p>
    <w:p>
      <w:pPr>
        <w:ind w:left="640" w:hanging="17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Company Property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20" w:firstLine="1492"/>
        <w:spacing w:after="0" w:line="288" w:lineRule="auto"/>
        <w:tabs>
          <w:tab w:leader="none" w:pos="1722"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Company shall be the sole owner of all products and proceeds of the Executive’s services hereunder, including, but not limited to, all materials, ideas, concepts, formats, suggestions, developments, arrangements, packages, programs and other intellectual properties that the Executive may acquire, obtain, develop or create in connection with and during the term of the Executive’s employment hereunder, free and clear of any claims by the Executive (or anyone claiming under the Executive) of any kind or character whatsoever (other than the Executive’s right to receive compensation hereunder). The Executive shall, at the request of the Company, execute such assignments, certificates or other instruments as the Company may from time to time deem necessary or desirable to evidence, establish, maintain, perfect, protect, enforce or defend its right, title and interest in or to any such properties. Upon the termination of the Executive’s employment for any reason whatsoever, all documents, records, notebooks, equipment, price lists, specifications, programs, customer and prospective customer lists and other materials which refer or relate to any aspect of the Business which are in the possession of the Executive (including all copies thereof), shall be promptly returned to the Company.</w:t>
      </w:r>
    </w:p>
    <w:p>
      <w:pPr>
        <w:spacing w:after="0" w:line="106" w:lineRule="exact"/>
        <w:rPr>
          <w:rFonts w:ascii="Arial" w:cs="Arial" w:eastAsia="Arial" w:hAnsi="Arial"/>
          <w:sz w:val="16"/>
          <w:szCs w:val="16"/>
          <w:color w:val="auto"/>
        </w:rPr>
      </w:pPr>
    </w:p>
    <w:p>
      <w:pPr>
        <w:ind w:right="200" w:firstLine="1492"/>
        <w:spacing w:after="0" w:line="268" w:lineRule="auto"/>
        <w:tabs>
          <w:tab w:leader="none" w:pos="1732"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Executive agrees that all processes, technologies and inventions (“Inventions”), including new contributions, improvements, ideas and discoveries, whether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00" w:name="page101"/>
    <w:bookmarkEnd w:id="100"/>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patentable or not, conceived, developed, invented or made by him during his employment by the Company shall belong to the Company, provided that such Inventions grew out of the Executive’s work with the Company, are related in any manner to the Business or are conceived or made on the Company’s time or with the use of the Company’s facilities or materials. The Executive shall (i) promptly disclose such Inventions to the Company; (ii) assign to the Company, without additional compensation, all patent and other rights to such Inventions for the United States and foreign countries; (iii) sign all papers necessary to carry out the foregoing; and (iv) give testimony in support of his inventorship.</w:t>
      </w:r>
    </w:p>
    <w:p>
      <w:pPr>
        <w:spacing w:after="0" w:line="102" w:lineRule="exact"/>
        <w:rPr>
          <w:sz w:val="20"/>
          <w:szCs w:val="20"/>
          <w:color w:val="auto"/>
        </w:rPr>
      </w:pPr>
    </w:p>
    <w:p>
      <w:pPr>
        <w:ind w:left="640" w:hanging="17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Procedures</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Modification and Waiver</w:t>
      </w:r>
      <w:r>
        <w:rPr>
          <w:rFonts w:ascii="Arial" w:cs="Arial" w:eastAsia="Arial" w:hAnsi="Arial"/>
          <w:sz w:val="16"/>
          <w:szCs w:val="16"/>
          <w:color w:val="auto"/>
        </w:rPr>
        <w:t>. Any term or condition of this Agreement may be waived at any time by the party hereto that is entitled to the benefit thereof; provided, however, that any such waiver shall be in writing and signed by the waiving party, and no such waiver of any breach or default hereunder is to be implied from the omission of the other party to take any action on account thereof. A waiver on one occasion shall not be deemed to be a waiver of the same or of any other breach on a future occasion. This Agreement may be modified or amended only by a writing signed by both parties hereto.</w:t>
      </w:r>
    </w:p>
    <w:p>
      <w:pPr>
        <w:spacing w:after="0" w:line="99" w:lineRule="exact"/>
        <w:rPr>
          <w:sz w:val="20"/>
          <w:szCs w:val="20"/>
          <w:color w:val="auto"/>
        </w:rPr>
      </w:pPr>
    </w:p>
    <w:p>
      <w:pPr>
        <w:ind w:right="140" w:firstLine="913"/>
        <w:spacing w:after="0" w:line="294"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Governing Law/Arbitration</w:t>
      </w:r>
      <w:r>
        <w:rPr>
          <w:rFonts w:ascii="Arial" w:cs="Arial" w:eastAsia="Arial" w:hAnsi="Arial"/>
          <w:sz w:val="16"/>
          <w:szCs w:val="16"/>
          <w:color w:val="auto"/>
        </w:rPr>
        <w:t>. The validity and effect of this Agreement shall be governed by and construed and enforced in accordance with the laws of the State of Florida, without regard to any conflict-of-law rule or principle that would give effect to the laws of another jurisdiction. Each party hereby irrevocably waives, to the fullest extent it may effectively do so, the defense of an inconvenient forum in Miami-Dade County, Florida. Should any dispute arise relating to the meaning, interpretation, or application of this Agreement, such dispute shall be heard in Miami, Florida, before the American Arbitration Association in accordance with its employment dispute arbitration rules.</w:t>
      </w:r>
    </w:p>
    <w:p>
      <w:pPr>
        <w:spacing w:after="0" w:line="102"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Tax Withholding</w:t>
      </w:r>
      <w:r>
        <w:rPr>
          <w:rFonts w:ascii="Arial" w:cs="Arial" w:eastAsia="Arial" w:hAnsi="Arial"/>
          <w:sz w:val="18"/>
          <w:szCs w:val="18"/>
          <w:color w:val="auto"/>
        </w:rPr>
        <w:t>. The Company may withhold from any amounts payable under this Agreement such taxes as shall be required to be withheld pursuant to any applicable law or regulation.</w:t>
      </w:r>
    </w:p>
    <w:p>
      <w:pPr>
        <w:spacing w:after="0" w:line="118"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Section Captions</w:t>
      </w:r>
      <w:r>
        <w:rPr>
          <w:rFonts w:ascii="Arial" w:cs="Arial" w:eastAsia="Arial" w:hAnsi="Arial"/>
          <w:sz w:val="18"/>
          <w:szCs w:val="18"/>
          <w:color w:val="auto"/>
        </w:rPr>
        <w:t>. Section and other captions contained in this Agreement are for reference purposes only and are in no way intended to describe, interpret, define or limit the scope, extent or intent of this Agreement or any provision hereof.</w:t>
      </w:r>
    </w:p>
    <w:p>
      <w:pPr>
        <w:spacing w:after="0" w:line="118"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Severability</w:t>
      </w:r>
      <w:r>
        <w:rPr>
          <w:rFonts w:ascii="Arial" w:cs="Arial" w:eastAsia="Arial" w:hAnsi="Arial"/>
          <w:sz w:val="18"/>
          <w:szCs w:val="18"/>
          <w:color w:val="auto"/>
        </w:rPr>
        <w:t>. Every provision of this Agreement is intended to be severable. If any term or provision hereof is illegal or invalid for any reason whatsoever, such illegality or invalidity shall not affect the validity of the remainder of this Agreement.</w:t>
      </w:r>
    </w:p>
    <w:p>
      <w:pPr>
        <w:spacing w:after="0" w:line="118" w:lineRule="exact"/>
        <w:rPr>
          <w:sz w:val="20"/>
          <w:szCs w:val="20"/>
          <w:color w:val="auto"/>
        </w:rPr>
      </w:pPr>
    </w:p>
    <w:p>
      <w:pPr>
        <w:ind w:right="200" w:firstLine="913"/>
        <w:spacing w:after="0" w:line="306"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Integrated Agreement</w:t>
      </w:r>
      <w:r>
        <w:rPr>
          <w:rFonts w:ascii="Arial" w:cs="Arial" w:eastAsia="Arial" w:hAnsi="Arial"/>
          <w:sz w:val="16"/>
          <w:szCs w:val="16"/>
          <w:color w:val="auto"/>
        </w:rPr>
        <w:t>. This Agreement constitutes the entire understanding and agreement among the parties hereto with respect to the subject matter hereof, and supersedes any other employment agreements executed before the date hereof. There are no agreements, understandings, restrictions, representations, or warranties among the parties other than those set forth herein or herein provided for.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01" w:name="page102"/>
    <w:bookmarkEnd w:id="101"/>
    <w:p>
      <w:pPr>
        <w:ind w:right="6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7.7 </w:t>
      </w:r>
      <w:r>
        <w:rPr>
          <w:rFonts w:ascii="Arial" w:cs="Arial" w:eastAsia="Arial" w:hAnsi="Arial"/>
          <w:sz w:val="18"/>
          <w:szCs w:val="18"/>
          <w:u w:val="single" w:color="auto"/>
          <w:color w:val="auto"/>
        </w:rPr>
        <w:t>Interpretation</w:t>
      </w:r>
      <w:r>
        <w:rPr>
          <w:rFonts w:ascii="Arial" w:cs="Arial" w:eastAsia="Arial" w:hAnsi="Arial"/>
          <w:sz w:val="18"/>
          <w:szCs w:val="18"/>
          <w:color w:val="auto"/>
        </w:rPr>
        <w:t>. No provision of this Agreement is to be interpreted for or against any party because that party or that party’s legal representative drafted such provision. For purposes of this Agreement: “herein,” “hereby,” “hereunder,” “herewith,” “hereafter,” and “hereinafter” refer to this Agreement in its entirety, and not to any particular section or subsection. This Agreement may be executed in any number of counterparts, each of which shall be deemed an original, and all of which shall constitute one and the same instrument.</w:t>
      </w:r>
    </w:p>
    <w:p>
      <w:pPr>
        <w:spacing w:after="0" w:line="130"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requests, demands, or other communications required or permitted hereunder shall be in writing and shall be deemed to have been duly given upon receipt if delivered in person or by facsimile transmission (with confirmation transmission), or upon the expiration of four (4) days after the date sent, if sent by Federal Express (or similar overnight courier service) to the parties at the following addresses:</w:t>
      </w:r>
    </w:p>
    <w:p>
      <w:pPr>
        <w:spacing w:after="0" w:line="93" w:lineRule="exact"/>
        <w:rPr>
          <w:sz w:val="20"/>
          <w:szCs w:val="20"/>
          <w:color w:val="auto"/>
        </w:rPr>
      </w:pPr>
    </w:p>
    <w:p>
      <w:pPr>
        <w:ind w:left="860"/>
        <w:spacing w:after="0"/>
        <w:tabs>
          <w:tab w:leader="none" w:pos="2300" w:val="left"/>
        </w:tabs>
        <w:rPr>
          <w:sz w:val="20"/>
          <w:szCs w:val="20"/>
          <w:color w:val="auto"/>
        </w:rPr>
      </w:pPr>
      <w:r>
        <w:rPr>
          <w:rFonts w:ascii="Arial" w:cs="Arial" w:eastAsia="Arial" w:hAnsi="Arial"/>
          <w:sz w:val="18"/>
          <w:szCs w:val="18"/>
          <w:u w:val="single" w:color="auto"/>
          <w:color w:val="auto"/>
        </w:rPr>
        <w:t>If to Executive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Michael S. Clementi</w:t>
      </w:r>
    </w:p>
    <w:p>
      <w:pPr>
        <w:spacing w:after="0" w:line="1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2484 Poinciana Lane</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Weston, Florida 33326</w:t>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  World Fuel Services Corporation</w:t>
      </w:r>
    </w:p>
    <w:p>
      <w:pPr>
        <w:spacing w:after="0" w:line="1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700 S. Royal Poinciana Blvd., Suite 800</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Miami Springs, Florida 33166</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Attn: Ileana de Armas, V.P. of Human Resources</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Fax Number: (305) 805-6153</w:t>
      </w:r>
    </w:p>
    <w:p>
      <w:pPr>
        <w:spacing w:after="0" w:line="15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Notices may also be given in any other manner permitted by law, effective upon actual receipt. Any party may change the address to which notices, requests, demands or other communications to such party shall be delivered or mailed by giving notice thereof to the other parties hereto in the manner provided herein. Any notice may be given on behalf of a party by its counsel.</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7.9 </w:t>
      </w:r>
      <w:r>
        <w:rPr>
          <w:rFonts w:ascii="Arial" w:cs="Arial" w:eastAsia="Arial" w:hAnsi="Arial"/>
          <w:sz w:val="15"/>
          <w:szCs w:val="15"/>
          <w:u w:val="single" w:color="auto"/>
          <w:color w:val="auto"/>
        </w:rPr>
        <w:t>Successors</w:t>
      </w:r>
      <w:r>
        <w:rPr>
          <w:rFonts w:ascii="Arial" w:cs="Arial" w:eastAsia="Arial" w:hAnsi="Arial"/>
          <w:sz w:val="15"/>
          <w:szCs w:val="15"/>
          <w:color w:val="auto"/>
        </w:rPr>
        <w:t>. This Agreement is personal to Executive and without the prior written consent of the Company shall not be assignable by Executive.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is assignable by the Company and shall inure to the benefit of and be binding upon the Company and its successors and assigns.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02" w:name="page103"/>
    <w:bookmarkEnd w:id="10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as of July 10, 2002.</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WORLD FUEL SERVICES,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/s/ Francis X. Shea</w:t>
            </w:r>
          </w:p>
        </w:tc>
        <w:tc>
          <w:tcPr>
            <w:tcW w:w="6900" w:type="dxa"/>
            <w:vAlign w:val="bottom"/>
            <w:gridSpan w:val="2"/>
          </w:tcPr>
          <w:p>
            <w:pPr>
              <w:ind w:left="1060"/>
              <w:spacing w:after="0"/>
              <w:rPr>
                <w:sz w:val="20"/>
                <w:szCs w:val="20"/>
                <w:color w:val="auto"/>
              </w:rPr>
            </w:pPr>
            <w:r>
              <w:rPr>
                <w:rFonts w:ascii="Arial" w:cs="Arial" w:eastAsia="Arial" w:hAnsi="Arial"/>
                <w:sz w:val="18"/>
                <w:szCs w:val="18"/>
                <w:color w:val="auto"/>
              </w:rPr>
              <w:t>By:  /s/ Paul Stebbins</w:t>
            </w:r>
          </w:p>
        </w:tc>
      </w:tr>
      <w:tr>
        <w:trPr>
          <w:trHeight w:val="110"/>
        </w:trPr>
        <w:tc>
          <w:tcPr>
            <w:tcW w:w="452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5460" w:type="dxa"/>
            <w:vAlign w:val="bottom"/>
            <w:tcBorders>
              <w:bottom w:val="single" w:sz="8" w:color="auto"/>
            </w:tcBorders>
          </w:tcPr>
          <w:p>
            <w:pPr>
              <w:spacing w:after="0"/>
              <w:rPr>
                <w:sz w:val="9"/>
                <w:szCs w:val="9"/>
                <w:color w:val="auto"/>
              </w:rPr>
            </w:pPr>
          </w:p>
        </w:tc>
      </w:tr>
      <w:tr>
        <w:trPr>
          <w:trHeight w:val="316"/>
        </w:trPr>
        <w:tc>
          <w:tcPr>
            <w:tcW w:w="4520" w:type="dxa"/>
            <w:vAlign w:val="bottom"/>
          </w:tcPr>
          <w:p>
            <w:pPr>
              <w:spacing w:after="0"/>
              <w:rPr>
                <w:sz w:val="20"/>
                <w:szCs w:val="20"/>
                <w:color w:val="auto"/>
              </w:rPr>
            </w:pPr>
            <w:r>
              <w:rPr>
                <w:rFonts w:ascii="Arial" w:cs="Arial" w:eastAsia="Arial" w:hAnsi="Arial"/>
                <w:sz w:val="18"/>
                <w:szCs w:val="18"/>
                <w:color w:val="auto"/>
              </w:rPr>
              <w:t>Francis X. Shea</w:t>
            </w:r>
          </w:p>
        </w:tc>
        <w:tc>
          <w:tcPr>
            <w:tcW w:w="14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Paul Stebbins</w:t>
            </w:r>
          </w:p>
        </w:tc>
      </w:tr>
      <w:tr>
        <w:trPr>
          <w:trHeight w:val="324"/>
        </w:trPr>
        <w:tc>
          <w:tcPr>
            <w:tcW w:w="4520" w:type="dxa"/>
            <w:vAlign w:val="bottom"/>
          </w:tcPr>
          <w:p>
            <w:pPr>
              <w:spacing w:after="0"/>
              <w:rPr>
                <w:sz w:val="20"/>
                <w:szCs w:val="20"/>
                <w:color w:val="auto"/>
              </w:rPr>
            </w:pPr>
            <w:r>
              <w:rPr>
                <w:rFonts w:ascii="Arial" w:cs="Arial" w:eastAsia="Arial" w:hAnsi="Arial"/>
                <w:sz w:val="18"/>
                <w:szCs w:val="18"/>
                <w:color w:val="auto"/>
              </w:rPr>
              <w:t>/s/ Ileana De Armas</w:t>
            </w:r>
          </w:p>
        </w:tc>
        <w:tc>
          <w:tcPr>
            <w:tcW w:w="14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President, World Fuel Services Corporation</w:t>
            </w:r>
          </w:p>
        </w:tc>
      </w:tr>
      <w:tr>
        <w:trPr>
          <w:trHeight w:val="110"/>
        </w:trPr>
        <w:tc>
          <w:tcPr>
            <w:tcW w:w="452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5460" w:type="dxa"/>
            <w:vAlign w:val="bottom"/>
          </w:tcPr>
          <w:p>
            <w:pPr>
              <w:spacing w:after="0"/>
              <w:rPr>
                <w:sz w:val="9"/>
                <w:szCs w:val="9"/>
                <w:color w:val="auto"/>
              </w:rPr>
            </w:pPr>
          </w:p>
        </w:tc>
      </w:tr>
      <w:tr>
        <w:trPr>
          <w:trHeight w:val="316"/>
        </w:trPr>
        <w:tc>
          <w:tcPr>
            <w:tcW w:w="4520" w:type="dxa"/>
            <w:vAlign w:val="bottom"/>
          </w:tcPr>
          <w:p>
            <w:pPr>
              <w:spacing w:after="0"/>
              <w:rPr>
                <w:sz w:val="20"/>
                <w:szCs w:val="20"/>
                <w:color w:val="auto"/>
              </w:rPr>
            </w:pPr>
            <w:r>
              <w:rPr>
                <w:rFonts w:ascii="Arial" w:cs="Arial" w:eastAsia="Arial" w:hAnsi="Arial"/>
                <w:sz w:val="18"/>
                <w:szCs w:val="18"/>
                <w:color w:val="auto"/>
              </w:rPr>
              <w:t>Ileana De Armas</w:t>
            </w:r>
          </w:p>
        </w:tc>
        <w:tc>
          <w:tcPr>
            <w:tcW w:w="144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WITNESSES:</w:t>
            </w:r>
          </w:p>
        </w:tc>
        <w:tc>
          <w:tcPr>
            <w:tcW w:w="144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32"/>
        </w:trPr>
        <w:tc>
          <w:tcPr>
            <w:tcW w:w="4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EXECUTIVE:</w:t>
            </w: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/s/ Edith Novoa</w:t>
            </w:r>
          </w:p>
        </w:tc>
        <w:tc>
          <w:tcPr>
            <w:tcW w:w="14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 Michael S. Clementi</w:t>
            </w:r>
          </w:p>
        </w:tc>
      </w:tr>
      <w:tr>
        <w:trPr>
          <w:trHeight w:val="110"/>
        </w:trPr>
        <w:tc>
          <w:tcPr>
            <w:tcW w:w="452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5460" w:type="dxa"/>
            <w:vAlign w:val="bottom"/>
            <w:tcBorders>
              <w:bottom w:val="single" w:sz="8" w:color="auto"/>
            </w:tcBorders>
          </w:tcPr>
          <w:p>
            <w:pPr>
              <w:spacing w:after="0"/>
              <w:rPr>
                <w:sz w:val="9"/>
                <w:szCs w:val="9"/>
                <w:color w:val="auto"/>
              </w:rPr>
            </w:pPr>
          </w:p>
        </w:tc>
      </w:tr>
      <w:tr>
        <w:trPr>
          <w:trHeight w:val="316"/>
        </w:trPr>
        <w:tc>
          <w:tcPr>
            <w:tcW w:w="4520" w:type="dxa"/>
            <w:vAlign w:val="bottom"/>
          </w:tcPr>
          <w:p>
            <w:pPr>
              <w:spacing w:after="0"/>
              <w:rPr>
                <w:sz w:val="20"/>
                <w:szCs w:val="20"/>
                <w:color w:val="auto"/>
              </w:rPr>
            </w:pPr>
            <w:r>
              <w:rPr>
                <w:rFonts w:ascii="Arial" w:cs="Arial" w:eastAsia="Arial" w:hAnsi="Arial"/>
                <w:sz w:val="18"/>
                <w:szCs w:val="18"/>
                <w:color w:val="auto"/>
              </w:rPr>
              <w:t>Edith Novoa</w:t>
            </w:r>
          </w:p>
        </w:tc>
        <w:tc>
          <w:tcPr>
            <w:tcW w:w="14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Michael S. Clementi</w:t>
            </w:r>
          </w:p>
        </w:tc>
      </w:tr>
      <w:tr>
        <w:trPr>
          <w:trHeight w:val="324"/>
        </w:trPr>
        <w:tc>
          <w:tcPr>
            <w:tcW w:w="4520" w:type="dxa"/>
            <w:vAlign w:val="bottom"/>
          </w:tcPr>
          <w:p>
            <w:pPr>
              <w:spacing w:after="0"/>
              <w:rPr>
                <w:sz w:val="20"/>
                <w:szCs w:val="20"/>
                <w:color w:val="auto"/>
              </w:rPr>
            </w:pPr>
            <w:r>
              <w:rPr>
                <w:rFonts w:ascii="Arial" w:cs="Arial" w:eastAsia="Arial" w:hAnsi="Arial"/>
                <w:sz w:val="18"/>
                <w:szCs w:val="18"/>
                <w:color w:val="auto"/>
              </w:rPr>
              <w:t>/s/ Francis X. Shea</w:t>
            </w:r>
          </w:p>
        </w:tc>
        <w:tc>
          <w:tcPr>
            <w:tcW w:w="144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110"/>
        </w:trPr>
        <w:tc>
          <w:tcPr>
            <w:tcW w:w="452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5460" w:type="dxa"/>
            <w:vAlign w:val="bottom"/>
          </w:tcPr>
          <w:p>
            <w:pPr>
              <w:spacing w:after="0"/>
              <w:rPr>
                <w:sz w:val="9"/>
                <w:szCs w:val="9"/>
                <w:color w:val="auto"/>
              </w:rPr>
            </w:pPr>
          </w:p>
        </w:tc>
      </w:tr>
      <w:tr>
        <w:trPr>
          <w:trHeight w:val="316"/>
        </w:trPr>
        <w:tc>
          <w:tcPr>
            <w:tcW w:w="4520" w:type="dxa"/>
            <w:vAlign w:val="bottom"/>
          </w:tcPr>
          <w:p>
            <w:pPr>
              <w:spacing w:after="0"/>
              <w:rPr>
                <w:sz w:val="20"/>
                <w:szCs w:val="20"/>
                <w:color w:val="auto"/>
              </w:rPr>
            </w:pPr>
            <w:r>
              <w:rPr>
                <w:rFonts w:ascii="Arial" w:cs="Arial" w:eastAsia="Arial" w:hAnsi="Arial"/>
                <w:sz w:val="18"/>
                <w:szCs w:val="18"/>
                <w:color w:val="auto"/>
              </w:rPr>
              <w:t>Francis X. Shea</w:t>
            </w:r>
          </w:p>
        </w:tc>
        <w:tc>
          <w:tcPr>
            <w:tcW w:w="144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365"/>
        </w:trPr>
        <w:tc>
          <w:tcPr>
            <w:tcW w:w="4520" w:type="dxa"/>
            <w:vAlign w:val="bottom"/>
          </w:tcPr>
          <w:p>
            <w:pPr>
              <w:spacing w:after="0"/>
              <w:rPr>
                <w:sz w:val="24"/>
                <w:szCs w:val="24"/>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World Fuel Services Corporation, a Florida corporation</w:t>
      </w:r>
    </w:p>
    <w:p>
      <w:pPr>
        <w:spacing w:after="0" w:line="77" w:lineRule="exact"/>
        <w:rPr>
          <w:sz w:val="20"/>
          <w:szCs w:val="20"/>
          <w:color w:val="auto"/>
        </w:rPr>
      </w:pPr>
    </w:p>
    <w:p>
      <w:pPr>
        <w:ind w:left="560" w:hanging="96"/>
        <w:spacing w:after="0"/>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World Fuel Services Americas, Inc., a Delaware corporation</w:t>
      </w:r>
    </w:p>
    <w:p>
      <w:pPr>
        <w:spacing w:after="0" w:line="15" w:lineRule="exact"/>
        <w:rPr>
          <w:rFonts w:ascii="Arial" w:cs="Arial" w:eastAsia="Arial" w:hAnsi="Arial"/>
          <w:sz w:val="18"/>
          <w:szCs w:val="18"/>
          <w:color w:val="auto"/>
        </w:rPr>
      </w:pPr>
    </w:p>
    <w:p>
      <w:pPr>
        <w:ind w:left="560" w:hanging="96"/>
        <w:spacing w:after="0"/>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World Fuel Services, Inc., a Texas corporation</w:t>
      </w:r>
    </w:p>
    <w:p>
      <w:pPr>
        <w:spacing w:after="0" w:line="9" w:lineRule="exact"/>
        <w:rPr>
          <w:rFonts w:ascii="Arial" w:cs="Arial" w:eastAsia="Arial" w:hAnsi="Arial"/>
          <w:sz w:val="18"/>
          <w:szCs w:val="18"/>
          <w:color w:val="auto"/>
        </w:rPr>
      </w:pPr>
    </w:p>
    <w:p>
      <w:pPr>
        <w:ind w:left="1000" w:hanging="93"/>
        <w:spacing w:after="0"/>
        <w:tabs>
          <w:tab w:leader="none" w:pos="10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PAFCO LLC, a Delaware limited liability company (4)</w:t>
      </w:r>
    </w:p>
    <w:p>
      <w:pPr>
        <w:spacing w:after="0" w:line="9" w:lineRule="exact"/>
        <w:rPr>
          <w:rFonts w:ascii="Arial" w:cs="Arial" w:eastAsia="Arial" w:hAnsi="Arial"/>
          <w:sz w:val="18"/>
          <w:szCs w:val="18"/>
          <w:color w:val="auto"/>
        </w:rPr>
      </w:pPr>
    </w:p>
    <w:p>
      <w:pPr>
        <w:ind w:left="560" w:hanging="96"/>
        <w:spacing w:after="0"/>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Advance Petroleum, Inc., a Florida corporation</w:t>
      </w:r>
    </w:p>
    <w:p>
      <w:pPr>
        <w:spacing w:after="0" w:line="9" w:lineRule="exact"/>
        <w:rPr>
          <w:rFonts w:ascii="Arial" w:cs="Arial" w:eastAsia="Arial" w:hAnsi="Arial"/>
          <w:sz w:val="18"/>
          <w:szCs w:val="18"/>
          <w:color w:val="auto"/>
        </w:rPr>
      </w:pPr>
    </w:p>
    <w:p>
      <w:pPr>
        <w:ind w:left="1000" w:hanging="93"/>
        <w:spacing w:after="0"/>
        <w:tabs>
          <w:tab w:leader="none" w:pos="10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PetroServicios de Mexico S.A. de C.V., a Mexico corporation (1)</w:t>
      </w:r>
    </w:p>
    <w:p>
      <w:pPr>
        <w:spacing w:after="0" w:line="9" w:lineRule="exact"/>
        <w:rPr>
          <w:rFonts w:ascii="Arial" w:cs="Arial" w:eastAsia="Arial" w:hAnsi="Arial"/>
          <w:sz w:val="18"/>
          <w:szCs w:val="18"/>
          <w:color w:val="auto"/>
        </w:rPr>
      </w:pPr>
    </w:p>
    <w:p>
      <w:pPr>
        <w:ind w:left="1000" w:hanging="93"/>
        <w:spacing w:after="0"/>
        <w:tabs>
          <w:tab w:leader="none" w:pos="10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Servicios Auxiliares de Mexico S.A. de C.V., a Mexico corporation (1)</w:t>
      </w:r>
    </w:p>
    <w:p>
      <w:pPr>
        <w:spacing w:after="0" w:line="9" w:lineRule="exact"/>
        <w:rPr>
          <w:rFonts w:ascii="Arial" w:cs="Arial" w:eastAsia="Arial" w:hAnsi="Arial"/>
          <w:sz w:val="18"/>
          <w:szCs w:val="18"/>
          <w:color w:val="auto"/>
        </w:rPr>
      </w:pPr>
    </w:p>
    <w:p>
      <w:pPr>
        <w:ind w:left="1000" w:hanging="93"/>
        <w:spacing w:after="0"/>
        <w:tabs>
          <w:tab w:leader="none" w:pos="10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Baseops Mexico S.A. de C.V., a Mexico corporation (5)(3)</w:t>
      </w:r>
    </w:p>
    <w:p>
      <w:pPr>
        <w:spacing w:after="0" w:line="9" w:lineRule="exact"/>
        <w:rPr>
          <w:rFonts w:ascii="Arial" w:cs="Arial" w:eastAsia="Arial" w:hAnsi="Arial"/>
          <w:sz w:val="18"/>
          <w:szCs w:val="18"/>
          <w:color w:val="auto"/>
        </w:rPr>
      </w:pPr>
    </w:p>
    <w:p>
      <w:pPr>
        <w:ind w:left="560" w:hanging="96"/>
        <w:spacing w:after="0"/>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World Fuel Services Company, Inc., a Florida corporation</w:t>
      </w:r>
    </w:p>
    <w:p>
      <w:pPr>
        <w:spacing w:after="0" w:line="9" w:lineRule="exact"/>
        <w:rPr>
          <w:rFonts w:ascii="Arial" w:cs="Arial" w:eastAsia="Arial" w:hAnsi="Arial"/>
          <w:sz w:val="18"/>
          <w:szCs w:val="18"/>
          <w:color w:val="auto"/>
        </w:rPr>
      </w:pPr>
    </w:p>
    <w:p>
      <w:pPr>
        <w:ind w:left="560" w:hanging="96"/>
        <w:spacing w:after="0"/>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Atlantic Fuel Services, S.A., a Costa Rica corporation (3)</w:t>
      </w:r>
    </w:p>
    <w:p>
      <w:pPr>
        <w:spacing w:after="0" w:line="9" w:lineRule="exact"/>
        <w:rPr>
          <w:rFonts w:ascii="Arial" w:cs="Arial" w:eastAsia="Arial" w:hAnsi="Arial"/>
          <w:sz w:val="18"/>
          <w:szCs w:val="18"/>
          <w:color w:val="auto"/>
        </w:rPr>
      </w:pPr>
    </w:p>
    <w:p>
      <w:pPr>
        <w:ind w:left="560" w:hanging="96"/>
        <w:spacing w:after="0"/>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Baseops International, Inc., a Texas corporation</w:t>
      </w:r>
    </w:p>
    <w:p>
      <w:pPr>
        <w:spacing w:after="0" w:line="9" w:lineRule="exact"/>
        <w:rPr>
          <w:rFonts w:ascii="Arial" w:cs="Arial" w:eastAsia="Arial" w:hAnsi="Arial"/>
          <w:sz w:val="18"/>
          <w:szCs w:val="18"/>
          <w:color w:val="auto"/>
        </w:rPr>
      </w:pPr>
    </w:p>
    <w:p>
      <w:pPr>
        <w:ind w:left="560" w:hanging="96"/>
        <w:spacing w:after="0"/>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Casa Petro S.A., a Costa Rica corporation</w:t>
      </w:r>
    </w:p>
    <w:p>
      <w:pPr>
        <w:spacing w:after="0" w:line="9" w:lineRule="exact"/>
        <w:rPr>
          <w:rFonts w:ascii="Arial" w:cs="Arial" w:eastAsia="Arial" w:hAnsi="Arial"/>
          <w:sz w:val="18"/>
          <w:szCs w:val="18"/>
          <w:color w:val="auto"/>
        </w:rPr>
      </w:pPr>
    </w:p>
    <w:p>
      <w:pPr>
        <w:ind w:left="1000" w:hanging="93"/>
        <w:spacing w:after="0"/>
        <w:tabs>
          <w:tab w:leader="none" w:pos="10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PetroServicios de Costa Rica S.A., a Costa Rica corporation (2)</w:t>
      </w:r>
    </w:p>
    <w:p>
      <w:pPr>
        <w:spacing w:after="0" w:line="9" w:lineRule="exact"/>
        <w:rPr>
          <w:rFonts w:ascii="Arial" w:cs="Arial" w:eastAsia="Arial" w:hAnsi="Arial"/>
          <w:sz w:val="18"/>
          <w:szCs w:val="18"/>
          <w:color w:val="auto"/>
        </w:rPr>
      </w:pPr>
    </w:p>
    <w:p>
      <w:pPr>
        <w:ind w:left="560" w:hanging="96"/>
        <w:spacing w:after="0"/>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Resource Recovery of America, Inc., a Florida corporation (3)</w:t>
      </w:r>
    </w:p>
    <w:p>
      <w:pPr>
        <w:spacing w:after="0" w:line="9" w:lineRule="exact"/>
        <w:rPr>
          <w:rFonts w:ascii="Arial" w:cs="Arial" w:eastAsia="Arial" w:hAnsi="Arial"/>
          <w:sz w:val="18"/>
          <w:szCs w:val="18"/>
          <w:color w:val="auto"/>
        </w:rPr>
      </w:pPr>
    </w:p>
    <w:p>
      <w:pPr>
        <w:ind w:left="560" w:hanging="96"/>
        <w:spacing w:after="0"/>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IRC Oil Technics, Inc., a Delaware corporation (3)</w:t>
      </w:r>
    </w:p>
    <w:p>
      <w:pPr>
        <w:spacing w:after="0" w:line="9" w:lineRule="exact"/>
        <w:rPr>
          <w:rFonts w:ascii="Arial" w:cs="Arial" w:eastAsia="Arial" w:hAnsi="Arial"/>
          <w:sz w:val="18"/>
          <w:szCs w:val="18"/>
          <w:color w:val="auto"/>
        </w:rPr>
      </w:pPr>
    </w:p>
    <w:p>
      <w:pPr>
        <w:ind w:left="560" w:hanging="96"/>
        <w:spacing w:after="0"/>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World Fuel Cayman Holding Company II, a Cayman Islands corporation (3)</w:t>
      </w:r>
    </w:p>
    <w:p>
      <w:pPr>
        <w:spacing w:after="0" w:line="9" w:lineRule="exact"/>
        <w:rPr>
          <w:rFonts w:ascii="Arial" w:cs="Arial" w:eastAsia="Arial" w:hAnsi="Arial"/>
          <w:sz w:val="18"/>
          <w:szCs w:val="18"/>
          <w:color w:val="auto"/>
        </w:rPr>
      </w:pPr>
    </w:p>
    <w:p>
      <w:pPr>
        <w:ind w:left="560" w:hanging="96"/>
        <w:spacing w:after="0"/>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World Fuel Cayman Holding Company I, a Cayman Islands corporation</w:t>
      </w:r>
    </w:p>
    <w:p>
      <w:pPr>
        <w:spacing w:after="0" w:line="9" w:lineRule="exact"/>
        <w:rPr>
          <w:rFonts w:ascii="Arial" w:cs="Arial" w:eastAsia="Arial" w:hAnsi="Arial"/>
          <w:sz w:val="18"/>
          <w:szCs w:val="18"/>
          <w:color w:val="auto"/>
        </w:rPr>
      </w:pPr>
    </w:p>
    <w:p>
      <w:pPr>
        <w:ind w:left="1000" w:hanging="93"/>
        <w:spacing w:after="0"/>
        <w:tabs>
          <w:tab w:leader="none" w:pos="10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Marine Energy Arabia Establishment Ltd., a British Virgin Islands corporation</w:t>
      </w:r>
    </w:p>
    <w:p>
      <w:pPr>
        <w:spacing w:after="0" w:line="9" w:lineRule="exact"/>
        <w:rPr>
          <w:rFonts w:ascii="Arial" w:cs="Arial" w:eastAsia="Arial" w:hAnsi="Arial"/>
          <w:sz w:val="18"/>
          <w:szCs w:val="18"/>
          <w:color w:val="auto"/>
        </w:rPr>
      </w:pPr>
    </w:p>
    <w:p>
      <w:pPr>
        <w:ind w:left="1440" w:hanging="99"/>
        <w:spacing w:after="0"/>
        <w:tabs>
          <w:tab w:leader="none" w:pos="1440" w:val="left"/>
        </w:tabs>
        <w:numPr>
          <w:ilvl w:val="2"/>
          <w:numId w:val="50"/>
        </w:numPr>
        <w:rPr>
          <w:rFonts w:ascii="Arial" w:cs="Arial" w:eastAsia="Arial" w:hAnsi="Arial"/>
          <w:sz w:val="18"/>
          <w:szCs w:val="18"/>
          <w:color w:val="auto"/>
        </w:rPr>
      </w:pPr>
      <w:r>
        <w:rPr>
          <w:rFonts w:ascii="Arial" w:cs="Arial" w:eastAsia="Arial" w:hAnsi="Arial"/>
          <w:sz w:val="18"/>
          <w:szCs w:val="18"/>
          <w:color w:val="auto"/>
        </w:rPr>
        <w:t>Marine Energy Arabia Co. LLC, a United Arab Emirate corporation, a majority controlled subsidiary</w:t>
      </w:r>
    </w:p>
    <w:p>
      <w:pPr>
        <w:spacing w:after="0" w:line="9" w:lineRule="exact"/>
        <w:rPr>
          <w:rFonts w:ascii="Arial" w:cs="Arial" w:eastAsia="Arial" w:hAnsi="Arial"/>
          <w:sz w:val="18"/>
          <w:szCs w:val="18"/>
          <w:color w:val="auto"/>
        </w:rPr>
      </w:pPr>
    </w:p>
    <w:p>
      <w:pPr>
        <w:ind w:left="1000" w:hanging="93"/>
        <w:spacing w:after="0"/>
        <w:tabs>
          <w:tab w:leader="none" w:pos="10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Trans-Tec International S.R.L., a Costa Rica corporation</w:t>
      </w:r>
    </w:p>
    <w:p>
      <w:pPr>
        <w:spacing w:after="0" w:line="9" w:lineRule="exact"/>
        <w:rPr>
          <w:rFonts w:ascii="Arial" w:cs="Arial" w:eastAsia="Arial" w:hAnsi="Arial"/>
          <w:sz w:val="18"/>
          <w:szCs w:val="18"/>
          <w:color w:val="auto"/>
        </w:rPr>
      </w:pPr>
    </w:p>
    <w:p>
      <w:pPr>
        <w:ind w:left="1000" w:hanging="93"/>
        <w:spacing w:after="0"/>
        <w:tabs>
          <w:tab w:leader="none" w:pos="10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World Fuel ApS, a Denmark corporation (3)</w:t>
      </w:r>
    </w:p>
    <w:p>
      <w:pPr>
        <w:spacing w:after="0" w:line="9" w:lineRule="exact"/>
        <w:rPr>
          <w:rFonts w:ascii="Arial" w:cs="Arial" w:eastAsia="Arial" w:hAnsi="Arial"/>
          <w:sz w:val="18"/>
          <w:szCs w:val="18"/>
          <w:color w:val="auto"/>
        </w:rPr>
      </w:pPr>
    </w:p>
    <w:p>
      <w:pPr>
        <w:ind w:left="1000" w:hanging="93"/>
        <w:spacing w:after="0"/>
        <w:tabs>
          <w:tab w:leader="none" w:pos="10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World Fuel International S.R.L., a Costa Rica corporation</w:t>
      </w:r>
    </w:p>
    <w:p>
      <w:pPr>
        <w:spacing w:after="0" w:line="9" w:lineRule="exact"/>
        <w:rPr>
          <w:rFonts w:ascii="Arial" w:cs="Arial" w:eastAsia="Arial" w:hAnsi="Arial"/>
          <w:sz w:val="18"/>
          <w:szCs w:val="18"/>
          <w:color w:val="auto"/>
        </w:rPr>
      </w:pPr>
    </w:p>
    <w:p>
      <w:pPr>
        <w:ind w:left="1000" w:hanging="93"/>
        <w:spacing w:after="0"/>
        <w:tabs>
          <w:tab w:leader="none" w:pos="10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World Fuel Singapore Holding Company I Pte. Ltd., a Singapore corporation</w:t>
      </w:r>
    </w:p>
    <w:p>
      <w:pPr>
        <w:spacing w:after="0" w:line="9" w:lineRule="exact"/>
        <w:rPr>
          <w:rFonts w:ascii="Arial" w:cs="Arial" w:eastAsia="Arial" w:hAnsi="Arial"/>
          <w:sz w:val="18"/>
          <w:szCs w:val="18"/>
          <w:color w:val="auto"/>
        </w:rPr>
      </w:pPr>
    </w:p>
    <w:p>
      <w:pPr>
        <w:ind w:left="1440" w:hanging="99"/>
        <w:spacing w:after="0"/>
        <w:tabs>
          <w:tab w:leader="none" w:pos="1440" w:val="left"/>
        </w:tabs>
        <w:numPr>
          <w:ilvl w:val="2"/>
          <w:numId w:val="50"/>
        </w:numPr>
        <w:rPr>
          <w:rFonts w:ascii="Arial" w:cs="Arial" w:eastAsia="Arial" w:hAnsi="Arial"/>
          <w:sz w:val="18"/>
          <w:szCs w:val="18"/>
          <w:color w:val="auto"/>
        </w:rPr>
      </w:pPr>
      <w:r>
        <w:rPr>
          <w:rFonts w:ascii="Arial" w:cs="Arial" w:eastAsia="Arial" w:hAnsi="Arial"/>
          <w:sz w:val="18"/>
          <w:szCs w:val="18"/>
          <w:color w:val="auto"/>
        </w:rPr>
        <w:t>World Fuel Singapore Holding Company II Pte. Ltd., a Singapore corporation</w:t>
      </w:r>
    </w:p>
    <w:p>
      <w:pPr>
        <w:spacing w:after="0" w:line="9" w:lineRule="exact"/>
        <w:rPr>
          <w:rFonts w:ascii="Arial" w:cs="Arial" w:eastAsia="Arial" w:hAnsi="Arial"/>
          <w:sz w:val="18"/>
          <w:szCs w:val="18"/>
          <w:color w:val="auto"/>
        </w:rPr>
      </w:pPr>
    </w:p>
    <w:p>
      <w:pPr>
        <w:ind w:left="2000" w:hanging="111"/>
        <w:spacing w:after="0"/>
        <w:tabs>
          <w:tab w:leader="none" w:pos="2000" w:val="left"/>
        </w:tabs>
        <w:numPr>
          <w:ilvl w:val="3"/>
          <w:numId w:val="50"/>
        </w:numPr>
        <w:rPr>
          <w:rFonts w:ascii="Arial" w:cs="Arial" w:eastAsia="Arial" w:hAnsi="Arial"/>
          <w:sz w:val="18"/>
          <w:szCs w:val="18"/>
          <w:color w:val="auto"/>
        </w:rPr>
      </w:pPr>
      <w:r>
        <w:rPr>
          <w:rFonts w:ascii="Arial" w:cs="Arial" w:eastAsia="Arial" w:hAnsi="Arial"/>
          <w:sz w:val="18"/>
          <w:szCs w:val="18"/>
          <w:color w:val="auto"/>
        </w:rPr>
        <w:t>World Fuel Services (Singapore) Pte. Ltd., a Singapore corporation</w:t>
      </w:r>
    </w:p>
    <w:p>
      <w:pPr>
        <w:spacing w:after="0" w:line="9" w:lineRule="exact"/>
        <w:rPr>
          <w:rFonts w:ascii="Arial" w:cs="Arial" w:eastAsia="Arial" w:hAnsi="Arial"/>
          <w:sz w:val="18"/>
          <w:szCs w:val="18"/>
          <w:color w:val="auto"/>
        </w:rPr>
      </w:pPr>
    </w:p>
    <w:p>
      <w:pPr>
        <w:ind w:left="2420" w:hanging="93"/>
        <w:spacing w:after="0"/>
        <w:tabs>
          <w:tab w:leader="none" w:pos="2420" w:val="left"/>
        </w:tabs>
        <w:numPr>
          <w:ilvl w:val="4"/>
          <w:numId w:val="50"/>
        </w:numPr>
        <w:rPr>
          <w:rFonts w:ascii="Arial" w:cs="Arial" w:eastAsia="Arial" w:hAnsi="Arial"/>
          <w:sz w:val="18"/>
          <w:szCs w:val="18"/>
          <w:color w:val="auto"/>
        </w:rPr>
      </w:pPr>
      <w:r>
        <w:rPr>
          <w:rFonts w:ascii="Arial" w:cs="Arial" w:eastAsia="Arial" w:hAnsi="Arial"/>
          <w:sz w:val="18"/>
          <w:szCs w:val="18"/>
          <w:color w:val="auto"/>
        </w:rPr>
        <w:t>Trans-Tec Services (Japan) Co., K.K., a Japan corporation</w:t>
      </w:r>
    </w:p>
    <w:p>
      <w:pPr>
        <w:spacing w:after="0" w:line="9" w:lineRule="exact"/>
        <w:rPr>
          <w:rFonts w:ascii="Arial" w:cs="Arial" w:eastAsia="Arial" w:hAnsi="Arial"/>
          <w:sz w:val="18"/>
          <w:szCs w:val="18"/>
          <w:color w:val="auto"/>
        </w:rPr>
      </w:pPr>
    </w:p>
    <w:p>
      <w:pPr>
        <w:ind w:left="1440" w:hanging="99"/>
        <w:spacing w:after="0"/>
        <w:tabs>
          <w:tab w:leader="none" w:pos="1440" w:val="left"/>
        </w:tabs>
        <w:numPr>
          <w:ilvl w:val="2"/>
          <w:numId w:val="50"/>
        </w:numPr>
        <w:rPr>
          <w:rFonts w:ascii="Arial" w:cs="Arial" w:eastAsia="Arial" w:hAnsi="Arial"/>
          <w:sz w:val="18"/>
          <w:szCs w:val="18"/>
          <w:color w:val="auto"/>
        </w:rPr>
      </w:pPr>
      <w:r>
        <w:rPr>
          <w:rFonts w:ascii="Arial" w:cs="Arial" w:eastAsia="Arial" w:hAnsi="Arial"/>
          <w:sz w:val="18"/>
          <w:szCs w:val="18"/>
          <w:color w:val="auto"/>
        </w:rPr>
        <w:t>Oil Shipping B.V., a Netherlands corporation</w:t>
      </w:r>
    </w:p>
    <w:p>
      <w:pPr>
        <w:spacing w:after="0" w:line="9" w:lineRule="exact"/>
        <w:rPr>
          <w:rFonts w:ascii="Arial" w:cs="Arial" w:eastAsia="Arial" w:hAnsi="Arial"/>
          <w:sz w:val="18"/>
          <w:szCs w:val="18"/>
          <w:color w:val="auto"/>
        </w:rPr>
      </w:pPr>
    </w:p>
    <w:p>
      <w:pPr>
        <w:ind w:left="2000" w:hanging="111"/>
        <w:spacing w:after="0"/>
        <w:tabs>
          <w:tab w:leader="none" w:pos="2000" w:val="left"/>
        </w:tabs>
        <w:numPr>
          <w:ilvl w:val="3"/>
          <w:numId w:val="50"/>
        </w:numPr>
        <w:rPr>
          <w:rFonts w:ascii="Arial" w:cs="Arial" w:eastAsia="Arial" w:hAnsi="Arial"/>
          <w:sz w:val="18"/>
          <w:szCs w:val="18"/>
          <w:color w:val="auto"/>
        </w:rPr>
      </w:pPr>
      <w:r>
        <w:rPr>
          <w:rFonts w:ascii="Arial" w:cs="Arial" w:eastAsia="Arial" w:hAnsi="Arial"/>
          <w:sz w:val="18"/>
          <w:szCs w:val="18"/>
          <w:color w:val="auto"/>
        </w:rPr>
        <w:t>Oil Shipping (Bunkering) B.V., a Netherlands corporation</w:t>
      </w:r>
    </w:p>
    <w:p>
      <w:pPr>
        <w:spacing w:after="0" w:line="9" w:lineRule="exact"/>
        <w:rPr>
          <w:rFonts w:ascii="Arial" w:cs="Arial" w:eastAsia="Arial" w:hAnsi="Arial"/>
          <w:sz w:val="18"/>
          <w:szCs w:val="18"/>
          <w:color w:val="auto"/>
        </w:rPr>
      </w:pPr>
    </w:p>
    <w:p>
      <w:pPr>
        <w:ind w:left="2000" w:hanging="111"/>
        <w:spacing w:after="0"/>
        <w:tabs>
          <w:tab w:leader="none" w:pos="2000" w:val="left"/>
        </w:tabs>
        <w:numPr>
          <w:ilvl w:val="3"/>
          <w:numId w:val="50"/>
        </w:numPr>
        <w:rPr>
          <w:rFonts w:ascii="Arial" w:cs="Arial" w:eastAsia="Arial" w:hAnsi="Arial"/>
          <w:sz w:val="18"/>
          <w:szCs w:val="18"/>
          <w:color w:val="auto"/>
        </w:rPr>
      </w:pPr>
      <w:r>
        <w:rPr>
          <w:rFonts w:ascii="Arial" w:cs="Arial" w:eastAsia="Arial" w:hAnsi="Arial"/>
          <w:sz w:val="18"/>
          <w:szCs w:val="18"/>
          <w:color w:val="auto"/>
        </w:rPr>
        <w:t>Oil Shipping (Hong Kong) Ltd., a Hong Kong corporation (3)</w:t>
      </w:r>
    </w:p>
    <w:p>
      <w:pPr>
        <w:spacing w:after="0" w:line="9" w:lineRule="exact"/>
        <w:rPr>
          <w:rFonts w:ascii="Arial" w:cs="Arial" w:eastAsia="Arial" w:hAnsi="Arial"/>
          <w:sz w:val="18"/>
          <w:szCs w:val="18"/>
          <w:color w:val="auto"/>
        </w:rPr>
      </w:pPr>
    </w:p>
    <w:p>
      <w:pPr>
        <w:ind w:left="1440" w:hanging="99"/>
        <w:spacing w:after="0"/>
        <w:tabs>
          <w:tab w:leader="none" w:pos="1440" w:val="left"/>
        </w:tabs>
        <w:numPr>
          <w:ilvl w:val="2"/>
          <w:numId w:val="50"/>
        </w:numPr>
        <w:rPr>
          <w:rFonts w:ascii="Arial" w:cs="Arial" w:eastAsia="Arial" w:hAnsi="Arial"/>
          <w:sz w:val="18"/>
          <w:szCs w:val="18"/>
          <w:color w:val="auto"/>
        </w:rPr>
      </w:pPr>
      <w:r>
        <w:rPr>
          <w:rFonts w:ascii="Arial" w:cs="Arial" w:eastAsia="Arial" w:hAnsi="Arial"/>
          <w:sz w:val="18"/>
          <w:szCs w:val="18"/>
          <w:color w:val="auto"/>
        </w:rPr>
        <w:t>Norse Bunkers AS, a Norway corporation</w:t>
      </w:r>
    </w:p>
    <w:p>
      <w:pPr>
        <w:spacing w:after="0" w:line="9" w:lineRule="exact"/>
        <w:rPr>
          <w:rFonts w:ascii="Arial" w:cs="Arial" w:eastAsia="Arial" w:hAnsi="Arial"/>
          <w:sz w:val="18"/>
          <w:szCs w:val="18"/>
          <w:color w:val="auto"/>
        </w:rPr>
      </w:pPr>
    </w:p>
    <w:p>
      <w:pPr>
        <w:ind w:left="1440" w:hanging="99"/>
        <w:spacing w:after="0"/>
        <w:tabs>
          <w:tab w:leader="none" w:pos="1440" w:val="left"/>
        </w:tabs>
        <w:numPr>
          <w:ilvl w:val="2"/>
          <w:numId w:val="50"/>
        </w:numPr>
        <w:rPr>
          <w:rFonts w:ascii="Arial" w:cs="Arial" w:eastAsia="Arial" w:hAnsi="Arial"/>
          <w:sz w:val="18"/>
          <w:szCs w:val="18"/>
          <w:color w:val="auto"/>
        </w:rPr>
      </w:pPr>
      <w:r>
        <w:rPr>
          <w:rFonts w:ascii="Arial" w:cs="Arial" w:eastAsia="Arial" w:hAnsi="Arial"/>
          <w:sz w:val="18"/>
          <w:szCs w:val="18"/>
          <w:color w:val="auto"/>
        </w:rPr>
        <w:t>World Fuel Services (Thailand) Ltd., a Thailand corporation (3) (9)</w:t>
      </w:r>
    </w:p>
    <w:p>
      <w:pPr>
        <w:spacing w:after="0" w:line="9" w:lineRule="exact"/>
        <w:rPr>
          <w:rFonts w:ascii="Arial" w:cs="Arial" w:eastAsia="Arial" w:hAnsi="Arial"/>
          <w:sz w:val="18"/>
          <w:szCs w:val="18"/>
          <w:color w:val="auto"/>
        </w:rPr>
      </w:pPr>
    </w:p>
    <w:p>
      <w:pPr>
        <w:ind w:left="1440" w:hanging="99"/>
        <w:spacing w:after="0"/>
        <w:tabs>
          <w:tab w:leader="none" w:pos="1440" w:val="left"/>
        </w:tabs>
        <w:numPr>
          <w:ilvl w:val="2"/>
          <w:numId w:val="50"/>
        </w:numPr>
        <w:rPr>
          <w:rFonts w:ascii="Arial" w:cs="Arial" w:eastAsia="Arial" w:hAnsi="Arial"/>
          <w:sz w:val="18"/>
          <w:szCs w:val="18"/>
          <w:color w:val="auto"/>
        </w:rPr>
      </w:pPr>
      <w:r>
        <w:rPr>
          <w:rFonts w:ascii="Arial" w:cs="Arial" w:eastAsia="Arial" w:hAnsi="Arial"/>
          <w:sz w:val="18"/>
          <w:szCs w:val="18"/>
          <w:color w:val="auto"/>
        </w:rPr>
        <w:t>World Fuel Cayman Holding III, a Cayman Islands corporation</w:t>
      </w:r>
    </w:p>
    <w:p>
      <w:pPr>
        <w:spacing w:after="0" w:line="9" w:lineRule="exact"/>
        <w:rPr>
          <w:rFonts w:ascii="Arial" w:cs="Arial" w:eastAsia="Arial" w:hAnsi="Arial"/>
          <w:sz w:val="18"/>
          <w:szCs w:val="18"/>
          <w:color w:val="auto"/>
        </w:rPr>
      </w:pPr>
    </w:p>
    <w:p>
      <w:pPr>
        <w:ind w:left="2000" w:hanging="111"/>
        <w:spacing w:after="0"/>
        <w:tabs>
          <w:tab w:leader="none" w:pos="2000" w:val="left"/>
        </w:tabs>
        <w:numPr>
          <w:ilvl w:val="3"/>
          <w:numId w:val="50"/>
        </w:numPr>
        <w:rPr>
          <w:rFonts w:ascii="Arial" w:cs="Arial" w:eastAsia="Arial" w:hAnsi="Arial"/>
          <w:sz w:val="18"/>
          <w:szCs w:val="18"/>
          <w:color w:val="auto"/>
        </w:rPr>
      </w:pPr>
      <w:r>
        <w:rPr>
          <w:rFonts w:ascii="Arial" w:cs="Arial" w:eastAsia="Arial" w:hAnsi="Arial"/>
          <w:sz w:val="18"/>
          <w:szCs w:val="18"/>
          <w:color w:val="auto"/>
        </w:rPr>
        <w:t>World Fuel Services Finance Company S.a.r.L., a Luxembourg corporation</w:t>
      </w:r>
    </w:p>
    <w:p>
      <w:pPr>
        <w:spacing w:after="0" w:line="9" w:lineRule="exact"/>
        <w:rPr>
          <w:rFonts w:ascii="Arial" w:cs="Arial" w:eastAsia="Arial" w:hAnsi="Arial"/>
          <w:sz w:val="18"/>
          <w:szCs w:val="18"/>
          <w:color w:val="auto"/>
        </w:rPr>
      </w:pPr>
    </w:p>
    <w:p>
      <w:pPr>
        <w:ind w:left="1440" w:hanging="99"/>
        <w:spacing w:after="0"/>
        <w:tabs>
          <w:tab w:leader="none" w:pos="1440" w:val="left"/>
        </w:tabs>
        <w:numPr>
          <w:ilvl w:val="2"/>
          <w:numId w:val="50"/>
        </w:numPr>
        <w:rPr>
          <w:rFonts w:ascii="Arial" w:cs="Arial" w:eastAsia="Arial" w:hAnsi="Arial"/>
          <w:sz w:val="18"/>
          <w:szCs w:val="18"/>
          <w:color w:val="auto"/>
        </w:rPr>
      </w:pPr>
      <w:r>
        <w:rPr>
          <w:rFonts w:ascii="Arial" w:cs="Arial" w:eastAsia="Arial" w:hAnsi="Arial"/>
          <w:sz w:val="18"/>
          <w:szCs w:val="18"/>
          <w:color w:val="auto"/>
        </w:rPr>
        <w:t>Baseops Europe Ltd., a United Kingdom corporation (3)</w:t>
      </w:r>
    </w:p>
    <w:p>
      <w:pPr>
        <w:spacing w:after="0" w:line="9" w:lineRule="exact"/>
        <w:rPr>
          <w:rFonts w:ascii="Arial" w:cs="Arial" w:eastAsia="Arial" w:hAnsi="Arial"/>
          <w:sz w:val="18"/>
          <w:szCs w:val="18"/>
          <w:color w:val="auto"/>
        </w:rPr>
      </w:pPr>
    </w:p>
    <w:p>
      <w:pPr>
        <w:ind w:left="2000" w:hanging="111"/>
        <w:spacing w:after="0"/>
        <w:tabs>
          <w:tab w:leader="none" w:pos="2000" w:val="left"/>
        </w:tabs>
        <w:numPr>
          <w:ilvl w:val="3"/>
          <w:numId w:val="50"/>
        </w:numPr>
        <w:rPr>
          <w:rFonts w:ascii="Arial" w:cs="Arial" w:eastAsia="Arial" w:hAnsi="Arial"/>
          <w:sz w:val="18"/>
          <w:szCs w:val="18"/>
          <w:color w:val="auto"/>
        </w:rPr>
      </w:pPr>
      <w:r>
        <w:rPr>
          <w:rFonts w:ascii="Arial" w:cs="Arial" w:eastAsia="Arial" w:hAnsi="Arial"/>
          <w:sz w:val="18"/>
          <w:szCs w:val="18"/>
          <w:color w:val="auto"/>
        </w:rPr>
        <w:t>AirData Limited, a United Kingdom corporation (3)</w:t>
      </w:r>
    </w:p>
    <w:p>
      <w:pPr>
        <w:spacing w:after="0" w:line="9" w:lineRule="exact"/>
        <w:rPr>
          <w:rFonts w:ascii="Arial" w:cs="Arial" w:eastAsia="Arial" w:hAnsi="Arial"/>
          <w:sz w:val="18"/>
          <w:szCs w:val="18"/>
          <w:color w:val="auto"/>
        </w:rPr>
      </w:pPr>
    </w:p>
    <w:p>
      <w:pPr>
        <w:ind w:left="1440" w:hanging="99"/>
        <w:spacing w:after="0"/>
        <w:tabs>
          <w:tab w:leader="none" w:pos="1440" w:val="left"/>
        </w:tabs>
        <w:numPr>
          <w:ilvl w:val="2"/>
          <w:numId w:val="50"/>
        </w:numPr>
        <w:rPr>
          <w:rFonts w:ascii="Arial" w:cs="Arial" w:eastAsia="Arial" w:hAnsi="Arial"/>
          <w:sz w:val="18"/>
          <w:szCs w:val="18"/>
          <w:color w:val="auto"/>
        </w:rPr>
      </w:pPr>
      <w:r>
        <w:rPr>
          <w:rFonts w:ascii="Arial" w:cs="Arial" w:eastAsia="Arial" w:hAnsi="Arial"/>
          <w:sz w:val="18"/>
          <w:szCs w:val="18"/>
          <w:color w:val="auto"/>
        </w:rPr>
        <w:t>Trans-Tec Services (UK) Ltd., a United Kingdom corporation (3)</w:t>
      </w:r>
    </w:p>
    <w:p>
      <w:pPr>
        <w:spacing w:after="0" w:line="9" w:lineRule="exact"/>
        <w:rPr>
          <w:rFonts w:ascii="Arial" w:cs="Arial" w:eastAsia="Arial" w:hAnsi="Arial"/>
          <w:sz w:val="18"/>
          <w:szCs w:val="18"/>
          <w:color w:val="auto"/>
        </w:rPr>
      </w:pPr>
    </w:p>
    <w:p>
      <w:pPr>
        <w:ind w:left="2000" w:hanging="111"/>
        <w:spacing w:after="0"/>
        <w:tabs>
          <w:tab w:leader="none" w:pos="2000" w:val="left"/>
        </w:tabs>
        <w:numPr>
          <w:ilvl w:val="3"/>
          <w:numId w:val="50"/>
        </w:numPr>
        <w:rPr>
          <w:rFonts w:ascii="Arial" w:cs="Arial" w:eastAsia="Arial" w:hAnsi="Arial"/>
          <w:sz w:val="18"/>
          <w:szCs w:val="18"/>
          <w:color w:val="auto"/>
        </w:rPr>
      </w:pPr>
      <w:r>
        <w:rPr>
          <w:rFonts w:ascii="Arial" w:cs="Arial" w:eastAsia="Arial" w:hAnsi="Arial"/>
          <w:sz w:val="18"/>
          <w:szCs w:val="18"/>
          <w:color w:val="auto"/>
        </w:rPr>
        <w:t>Trans-Tec Services (Singapore) Pte. Ltd., a Singapore corporation (3)</w:t>
      </w:r>
    </w:p>
    <w:p>
      <w:pPr>
        <w:spacing w:after="0" w:line="9" w:lineRule="exact"/>
        <w:rPr>
          <w:rFonts w:ascii="Arial" w:cs="Arial" w:eastAsia="Arial" w:hAnsi="Arial"/>
          <w:sz w:val="18"/>
          <w:szCs w:val="18"/>
          <w:color w:val="auto"/>
        </w:rPr>
      </w:pPr>
    </w:p>
    <w:p>
      <w:pPr>
        <w:ind w:left="1440" w:hanging="99"/>
        <w:spacing w:after="0"/>
        <w:tabs>
          <w:tab w:leader="none" w:pos="1440" w:val="left"/>
        </w:tabs>
        <w:numPr>
          <w:ilvl w:val="2"/>
          <w:numId w:val="50"/>
        </w:numPr>
        <w:rPr>
          <w:rFonts w:ascii="Arial" w:cs="Arial" w:eastAsia="Arial" w:hAnsi="Arial"/>
          <w:sz w:val="18"/>
          <w:szCs w:val="18"/>
          <w:color w:val="auto"/>
        </w:rPr>
      </w:pPr>
      <w:r>
        <w:rPr>
          <w:rFonts w:ascii="Arial" w:cs="Arial" w:eastAsia="Arial" w:hAnsi="Arial"/>
          <w:sz w:val="18"/>
          <w:szCs w:val="18"/>
          <w:color w:val="auto"/>
        </w:rPr>
        <w:t>World Fuel Services Limited, a United Kingdom corporation (3)</w:t>
      </w:r>
    </w:p>
    <w:p>
      <w:pPr>
        <w:spacing w:after="0" w:line="9" w:lineRule="exact"/>
        <w:rPr>
          <w:rFonts w:ascii="Arial" w:cs="Arial" w:eastAsia="Arial" w:hAnsi="Arial"/>
          <w:sz w:val="18"/>
          <w:szCs w:val="18"/>
          <w:color w:val="auto"/>
        </w:rPr>
      </w:pPr>
    </w:p>
    <w:p>
      <w:pPr>
        <w:ind w:left="2000" w:hanging="111"/>
        <w:spacing w:after="0"/>
        <w:tabs>
          <w:tab w:leader="none" w:pos="2000" w:val="left"/>
        </w:tabs>
        <w:numPr>
          <w:ilvl w:val="3"/>
          <w:numId w:val="50"/>
        </w:numPr>
        <w:rPr>
          <w:rFonts w:ascii="Arial" w:cs="Arial" w:eastAsia="Arial" w:hAnsi="Arial"/>
          <w:sz w:val="18"/>
          <w:szCs w:val="18"/>
          <w:color w:val="auto"/>
        </w:rPr>
      </w:pPr>
      <w:r>
        <w:rPr>
          <w:rFonts w:ascii="Arial" w:cs="Arial" w:eastAsia="Arial" w:hAnsi="Arial"/>
          <w:sz w:val="18"/>
          <w:szCs w:val="18"/>
          <w:color w:val="auto"/>
        </w:rPr>
        <w:t>Bunkerfuels UK Limited, a United Kingdom corporation (3)</w:t>
      </w:r>
    </w:p>
    <w:p>
      <w:pPr>
        <w:spacing w:after="0" w:line="9" w:lineRule="exact"/>
        <w:rPr>
          <w:rFonts w:ascii="Arial" w:cs="Arial" w:eastAsia="Arial" w:hAnsi="Arial"/>
          <w:sz w:val="18"/>
          <w:szCs w:val="18"/>
          <w:color w:val="auto"/>
        </w:rPr>
      </w:pPr>
    </w:p>
    <w:p>
      <w:pPr>
        <w:ind w:left="1440" w:hanging="99"/>
        <w:spacing w:after="0"/>
        <w:tabs>
          <w:tab w:leader="none" w:pos="1440" w:val="left"/>
        </w:tabs>
        <w:numPr>
          <w:ilvl w:val="2"/>
          <w:numId w:val="50"/>
        </w:numPr>
        <w:rPr>
          <w:rFonts w:ascii="Arial" w:cs="Arial" w:eastAsia="Arial" w:hAnsi="Arial"/>
          <w:sz w:val="18"/>
          <w:szCs w:val="18"/>
          <w:color w:val="auto"/>
        </w:rPr>
      </w:pPr>
      <w:r>
        <w:rPr>
          <w:rFonts w:ascii="Arial" w:cs="Arial" w:eastAsia="Arial" w:hAnsi="Arial"/>
          <w:sz w:val="18"/>
          <w:szCs w:val="18"/>
          <w:color w:val="auto"/>
        </w:rPr>
        <w:t>World Fuel Services European Holding Company I, Ltd., a United Kingdom corporation</w:t>
      </w:r>
    </w:p>
    <w:p>
      <w:pPr>
        <w:spacing w:after="0" w:line="9" w:lineRule="exact"/>
        <w:rPr>
          <w:rFonts w:ascii="Arial" w:cs="Arial" w:eastAsia="Arial" w:hAnsi="Arial"/>
          <w:sz w:val="18"/>
          <w:szCs w:val="18"/>
          <w:color w:val="auto"/>
        </w:rPr>
      </w:pPr>
    </w:p>
    <w:p>
      <w:pPr>
        <w:ind w:left="2000" w:hanging="111"/>
        <w:spacing w:after="0"/>
        <w:tabs>
          <w:tab w:leader="none" w:pos="2000" w:val="left"/>
        </w:tabs>
        <w:numPr>
          <w:ilvl w:val="3"/>
          <w:numId w:val="50"/>
        </w:numPr>
        <w:rPr>
          <w:rFonts w:ascii="Arial" w:cs="Arial" w:eastAsia="Arial" w:hAnsi="Arial"/>
          <w:sz w:val="18"/>
          <w:szCs w:val="18"/>
          <w:color w:val="auto"/>
        </w:rPr>
      </w:pPr>
      <w:r>
        <w:rPr>
          <w:rFonts w:ascii="Arial" w:cs="Arial" w:eastAsia="Arial" w:hAnsi="Arial"/>
          <w:sz w:val="18"/>
          <w:szCs w:val="18"/>
          <w:color w:val="auto"/>
        </w:rPr>
        <w:t>World Fuel Services Europe, Ltd., a United Kingdom corporation</w:t>
      </w:r>
    </w:p>
    <w:p>
      <w:pPr>
        <w:sectPr>
          <w:pgSz w:w="11900" w:h="16838" w:orient="portrait"/>
          <w:cols w:equalWidth="0" w:num="1">
            <w:col w:w="11420"/>
          </w:cols>
          <w:pgMar w:left="240" w:top="125" w:right="239" w:bottom="1440" w:gutter="0" w:footer="0" w:header="0"/>
        </w:sectPr>
      </w:pPr>
    </w:p>
    <w:bookmarkStart w:id="104" w:name="page105"/>
    <w:bookmarkEnd w:id="104"/>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SUBSIDIARIES OF THE REGISTRANT (continued)</w:t>
      </w:r>
    </w:p>
    <w:p>
      <w:pPr>
        <w:spacing w:after="0" w:line="164" w:lineRule="exact"/>
        <w:rPr>
          <w:sz w:val="20"/>
          <w:szCs w:val="20"/>
          <w:color w:val="auto"/>
        </w:rPr>
      </w:pPr>
    </w:p>
    <w:p>
      <w:pPr>
        <w:ind w:left="1992" w:hanging="111"/>
        <w:spacing w:after="0"/>
        <w:tabs>
          <w:tab w:leader="none" w:pos="1992" w:val="left"/>
        </w:tabs>
        <w:numPr>
          <w:ilvl w:val="1"/>
          <w:numId w:val="51"/>
        </w:numPr>
        <w:rPr>
          <w:rFonts w:ascii="Arial" w:cs="Arial" w:eastAsia="Arial" w:hAnsi="Arial"/>
          <w:sz w:val="18"/>
          <w:szCs w:val="18"/>
          <w:color w:val="auto"/>
        </w:rPr>
      </w:pPr>
      <w:r>
        <w:rPr>
          <w:rFonts w:ascii="Arial" w:cs="Arial" w:eastAsia="Arial" w:hAnsi="Arial"/>
          <w:sz w:val="18"/>
          <w:szCs w:val="18"/>
          <w:color w:val="auto"/>
        </w:rPr>
        <w:t>Tramp Holdings Limited, a United Kingdom corporation</w:t>
      </w:r>
    </w:p>
    <w:p>
      <w:pPr>
        <w:spacing w:after="0" w:line="15" w:lineRule="exact"/>
        <w:rPr>
          <w:rFonts w:ascii="Arial" w:cs="Arial" w:eastAsia="Arial" w:hAnsi="Arial"/>
          <w:sz w:val="18"/>
          <w:szCs w:val="18"/>
          <w:color w:val="auto"/>
        </w:rPr>
      </w:pPr>
    </w:p>
    <w:p>
      <w:pPr>
        <w:ind w:left="2412" w:hanging="93"/>
        <w:spacing w:after="0"/>
        <w:tabs>
          <w:tab w:leader="none" w:pos="2412" w:val="left"/>
        </w:tabs>
        <w:numPr>
          <w:ilvl w:val="2"/>
          <w:numId w:val="51"/>
        </w:numPr>
        <w:rPr>
          <w:rFonts w:ascii="Arial" w:cs="Arial" w:eastAsia="Arial" w:hAnsi="Arial"/>
          <w:sz w:val="18"/>
          <w:szCs w:val="18"/>
          <w:color w:val="auto"/>
        </w:rPr>
      </w:pPr>
      <w:r>
        <w:rPr>
          <w:rFonts w:ascii="Arial" w:cs="Arial" w:eastAsia="Arial" w:hAnsi="Arial"/>
          <w:sz w:val="18"/>
          <w:szCs w:val="18"/>
          <w:color w:val="auto"/>
        </w:rPr>
        <w:t>Tramp Group Limited, a United Kingdom corporation</w:t>
      </w:r>
    </w:p>
    <w:p>
      <w:pPr>
        <w:spacing w:after="0" w:line="9" w:lineRule="exact"/>
        <w:rPr>
          <w:rFonts w:ascii="Arial" w:cs="Arial" w:eastAsia="Arial" w:hAnsi="Arial"/>
          <w:sz w:val="18"/>
          <w:szCs w:val="18"/>
          <w:color w:val="auto"/>
        </w:rPr>
      </w:pPr>
    </w:p>
    <w:p>
      <w:pPr>
        <w:ind w:left="2852" w:hanging="95"/>
        <w:spacing w:after="0"/>
        <w:tabs>
          <w:tab w:leader="none" w:pos="2852" w:val="left"/>
        </w:tabs>
        <w:numPr>
          <w:ilvl w:val="3"/>
          <w:numId w:val="51"/>
        </w:numPr>
        <w:rPr>
          <w:rFonts w:ascii="Arial" w:cs="Arial" w:eastAsia="Arial" w:hAnsi="Arial"/>
          <w:sz w:val="18"/>
          <w:szCs w:val="18"/>
          <w:color w:val="auto"/>
        </w:rPr>
      </w:pPr>
      <w:r>
        <w:rPr>
          <w:rFonts w:ascii="Arial" w:cs="Arial" w:eastAsia="Arial" w:hAnsi="Arial"/>
          <w:sz w:val="18"/>
          <w:szCs w:val="18"/>
          <w:color w:val="auto"/>
        </w:rPr>
        <w:t>Tramp Oil &amp; Marine Limited, a United Kingdom corporation</w:t>
      </w:r>
    </w:p>
    <w:p>
      <w:pPr>
        <w:spacing w:after="0" w:line="9" w:lineRule="exact"/>
        <w:rPr>
          <w:rFonts w:ascii="Arial" w:cs="Arial" w:eastAsia="Arial" w:hAnsi="Arial"/>
          <w:sz w:val="18"/>
          <w:szCs w:val="18"/>
          <w:color w:val="auto"/>
        </w:rPr>
      </w:pPr>
    </w:p>
    <w:p>
      <w:pPr>
        <w:ind w:left="3412" w:hanging="107"/>
        <w:spacing w:after="0"/>
        <w:tabs>
          <w:tab w:leader="none" w:pos="3412" w:val="left"/>
        </w:tabs>
        <w:numPr>
          <w:ilvl w:val="4"/>
          <w:numId w:val="51"/>
        </w:numPr>
        <w:rPr>
          <w:rFonts w:ascii="Arial" w:cs="Arial" w:eastAsia="Arial" w:hAnsi="Arial"/>
          <w:sz w:val="18"/>
          <w:szCs w:val="18"/>
          <w:color w:val="auto"/>
        </w:rPr>
      </w:pPr>
      <w:r>
        <w:rPr>
          <w:rFonts w:ascii="Arial" w:cs="Arial" w:eastAsia="Arial" w:hAnsi="Arial"/>
          <w:sz w:val="18"/>
          <w:szCs w:val="18"/>
          <w:color w:val="auto"/>
        </w:rPr>
        <w:t>Tramp Oil Aviation Limited, a United Kingdom corporation (3)</w:t>
      </w:r>
    </w:p>
    <w:p>
      <w:pPr>
        <w:spacing w:after="0" w:line="9" w:lineRule="exact"/>
        <w:rPr>
          <w:rFonts w:ascii="Arial" w:cs="Arial" w:eastAsia="Arial" w:hAnsi="Arial"/>
          <w:sz w:val="18"/>
          <w:szCs w:val="18"/>
          <w:color w:val="auto"/>
        </w:rPr>
      </w:pPr>
    </w:p>
    <w:p>
      <w:pPr>
        <w:ind w:left="3412" w:hanging="107"/>
        <w:spacing w:after="0"/>
        <w:tabs>
          <w:tab w:leader="none" w:pos="3412" w:val="left"/>
        </w:tabs>
        <w:numPr>
          <w:ilvl w:val="4"/>
          <w:numId w:val="51"/>
        </w:numPr>
        <w:rPr>
          <w:rFonts w:ascii="Arial" w:cs="Arial" w:eastAsia="Arial" w:hAnsi="Arial"/>
          <w:sz w:val="18"/>
          <w:szCs w:val="18"/>
          <w:color w:val="auto"/>
        </w:rPr>
      </w:pPr>
      <w:r>
        <w:rPr>
          <w:rFonts w:ascii="Arial" w:cs="Arial" w:eastAsia="Arial" w:hAnsi="Arial"/>
          <w:sz w:val="18"/>
          <w:szCs w:val="18"/>
          <w:color w:val="auto"/>
        </w:rPr>
        <w:t>Tramp Chartering Limited, a United Kingdom corporation (3)</w:t>
      </w:r>
    </w:p>
    <w:p>
      <w:pPr>
        <w:spacing w:after="0" w:line="9" w:lineRule="exact"/>
        <w:rPr>
          <w:rFonts w:ascii="Arial" w:cs="Arial" w:eastAsia="Arial" w:hAnsi="Arial"/>
          <w:sz w:val="18"/>
          <w:szCs w:val="18"/>
          <w:color w:val="auto"/>
        </w:rPr>
      </w:pPr>
    </w:p>
    <w:p>
      <w:pPr>
        <w:ind w:left="3412" w:hanging="107"/>
        <w:spacing w:after="0"/>
        <w:tabs>
          <w:tab w:leader="none" w:pos="3412" w:val="left"/>
        </w:tabs>
        <w:numPr>
          <w:ilvl w:val="4"/>
          <w:numId w:val="51"/>
        </w:numPr>
        <w:rPr>
          <w:rFonts w:ascii="Arial" w:cs="Arial" w:eastAsia="Arial" w:hAnsi="Arial"/>
          <w:sz w:val="18"/>
          <w:szCs w:val="18"/>
          <w:color w:val="auto"/>
        </w:rPr>
      </w:pPr>
      <w:r>
        <w:rPr>
          <w:rFonts w:ascii="Arial" w:cs="Arial" w:eastAsia="Arial" w:hAnsi="Arial"/>
          <w:sz w:val="18"/>
          <w:szCs w:val="18"/>
          <w:color w:val="auto"/>
        </w:rPr>
        <w:t>TOM Oil Limited, a United Kingdom corporation (3)</w:t>
      </w:r>
    </w:p>
    <w:p>
      <w:pPr>
        <w:spacing w:after="0" w:line="9" w:lineRule="exact"/>
        <w:rPr>
          <w:rFonts w:ascii="Arial" w:cs="Arial" w:eastAsia="Arial" w:hAnsi="Arial"/>
          <w:sz w:val="18"/>
          <w:szCs w:val="18"/>
          <w:color w:val="auto"/>
        </w:rPr>
      </w:pPr>
    </w:p>
    <w:p>
      <w:pPr>
        <w:ind w:left="3412" w:hanging="107"/>
        <w:spacing w:after="0"/>
        <w:tabs>
          <w:tab w:leader="none" w:pos="3412" w:val="left"/>
        </w:tabs>
        <w:numPr>
          <w:ilvl w:val="4"/>
          <w:numId w:val="51"/>
        </w:numPr>
        <w:rPr>
          <w:rFonts w:ascii="Arial" w:cs="Arial" w:eastAsia="Arial" w:hAnsi="Arial"/>
          <w:sz w:val="18"/>
          <w:szCs w:val="18"/>
          <w:color w:val="auto"/>
        </w:rPr>
      </w:pPr>
      <w:r>
        <w:rPr>
          <w:rFonts w:ascii="Arial" w:cs="Arial" w:eastAsia="Arial" w:hAnsi="Arial"/>
          <w:sz w:val="18"/>
          <w:szCs w:val="18"/>
          <w:color w:val="auto"/>
        </w:rPr>
        <w:t>Tramp Oil &amp; Marine (Med) Limited, a United Kingdom corporation (3)</w:t>
      </w:r>
    </w:p>
    <w:p>
      <w:pPr>
        <w:spacing w:after="0" w:line="9" w:lineRule="exact"/>
        <w:rPr>
          <w:rFonts w:ascii="Arial" w:cs="Arial" w:eastAsia="Arial" w:hAnsi="Arial"/>
          <w:sz w:val="18"/>
          <w:szCs w:val="18"/>
          <w:color w:val="auto"/>
        </w:rPr>
      </w:pPr>
    </w:p>
    <w:p>
      <w:pPr>
        <w:ind w:left="3412" w:hanging="107"/>
        <w:spacing w:after="0"/>
        <w:tabs>
          <w:tab w:leader="none" w:pos="3412" w:val="left"/>
        </w:tabs>
        <w:numPr>
          <w:ilvl w:val="4"/>
          <w:numId w:val="51"/>
        </w:numPr>
        <w:rPr>
          <w:rFonts w:ascii="Arial" w:cs="Arial" w:eastAsia="Arial" w:hAnsi="Arial"/>
          <w:sz w:val="18"/>
          <w:szCs w:val="18"/>
          <w:color w:val="auto"/>
        </w:rPr>
      </w:pPr>
      <w:r>
        <w:rPr>
          <w:rFonts w:ascii="Arial" w:cs="Arial" w:eastAsia="Arial" w:hAnsi="Arial"/>
          <w:sz w:val="18"/>
          <w:szCs w:val="18"/>
          <w:color w:val="auto"/>
        </w:rPr>
        <w:t>TOM Oil (Broking) Limited, a United Kingdom corporation (3)</w:t>
      </w:r>
    </w:p>
    <w:p>
      <w:pPr>
        <w:spacing w:after="0" w:line="9" w:lineRule="exact"/>
        <w:rPr>
          <w:rFonts w:ascii="Arial" w:cs="Arial" w:eastAsia="Arial" w:hAnsi="Arial"/>
          <w:sz w:val="18"/>
          <w:szCs w:val="18"/>
          <w:color w:val="auto"/>
        </w:rPr>
      </w:pPr>
    </w:p>
    <w:p>
      <w:pPr>
        <w:ind w:left="3412" w:hanging="107"/>
        <w:spacing w:after="0"/>
        <w:tabs>
          <w:tab w:leader="none" w:pos="3412" w:val="left"/>
        </w:tabs>
        <w:numPr>
          <w:ilvl w:val="4"/>
          <w:numId w:val="51"/>
        </w:numPr>
        <w:rPr>
          <w:rFonts w:ascii="Arial" w:cs="Arial" w:eastAsia="Arial" w:hAnsi="Arial"/>
          <w:sz w:val="18"/>
          <w:szCs w:val="18"/>
          <w:color w:val="auto"/>
        </w:rPr>
      </w:pPr>
      <w:r>
        <w:rPr>
          <w:rFonts w:ascii="Arial" w:cs="Arial" w:eastAsia="Arial" w:hAnsi="Arial"/>
          <w:sz w:val="18"/>
          <w:szCs w:val="18"/>
          <w:color w:val="auto"/>
        </w:rPr>
        <w:t>Tramp Oil Fuel Supplies Ltd., a United Kingdom corporation (3)</w:t>
      </w:r>
    </w:p>
    <w:p>
      <w:pPr>
        <w:spacing w:after="0" w:line="9" w:lineRule="exact"/>
        <w:rPr>
          <w:rFonts w:ascii="Arial" w:cs="Arial" w:eastAsia="Arial" w:hAnsi="Arial"/>
          <w:sz w:val="18"/>
          <w:szCs w:val="18"/>
          <w:color w:val="auto"/>
        </w:rPr>
      </w:pPr>
    </w:p>
    <w:p>
      <w:pPr>
        <w:ind w:left="3412" w:hanging="107"/>
        <w:spacing w:after="0"/>
        <w:tabs>
          <w:tab w:leader="none" w:pos="3412" w:val="left"/>
        </w:tabs>
        <w:numPr>
          <w:ilvl w:val="4"/>
          <w:numId w:val="51"/>
        </w:numPr>
        <w:rPr>
          <w:rFonts w:ascii="Arial" w:cs="Arial" w:eastAsia="Arial" w:hAnsi="Arial"/>
          <w:sz w:val="18"/>
          <w:szCs w:val="18"/>
          <w:color w:val="auto"/>
        </w:rPr>
      </w:pPr>
      <w:r>
        <w:rPr>
          <w:rFonts w:ascii="Arial" w:cs="Arial" w:eastAsia="Arial" w:hAnsi="Arial"/>
          <w:sz w:val="18"/>
          <w:szCs w:val="18"/>
          <w:color w:val="auto"/>
        </w:rPr>
        <w:t>Tramp Oil Products Limited, a United Kingdom corporation (3)</w:t>
      </w:r>
    </w:p>
    <w:p>
      <w:pPr>
        <w:spacing w:after="0" w:line="9" w:lineRule="exact"/>
        <w:rPr>
          <w:rFonts w:ascii="Arial" w:cs="Arial" w:eastAsia="Arial" w:hAnsi="Arial"/>
          <w:sz w:val="18"/>
          <w:szCs w:val="18"/>
          <w:color w:val="auto"/>
        </w:rPr>
      </w:pPr>
    </w:p>
    <w:p>
      <w:pPr>
        <w:ind w:left="3412" w:hanging="107"/>
        <w:spacing w:after="0"/>
        <w:tabs>
          <w:tab w:leader="none" w:pos="3412" w:val="left"/>
        </w:tabs>
        <w:numPr>
          <w:ilvl w:val="4"/>
          <w:numId w:val="51"/>
        </w:numPr>
        <w:rPr>
          <w:rFonts w:ascii="Arial" w:cs="Arial" w:eastAsia="Arial" w:hAnsi="Arial"/>
          <w:sz w:val="18"/>
          <w:szCs w:val="18"/>
          <w:color w:val="auto"/>
        </w:rPr>
      </w:pPr>
      <w:r>
        <w:rPr>
          <w:rFonts w:ascii="Arial" w:cs="Arial" w:eastAsia="Arial" w:hAnsi="Arial"/>
          <w:sz w:val="18"/>
          <w:szCs w:val="18"/>
          <w:color w:val="auto"/>
        </w:rPr>
        <w:t>Debt Enforcement Services Limited, a United Kingdom corporation (3)</w:t>
      </w:r>
    </w:p>
    <w:p>
      <w:pPr>
        <w:spacing w:after="0" w:line="9" w:lineRule="exact"/>
        <w:rPr>
          <w:rFonts w:ascii="Arial" w:cs="Arial" w:eastAsia="Arial" w:hAnsi="Arial"/>
          <w:sz w:val="18"/>
          <w:szCs w:val="18"/>
          <w:color w:val="auto"/>
        </w:rPr>
      </w:pPr>
    </w:p>
    <w:p>
      <w:pPr>
        <w:ind w:left="2852" w:hanging="95"/>
        <w:spacing w:after="0"/>
        <w:tabs>
          <w:tab w:leader="none" w:pos="2852" w:val="left"/>
        </w:tabs>
        <w:numPr>
          <w:ilvl w:val="3"/>
          <w:numId w:val="51"/>
        </w:numPr>
        <w:rPr>
          <w:rFonts w:ascii="Arial" w:cs="Arial" w:eastAsia="Arial" w:hAnsi="Arial"/>
          <w:sz w:val="18"/>
          <w:szCs w:val="18"/>
          <w:color w:val="auto"/>
        </w:rPr>
      </w:pPr>
      <w:r>
        <w:rPr>
          <w:rFonts w:ascii="Arial" w:cs="Arial" w:eastAsia="Arial" w:hAnsi="Arial"/>
          <w:sz w:val="18"/>
          <w:szCs w:val="18"/>
          <w:color w:val="auto"/>
        </w:rPr>
        <w:t>Tramp Oil &amp; Marine (Far East) Pte. Ltd., a Singapore corporation</w:t>
      </w:r>
    </w:p>
    <w:p>
      <w:pPr>
        <w:spacing w:after="0" w:line="9" w:lineRule="exact"/>
        <w:rPr>
          <w:rFonts w:ascii="Arial" w:cs="Arial" w:eastAsia="Arial" w:hAnsi="Arial"/>
          <w:sz w:val="18"/>
          <w:szCs w:val="18"/>
          <w:color w:val="auto"/>
        </w:rPr>
      </w:pPr>
    </w:p>
    <w:p>
      <w:pPr>
        <w:ind w:left="2852" w:hanging="95"/>
        <w:spacing w:after="0"/>
        <w:tabs>
          <w:tab w:leader="none" w:pos="2852" w:val="left"/>
        </w:tabs>
        <w:numPr>
          <w:ilvl w:val="3"/>
          <w:numId w:val="51"/>
        </w:numPr>
        <w:rPr>
          <w:rFonts w:ascii="Arial" w:cs="Arial" w:eastAsia="Arial" w:hAnsi="Arial"/>
          <w:sz w:val="18"/>
          <w:szCs w:val="18"/>
          <w:color w:val="auto"/>
        </w:rPr>
      </w:pPr>
      <w:r>
        <w:rPr>
          <w:rFonts w:ascii="Arial" w:cs="Arial" w:eastAsia="Arial" w:hAnsi="Arial"/>
          <w:sz w:val="18"/>
          <w:szCs w:val="18"/>
          <w:color w:val="auto"/>
        </w:rPr>
        <w:t>Tramp Oil &amp; Marine (Romania) SRL, a Romania corporation (3)</w:t>
      </w:r>
    </w:p>
    <w:p>
      <w:pPr>
        <w:spacing w:after="0" w:line="9" w:lineRule="exact"/>
        <w:rPr>
          <w:rFonts w:ascii="Arial" w:cs="Arial" w:eastAsia="Arial" w:hAnsi="Arial"/>
          <w:sz w:val="18"/>
          <w:szCs w:val="18"/>
          <w:color w:val="auto"/>
        </w:rPr>
      </w:pPr>
    </w:p>
    <w:p>
      <w:pPr>
        <w:ind w:left="2852" w:hanging="95"/>
        <w:spacing w:after="0"/>
        <w:tabs>
          <w:tab w:leader="none" w:pos="2852" w:val="left"/>
        </w:tabs>
        <w:numPr>
          <w:ilvl w:val="3"/>
          <w:numId w:val="51"/>
        </w:numPr>
        <w:rPr>
          <w:rFonts w:ascii="Arial" w:cs="Arial" w:eastAsia="Arial" w:hAnsi="Arial"/>
          <w:sz w:val="18"/>
          <w:szCs w:val="18"/>
          <w:color w:val="auto"/>
        </w:rPr>
      </w:pPr>
      <w:r>
        <w:rPr>
          <w:rFonts w:ascii="Arial" w:cs="Arial" w:eastAsia="Arial" w:hAnsi="Arial"/>
          <w:sz w:val="18"/>
          <w:szCs w:val="18"/>
          <w:color w:val="auto"/>
        </w:rPr>
        <w:t>Tramp Oil Germany GmbH &amp; Co KG, a German partnership</w:t>
      </w:r>
    </w:p>
    <w:p>
      <w:pPr>
        <w:spacing w:after="0" w:line="9" w:lineRule="exact"/>
        <w:rPr>
          <w:rFonts w:ascii="Arial" w:cs="Arial" w:eastAsia="Arial" w:hAnsi="Arial"/>
          <w:sz w:val="18"/>
          <w:szCs w:val="18"/>
          <w:color w:val="auto"/>
        </w:rPr>
      </w:pPr>
    </w:p>
    <w:p>
      <w:pPr>
        <w:ind w:left="2852" w:hanging="95"/>
        <w:spacing w:after="0"/>
        <w:tabs>
          <w:tab w:leader="none" w:pos="2852" w:val="left"/>
        </w:tabs>
        <w:numPr>
          <w:ilvl w:val="3"/>
          <w:numId w:val="51"/>
        </w:numPr>
        <w:rPr>
          <w:rFonts w:ascii="Arial" w:cs="Arial" w:eastAsia="Arial" w:hAnsi="Arial"/>
          <w:sz w:val="18"/>
          <w:szCs w:val="18"/>
          <w:color w:val="auto"/>
        </w:rPr>
      </w:pPr>
      <w:r>
        <w:rPr>
          <w:rFonts w:ascii="Arial" w:cs="Arial" w:eastAsia="Arial" w:hAnsi="Arial"/>
          <w:sz w:val="18"/>
          <w:szCs w:val="18"/>
          <w:color w:val="auto"/>
        </w:rPr>
        <w:t>Tramp Oil Schiffahrts-Undhandelsges mbH &amp; Co., a German corporation</w:t>
      </w:r>
    </w:p>
    <w:p>
      <w:pPr>
        <w:spacing w:after="0" w:line="9" w:lineRule="exact"/>
        <w:rPr>
          <w:rFonts w:ascii="Arial" w:cs="Arial" w:eastAsia="Arial" w:hAnsi="Arial"/>
          <w:sz w:val="18"/>
          <w:szCs w:val="18"/>
          <w:color w:val="auto"/>
        </w:rPr>
      </w:pPr>
    </w:p>
    <w:p>
      <w:pPr>
        <w:ind w:left="2852" w:hanging="95"/>
        <w:spacing w:after="0"/>
        <w:tabs>
          <w:tab w:leader="none" w:pos="2852" w:val="left"/>
        </w:tabs>
        <w:numPr>
          <w:ilvl w:val="3"/>
          <w:numId w:val="51"/>
        </w:numPr>
        <w:rPr>
          <w:rFonts w:ascii="Arial" w:cs="Arial" w:eastAsia="Arial" w:hAnsi="Arial"/>
          <w:sz w:val="18"/>
          <w:szCs w:val="18"/>
          <w:color w:val="auto"/>
        </w:rPr>
      </w:pPr>
      <w:r>
        <w:rPr>
          <w:rFonts w:ascii="Arial" w:cs="Arial" w:eastAsia="Arial" w:hAnsi="Arial"/>
          <w:sz w:val="18"/>
          <w:szCs w:val="18"/>
          <w:color w:val="auto"/>
        </w:rPr>
        <w:t>Tramp Oil (Brasil) Limitada, a Brazil corporation (6)</w:t>
      </w:r>
    </w:p>
    <w:p>
      <w:pPr>
        <w:spacing w:after="0" w:line="9" w:lineRule="exact"/>
        <w:rPr>
          <w:rFonts w:ascii="Arial" w:cs="Arial" w:eastAsia="Arial" w:hAnsi="Arial"/>
          <w:sz w:val="18"/>
          <w:szCs w:val="18"/>
          <w:color w:val="auto"/>
        </w:rPr>
      </w:pPr>
    </w:p>
    <w:p>
      <w:pPr>
        <w:ind w:left="3412" w:hanging="107"/>
        <w:spacing w:after="0"/>
        <w:tabs>
          <w:tab w:leader="none" w:pos="3412" w:val="left"/>
        </w:tabs>
        <w:numPr>
          <w:ilvl w:val="4"/>
          <w:numId w:val="51"/>
        </w:numPr>
        <w:rPr>
          <w:rFonts w:ascii="Arial" w:cs="Arial" w:eastAsia="Arial" w:hAnsi="Arial"/>
          <w:sz w:val="18"/>
          <w:szCs w:val="18"/>
          <w:color w:val="auto"/>
        </w:rPr>
      </w:pPr>
      <w:r>
        <w:rPr>
          <w:rFonts w:ascii="Arial" w:cs="Arial" w:eastAsia="Arial" w:hAnsi="Arial"/>
          <w:sz w:val="18"/>
          <w:szCs w:val="18"/>
          <w:color w:val="auto"/>
        </w:rPr>
        <w:t>Tobras Distribuidora de Combustivrs Ltda., a Brazil corporation</w:t>
      </w:r>
    </w:p>
    <w:p>
      <w:pPr>
        <w:spacing w:after="0" w:line="9" w:lineRule="exact"/>
        <w:rPr>
          <w:rFonts w:ascii="Arial" w:cs="Arial" w:eastAsia="Arial" w:hAnsi="Arial"/>
          <w:sz w:val="18"/>
          <w:szCs w:val="18"/>
          <w:color w:val="auto"/>
        </w:rPr>
      </w:pPr>
    </w:p>
    <w:p>
      <w:pPr>
        <w:ind w:left="2852" w:hanging="95"/>
        <w:spacing w:after="0"/>
        <w:tabs>
          <w:tab w:leader="none" w:pos="2852" w:val="left"/>
        </w:tabs>
        <w:numPr>
          <w:ilvl w:val="3"/>
          <w:numId w:val="51"/>
        </w:numPr>
        <w:rPr>
          <w:rFonts w:ascii="Arial" w:cs="Arial" w:eastAsia="Arial" w:hAnsi="Arial"/>
          <w:sz w:val="18"/>
          <w:szCs w:val="18"/>
          <w:color w:val="auto"/>
        </w:rPr>
      </w:pPr>
      <w:r>
        <w:rPr>
          <w:rFonts w:ascii="Arial" w:cs="Arial" w:eastAsia="Arial" w:hAnsi="Arial"/>
          <w:sz w:val="18"/>
          <w:szCs w:val="18"/>
          <w:color w:val="auto"/>
        </w:rPr>
        <w:t>Tramp Oil &amp; Marine (South Cone) S.A., a Chile corporation (7)</w:t>
      </w:r>
    </w:p>
    <w:p>
      <w:pPr>
        <w:spacing w:after="0" w:line="9" w:lineRule="exact"/>
        <w:rPr>
          <w:rFonts w:ascii="Arial" w:cs="Arial" w:eastAsia="Arial" w:hAnsi="Arial"/>
          <w:sz w:val="18"/>
          <w:szCs w:val="18"/>
          <w:color w:val="auto"/>
        </w:rPr>
      </w:pPr>
    </w:p>
    <w:p>
      <w:pPr>
        <w:ind w:left="3412" w:hanging="107"/>
        <w:spacing w:after="0"/>
        <w:tabs>
          <w:tab w:leader="none" w:pos="3412" w:val="left"/>
        </w:tabs>
        <w:numPr>
          <w:ilvl w:val="4"/>
          <w:numId w:val="51"/>
        </w:numPr>
        <w:rPr>
          <w:rFonts w:ascii="Arial" w:cs="Arial" w:eastAsia="Arial" w:hAnsi="Arial"/>
          <w:sz w:val="18"/>
          <w:szCs w:val="18"/>
          <w:color w:val="auto"/>
        </w:rPr>
      </w:pPr>
      <w:r>
        <w:rPr>
          <w:rFonts w:ascii="Arial" w:cs="Arial" w:eastAsia="Arial" w:hAnsi="Arial"/>
          <w:sz w:val="18"/>
          <w:szCs w:val="18"/>
          <w:color w:val="auto"/>
        </w:rPr>
        <w:t>Tramp Oil &amp; Marine (Argentina) SA, a Argentina corporation</w:t>
      </w:r>
    </w:p>
    <w:p>
      <w:pPr>
        <w:spacing w:after="0" w:line="9" w:lineRule="exact"/>
        <w:rPr>
          <w:rFonts w:ascii="Arial" w:cs="Arial" w:eastAsia="Arial" w:hAnsi="Arial"/>
          <w:sz w:val="18"/>
          <w:szCs w:val="18"/>
          <w:color w:val="auto"/>
        </w:rPr>
      </w:pPr>
    </w:p>
    <w:p>
      <w:pPr>
        <w:ind w:left="3412" w:hanging="107"/>
        <w:spacing w:after="0"/>
        <w:tabs>
          <w:tab w:leader="none" w:pos="3412" w:val="left"/>
        </w:tabs>
        <w:numPr>
          <w:ilvl w:val="4"/>
          <w:numId w:val="51"/>
        </w:numPr>
        <w:rPr>
          <w:rFonts w:ascii="Arial" w:cs="Arial" w:eastAsia="Arial" w:hAnsi="Arial"/>
          <w:sz w:val="18"/>
          <w:szCs w:val="18"/>
          <w:color w:val="auto"/>
        </w:rPr>
      </w:pPr>
      <w:r>
        <w:rPr>
          <w:rFonts w:ascii="Arial" w:cs="Arial" w:eastAsia="Arial" w:hAnsi="Arial"/>
          <w:sz w:val="18"/>
          <w:szCs w:val="18"/>
          <w:color w:val="auto"/>
        </w:rPr>
        <w:t>SCG Agencia de Naves SA, a Chile corporation</w:t>
      </w:r>
    </w:p>
    <w:p>
      <w:pPr>
        <w:spacing w:after="0" w:line="9" w:lineRule="exact"/>
        <w:rPr>
          <w:rFonts w:ascii="Arial" w:cs="Arial" w:eastAsia="Arial" w:hAnsi="Arial"/>
          <w:sz w:val="18"/>
          <w:szCs w:val="18"/>
          <w:color w:val="auto"/>
        </w:rPr>
      </w:pPr>
    </w:p>
    <w:p>
      <w:pPr>
        <w:ind w:left="3412" w:hanging="107"/>
        <w:spacing w:after="0"/>
        <w:tabs>
          <w:tab w:leader="none" w:pos="3412" w:val="left"/>
        </w:tabs>
        <w:numPr>
          <w:ilvl w:val="4"/>
          <w:numId w:val="51"/>
        </w:numPr>
        <w:rPr>
          <w:rFonts w:ascii="Arial" w:cs="Arial" w:eastAsia="Arial" w:hAnsi="Arial"/>
          <w:sz w:val="18"/>
          <w:szCs w:val="18"/>
          <w:color w:val="auto"/>
        </w:rPr>
      </w:pPr>
      <w:r>
        <w:rPr>
          <w:rFonts w:ascii="Arial" w:cs="Arial" w:eastAsia="Arial" w:hAnsi="Arial"/>
          <w:sz w:val="18"/>
          <w:szCs w:val="18"/>
          <w:color w:val="auto"/>
        </w:rPr>
        <w:t>Inversione SCG SA, a Argentina corporation (10)</w:t>
      </w:r>
    </w:p>
    <w:p>
      <w:pPr>
        <w:spacing w:after="0" w:line="9" w:lineRule="exact"/>
        <w:rPr>
          <w:rFonts w:ascii="Arial" w:cs="Arial" w:eastAsia="Arial" w:hAnsi="Arial"/>
          <w:sz w:val="18"/>
          <w:szCs w:val="18"/>
          <w:color w:val="auto"/>
        </w:rPr>
      </w:pPr>
    </w:p>
    <w:p>
      <w:pPr>
        <w:ind w:left="3852" w:hanging="109"/>
        <w:spacing w:after="0"/>
        <w:tabs>
          <w:tab w:leader="none" w:pos="3852" w:val="left"/>
        </w:tabs>
        <w:numPr>
          <w:ilvl w:val="5"/>
          <w:numId w:val="51"/>
        </w:numPr>
        <w:rPr>
          <w:rFonts w:ascii="Arial" w:cs="Arial" w:eastAsia="Arial" w:hAnsi="Arial"/>
          <w:sz w:val="18"/>
          <w:szCs w:val="18"/>
          <w:color w:val="auto"/>
        </w:rPr>
      </w:pPr>
      <w:r>
        <w:rPr>
          <w:rFonts w:ascii="Arial" w:cs="Arial" w:eastAsia="Arial" w:hAnsi="Arial"/>
          <w:sz w:val="18"/>
          <w:szCs w:val="18"/>
          <w:color w:val="auto"/>
        </w:rPr>
        <w:t>Naveria Cono Svr SA, a Chile corporation (8)</w:t>
      </w:r>
    </w:p>
    <w:p>
      <w:pPr>
        <w:spacing w:after="0" w:line="232"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These corporations are owned 50% by Advance Petroleum, Inc. and 50% by World Fuel Services Corporation.</w:t>
      </w:r>
    </w:p>
    <w:p>
      <w:pPr>
        <w:spacing w:after="0" w:line="15"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corporation is owned 55% by Casa Petro S.A. and 45% by World Fuel Services Corporation.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These corporations are inactive.</w:t>
      </w:r>
    </w:p>
    <w:p>
      <w:pPr>
        <w:spacing w:after="0" w:line="9" w:lineRule="exact"/>
        <w:rPr>
          <w:rFonts w:ascii="Arial" w:cs="Arial" w:eastAsia="Arial" w:hAnsi="Arial"/>
          <w:sz w:val="18"/>
          <w:szCs w:val="18"/>
          <w:color w:val="auto"/>
        </w:rPr>
      </w:pPr>
    </w:p>
    <w:p>
      <w:pPr>
        <w:ind w:left="452" w:right="40" w:hanging="452"/>
        <w:spacing w:after="0" w:line="250" w:lineRule="auto"/>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limited liability company is a joint venture company which is equally owned by World Fuel Services, Inc. and Signature Flight Support Corporation, a Delaware corporation unrelated to the Registrant.</w:t>
      </w: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corporation is owned 50% by Advance Petroleum, Inc. and 50% by Baseops International, Inc.</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corporation is 67% owned by Tramp Group Limited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corporation is 65% owned by Tramp Group Limited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corporation is owned 97% by Inversione SCG SA and 3% by SCG Agencia de Naves SA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This corporation is owned 94% by World Fuel Singapore Holding Company I Pte. Ltd. and 1% by each of World Fuel Services Thailand I through VI LLCs</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corporation is owned 35% by Tramp Oil &amp; Marine (South Cone)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-1578610</wp:posOffset>
            </wp:positionV>
            <wp:extent cx="60007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23.1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CERTIFIED PUBLIC ACCOUNTING FIRM</w:t>
      </w:r>
    </w:p>
    <w:p>
      <w:pPr>
        <w:spacing w:after="0" w:line="16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333-68276) and Form S-3 (No. 333-02403) of World Fuel Services Corporation of our report dated March 30, 2005 relating to the financial statements, management’s assessment of the effectiveness of internal control over financial reporting and the effectiveness of internal control over financial reporting, which appears in the Annual Report to stockholders, which is incorporated in this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31, 2005</w:t>
      </w:r>
    </w:p>
    <w:p>
      <w:pPr>
        <w:sectPr>
          <w:pgSz w:w="11900" w:h="16838" w:orient="portrait"/>
          <w:cols w:equalWidth="0" w:num="1">
            <w:col w:w="11420"/>
          </w:cols>
          <w:pgMar w:left="240" w:top="125"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Rule 15d-14(a)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Paul H. Stebbins, certify that:</w:t>
      </w:r>
    </w:p>
    <w:p>
      <w:pPr>
        <w:spacing w:after="0" w:line="77"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Form 10-K of World Fuel Services Corporation;</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131-15(f) and 15d-15(f)) for the registrant and have:</w:t>
      </w:r>
    </w:p>
    <w:p>
      <w:pPr>
        <w:spacing w:after="0" w:line="45"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 w:lineRule="exact"/>
        <w:rPr>
          <w:rFonts w:ascii="Arial" w:cs="Arial" w:eastAsia="Arial" w:hAnsi="Arial"/>
          <w:sz w:val="16"/>
          <w:szCs w:val="16"/>
          <w:color w:val="auto"/>
        </w:rPr>
      </w:pPr>
    </w:p>
    <w:p>
      <w:pPr>
        <w:jc w:val="both"/>
        <w:ind w:left="1920" w:hanging="440"/>
        <w:spacing w:after="0" w:line="347" w:lineRule="auto"/>
        <w:tabs>
          <w:tab w:leader="none" w:pos="1920" w:val="left"/>
        </w:tabs>
        <w:numPr>
          <w:ilvl w:val="1"/>
          <w:numId w:val="5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 w:lineRule="exact"/>
        <w:rPr>
          <w:rFonts w:ascii="Arial" w:cs="Arial" w:eastAsia="Arial" w:hAnsi="Arial"/>
          <w:sz w:val="16"/>
          <w:szCs w:val="16"/>
          <w:color w:val="auto"/>
        </w:rPr>
      </w:pPr>
    </w:p>
    <w:p>
      <w:pPr>
        <w:ind w:left="900" w:right="120" w:hanging="446"/>
        <w:spacing w:after="0" w:line="325"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rFonts w:ascii="Arial" w:cs="Arial" w:eastAsia="Arial" w:hAnsi="Arial"/>
          <w:sz w:val="16"/>
          <w:szCs w:val="16"/>
          <w:color w:val="auto"/>
        </w:rPr>
      </w:pPr>
    </w:p>
    <w:p>
      <w:pPr>
        <w:ind w:left="1920" w:right="240" w:hanging="440"/>
        <w:spacing w:after="0" w:line="325" w:lineRule="auto"/>
        <w:tabs>
          <w:tab w:leader="none" w:pos="19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H. Stebbins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H. Stebbins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OPERATING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Rule 15d-14(a)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77"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Form 10-K of World Fuel Services Corporation;</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10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131-15(f) and 15d-15(f)) for the registrant and have:</w:t>
      </w:r>
    </w:p>
    <w:p>
      <w:pPr>
        <w:spacing w:after="0" w:line="45"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 w:lineRule="exact"/>
        <w:rPr>
          <w:rFonts w:ascii="Arial" w:cs="Arial" w:eastAsia="Arial" w:hAnsi="Arial"/>
          <w:sz w:val="16"/>
          <w:szCs w:val="16"/>
          <w:color w:val="auto"/>
        </w:rPr>
      </w:pPr>
    </w:p>
    <w:p>
      <w:pPr>
        <w:jc w:val="both"/>
        <w:ind w:left="1920" w:hanging="440"/>
        <w:spacing w:after="0" w:line="347" w:lineRule="auto"/>
        <w:tabs>
          <w:tab w:leader="none" w:pos="1920" w:val="left"/>
        </w:tabs>
        <w:numPr>
          <w:ilvl w:val="1"/>
          <w:numId w:val="5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 w:lineRule="exact"/>
        <w:rPr>
          <w:rFonts w:ascii="Arial" w:cs="Arial" w:eastAsia="Arial" w:hAnsi="Arial"/>
          <w:sz w:val="16"/>
          <w:szCs w:val="16"/>
          <w:color w:val="auto"/>
        </w:rPr>
      </w:pPr>
    </w:p>
    <w:p>
      <w:pPr>
        <w:ind w:left="900" w:right="120" w:hanging="446"/>
        <w:spacing w:after="0" w:line="325"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rFonts w:ascii="Arial" w:cs="Arial" w:eastAsia="Arial" w:hAnsi="Arial"/>
          <w:sz w:val="16"/>
          <w:szCs w:val="16"/>
          <w:color w:val="auto"/>
        </w:rPr>
      </w:pPr>
    </w:p>
    <w:p>
      <w:pPr>
        <w:ind w:left="1920" w:right="240" w:hanging="440"/>
        <w:spacing w:after="0" w:line="325" w:lineRule="auto"/>
        <w:tabs>
          <w:tab w:leader="none" w:pos="19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J. Kasbar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Operating Officer</w:t>
      </w:r>
    </w:p>
    <w:p>
      <w:pPr>
        <w:sectPr>
          <w:pgSz w:w="11900" w:h="16838" w:orient="portrait"/>
          <w:cols w:equalWidth="0" w:num="1">
            <w:col w:w="11420"/>
          </w:cols>
          <w:pgMar w:left="240" w:top="125"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31.3</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Rule 15d-14(a)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Robert S. Tocci, certify that:</w:t>
      </w:r>
    </w:p>
    <w:p>
      <w:pPr>
        <w:spacing w:after="0" w:line="77"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Form 10-K of World Fuel Services Corporation;</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100" w:hanging="446"/>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131-15(f) and 15d-15(f)) for the registrant and have:</w:t>
      </w:r>
    </w:p>
    <w:p>
      <w:pPr>
        <w:spacing w:after="0" w:line="45"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 w:lineRule="exact"/>
        <w:rPr>
          <w:rFonts w:ascii="Arial" w:cs="Arial" w:eastAsia="Arial" w:hAnsi="Arial"/>
          <w:sz w:val="16"/>
          <w:szCs w:val="16"/>
          <w:color w:val="auto"/>
        </w:rPr>
      </w:pPr>
    </w:p>
    <w:p>
      <w:pPr>
        <w:jc w:val="both"/>
        <w:ind w:left="1920" w:hanging="440"/>
        <w:spacing w:after="0" w:line="347" w:lineRule="auto"/>
        <w:tabs>
          <w:tab w:leader="none" w:pos="1920" w:val="left"/>
        </w:tabs>
        <w:numPr>
          <w:ilvl w:val="1"/>
          <w:numId w:val="5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 w:lineRule="exact"/>
        <w:rPr>
          <w:rFonts w:ascii="Arial" w:cs="Arial" w:eastAsia="Arial" w:hAnsi="Arial"/>
          <w:sz w:val="16"/>
          <w:szCs w:val="16"/>
          <w:color w:val="auto"/>
        </w:rPr>
      </w:pPr>
    </w:p>
    <w:p>
      <w:pPr>
        <w:ind w:left="900" w:right="120" w:hanging="446"/>
        <w:spacing w:after="0" w:line="325"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rFonts w:ascii="Arial" w:cs="Arial" w:eastAsia="Arial" w:hAnsi="Arial"/>
          <w:sz w:val="16"/>
          <w:szCs w:val="16"/>
          <w:color w:val="auto"/>
        </w:rPr>
      </w:pPr>
    </w:p>
    <w:p>
      <w:pPr>
        <w:ind w:left="1920" w:right="240" w:hanging="440"/>
        <w:spacing w:after="0" w:line="325" w:lineRule="auto"/>
        <w:tabs>
          <w:tab w:leader="none" w:pos="19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S. Tocci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S. Tocci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Vice-President and Chief Financial Officer</w:t>
      </w:r>
    </w:p>
    <w:p>
      <w:pPr>
        <w:sectPr>
          <w:pgSz w:w="11900" w:h="16838" w:orient="portrait"/>
          <w:cols w:equalWidth="0" w:num="1">
            <w:col w:w="11420"/>
          </w:cols>
          <w:pgMar w:left="240" w:top="125"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31.4</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RISK AND ADMINISTRATIVE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Rule 15d-14(a)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Francis X. Shea, certify that:</w:t>
      </w:r>
    </w:p>
    <w:p>
      <w:pPr>
        <w:spacing w:after="0" w:line="77"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Form 10-K of World Fuel Services Corporation;</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100" w:hanging="446"/>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131-15(f) and 15d-15(f)) for the registrant and have:</w:t>
      </w:r>
    </w:p>
    <w:p>
      <w:pPr>
        <w:spacing w:after="0" w:line="45"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 w:lineRule="exact"/>
        <w:rPr>
          <w:rFonts w:ascii="Arial" w:cs="Arial" w:eastAsia="Arial" w:hAnsi="Arial"/>
          <w:sz w:val="16"/>
          <w:szCs w:val="16"/>
          <w:color w:val="auto"/>
        </w:rPr>
      </w:pPr>
    </w:p>
    <w:p>
      <w:pPr>
        <w:jc w:val="both"/>
        <w:ind w:left="1920" w:hanging="440"/>
        <w:spacing w:after="0" w:line="347" w:lineRule="auto"/>
        <w:tabs>
          <w:tab w:leader="none" w:pos="1920" w:val="left"/>
        </w:tabs>
        <w:numPr>
          <w:ilvl w:val="1"/>
          <w:numId w:val="5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 w:lineRule="exact"/>
        <w:rPr>
          <w:rFonts w:ascii="Arial" w:cs="Arial" w:eastAsia="Arial" w:hAnsi="Arial"/>
          <w:sz w:val="16"/>
          <w:szCs w:val="16"/>
          <w:color w:val="auto"/>
        </w:rPr>
      </w:pPr>
    </w:p>
    <w:p>
      <w:pPr>
        <w:ind w:left="900" w:right="120" w:hanging="446"/>
        <w:spacing w:after="0" w:line="325"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rFonts w:ascii="Arial" w:cs="Arial" w:eastAsia="Arial" w:hAnsi="Arial"/>
          <w:sz w:val="16"/>
          <w:szCs w:val="16"/>
          <w:color w:val="auto"/>
        </w:rPr>
      </w:pPr>
    </w:p>
    <w:p>
      <w:pPr>
        <w:ind w:left="1920" w:right="240" w:hanging="440"/>
        <w:spacing w:after="0" w:line="325" w:lineRule="auto"/>
        <w:tabs>
          <w:tab w:leader="none" w:pos="19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Francis X.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Francis X. Shea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Vice-President and Chief Risk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Administrative Officer</w:t>
      </w:r>
    </w:p>
    <w:p>
      <w:pPr>
        <w:sectPr>
          <w:pgSz w:w="11900" w:h="16838" w:orient="portrait"/>
          <w:cols w:equalWidth="0" w:num="1">
            <w:col w:w="11420"/>
          </w:cols>
          <w:pgMar w:left="240" w:top="12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77" w:lineRule="exact"/>
        <w:rPr>
          <w:sz w:val="20"/>
          <w:szCs w:val="20"/>
          <w:color w:val="auto"/>
        </w:rPr>
      </w:pPr>
    </w:p>
    <w:p>
      <w:pPr>
        <w:jc w:val="center"/>
        <w:ind w:left="260" w:right="2300"/>
        <w:spacing w:after="0" w:line="261" w:lineRule="auto"/>
        <w:rPr>
          <w:sz w:val="20"/>
          <w:szCs w:val="20"/>
          <w:color w:val="auto"/>
        </w:rPr>
      </w:pPr>
      <w:r>
        <w:rPr>
          <w:rFonts w:ascii="Arial" w:cs="Arial" w:eastAsia="Arial" w:hAnsi="Arial"/>
          <w:sz w:val="18"/>
          <w:szCs w:val="18"/>
          <w:b w:val="1"/>
          <w:bCs w:val="1"/>
          <w:color w:val="auto"/>
        </w:rPr>
        <w:t>STATEMENT OF CHIEF EXECUTIVE OFFICER, CHIEF OPERATING OFFICER, CHIEF FINANCIAL OFFICER AND CHIEF RISK AND ADMINISTRATIVE OFFICER under Section 906 of the Sarbanes-Oxley Act of 2002 (18 U.S.C. Section 1350)</w:t>
      </w:r>
    </w:p>
    <w:p>
      <w:pPr>
        <w:spacing w:after="0" w:line="344"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Paul H. Stebbins, the Chairman and Chief Executive Officer of World Fuel Services Corporation (the “Company”), Michael J. Kasbar, the President and Chief Operating Officer of the Company, Robert S. Tocci, Executive Vice-President and Chief Financial Officer of the Company and Francis X. Shea, Executive Vice-President and Chief Risk and Administrative Officer of the Company, certify for the purposes of Section 1350 of Chapter 63 of Title 18 of the United States Code that, to the best of our knowledge,</w:t>
      </w:r>
    </w:p>
    <w:p>
      <w:pPr>
        <w:spacing w:after="0" w:line="49" w:lineRule="exact"/>
        <w:rPr>
          <w:sz w:val="20"/>
          <w:szCs w:val="20"/>
          <w:color w:val="auto"/>
        </w:rPr>
      </w:pPr>
    </w:p>
    <w:p>
      <w:pPr>
        <w:ind w:left="900" w:right="6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Annual Report of the Company on Form 10-K, for the fiscal year ended December 31, 2004 (the “Report”), fully complies with the requirements of section 13(a) of the Securities Exchange Act of 1934,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H. Stebbins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H. Stebbins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J. Kasbar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Operating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S. Tocci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S. Tocci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Vice-President and Chief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Francis X.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Francis X. Shea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Vice-President and Chief Risk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Administrative Officer</w:t>
      </w:r>
    </w:p>
    <w:p>
      <w:pPr>
        <w:spacing w:after="0" w:line="159" w:lineRule="exact"/>
        <w:rPr>
          <w:sz w:val="20"/>
          <w:szCs w:val="20"/>
          <w:color w:val="auto"/>
        </w:rPr>
      </w:pPr>
    </w:p>
    <w:p>
      <w:pPr>
        <w:jc w:val="center"/>
        <w:ind w:left="260" w:right="1580"/>
        <w:spacing w:after="0" w:line="262" w:lineRule="auto"/>
        <w:rPr>
          <w:sz w:val="20"/>
          <w:szCs w:val="20"/>
          <w:color w:val="auto"/>
        </w:rPr>
      </w:pPr>
      <w:r>
        <w:rPr>
          <w:rFonts w:ascii="Arial" w:cs="Arial" w:eastAsia="Arial" w:hAnsi="Arial"/>
          <w:sz w:val="18"/>
          <w:szCs w:val="18"/>
          <w:b w:val="1"/>
          <w:bCs w:val="1"/>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lowerRoman"/>
      <w:start w:val="3"/>
    </w:lvl>
  </w:abstractNum>
  <w:abstractNum w:abstractNumId="5">
    <w:nsid w:val="7C3DBD3D"/>
    <w:multiLevelType w:val="hybridMultilevel"/>
    <w:lvl w:ilvl="0">
      <w:lvlJc w:val="left"/>
      <w:lvlText w:val="(%1)"/>
      <w:numFmt w:val="lowerRoman"/>
      <w:start w:val="4"/>
    </w:lvl>
  </w:abstractNum>
  <w:abstractNum w:abstractNumId="6">
    <w:nsid w:val="737B8DDC"/>
    <w:multiLevelType w:val="hybridMultilevel"/>
    <w:lvl w:ilvl="0">
      <w:lvlJc w:val="left"/>
      <w:lvlText w:val="(%1)"/>
      <w:numFmt w:val="lowerRoman"/>
      <w:start w:val="5"/>
    </w:lvl>
  </w:abstractNum>
  <w:abstractNum w:abstractNumId="7">
    <w:nsid w:val="6CEAF087"/>
    <w:multiLevelType w:val="hybridMultilevel"/>
    <w:lvl w:ilvl="0">
      <w:lvlJc w:val="left"/>
      <w:lvlText w:val="(%1)"/>
      <w:numFmt w:val="lowerLetter"/>
      <w:start w:val="2"/>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1."/>
      <w:numFmt w:val="decimal"/>
      <w:start w:val="5"/>
    </w:lvl>
  </w:abstractNum>
  <w:abstractNum w:abstractNumId="11">
    <w:nsid w:val="614FD4A1"/>
    <w:multiLevelType w:val="hybridMultilevel"/>
    <w:lvl w:ilvl="0">
      <w:lvlJc w:val="left"/>
      <w:lvlText w:val="%1."/>
      <w:numFmt w:val="decimal"/>
      <w:start w:val="6"/>
    </w:lvl>
  </w:abstractNum>
  <w:abstractNum w:abstractNumId="12">
    <w:nsid w:val="419AC241"/>
    <w:multiLevelType w:val="hybridMultilevel"/>
    <w:lvl w:ilvl="0">
      <w:lvlJc w:val="left"/>
      <w:lvlText w:val="%1."/>
      <w:numFmt w:val="decimal"/>
      <w:start w:val="9"/>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lowerLetter"/>
      <w:start w:val="1"/>
    </w:lvl>
  </w:abstractNum>
  <w:abstractNum w:abstractNumId="15">
    <w:nsid w:val="5072367"/>
    <w:multiLevelType w:val="hybridMultilevel"/>
    <w:lvl w:ilvl="0">
      <w:lvlJc w:val="left"/>
      <w:lvlText w:val="(%1)"/>
      <w:numFmt w:val="lowerLetter"/>
      <w:start w:val="1"/>
    </w:lvl>
  </w:abstractNum>
  <w:abstractNum w:abstractNumId="16">
    <w:nsid w:val="3804823E"/>
    <w:multiLevelType w:val="hybridMultilevel"/>
    <w:lvl w:ilvl="0">
      <w:lvlJc w:val="left"/>
      <w:lvlText w:val="(%1)"/>
      <w:numFmt w:val="lowerLetter"/>
      <w:start w:val="1"/>
    </w:lvl>
  </w:abstractNum>
  <w:abstractNum w:abstractNumId="17">
    <w:nsid w:val="77465F01"/>
    <w:multiLevelType w:val="hybridMultilevel"/>
    <w:lvl w:ilvl="0">
      <w:lvlJc w:val="left"/>
      <w:lvlText w:val="(%1)"/>
      <w:numFmt w:val="lowerLetter"/>
      <w:start w:val="3"/>
    </w:lvl>
  </w:abstractNum>
  <w:abstractNum w:abstractNumId="18">
    <w:nsid w:val="7724C67E"/>
    <w:multiLevelType w:val="hybridMultilevel"/>
    <w:lvl w:ilvl="0">
      <w:lvlJc w:val="left"/>
      <w:lvlText w:val="(%1)"/>
      <w:numFmt w:val="lowerLetter"/>
      <w:start w:val="1"/>
    </w:lvl>
  </w:abstractNum>
  <w:abstractNum w:abstractNumId="19">
    <w:nsid w:val="5C482A97"/>
    <w:multiLevelType w:val="hybridMultilevel"/>
    <w:lvl w:ilvl="0">
      <w:lvlJc w:val="left"/>
      <w:lvlText w:val="(%1)"/>
      <w:numFmt w:val="lowerLetter"/>
      <w:start w:val="1"/>
    </w:lvl>
  </w:abstractNum>
  <w:abstractNum w:abstractNumId="20">
    <w:nsid w:val="2463B9EA"/>
    <w:multiLevelType w:val="hybridMultilevel"/>
    <w:lvl w:ilvl="0">
      <w:lvlJc w:val="left"/>
      <w:lvlText w:val="(%1)"/>
      <w:numFmt w:val="lowerLetter"/>
      <w:start w:val="1"/>
    </w:lvl>
    <w:lvl w:ilvl="1">
      <w:lvlJc w:val="left"/>
      <w:lvlText w:val="(%2)"/>
      <w:numFmt w:val="lowerRoman"/>
      <w:start w:val="1"/>
    </w:lvl>
  </w:abstractNum>
  <w:abstractNum w:abstractNumId="21">
    <w:nsid w:val="5E884ADC"/>
    <w:multiLevelType w:val="hybridMultilevel"/>
    <w:lvl w:ilvl="0">
      <w:lvlJc w:val="left"/>
      <w:lvlText w:val="%1"/>
      <w:numFmt w:val="lowerLetter"/>
      <w:start w:val="1"/>
    </w:lvl>
    <w:lvl w:ilvl="1">
      <w:lvlJc w:val="left"/>
      <w:lvlText w:val="(%2)"/>
      <w:numFmt w:val="lowerRoman"/>
      <w:start w:val="3"/>
    </w:lvl>
  </w:abstractNum>
  <w:abstractNum w:abstractNumId="22">
    <w:nsid w:val="51EAD36B"/>
    <w:multiLevelType w:val="hybridMultilevel"/>
    <w:lvl w:ilvl="0">
      <w:lvlJc w:val="left"/>
      <w:lvlText w:val="(%1)"/>
      <w:numFmt w:val="lowerLetter"/>
      <w:start w:val="6"/>
    </w:lvl>
    <w:lvl w:ilvl="1">
      <w:lvlJc w:val="left"/>
      <w:lvlText w:val="%2"/>
      <w:numFmt w:val="lowerRoman"/>
      <w:start w:val="1"/>
    </w:lvl>
  </w:abstractNum>
  <w:abstractNum w:abstractNumId="23">
    <w:nsid w:val="2D517796"/>
    <w:multiLevelType w:val="hybridMultilevel"/>
    <w:lvl w:ilvl="0">
      <w:lvlJc w:val="left"/>
      <w:lvlText w:val="(%1)"/>
      <w:numFmt w:val="lowerLetter"/>
      <w:start w:val="1"/>
    </w:lvl>
  </w:abstractNum>
  <w:abstractNum w:abstractNumId="24">
    <w:nsid w:val="580BD78F"/>
    <w:multiLevelType w:val="hybridMultilevel"/>
    <w:lvl w:ilvl="0">
      <w:lvlJc w:val="left"/>
      <w:lvlText w:val="(%1)"/>
      <w:numFmt w:val="lowerLetter"/>
      <w:start w:val="1"/>
    </w:lvl>
  </w:abstractNum>
  <w:abstractNum w:abstractNumId="25">
    <w:nsid w:val="153EA438"/>
    <w:multiLevelType w:val="hybridMultilevel"/>
    <w:lvl w:ilvl="0">
      <w:lvlJc w:val="left"/>
      <w:lvlText w:val="(%1)"/>
      <w:numFmt w:val="lowerLetter"/>
      <w:start w:val="1"/>
    </w:lvl>
  </w:abstractNum>
  <w:abstractNum w:abstractNumId="26">
    <w:nsid w:val="3855585C"/>
    <w:multiLevelType w:val="hybridMultilevel"/>
    <w:lvl w:ilvl="0">
      <w:lvlJc w:val="left"/>
      <w:lvlText w:val="(%1)"/>
      <w:numFmt w:val="lowerLetter"/>
      <w:start w:val="1"/>
    </w:lvl>
  </w:abstractNum>
  <w:abstractNum w:abstractNumId="27">
    <w:nsid w:val="70A64E2A"/>
    <w:multiLevelType w:val="hybridMultilevel"/>
    <w:lvl w:ilvl="0">
      <w:lvlJc w:val="left"/>
      <w:lvlText w:val="(%1)"/>
      <w:numFmt w:val="lowerLetter"/>
      <w:start w:val="4"/>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1)"/>
      <w:numFmt w:val="lowerLetter"/>
      <w:start w:val="1"/>
    </w:lvl>
  </w:abstractNum>
  <w:abstractNum w:abstractNumId="30">
    <w:nsid w:val="1D4ED43B"/>
    <w:multiLevelType w:val="hybridMultilevel"/>
    <w:lvl w:ilvl="0">
      <w:lvlJc w:val="left"/>
      <w:lvlText w:val="(%1)"/>
      <w:numFmt w:val="lowerLetter"/>
      <w:start w:val="2"/>
    </w:lvl>
    <w:lvl w:ilvl="1">
      <w:lvlJc w:val="left"/>
      <w:lvlText w:val="(%2)"/>
      <w:numFmt w:val="lowerRoman"/>
      <w:start w:val="1"/>
    </w:lvl>
  </w:abstractNum>
  <w:abstractNum w:abstractNumId="31">
    <w:nsid w:val="725A06FB"/>
    <w:multiLevelType w:val="hybridMultilevel"/>
    <w:lvl w:ilvl="0">
      <w:lvlJc w:val="left"/>
      <w:lvlText w:val="(%1)"/>
      <w:numFmt w:val="lowerLetter"/>
      <w:start w:val="6"/>
    </w:lvl>
    <w:lvl w:ilvl="1">
      <w:lvlJc w:val="left"/>
      <w:lvlText w:val="(%2)"/>
      <w:numFmt w:val="lowerRoman"/>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3"/>
    </w:lvl>
  </w:abstractNum>
  <w:abstractNum w:abstractNumId="34">
    <w:nsid w:val="7A6D8D3C"/>
    <w:multiLevelType w:val="hybridMultilevel"/>
    <w:lvl w:ilvl="0">
      <w:lvlJc w:val="left"/>
      <w:lvlText w:val="(%1)"/>
      <w:numFmt w:val="lowerLetter"/>
      <w:start w:val="1"/>
    </w:lvl>
    <w:lvl w:ilvl="1">
      <w:lvlJc w:val="left"/>
      <w:lvlText w:val="(%2)"/>
      <w:numFmt w:val="lowerRoman"/>
      <w:start w:val="1"/>
    </w:lvl>
  </w:abstractNum>
  <w:abstractNum w:abstractNumId="35">
    <w:nsid w:val="4B588F54"/>
    <w:multiLevelType w:val="hybridMultilevel"/>
    <w:lvl w:ilvl="0">
      <w:lvlJc w:val="left"/>
      <w:lvlText w:val="%1."/>
      <w:numFmt w:val="decimal"/>
      <w:start w:val="4"/>
    </w:lvl>
  </w:abstractNum>
  <w:abstractNum w:abstractNumId="36">
    <w:nsid w:val="542289EC"/>
    <w:multiLevelType w:val="hybridMultilevel"/>
    <w:lvl w:ilvl="0">
      <w:lvlJc w:val="left"/>
      <w:lvlText w:val="(%1)"/>
      <w:numFmt w:val="lowerLetter"/>
      <w:start w:val="1"/>
    </w:lvl>
  </w:abstractNum>
  <w:abstractNum w:abstractNumId="37">
    <w:nsid w:val="6DE91B18"/>
    <w:multiLevelType w:val="hybridMultilevel"/>
    <w:lvl w:ilvl="0">
      <w:lvlJc w:val="left"/>
      <w:lvlText w:val="(%1)"/>
      <w:numFmt w:val="lowerLetter"/>
      <w:start w:val="3"/>
    </w:lvl>
  </w:abstractNum>
  <w:abstractNum w:abstractNumId="38">
    <w:nsid w:val="38437FDB"/>
    <w:multiLevelType w:val="hybridMultilevel"/>
    <w:lvl w:ilvl="0">
      <w:lvlJc w:val="left"/>
      <w:lvlText w:val="%1."/>
      <w:numFmt w:val="decimal"/>
      <w:start w:val="5"/>
    </w:lvl>
    <w:lvl w:ilvl="1">
      <w:lvlJc w:val="left"/>
      <w:lvlText w:val="(%2)"/>
      <w:numFmt w:val="lowerLetter"/>
      <w:start w:val="1"/>
    </w:lvl>
  </w:abstractNum>
  <w:abstractNum w:abstractNumId="39">
    <w:nsid w:val="7644A45C"/>
    <w:multiLevelType w:val="hybridMultilevel"/>
    <w:lvl w:ilvl="0">
      <w:lvlJc w:val="left"/>
      <w:lvlText w:val="%1."/>
      <w:numFmt w:val="decimal"/>
      <w:start w:val="7"/>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3"/>
    </w:lvl>
  </w:abstractNum>
  <w:abstractNum w:abstractNumId="42">
    <w:nsid w:val="579478FE"/>
    <w:multiLevelType w:val="hybridMultilevel"/>
    <w:lvl w:ilvl="0">
      <w:lvlJc w:val="left"/>
      <w:lvlText w:val="(%1)"/>
      <w:numFmt w:val="lowerLetter"/>
      <w:start w:val="1"/>
    </w:lvl>
    <w:lvl w:ilvl="1">
      <w:lvlJc w:val="left"/>
      <w:lvlText w:val="(%2)"/>
      <w:numFmt w:val="lowerRoman"/>
      <w:start w:val="1"/>
    </w:lvl>
  </w:abstractNum>
  <w:abstractNum w:abstractNumId="43">
    <w:nsid w:val="749ABB43"/>
    <w:multiLevelType w:val="hybridMultilevel"/>
    <w:lvl w:ilvl="0">
      <w:lvlJc w:val="left"/>
      <w:lvlText w:val="(%1)"/>
      <w:numFmt w:val="lowerRoman"/>
      <w:start w:val="4"/>
    </w:lvl>
  </w:abstractNum>
  <w:abstractNum w:abstractNumId="44">
    <w:nsid w:val="3DC240FB"/>
    <w:multiLevelType w:val="hybridMultilevel"/>
    <w:lvl w:ilvl="0">
      <w:lvlJc w:val="left"/>
      <w:lvlText w:val="%1."/>
      <w:numFmt w:val="decimal"/>
      <w:start w:val="4"/>
    </w:lvl>
  </w:abstractNum>
  <w:abstractNum w:abstractNumId="45">
    <w:nsid w:val="1BA026FA"/>
    <w:multiLevelType w:val="hybridMultilevel"/>
    <w:lvl w:ilvl="0">
      <w:lvlJc w:val="left"/>
      <w:lvlText w:val="(%1)"/>
      <w:numFmt w:val="lowerLetter"/>
      <w:start w:val="1"/>
    </w:lvl>
  </w:abstractNum>
  <w:abstractNum w:abstractNumId="46">
    <w:nsid w:val="79A1DEAA"/>
    <w:multiLevelType w:val="hybridMultilevel"/>
    <w:lvl w:ilvl="0">
      <w:lvlJc w:val="left"/>
      <w:lvlText w:val="(%1)"/>
      <w:numFmt w:val="lowerLetter"/>
      <w:start w:val="2"/>
    </w:lvl>
  </w:abstractNum>
  <w:abstractNum w:abstractNumId="47">
    <w:nsid w:val="75C6C33A"/>
    <w:multiLevelType w:val="hybridMultilevel"/>
    <w:lvl w:ilvl="0">
      <w:lvlJc w:val="left"/>
      <w:lvlText w:val="%1."/>
      <w:numFmt w:val="decimal"/>
      <w:start w:val="5"/>
    </w:lvl>
    <w:lvl w:ilvl="1">
      <w:lvlJc w:val="left"/>
      <w:lvlText w:val="(%2)"/>
      <w:numFmt w:val="lowerLetter"/>
      <w:start w:val="1"/>
    </w:lvl>
  </w:abstractNum>
  <w:abstractNum w:abstractNumId="48">
    <w:nsid w:val="12E685FB"/>
    <w:multiLevelType w:val="hybridMultilevel"/>
    <w:lvl w:ilvl="0">
      <w:lvlJc w:val="left"/>
      <w:lvlText w:val="%1."/>
      <w:numFmt w:val="decimal"/>
      <w:start w:val="7"/>
    </w:lvl>
  </w:abstractNum>
  <w:abstractNum w:abstractNumId="49">
    <w:nsid w:val="70C6A529"/>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50">
    <w:nsid w:val="520EEDD1"/>
    <w:multiLevelType w:val="hybridMultilevel"/>
    <w:lvl w:ilvl="0">
      <w:lvlJc w:val="left"/>
      <w:lvlText w:val="(%1)"/>
      <w:numFmt w:val="decimal"/>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lvl w:ilvl="5">
      <w:lvlJc w:val="left"/>
      <w:lvlText w:val="-"/>
      <w:numFmt w:val="bullet"/>
      <w:start w:val="1"/>
    </w:lvl>
  </w:abstractNum>
  <w:abstractNum w:abstractNumId="51">
    <w:nsid w:val="374A3FE6"/>
    <w:multiLevelType w:val="hybridMultilevel"/>
    <w:lvl w:ilvl="0">
      <w:lvlJc w:val="left"/>
      <w:lvlText w:val="%1."/>
      <w:numFmt w:val="decimal"/>
      <w:start w:val="1"/>
    </w:lvl>
    <w:lvl w:ilvl="1">
      <w:lvlJc w:val="left"/>
      <w:lvlText w:val="%2."/>
      <w:numFmt w:val="lowerLetter"/>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2019-12-13T16:08:35Z</dcterms:created>
  <dcterms:modified xsi:type="dcterms:W3CDTF">2019-12-13T16:08:35Z</dcterms:modified>
</cp:coreProperties>
</file>