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FORM 10-K</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8" w:lineRule="exact"/>
        <w:rPr>
          <w:sz w:val="24"/>
          <w:szCs w:val="24"/>
          <w:color w:val="auto"/>
        </w:rPr>
      </w:pPr>
    </w:p>
    <w:p>
      <w:pPr>
        <w:ind w:right="2360" w:firstLine="7"/>
        <w:spacing w:after="0" w:line="272" w:lineRule="auto"/>
        <w:tabs>
          <w:tab w:leader="none" w:pos="17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2014</w:t>
      </w: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OR</w:t>
      </w:r>
    </w:p>
    <w:p>
      <w:pPr>
        <w:spacing w:after="0" w:line="102" w:lineRule="exact"/>
        <w:rPr>
          <w:sz w:val="24"/>
          <w:szCs w:val="24"/>
          <w:color w:val="auto"/>
        </w:rPr>
      </w:pPr>
    </w:p>
    <w:p>
      <w:pPr>
        <w:ind w:left="200" w:hanging="193"/>
        <w:spacing w:after="0"/>
        <w:tabs>
          <w:tab w:leader="none" w:pos="2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41" w:lineRule="exact"/>
        <w:rPr>
          <w:sz w:val="24"/>
          <w:szCs w:val="24"/>
          <w:color w:val="auto"/>
        </w:rPr>
      </w:pPr>
    </w:p>
    <w:p>
      <w:pPr>
        <w:spacing w:after="0"/>
        <w:tabs>
          <w:tab w:leader="none" w:pos="22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1301115</wp:posOffset>
            </wp:positionH>
            <wp:positionV relativeFrom="paragraph">
              <wp:posOffset>-18415</wp:posOffset>
            </wp:positionV>
            <wp:extent cx="109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-18415</wp:posOffset>
            </wp:positionV>
            <wp:extent cx="1098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1994535" cy="947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4535" cy="9474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180"/>
          </w:cols>
          <w:pgMar w:left="860" w:top="225" w:right="859" w:bottom="1440" w:gutter="0" w:footer="0" w:header="0"/>
        </w:sectPr>
      </w:pP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Florida</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59-2459427</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(I.R.S. Employer Identification No.)</w:t>
      </w:r>
    </w:p>
    <w:p>
      <w:pPr>
        <w:spacing w:after="0" w:line="105" w:lineRule="exact"/>
        <w:rPr>
          <w:sz w:val="24"/>
          <w:szCs w:val="24"/>
          <w:color w:val="auto"/>
        </w:rPr>
      </w:pPr>
    </w:p>
    <w:p>
      <w:pPr>
        <w:sectPr>
          <w:pgSz w:w="11900" w:h="16838" w:orient="portrait"/>
          <w:cols w:equalWidth="0" w:num="2">
            <w:col w:w="4440" w:space="720"/>
            <w:col w:w="5020"/>
          </w:cols>
          <w:pgMar w:left="860" w:top="225" w:right="859" w:bottom="1440" w:gutter="0" w:footer="0" w:header="0"/>
          <w:type w:val="continuous"/>
        </w:sectPr>
      </w:pPr>
    </w:p>
    <w:p>
      <w:pPr>
        <w:spacing w:after="0"/>
        <w:rPr>
          <w:sz w:val="20"/>
          <w:szCs w:val="20"/>
          <w:color w:val="auto"/>
        </w:rPr>
      </w:pPr>
      <w:r>
        <w:rPr>
          <w:rFonts w:ascii="Arial" w:cs="Arial" w:eastAsia="Arial" w:hAnsi="Arial"/>
          <w:sz w:val="14"/>
          <w:szCs w:val="14"/>
          <w:color w:val="auto"/>
        </w:rPr>
        <w:t>9800 Northwest 41st Street, Suite 400</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Miami, Florida</w:t>
      </w:r>
    </w:p>
    <w:p>
      <w:pPr>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33178</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(Zip Code)</w:t>
      </w:r>
    </w:p>
    <w:p>
      <w:pPr>
        <w:spacing w:after="0" w:line="105" w:lineRule="exact"/>
        <w:rPr>
          <w:sz w:val="24"/>
          <w:szCs w:val="24"/>
          <w:color w:val="auto"/>
        </w:rPr>
      </w:pPr>
    </w:p>
    <w:p>
      <w:pPr>
        <w:sectPr>
          <w:pgSz w:w="11900" w:h="16838" w:orient="portrait"/>
          <w:cols w:equalWidth="0" w:num="2">
            <w:col w:w="4440" w:space="720"/>
            <w:col w:w="5020"/>
          </w:cols>
          <w:pgMar w:left="860" w:top="225" w:right="859" w:bottom="1440" w:gutter="0" w:footer="0" w:header="0"/>
          <w:type w:val="continuous"/>
        </w:sectPr>
      </w:pPr>
    </w:p>
    <w:p>
      <w:pPr>
        <w:spacing w:after="0"/>
        <w:rPr>
          <w:sz w:val="20"/>
          <w:szCs w:val="20"/>
          <w:color w:val="auto"/>
        </w:rPr>
      </w:pPr>
      <w:r>
        <w:rPr>
          <w:rFonts w:ascii="Arial" w:cs="Arial" w:eastAsia="Arial" w:hAnsi="Arial"/>
          <w:sz w:val="14"/>
          <w:szCs w:val="14"/>
          <w:color w:val="auto"/>
        </w:rPr>
        <w:t>Registrant’s telephone number, including area code: (305) 428-8000</w:t>
      </w:r>
    </w:p>
    <w:p>
      <w:pPr>
        <w:sectPr>
          <w:pgSz w:w="11900" w:h="16838" w:orient="portrait"/>
          <w:cols w:equalWidth="0" w:num="1">
            <w:col w:w="10180"/>
          </w:cols>
          <w:pgMar w:left="860" w:top="225" w:right="859" w:bottom="1440" w:gutter="0" w:footer="0" w:header="0"/>
          <w:type w:val="continuous"/>
        </w:sectPr>
      </w:pPr>
    </w:p>
    <w:p>
      <w:pPr>
        <w:spacing w:after="0" w:line="1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Title of each class:</w:t>
      </w:r>
    </w:p>
    <w:p>
      <w:pPr>
        <w:spacing w:after="0" w:line="237" w:lineRule="auto"/>
        <w:rPr>
          <w:sz w:val="20"/>
          <w:szCs w:val="20"/>
          <w:color w:val="auto"/>
        </w:rPr>
      </w:pPr>
      <w:r>
        <w:rPr>
          <w:rFonts w:ascii="Arial" w:cs="Arial" w:eastAsia="Arial" w:hAnsi="Arial"/>
          <w:sz w:val="16"/>
          <w:szCs w:val="16"/>
          <w:color w:val="auto"/>
        </w:rPr>
        <w:t>Common Stock,</w:t>
      </w:r>
    </w:p>
    <w:p>
      <w:pPr>
        <w:spacing w:after="0"/>
        <w:rPr>
          <w:sz w:val="20"/>
          <w:szCs w:val="20"/>
          <w:color w:val="auto"/>
        </w:rPr>
      </w:pPr>
      <w:r>
        <w:rPr>
          <w:rFonts w:ascii="Arial" w:cs="Arial" w:eastAsia="Arial" w:hAnsi="Arial"/>
          <w:sz w:val="16"/>
          <w:szCs w:val="16"/>
          <w:color w:val="auto"/>
        </w:rPr>
        <w:t>par value $0.01 per share</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41" w:lineRule="exact"/>
        <w:rPr>
          <w:sz w:val="24"/>
          <w:szCs w:val="24"/>
          <w:color w:val="auto"/>
        </w:rPr>
      </w:pPr>
    </w:p>
    <w:p>
      <w:pPr>
        <w:spacing w:after="0"/>
        <w:rPr>
          <w:sz w:val="20"/>
          <w:szCs w:val="20"/>
          <w:color w:val="auto"/>
        </w:rPr>
      </w:pPr>
      <w:r>
        <w:rPr>
          <w:rFonts w:ascii="Arial" w:cs="Arial" w:eastAsia="Arial" w:hAnsi="Arial"/>
          <w:sz w:val="16"/>
          <w:szCs w:val="16"/>
          <w:color w:val="auto"/>
        </w:rPr>
        <w:t>New York Stock Exchange</w:t>
      </w:r>
    </w:p>
    <w:p>
      <w:pPr>
        <w:spacing w:after="0" w:line="274" w:lineRule="exact"/>
        <w:rPr>
          <w:sz w:val="24"/>
          <w:szCs w:val="24"/>
          <w:color w:val="auto"/>
        </w:rPr>
      </w:pPr>
    </w:p>
    <w:p>
      <w:pPr>
        <w:sectPr>
          <w:pgSz w:w="11900" w:h="16838" w:orient="portrait"/>
          <w:cols w:equalWidth="0" w:num="2">
            <w:col w:w="4440" w:space="720"/>
            <w:col w:w="5020"/>
          </w:cols>
          <w:pgMar w:left="860" w:top="225" w:right="85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ectPr>
          <w:pgSz w:w="11900" w:h="16838" w:orient="portrait"/>
          <w:cols w:equalWidth="0" w:num="1">
            <w:col w:w="10180"/>
          </w:cols>
          <w:pgMar w:left="860" w:top="225" w:right="859" w:bottom="1440" w:gutter="0" w:footer="0" w:header="0"/>
          <w:type w:val="continuous"/>
        </w:sectPr>
      </w:pPr>
    </w:p>
    <w:p>
      <w:pPr>
        <w:spacing w:after="0" w:line="94" w:lineRule="exact"/>
        <w:rPr>
          <w:sz w:val="24"/>
          <w:szCs w:val="24"/>
          <w:color w:val="auto"/>
        </w:rPr>
      </w:pPr>
    </w:p>
    <w:p>
      <w:pPr>
        <w:ind w:right="1120"/>
        <w:spacing w:after="0" w:line="25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5" w:lineRule="exact"/>
        <w:rPr>
          <w:sz w:val="24"/>
          <w:szCs w:val="24"/>
          <w:color w:val="auto"/>
        </w:rPr>
      </w:pPr>
    </w:p>
    <w:p>
      <w:pPr>
        <w:jc w:val="both"/>
        <w:spacing w:after="0" w:line="19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spacing w:after="0" w:line="196"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jc w:val="both"/>
        <w:spacing w:after="0" w:line="272" w:lineRule="auto"/>
        <w:rPr>
          <w:sz w:val="20"/>
          <w:szCs w:val="20"/>
          <w:color w:val="auto"/>
        </w:rPr>
      </w:pPr>
      <w:r>
        <w:rPr>
          <w:rFonts w:ascii="Arial" w:cs="Arial" w:eastAsia="Arial" w:hAnsi="Arial"/>
          <w:sz w:val="16"/>
          <w:szCs w:val="16"/>
          <w:color w:val="auto"/>
        </w:rPr>
        <w:t>As of June 30, 2014, the registrant’s most recently completed second fiscal quarter, the aggregate market value of the voting and non-voting common equity held by non-affiliates computed by reference to the market price at which the common equity was last sold was $3,469,311,000.</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5, 2015, the registrant had approximately 72,091,000 shares of outstanding common stock, par value $0.01 per share.</w:t>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Part III – Specified Portions of the Registrant’s Definitive Proxy Statement for the 2015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6502400" cy="50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225" w:right="859" w:bottom="1440" w:gutter="0" w:footer="0" w:header="0"/>
          <w:type w:val="continuous"/>
        </w:sectPr>
      </w:pPr>
    </w:p>
    <w:bookmarkStart w:id="1" w:name="page2"/>
    <w:bookmarkEnd w:id="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gridSpan w:val="6"/>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8560" w:type="dxa"/>
            <w:vAlign w:val="bottom"/>
            <w:gridSpan w:val="18"/>
            <w:vMerge w:val="restart"/>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0" w:type="dxa"/>
            <w:vAlign w:val="bottom"/>
          </w:tcPr>
          <w:p>
            <w:pPr>
              <w:spacing w:after="0"/>
              <w:rPr>
                <w:sz w:val="1"/>
                <w:szCs w:val="1"/>
                <w:color w:val="auto"/>
              </w:rPr>
            </w:pPr>
          </w:p>
        </w:tc>
      </w:tr>
      <w:tr>
        <w:trPr>
          <w:trHeight w:val="188"/>
        </w:trPr>
        <w:tc>
          <w:tcPr>
            <w:tcW w:w="540" w:type="dxa"/>
            <w:vAlign w:val="bottom"/>
            <w:tcBorders>
              <w:top w:val="single" w:sz="8" w:color="0000EE"/>
            </w:tcBorders>
          </w:tcPr>
          <w:p>
            <w:pPr>
              <w:spacing w:after="0" w:line="188" w:lineRule="exact"/>
              <w:rPr>
                <w:rFonts w:ascii="Arial" w:cs="Arial" w:eastAsia="Arial" w:hAnsi="Arial"/>
                <w:sz w:val="17"/>
                <w:szCs w:val="17"/>
                <w:color w:val="0000EE"/>
                <w:w w:val="99"/>
              </w:rPr>
            </w:pPr>
            <w:hyperlink w:anchor="page3">
              <w:r>
                <w:rPr>
                  <w:rFonts w:ascii="Arial" w:cs="Arial" w:eastAsia="Arial" w:hAnsi="Arial"/>
                  <w:sz w:val="17"/>
                  <w:szCs w:val="17"/>
                  <w:color w:val="0000EE"/>
                  <w:w w:val="99"/>
                </w:rPr>
                <w:t>Item 1.</w:t>
              </w:r>
            </w:hyperlink>
          </w:p>
        </w:tc>
        <w:tc>
          <w:tcPr>
            <w:tcW w:w="60" w:type="dxa"/>
            <w:vAlign w:val="bottom"/>
            <w:tcBorders>
              <w:top w:val="single" w:sz="8" w:color="0000EE"/>
            </w:tcBorders>
          </w:tcPr>
          <w:p>
            <w:pPr>
              <w:spacing w:after="0"/>
              <w:rPr>
                <w:sz w:val="16"/>
                <w:szCs w:val="16"/>
                <w:color w:val="auto"/>
              </w:rPr>
            </w:pPr>
          </w:p>
        </w:tc>
        <w:tc>
          <w:tcPr>
            <w:tcW w:w="340" w:type="dxa"/>
            <w:vAlign w:val="bottom"/>
            <w:gridSpan w:val="4"/>
          </w:tcPr>
          <w:p>
            <w:pPr>
              <w:spacing w:after="0"/>
              <w:rPr>
                <w:sz w:val="16"/>
                <w:szCs w:val="16"/>
                <w:color w:val="auto"/>
              </w:rPr>
            </w:pPr>
          </w:p>
        </w:tc>
        <w:tc>
          <w:tcPr>
            <w:tcW w:w="856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0" w:type="dxa"/>
            <w:vAlign w:val="bottom"/>
            <w:gridSpan w:val="4"/>
          </w:tcPr>
          <w:p>
            <w:pPr>
              <w:spacing w:after="0" w:line="188" w:lineRule="exact"/>
              <w:rPr>
                <w:rFonts w:ascii="Arial" w:cs="Arial" w:eastAsia="Arial" w:hAnsi="Arial"/>
                <w:sz w:val="17"/>
                <w:szCs w:val="17"/>
                <w:color w:val="0000EE"/>
                <w:w w:val="97"/>
              </w:rPr>
            </w:pPr>
            <w:hyperlink w:anchor="page7">
              <w:r>
                <w:rPr>
                  <w:rFonts w:ascii="Arial" w:cs="Arial" w:eastAsia="Arial" w:hAnsi="Arial"/>
                  <w:sz w:val="17"/>
                  <w:szCs w:val="17"/>
                  <w:color w:val="0000EE"/>
                  <w:w w:val="97"/>
                </w:rPr>
                <w:t>Item 1A.</w:t>
              </w:r>
            </w:hyperlink>
          </w:p>
        </w:tc>
        <w:tc>
          <w:tcPr>
            <w:tcW w:w="280" w:type="dxa"/>
            <w:vAlign w:val="bottom"/>
            <w:gridSpan w:val="2"/>
          </w:tcPr>
          <w:p>
            <w:pPr>
              <w:spacing w:after="0"/>
              <w:rPr>
                <w:sz w:val="16"/>
                <w:szCs w:val="16"/>
                <w:color w:val="auto"/>
              </w:rPr>
            </w:pPr>
          </w:p>
        </w:tc>
        <w:tc>
          <w:tcPr>
            <w:tcW w:w="8560" w:type="dxa"/>
            <w:vAlign w:val="bottom"/>
            <w:gridSpan w:val="18"/>
          </w:tcPr>
          <w:p>
            <w:pPr>
              <w:spacing w:after="0" w:line="188" w:lineRule="exact"/>
              <w:rPr>
                <w:rFonts w:ascii="Arial" w:cs="Arial" w:eastAsia="Arial" w:hAnsi="Arial"/>
                <w:sz w:val="17"/>
                <w:szCs w:val="17"/>
                <w:color w:val="0000EE"/>
              </w:rPr>
            </w:pPr>
            <w:hyperlink w:anchor="page7">
              <w:r>
                <w:rPr>
                  <w:rFonts w:ascii="Arial" w:cs="Arial" w:eastAsia="Arial" w:hAnsi="Arial"/>
                  <w:sz w:val="17"/>
                  <w:szCs w:val="17"/>
                  <w:color w:val="0000EE"/>
                </w:rPr>
                <w:t>Risk Factors</w:t>
              </w:r>
            </w:hyperlink>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0" w:type="dxa"/>
            <w:vAlign w:val="bottom"/>
            <w:gridSpan w:val="4"/>
          </w:tcPr>
          <w:p>
            <w:pPr>
              <w:spacing w:after="0" w:line="188" w:lineRule="exact"/>
              <w:rPr>
                <w:rFonts w:ascii="Arial" w:cs="Arial" w:eastAsia="Arial" w:hAnsi="Arial"/>
                <w:sz w:val="17"/>
                <w:szCs w:val="17"/>
                <w:color w:val="0000EE"/>
                <w:w w:val="97"/>
              </w:rPr>
            </w:pPr>
            <w:hyperlink w:anchor="page17">
              <w:r>
                <w:rPr>
                  <w:rFonts w:ascii="Arial" w:cs="Arial" w:eastAsia="Arial" w:hAnsi="Arial"/>
                  <w:sz w:val="17"/>
                  <w:szCs w:val="17"/>
                  <w:color w:val="0000EE"/>
                  <w:w w:val="97"/>
                </w:rPr>
                <w:t>Item 1B.</w:t>
              </w:r>
            </w:hyperlink>
          </w:p>
        </w:tc>
        <w:tc>
          <w:tcPr>
            <w:tcW w:w="280" w:type="dxa"/>
            <w:vAlign w:val="bottom"/>
            <w:gridSpan w:val="2"/>
          </w:tcPr>
          <w:p>
            <w:pPr>
              <w:spacing w:after="0"/>
              <w:rPr>
                <w:sz w:val="16"/>
                <w:szCs w:val="16"/>
                <w:color w:val="auto"/>
              </w:rPr>
            </w:pPr>
          </w:p>
        </w:tc>
        <w:tc>
          <w:tcPr>
            <w:tcW w:w="8560" w:type="dxa"/>
            <w:vAlign w:val="bottom"/>
            <w:gridSpan w:val="18"/>
          </w:tcPr>
          <w:p>
            <w:pPr>
              <w:spacing w:after="0" w:line="188" w:lineRule="exact"/>
              <w:rPr>
                <w:rFonts w:ascii="Arial" w:cs="Arial" w:eastAsia="Arial" w:hAnsi="Arial"/>
                <w:sz w:val="17"/>
                <w:szCs w:val="17"/>
                <w:color w:val="0000EE"/>
              </w:rPr>
            </w:pPr>
            <w:hyperlink w:anchor="page17">
              <w:r>
                <w:rPr>
                  <w:rFonts w:ascii="Arial" w:cs="Arial" w:eastAsia="Arial" w:hAnsi="Arial"/>
                  <w:sz w:val="17"/>
                  <w:szCs w:val="17"/>
                  <w:color w:val="0000EE"/>
                </w:rPr>
                <w:t>Unresolved Staff Comments</w:t>
              </w:r>
            </w:hyperlink>
          </w:p>
        </w:tc>
        <w:tc>
          <w:tcPr>
            <w:tcW w:w="0" w:type="dxa"/>
            <w:vAlign w:val="bottom"/>
          </w:tcPr>
          <w:p>
            <w:pPr>
              <w:spacing w:after="0"/>
              <w:rPr>
                <w:sz w:val="1"/>
                <w:szCs w:val="1"/>
                <w:color w:val="auto"/>
              </w:rPr>
            </w:pPr>
          </w:p>
        </w:tc>
      </w:tr>
      <w:tr>
        <w:trPr>
          <w:trHeight w:val="188"/>
        </w:trPr>
        <w:tc>
          <w:tcPr>
            <w:tcW w:w="540" w:type="dxa"/>
            <w:vAlign w:val="bottom"/>
            <w:tcBorders>
              <w:top w:val="single" w:sz="8" w:color="0000EE"/>
            </w:tcBorders>
          </w:tcPr>
          <w:p>
            <w:pPr>
              <w:spacing w:after="0" w:line="188" w:lineRule="exact"/>
              <w:rPr>
                <w:rFonts w:ascii="Arial" w:cs="Arial" w:eastAsia="Arial" w:hAnsi="Arial"/>
                <w:sz w:val="17"/>
                <w:szCs w:val="17"/>
                <w:color w:val="0000EE"/>
                <w:w w:val="99"/>
              </w:rPr>
            </w:pPr>
            <w:hyperlink w:anchor="page18">
              <w:r>
                <w:rPr>
                  <w:rFonts w:ascii="Arial" w:cs="Arial" w:eastAsia="Arial" w:hAnsi="Arial"/>
                  <w:sz w:val="17"/>
                  <w:szCs w:val="17"/>
                  <w:color w:val="0000EE"/>
                  <w:w w:val="99"/>
                </w:rPr>
                <w:t>Item 2.</w:t>
              </w:r>
            </w:hyperlink>
          </w:p>
        </w:tc>
        <w:tc>
          <w:tcPr>
            <w:tcW w:w="120" w:type="dxa"/>
            <w:vAlign w:val="bottom"/>
            <w:tcBorders>
              <w:top w:val="single" w:sz="8" w:color="0000EE"/>
            </w:tcBorders>
            <w:gridSpan w:val="3"/>
          </w:tcPr>
          <w:p>
            <w:pPr>
              <w:spacing w:after="0"/>
              <w:rPr>
                <w:sz w:val="16"/>
                <w:szCs w:val="16"/>
                <w:color w:val="auto"/>
              </w:rPr>
            </w:pPr>
          </w:p>
        </w:tc>
        <w:tc>
          <w:tcPr>
            <w:tcW w:w="280" w:type="dxa"/>
            <w:vAlign w:val="bottom"/>
            <w:gridSpan w:val="2"/>
          </w:tcPr>
          <w:p>
            <w:pPr>
              <w:spacing w:after="0"/>
              <w:rPr>
                <w:sz w:val="16"/>
                <w:szCs w:val="16"/>
                <w:color w:val="auto"/>
              </w:rPr>
            </w:pPr>
          </w:p>
        </w:tc>
        <w:tc>
          <w:tcPr>
            <w:tcW w:w="2160" w:type="dxa"/>
            <w:vAlign w:val="bottom"/>
            <w:tcBorders>
              <w:top w:val="single" w:sz="8" w:color="0000EE"/>
            </w:tcBorders>
            <w:gridSpan w:val="9"/>
          </w:tcPr>
          <w:p>
            <w:pPr>
              <w:spacing w:after="0" w:line="188" w:lineRule="exact"/>
              <w:rPr>
                <w:rFonts w:ascii="Arial" w:cs="Arial" w:eastAsia="Arial" w:hAnsi="Arial"/>
                <w:sz w:val="17"/>
                <w:szCs w:val="17"/>
                <w:color w:val="0000EE"/>
              </w:rPr>
            </w:pPr>
            <w:hyperlink w:anchor="page18">
              <w:r>
                <w:rPr>
                  <w:rFonts w:ascii="Arial" w:cs="Arial" w:eastAsia="Arial" w:hAnsi="Arial"/>
                  <w:sz w:val="17"/>
                  <w:szCs w:val="17"/>
                  <w:color w:val="0000EE"/>
                </w:rPr>
                <w:t>Properties</w:t>
              </w:r>
            </w:hyperlink>
          </w:p>
        </w:tc>
        <w:tc>
          <w:tcPr>
            <w:tcW w:w="64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 w:type="dxa"/>
            <w:vAlign w:val="bottom"/>
            <w:tcBorders>
              <w:bottom w:val="single" w:sz="8" w:color="0000EE"/>
            </w:tcBorders>
          </w:tcPr>
          <w:p>
            <w:pPr>
              <w:spacing w:after="0" w:line="188" w:lineRule="exact"/>
              <w:rPr>
                <w:rFonts w:ascii="Arial" w:cs="Arial" w:eastAsia="Arial" w:hAnsi="Arial"/>
                <w:sz w:val="17"/>
                <w:szCs w:val="17"/>
                <w:color w:val="0000EE"/>
                <w:w w:val="99"/>
              </w:rPr>
            </w:pPr>
            <w:hyperlink w:anchor="page19">
              <w:r>
                <w:rPr>
                  <w:rFonts w:ascii="Arial" w:cs="Arial" w:eastAsia="Arial" w:hAnsi="Arial"/>
                  <w:sz w:val="17"/>
                  <w:szCs w:val="17"/>
                  <w:color w:val="0000EE"/>
                  <w:w w:val="99"/>
                </w:rPr>
                <w:t>Item 3.</w:t>
              </w:r>
            </w:hyperlink>
          </w:p>
        </w:tc>
        <w:tc>
          <w:tcPr>
            <w:tcW w:w="400" w:type="dxa"/>
            <w:vAlign w:val="bottom"/>
            <w:gridSpan w:val="5"/>
          </w:tcPr>
          <w:p>
            <w:pPr>
              <w:spacing w:after="0"/>
              <w:rPr>
                <w:sz w:val="16"/>
                <w:szCs w:val="16"/>
                <w:color w:val="auto"/>
              </w:rPr>
            </w:pPr>
          </w:p>
        </w:tc>
        <w:tc>
          <w:tcPr>
            <w:tcW w:w="1440" w:type="dxa"/>
            <w:vAlign w:val="bottom"/>
            <w:tcBorders>
              <w:bottom w:val="single" w:sz="8" w:color="0000EE"/>
            </w:tcBorders>
            <w:gridSpan w:val="5"/>
          </w:tcPr>
          <w:p>
            <w:pPr>
              <w:spacing w:after="0" w:line="188" w:lineRule="exact"/>
              <w:rPr>
                <w:rFonts w:ascii="Arial" w:cs="Arial" w:eastAsia="Arial" w:hAnsi="Arial"/>
                <w:sz w:val="17"/>
                <w:szCs w:val="17"/>
                <w:color w:val="0000EE"/>
              </w:rPr>
            </w:pPr>
            <w:hyperlink w:anchor="page19">
              <w:r>
                <w:rPr>
                  <w:rFonts w:ascii="Arial" w:cs="Arial" w:eastAsia="Arial" w:hAnsi="Arial"/>
                  <w:sz w:val="17"/>
                  <w:szCs w:val="17"/>
                  <w:color w:val="0000EE"/>
                </w:rPr>
                <w:t>Legal Proceedings</w:t>
              </w:r>
            </w:hyperlink>
          </w:p>
        </w:tc>
        <w:tc>
          <w:tcPr>
            <w:tcW w:w="71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 w:type="dxa"/>
            <w:vAlign w:val="bottom"/>
            <w:tcBorders>
              <w:bottom w:val="single" w:sz="8" w:color="0000EE"/>
            </w:tcBorders>
          </w:tcPr>
          <w:p>
            <w:pPr>
              <w:spacing w:after="0" w:line="188" w:lineRule="exact"/>
              <w:rPr>
                <w:rFonts w:ascii="Arial" w:cs="Arial" w:eastAsia="Arial" w:hAnsi="Arial"/>
                <w:sz w:val="17"/>
                <w:szCs w:val="17"/>
                <w:color w:val="0000EE"/>
                <w:w w:val="99"/>
              </w:rPr>
            </w:pPr>
            <w:hyperlink w:anchor="page20">
              <w:r>
                <w:rPr>
                  <w:rFonts w:ascii="Arial" w:cs="Arial" w:eastAsia="Arial" w:hAnsi="Arial"/>
                  <w:sz w:val="17"/>
                  <w:szCs w:val="17"/>
                  <w:color w:val="0000EE"/>
                  <w:w w:val="99"/>
                </w:rPr>
                <w:t>Item 4.</w:t>
              </w:r>
            </w:hyperlink>
          </w:p>
        </w:tc>
        <w:tc>
          <w:tcPr>
            <w:tcW w:w="400" w:type="dxa"/>
            <w:vAlign w:val="bottom"/>
            <w:gridSpan w:val="5"/>
          </w:tcPr>
          <w:p>
            <w:pPr>
              <w:spacing w:after="0"/>
              <w:rPr>
                <w:sz w:val="16"/>
                <w:szCs w:val="16"/>
                <w:color w:val="auto"/>
              </w:rPr>
            </w:pPr>
          </w:p>
        </w:tc>
        <w:tc>
          <w:tcPr>
            <w:tcW w:w="1860" w:type="dxa"/>
            <w:vAlign w:val="bottom"/>
            <w:tcBorders>
              <w:bottom w:val="single" w:sz="8" w:color="0000EE"/>
            </w:tcBorders>
            <w:gridSpan w:val="7"/>
          </w:tcPr>
          <w:p>
            <w:pPr>
              <w:spacing w:after="0" w:line="188" w:lineRule="exact"/>
              <w:rPr>
                <w:rFonts w:ascii="Arial" w:cs="Arial" w:eastAsia="Arial" w:hAnsi="Arial"/>
                <w:sz w:val="17"/>
                <w:szCs w:val="17"/>
                <w:color w:val="0000EE"/>
              </w:rPr>
            </w:pPr>
            <w:hyperlink w:anchor="page20">
              <w:r>
                <w:rPr>
                  <w:rFonts w:ascii="Arial" w:cs="Arial" w:eastAsia="Arial" w:hAnsi="Arial"/>
                  <w:sz w:val="17"/>
                  <w:szCs w:val="17"/>
                  <w:color w:val="0000EE"/>
                </w:rPr>
                <w:t>Mine Safety Disclosures</w:t>
              </w:r>
            </w:hyperlink>
          </w:p>
        </w:tc>
        <w:tc>
          <w:tcPr>
            <w:tcW w:w="67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660" w:type="dxa"/>
            <w:vAlign w:val="bottom"/>
            <w:tcBorders>
              <w:bottom w:val="single" w:sz="8" w:color="0000EE"/>
            </w:tcBorders>
            <w:gridSpan w:val="4"/>
          </w:tcPr>
          <w:p>
            <w:pPr>
              <w:spacing w:after="0"/>
              <w:rPr>
                <w:rFonts w:ascii="Arial" w:cs="Arial" w:eastAsia="Arial" w:hAnsi="Arial"/>
                <w:sz w:val="17"/>
                <w:szCs w:val="17"/>
                <w:b w:val="1"/>
                <w:bCs w:val="1"/>
                <w:color w:val="0000EE"/>
                <w:w w:val="95"/>
              </w:rPr>
            </w:pPr>
            <w:hyperlink w:anchor="page21">
              <w:r>
                <w:rPr>
                  <w:rFonts w:ascii="Arial" w:cs="Arial" w:eastAsia="Arial" w:hAnsi="Arial"/>
                  <w:sz w:val="17"/>
                  <w:szCs w:val="17"/>
                  <w:b w:val="1"/>
                  <w:bCs w:val="1"/>
                  <w:color w:val="0000EE"/>
                  <w:w w:val="95"/>
                </w:rPr>
                <w:t>PART II.</w:t>
              </w:r>
            </w:hyperlink>
          </w:p>
        </w:tc>
        <w:tc>
          <w:tcPr>
            <w:tcW w:w="280" w:type="dxa"/>
            <w:vAlign w:val="bottom"/>
            <w:gridSpan w:val="2"/>
          </w:tcPr>
          <w:p>
            <w:pPr>
              <w:spacing w:after="0"/>
              <w:rPr>
                <w:sz w:val="24"/>
                <w:szCs w:val="24"/>
                <w:color w:val="auto"/>
              </w:rPr>
            </w:pPr>
          </w:p>
        </w:tc>
        <w:tc>
          <w:tcPr>
            <w:tcW w:w="8560" w:type="dxa"/>
            <w:vAlign w:val="bottom"/>
            <w:gridSpan w:val="18"/>
            <w:vMerge w:val="restart"/>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Market for Registrant’s Common Equity, Related Shareholder Matters and Issuer Purchases of Equity Securities</w:t>
              </w:r>
            </w:hyperlink>
          </w:p>
        </w:tc>
        <w:tc>
          <w:tcPr>
            <w:tcW w:w="0" w:type="dxa"/>
            <w:vAlign w:val="bottom"/>
          </w:tcPr>
          <w:p>
            <w:pPr>
              <w:spacing w:after="0"/>
              <w:rPr>
                <w:sz w:val="1"/>
                <w:szCs w:val="1"/>
                <w:color w:val="auto"/>
              </w:rPr>
            </w:pPr>
          </w:p>
        </w:tc>
      </w:tr>
      <w:tr>
        <w:trPr>
          <w:trHeight w:val="188"/>
        </w:trPr>
        <w:tc>
          <w:tcPr>
            <w:tcW w:w="540" w:type="dxa"/>
            <w:vAlign w:val="bottom"/>
            <w:tcBorders>
              <w:bottom w:val="single" w:sz="8" w:color="0000EE"/>
            </w:tcBorders>
          </w:tcPr>
          <w:p>
            <w:pPr>
              <w:spacing w:after="0" w:line="188" w:lineRule="exact"/>
              <w:rPr>
                <w:rFonts w:ascii="Arial" w:cs="Arial" w:eastAsia="Arial" w:hAnsi="Arial"/>
                <w:sz w:val="17"/>
                <w:szCs w:val="17"/>
                <w:color w:val="0000EE"/>
                <w:w w:val="99"/>
              </w:rPr>
            </w:pPr>
            <w:hyperlink w:anchor="page21">
              <w:r>
                <w:rPr>
                  <w:rFonts w:ascii="Arial" w:cs="Arial" w:eastAsia="Arial" w:hAnsi="Arial"/>
                  <w:sz w:val="17"/>
                  <w:szCs w:val="17"/>
                  <w:color w:val="0000EE"/>
                  <w:w w:val="99"/>
                </w:rPr>
                <w:t>Item 5.</w:t>
              </w:r>
            </w:hyperlink>
          </w:p>
        </w:tc>
        <w:tc>
          <w:tcPr>
            <w:tcW w:w="400" w:type="dxa"/>
            <w:vAlign w:val="bottom"/>
            <w:gridSpan w:val="5"/>
          </w:tcPr>
          <w:p>
            <w:pPr>
              <w:spacing w:after="0"/>
              <w:rPr>
                <w:sz w:val="16"/>
                <w:szCs w:val="16"/>
                <w:color w:val="auto"/>
              </w:rPr>
            </w:pPr>
          </w:p>
        </w:tc>
        <w:tc>
          <w:tcPr>
            <w:tcW w:w="8560" w:type="dxa"/>
            <w:vAlign w:val="bottom"/>
            <w:tcBorders>
              <w:bottom w:val="single" w:sz="8" w:color="0000EE"/>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 w:type="dxa"/>
            <w:vAlign w:val="bottom"/>
          </w:tcPr>
          <w:p>
            <w:pPr>
              <w:spacing w:after="0" w:line="188" w:lineRule="exact"/>
              <w:rPr>
                <w:rFonts w:ascii="Arial" w:cs="Arial" w:eastAsia="Arial" w:hAnsi="Arial"/>
                <w:sz w:val="17"/>
                <w:szCs w:val="17"/>
                <w:color w:val="0000EE"/>
                <w:w w:val="99"/>
              </w:rPr>
            </w:pPr>
            <w:hyperlink w:anchor="page24">
              <w:r>
                <w:rPr>
                  <w:rFonts w:ascii="Arial" w:cs="Arial" w:eastAsia="Arial" w:hAnsi="Arial"/>
                  <w:sz w:val="17"/>
                  <w:szCs w:val="17"/>
                  <w:color w:val="0000EE"/>
                  <w:w w:val="99"/>
                </w:rPr>
                <w:t>Item 6.</w:t>
              </w:r>
            </w:hyperlink>
          </w:p>
        </w:tc>
        <w:tc>
          <w:tcPr>
            <w:tcW w:w="400" w:type="dxa"/>
            <w:vAlign w:val="bottom"/>
            <w:gridSpan w:val="5"/>
          </w:tcPr>
          <w:p>
            <w:pPr>
              <w:spacing w:after="0"/>
              <w:rPr>
                <w:sz w:val="16"/>
                <w:szCs w:val="16"/>
                <w:color w:val="auto"/>
              </w:rPr>
            </w:pPr>
          </w:p>
        </w:tc>
        <w:tc>
          <w:tcPr>
            <w:tcW w:w="8560" w:type="dxa"/>
            <w:vAlign w:val="bottom"/>
            <w:gridSpan w:val="18"/>
          </w:tcPr>
          <w:p>
            <w:pPr>
              <w:spacing w:after="0" w:line="188" w:lineRule="exact"/>
              <w:rPr>
                <w:rFonts w:ascii="Arial" w:cs="Arial" w:eastAsia="Arial" w:hAnsi="Arial"/>
                <w:sz w:val="17"/>
                <w:szCs w:val="17"/>
                <w:color w:val="0000EE"/>
              </w:rPr>
            </w:pPr>
            <w:hyperlink w:anchor="page24">
              <w:r>
                <w:rPr>
                  <w:rFonts w:ascii="Arial" w:cs="Arial" w:eastAsia="Arial" w:hAnsi="Arial"/>
                  <w:sz w:val="17"/>
                  <w:szCs w:val="17"/>
                  <w:color w:val="0000EE"/>
                </w:rPr>
                <w:t>Selected Financial Data</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 w:type="dxa"/>
            <w:vAlign w:val="bottom"/>
          </w:tcPr>
          <w:p>
            <w:pPr>
              <w:spacing w:after="0" w:line="188" w:lineRule="exact"/>
              <w:rPr>
                <w:rFonts w:ascii="Arial" w:cs="Arial" w:eastAsia="Arial" w:hAnsi="Arial"/>
                <w:sz w:val="17"/>
                <w:szCs w:val="17"/>
                <w:color w:val="0000EE"/>
                <w:w w:val="99"/>
              </w:rPr>
            </w:pPr>
            <w:hyperlink w:anchor="page25">
              <w:r>
                <w:rPr>
                  <w:rFonts w:ascii="Arial" w:cs="Arial" w:eastAsia="Arial" w:hAnsi="Arial"/>
                  <w:sz w:val="17"/>
                  <w:szCs w:val="17"/>
                  <w:color w:val="0000EE"/>
                  <w:w w:val="99"/>
                </w:rPr>
                <w:t>Item 7.</w:t>
              </w:r>
            </w:hyperlink>
          </w:p>
        </w:tc>
        <w:tc>
          <w:tcPr>
            <w:tcW w:w="400" w:type="dxa"/>
            <w:vAlign w:val="bottom"/>
            <w:gridSpan w:val="5"/>
          </w:tcPr>
          <w:p>
            <w:pPr>
              <w:spacing w:after="0"/>
              <w:rPr>
                <w:sz w:val="16"/>
                <w:szCs w:val="16"/>
                <w:color w:val="auto"/>
              </w:rPr>
            </w:pPr>
          </w:p>
        </w:tc>
        <w:tc>
          <w:tcPr>
            <w:tcW w:w="8560" w:type="dxa"/>
            <w:vAlign w:val="bottom"/>
            <w:gridSpan w:val="18"/>
          </w:tcPr>
          <w:p>
            <w:pPr>
              <w:spacing w:after="0" w:line="188" w:lineRule="exact"/>
              <w:rPr>
                <w:rFonts w:ascii="Arial" w:cs="Arial" w:eastAsia="Arial" w:hAnsi="Arial"/>
                <w:sz w:val="17"/>
                <w:szCs w:val="17"/>
                <w:color w:val="0000EE"/>
              </w:rPr>
            </w:pPr>
            <w:hyperlink w:anchor="page25">
              <w:r>
                <w:rPr>
                  <w:rFonts w:ascii="Arial" w:cs="Arial" w:eastAsia="Arial" w:hAnsi="Arial"/>
                  <w:sz w:val="17"/>
                  <w:szCs w:val="17"/>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0" w:type="dxa"/>
            <w:vAlign w:val="bottom"/>
            <w:gridSpan w:val="4"/>
          </w:tcPr>
          <w:p>
            <w:pPr>
              <w:spacing w:after="0" w:line="188" w:lineRule="exact"/>
              <w:rPr>
                <w:rFonts w:ascii="Arial" w:cs="Arial" w:eastAsia="Arial" w:hAnsi="Arial"/>
                <w:sz w:val="17"/>
                <w:szCs w:val="17"/>
                <w:color w:val="0000EE"/>
                <w:w w:val="97"/>
              </w:rPr>
            </w:pPr>
            <w:hyperlink w:anchor="page36">
              <w:r>
                <w:rPr>
                  <w:rFonts w:ascii="Arial" w:cs="Arial" w:eastAsia="Arial" w:hAnsi="Arial"/>
                  <w:sz w:val="17"/>
                  <w:szCs w:val="17"/>
                  <w:color w:val="0000EE"/>
                  <w:w w:val="97"/>
                </w:rPr>
                <w:t>Item 7A.</w:t>
              </w:r>
            </w:hyperlink>
          </w:p>
        </w:tc>
        <w:tc>
          <w:tcPr>
            <w:tcW w:w="280" w:type="dxa"/>
            <w:vAlign w:val="bottom"/>
            <w:gridSpan w:val="2"/>
          </w:tcPr>
          <w:p>
            <w:pPr>
              <w:spacing w:after="0"/>
              <w:rPr>
                <w:sz w:val="16"/>
                <w:szCs w:val="16"/>
                <w:color w:val="auto"/>
              </w:rPr>
            </w:pPr>
          </w:p>
        </w:tc>
        <w:tc>
          <w:tcPr>
            <w:tcW w:w="8560" w:type="dxa"/>
            <w:vAlign w:val="bottom"/>
            <w:gridSpan w:val="18"/>
          </w:tcPr>
          <w:p>
            <w:pPr>
              <w:spacing w:after="0" w:line="188" w:lineRule="exact"/>
              <w:rPr>
                <w:rFonts w:ascii="Arial" w:cs="Arial" w:eastAsia="Arial" w:hAnsi="Arial"/>
                <w:sz w:val="17"/>
                <w:szCs w:val="17"/>
                <w:color w:val="0000EE"/>
              </w:rPr>
            </w:pPr>
            <w:hyperlink w:anchor="page36">
              <w:r>
                <w:rPr>
                  <w:rFonts w:ascii="Arial" w:cs="Arial" w:eastAsia="Arial" w:hAnsi="Arial"/>
                  <w:sz w:val="17"/>
                  <w:szCs w:val="17"/>
                  <w:color w:val="0000EE"/>
                </w:rPr>
                <w:t>Quantitative and Qualitative Disclosures About Market Risk</w:t>
              </w:r>
            </w:hyperlink>
          </w:p>
        </w:tc>
        <w:tc>
          <w:tcPr>
            <w:tcW w:w="0" w:type="dxa"/>
            <w:vAlign w:val="bottom"/>
          </w:tcPr>
          <w:p>
            <w:pPr>
              <w:spacing w:after="0"/>
              <w:rPr>
                <w:sz w:val="1"/>
                <w:szCs w:val="1"/>
                <w:color w:val="auto"/>
              </w:rPr>
            </w:pPr>
          </w:p>
        </w:tc>
      </w:tr>
      <w:tr>
        <w:trPr>
          <w:trHeight w:val="188"/>
        </w:trPr>
        <w:tc>
          <w:tcPr>
            <w:tcW w:w="540" w:type="dxa"/>
            <w:vAlign w:val="bottom"/>
            <w:tcBorders>
              <w:top w:val="single" w:sz="8" w:color="0000EE"/>
              <w:bottom w:val="single" w:sz="8" w:color="0000EE"/>
            </w:tcBorders>
          </w:tcPr>
          <w:p>
            <w:pPr>
              <w:spacing w:after="0" w:line="188" w:lineRule="exact"/>
              <w:rPr>
                <w:rFonts w:ascii="Arial" w:cs="Arial" w:eastAsia="Arial" w:hAnsi="Arial"/>
                <w:sz w:val="17"/>
                <w:szCs w:val="17"/>
                <w:color w:val="0000EE"/>
                <w:w w:val="99"/>
              </w:rPr>
            </w:pPr>
            <w:hyperlink w:anchor="page38">
              <w:r>
                <w:rPr>
                  <w:rFonts w:ascii="Arial" w:cs="Arial" w:eastAsia="Arial" w:hAnsi="Arial"/>
                  <w:sz w:val="17"/>
                  <w:szCs w:val="17"/>
                  <w:color w:val="0000EE"/>
                  <w:w w:val="99"/>
                </w:rPr>
                <w:t>Item 8.</w:t>
              </w:r>
            </w:hyperlink>
          </w:p>
        </w:tc>
        <w:tc>
          <w:tcPr>
            <w:tcW w:w="120" w:type="dxa"/>
            <w:vAlign w:val="bottom"/>
            <w:tcBorders>
              <w:top w:val="single" w:sz="8" w:color="0000EE"/>
            </w:tcBorders>
            <w:gridSpan w:val="3"/>
          </w:tcPr>
          <w:p>
            <w:pPr>
              <w:spacing w:after="0"/>
              <w:rPr>
                <w:sz w:val="16"/>
                <w:szCs w:val="16"/>
                <w:color w:val="auto"/>
              </w:rPr>
            </w:pPr>
          </w:p>
        </w:tc>
        <w:tc>
          <w:tcPr>
            <w:tcW w:w="280" w:type="dxa"/>
            <w:vAlign w:val="bottom"/>
            <w:gridSpan w:val="2"/>
          </w:tcPr>
          <w:p>
            <w:pPr>
              <w:spacing w:after="0"/>
              <w:rPr>
                <w:sz w:val="16"/>
                <w:szCs w:val="16"/>
                <w:color w:val="auto"/>
              </w:rPr>
            </w:pPr>
          </w:p>
        </w:tc>
        <w:tc>
          <w:tcPr>
            <w:tcW w:w="3580" w:type="dxa"/>
            <w:vAlign w:val="bottom"/>
            <w:tcBorders>
              <w:top w:val="single" w:sz="8" w:color="0000EE"/>
              <w:bottom w:val="single" w:sz="8" w:color="0000EE"/>
            </w:tcBorders>
            <w:gridSpan w:val="11"/>
          </w:tcPr>
          <w:p>
            <w:pPr>
              <w:spacing w:after="0" w:line="188" w:lineRule="exact"/>
              <w:rPr>
                <w:rFonts w:ascii="Arial" w:cs="Arial" w:eastAsia="Arial" w:hAnsi="Arial"/>
                <w:sz w:val="17"/>
                <w:szCs w:val="17"/>
                <w:color w:val="0000EE"/>
              </w:rPr>
            </w:pPr>
            <w:hyperlink w:anchor="page38">
              <w:r>
                <w:rPr>
                  <w:rFonts w:ascii="Arial" w:cs="Arial" w:eastAsia="Arial" w:hAnsi="Arial"/>
                  <w:sz w:val="17"/>
                  <w:szCs w:val="17"/>
                  <w:color w:val="0000EE"/>
                </w:rPr>
                <w:t>Financial Statements and Supplementary Data</w:t>
              </w:r>
            </w:hyperlink>
          </w:p>
        </w:tc>
        <w:tc>
          <w:tcPr>
            <w:tcW w:w="940" w:type="dxa"/>
            <w:vAlign w:val="bottom"/>
            <w:tcBorders>
              <w:top w:val="single" w:sz="8" w:color="0000EE"/>
            </w:tcBorders>
            <w:gridSpan w:val="2"/>
          </w:tcPr>
          <w:p>
            <w:pPr>
              <w:spacing w:after="0"/>
              <w:rPr>
                <w:sz w:val="16"/>
                <w:szCs w:val="16"/>
                <w:color w:val="auto"/>
              </w:rPr>
            </w:pPr>
          </w:p>
        </w:tc>
        <w:tc>
          <w:tcPr>
            <w:tcW w:w="40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 w:type="dxa"/>
            <w:vAlign w:val="bottom"/>
            <w:tcBorders>
              <w:bottom w:val="single" w:sz="8" w:color="0000EE"/>
            </w:tcBorders>
          </w:tcPr>
          <w:p>
            <w:pPr>
              <w:spacing w:after="0" w:line="188" w:lineRule="exact"/>
              <w:rPr>
                <w:rFonts w:ascii="Arial" w:cs="Arial" w:eastAsia="Arial" w:hAnsi="Arial"/>
                <w:sz w:val="17"/>
                <w:szCs w:val="17"/>
                <w:color w:val="0000EE"/>
                <w:w w:val="99"/>
              </w:rPr>
            </w:pPr>
            <w:hyperlink w:anchor="page38">
              <w:r>
                <w:rPr>
                  <w:rFonts w:ascii="Arial" w:cs="Arial" w:eastAsia="Arial" w:hAnsi="Arial"/>
                  <w:sz w:val="17"/>
                  <w:szCs w:val="17"/>
                  <w:color w:val="0000EE"/>
                  <w:w w:val="99"/>
                </w:rPr>
                <w:t>Item 9.</w:t>
              </w:r>
            </w:hyperlink>
          </w:p>
        </w:tc>
        <w:tc>
          <w:tcPr>
            <w:tcW w:w="400" w:type="dxa"/>
            <w:vAlign w:val="bottom"/>
            <w:gridSpan w:val="5"/>
          </w:tcPr>
          <w:p>
            <w:pPr>
              <w:spacing w:after="0"/>
              <w:rPr>
                <w:sz w:val="16"/>
                <w:szCs w:val="16"/>
                <w:color w:val="auto"/>
              </w:rPr>
            </w:pPr>
          </w:p>
        </w:tc>
        <w:tc>
          <w:tcPr>
            <w:tcW w:w="6860" w:type="dxa"/>
            <w:vAlign w:val="bottom"/>
            <w:tcBorders>
              <w:bottom w:val="single" w:sz="8" w:color="0000EE"/>
            </w:tcBorders>
            <w:gridSpan w:val="16"/>
          </w:tcPr>
          <w:p>
            <w:pPr>
              <w:spacing w:after="0" w:line="188" w:lineRule="exact"/>
              <w:rPr>
                <w:rFonts w:ascii="Arial" w:cs="Arial" w:eastAsia="Arial" w:hAnsi="Arial"/>
                <w:sz w:val="17"/>
                <w:szCs w:val="17"/>
                <w:color w:val="0000EE"/>
              </w:rPr>
            </w:pPr>
            <w:hyperlink w:anchor="page38">
              <w:r>
                <w:rPr>
                  <w:rFonts w:ascii="Arial" w:cs="Arial" w:eastAsia="Arial" w:hAnsi="Arial"/>
                  <w:sz w:val="17"/>
                  <w:szCs w:val="17"/>
                  <w:color w:val="0000EE"/>
                </w:rPr>
                <w:t>Changes in and Disagreements with Accountants on Accounting and Financial Disclosure</w:t>
              </w:r>
            </w:hyperlink>
          </w:p>
        </w:tc>
        <w:tc>
          <w:tcPr>
            <w:tcW w:w="17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Borders>
              <w:bottom w:val="single" w:sz="8" w:color="0000EE"/>
            </w:tcBorders>
            <w:gridSpan w:val="4"/>
          </w:tcPr>
          <w:p>
            <w:pPr>
              <w:spacing w:after="0" w:line="188" w:lineRule="exact"/>
              <w:rPr>
                <w:rFonts w:ascii="Arial" w:cs="Arial" w:eastAsia="Arial" w:hAnsi="Arial"/>
                <w:sz w:val="17"/>
                <w:szCs w:val="17"/>
                <w:color w:val="0000EE"/>
                <w:w w:val="97"/>
              </w:rPr>
            </w:pPr>
            <w:hyperlink w:anchor="page38">
              <w:r>
                <w:rPr>
                  <w:rFonts w:ascii="Arial" w:cs="Arial" w:eastAsia="Arial" w:hAnsi="Arial"/>
                  <w:sz w:val="17"/>
                  <w:szCs w:val="17"/>
                  <w:color w:val="0000EE"/>
                  <w:w w:val="97"/>
                </w:rPr>
                <w:t>Item 9A.</w:t>
              </w:r>
            </w:hyperlink>
          </w:p>
        </w:tc>
        <w:tc>
          <w:tcPr>
            <w:tcW w:w="280" w:type="dxa"/>
            <w:vAlign w:val="bottom"/>
            <w:gridSpan w:val="2"/>
          </w:tcPr>
          <w:p>
            <w:pPr>
              <w:spacing w:after="0"/>
              <w:rPr>
                <w:sz w:val="16"/>
                <w:szCs w:val="16"/>
                <w:color w:val="auto"/>
              </w:rPr>
            </w:pPr>
          </w:p>
        </w:tc>
        <w:tc>
          <w:tcPr>
            <w:tcW w:w="1920" w:type="dxa"/>
            <w:vAlign w:val="bottom"/>
            <w:tcBorders>
              <w:bottom w:val="single" w:sz="8" w:color="0000EE"/>
            </w:tcBorders>
            <w:gridSpan w:val="8"/>
          </w:tcPr>
          <w:p>
            <w:pPr>
              <w:spacing w:after="0" w:line="188" w:lineRule="exact"/>
              <w:rPr>
                <w:rFonts w:ascii="Arial" w:cs="Arial" w:eastAsia="Arial" w:hAnsi="Arial"/>
                <w:sz w:val="17"/>
                <w:szCs w:val="17"/>
                <w:color w:val="0000EE"/>
              </w:rPr>
            </w:pPr>
            <w:hyperlink w:anchor="page38">
              <w:r>
                <w:rPr>
                  <w:rFonts w:ascii="Arial" w:cs="Arial" w:eastAsia="Arial" w:hAnsi="Arial"/>
                  <w:sz w:val="17"/>
                  <w:szCs w:val="17"/>
                  <w:color w:val="0000EE"/>
                </w:rPr>
                <w:t>Controls and Procedures</w:t>
              </w:r>
            </w:hyperlink>
          </w:p>
        </w:tc>
        <w:tc>
          <w:tcPr>
            <w:tcW w:w="66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gridSpan w:val="4"/>
          </w:tcPr>
          <w:p>
            <w:pPr>
              <w:spacing w:after="0" w:line="188" w:lineRule="exact"/>
              <w:rPr>
                <w:rFonts w:ascii="Arial" w:cs="Arial" w:eastAsia="Arial" w:hAnsi="Arial"/>
                <w:sz w:val="17"/>
                <w:szCs w:val="17"/>
                <w:color w:val="0000EE"/>
                <w:w w:val="97"/>
              </w:rPr>
            </w:pPr>
            <w:hyperlink w:anchor="page39">
              <w:r>
                <w:rPr>
                  <w:rFonts w:ascii="Arial" w:cs="Arial" w:eastAsia="Arial" w:hAnsi="Arial"/>
                  <w:sz w:val="17"/>
                  <w:szCs w:val="17"/>
                  <w:color w:val="0000EE"/>
                  <w:w w:val="97"/>
                </w:rPr>
                <w:t>Item 9B.</w:t>
              </w:r>
            </w:hyperlink>
          </w:p>
        </w:tc>
        <w:tc>
          <w:tcPr>
            <w:tcW w:w="280" w:type="dxa"/>
            <w:vAlign w:val="bottom"/>
            <w:gridSpan w:val="2"/>
          </w:tcPr>
          <w:p>
            <w:pPr>
              <w:spacing w:after="0"/>
              <w:rPr>
                <w:sz w:val="16"/>
                <w:szCs w:val="16"/>
                <w:color w:val="auto"/>
              </w:rPr>
            </w:pPr>
          </w:p>
        </w:tc>
        <w:tc>
          <w:tcPr>
            <w:tcW w:w="8560" w:type="dxa"/>
            <w:vAlign w:val="bottom"/>
            <w:gridSpan w:val="18"/>
          </w:tcPr>
          <w:p>
            <w:pPr>
              <w:spacing w:after="0" w:line="188" w:lineRule="exact"/>
              <w:rPr>
                <w:rFonts w:ascii="Arial" w:cs="Arial" w:eastAsia="Arial" w:hAnsi="Arial"/>
                <w:sz w:val="17"/>
                <w:szCs w:val="17"/>
                <w:color w:val="0000EE"/>
              </w:rPr>
            </w:pPr>
            <w:hyperlink w:anchor="page39">
              <w:r>
                <w:rPr>
                  <w:rFonts w:ascii="Arial" w:cs="Arial" w:eastAsia="Arial" w:hAnsi="Arial"/>
                  <w:sz w:val="17"/>
                  <w:szCs w:val="17"/>
                  <w:color w:val="0000EE"/>
                </w:rPr>
                <w:t>Other Information</w:t>
              </w:r>
            </w:hyperlink>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940" w:type="dxa"/>
            <w:vAlign w:val="bottom"/>
            <w:gridSpan w:val="6"/>
          </w:tcPr>
          <w:p>
            <w:pPr>
              <w:spacing w:after="0"/>
              <w:rPr>
                <w:rFonts w:ascii="Arial" w:cs="Arial" w:eastAsia="Arial" w:hAnsi="Arial"/>
                <w:sz w:val="17"/>
                <w:szCs w:val="17"/>
                <w:b w:val="1"/>
                <w:bCs w:val="1"/>
                <w:color w:val="0000EE"/>
              </w:rPr>
            </w:pPr>
            <w:hyperlink w:anchor="page40">
              <w:r>
                <w:rPr>
                  <w:rFonts w:ascii="Arial" w:cs="Arial" w:eastAsia="Arial" w:hAnsi="Arial"/>
                  <w:sz w:val="17"/>
                  <w:szCs w:val="17"/>
                  <w:b w:val="1"/>
                  <w:bCs w:val="1"/>
                  <w:color w:val="0000EE"/>
                </w:rPr>
                <w:t>PART III.</w:t>
              </w:r>
            </w:hyperlink>
          </w:p>
        </w:tc>
        <w:tc>
          <w:tcPr>
            <w:tcW w:w="8560" w:type="dxa"/>
            <w:vAlign w:val="bottom"/>
            <w:gridSpan w:val="18"/>
            <w:vMerge w:val="restart"/>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Directors, Executive Officers and Corporate Governance</w:t>
              </w:r>
            </w:hyperlink>
          </w:p>
        </w:tc>
        <w:tc>
          <w:tcPr>
            <w:tcW w:w="0" w:type="dxa"/>
            <w:vAlign w:val="bottom"/>
          </w:tcPr>
          <w:p>
            <w:pPr>
              <w:spacing w:after="0"/>
              <w:rPr>
                <w:sz w:val="1"/>
                <w:szCs w:val="1"/>
                <w:color w:val="auto"/>
              </w:rPr>
            </w:pPr>
          </w:p>
        </w:tc>
      </w:tr>
      <w:tr>
        <w:trPr>
          <w:trHeight w:val="188"/>
        </w:trPr>
        <w:tc>
          <w:tcPr>
            <w:tcW w:w="640" w:type="dxa"/>
            <w:vAlign w:val="bottom"/>
            <w:tcBorders>
              <w:top w:val="single" w:sz="8" w:color="0000EE"/>
            </w:tcBorders>
            <w:gridSpan w:val="3"/>
          </w:tcPr>
          <w:p>
            <w:pPr>
              <w:spacing w:after="0" w:line="188" w:lineRule="exact"/>
              <w:rPr>
                <w:rFonts w:ascii="Arial" w:cs="Arial" w:eastAsia="Arial" w:hAnsi="Arial"/>
                <w:sz w:val="17"/>
                <w:szCs w:val="17"/>
                <w:color w:val="0000EE"/>
                <w:w w:val="97"/>
              </w:rPr>
            </w:pPr>
            <w:hyperlink w:anchor="page40">
              <w:r>
                <w:rPr>
                  <w:rFonts w:ascii="Arial" w:cs="Arial" w:eastAsia="Arial" w:hAnsi="Arial"/>
                  <w:sz w:val="17"/>
                  <w:szCs w:val="17"/>
                  <w:color w:val="0000EE"/>
                  <w:w w:val="97"/>
                </w:rPr>
                <w:t>Item 10.</w:t>
              </w:r>
            </w:hyperlink>
          </w:p>
        </w:tc>
        <w:tc>
          <w:tcPr>
            <w:tcW w:w="60" w:type="dxa"/>
            <w:vAlign w:val="bottom"/>
            <w:tcBorders>
              <w:top w:val="single" w:sz="8" w:color="0000EE"/>
            </w:tcBorders>
            <w:gridSpan w:val="2"/>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 w:type="dxa"/>
            <w:vAlign w:val="bottom"/>
            <w:tcBorders>
              <w:top w:val="single" w:sz="8" w:color="0000EE"/>
              <w:bottom w:val="single" w:sz="8" w:color="0000EE"/>
            </w:tcBorders>
            <w:gridSpan w:val="3"/>
          </w:tcPr>
          <w:p>
            <w:pPr>
              <w:spacing w:after="0" w:line="188" w:lineRule="exact"/>
              <w:rPr>
                <w:rFonts w:ascii="Arial" w:cs="Arial" w:eastAsia="Arial" w:hAnsi="Arial"/>
                <w:sz w:val="17"/>
                <w:szCs w:val="17"/>
                <w:color w:val="0000EE"/>
                <w:w w:val="97"/>
              </w:rPr>
            </w:pPr>
            <w:hyperlink w:anchor="page40">
              <w:r>
                <w:rPr>
                  <w:rFonts w:ascii="Arial" w:cs="Arial" w:eastAsia="Arial" w:hAnsi="Arial"/>
                  <w:sz w:val="17"/>
                  <w:szCs w:val="17"/>
                  <w:color w:val="0000EE"/>
                  <w:w w:val="97"/>
                </w:rPr>
                <w:t>Item 11.</w:t>
              </w:r>
            </w:hyperlink>
          </w:p>
        </w:tc>
        <w:tc>
          <w:tcPr>
            <w:tcW w:w="300" w:type="dxa"/>
            <w:vAlign w:val="bottom"/>
            <w:gridSpan w:val="3"/>
          </w:tcPr>
          <w:p>
            <w:pPr>
              <w:spacing w:after="0"/>
              <w:rPr>
                <w:sz w:val="16"/>
                <w:szCs w:val="16"/>
                <w:color w:val="auto"/>
              </w:rPr>
            </w:pPr>
          </w:p>
        </w:tc>
        <w:tc>
          <w:tcPr>
            <w:tcW w:w="1920" w:type="dxa"/>
            <w:vAlign w:val="bottom"/>
            <w:tcBorders>
              <w:top w:val="single" w:sz="8" w:color="0000EE"/>
              <w:bottom w:val="single" w:sz="8" w:color="0000EE"/>
            </w:tcBorders>
            <w:gridSpan w:val="8"/>
          </w:tcPr>
          <w:p>
            <w:pPr>
              <w:spacing w:after="0" w:line="188" w:lineRule="exact"/>
              <w:rPr>
                <w:rFonts w:ascii="Arial" w:cs="Arial" w:eastAsia="Arial" w:hAnsi="Arial"/>
                <w:sz w:val="17"/>
                <w:szCs w:val="17"/>
                <w:color w:val="0000EE"/>
              </w:rPr>
            </w:pPr>
            <w:hyperlink w:anchor="page40">
              <w:r>
                <w:rPr>
                  <w:rFonts w:ascii="Arial" w:cs="Arial" w:eastAsia="Arial" w:hAnsi="Arial"/>
                  <w:sz w:val="17"/>
                  <w:szCs w:val="17"/>
                  <w:color w:val="0000EE"/>
                </w:rPr>
                <w:t>Executive Compensation</w:t>
              </w:r>
            </w:hyperlink>
          </w:p>
        </w:tc>
        <w:tc>
          <w:tcPr>
            <w:tcW w:w="2400" w:type="dxa"/>
            <w:vAlign w:val="bottom"/>
            <w:tcBorders>
              <w:top w:val="single" w:sz="8" w:color="0000EE"/>
            </w:tcBorders>
            <w:gridSpan w:val="4"/>
          </w:tcPr>
          <w:p>
            <w:pPr>
              <w:spacing w:after="0"/>
              <w:rPr>
                <w:sz w:val="16"/>
                <w:szCs w:val="16"/>
                <w:color w:val="auto"/>
              </w:rPr>
            </w:pPr>
          </w:p>
        </w:tc>
        <w:tc>
          <w:tcPr>
            <w:tcW w:w="42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 w:type="dxa"/>
            <w:vAlign w:val="bottom"/>
            <w:tcBorders>
              <w:bottom w:val="single" w:sz="8" w:color="0000EE"/>
            </w:tcBorders>
            <w:gridSpan w:val="3"/>
          </w:tcPr>
          <w:p>
            <w:pPr>
              <w:spacing w:after="0" w:line="188" w:lineRule="exact"/>
              <w:rPr>
                <w:rFonts w:ascii="Arial" w:cs="Arial" w:eastAsia="Arial" w:hAnsi="Arial"/>
                <w:sz w:val="17"/>
                <w:szCs w:val="17"/>
                <w:color w:val="0000EE"/>
                <w:w w:val="97"/>
              </w:rPr>
            </w:pPr>
            <w:hyperlink w:anchor="page40">
              <w:r>
                <w:rPr>
                  <w:rFonts w:ascii="Arial" w:cs="Arial" w:eastAsia="Arial" w:hAnsi="Arial"/>
                  <w:sz w:val="17"/>
                  <w:szCs w:val="17"/>
                  <w:color w:val="0000EE"/>
                  <w:w w:val="97"/>
                </w:rPr>
                <w:t>Item 12.</w:t>
              </w:r>
            </w:hyperlink>
          </w:p>
        </w:tc>
        <w:tc>
          <w:tcPr>
            <w:tcW w:w="300" w:type="dxa"/>
            <w:vAlign w:val="bottom"/>
            <w:gridSpan w:val="3"/>
          </w:tcPr>
          <w:p>
            <w:pPr>
              <w:spacing w:after="0"/>
              <w:rPr>
                <w:sz w:val="16"/>
                <w:szCs w:val="16"/>
                <w:color w:val="auto"/>
              </w:rPr>
            </w:pPr>
          </w:p>
        </w:tc>
        <w:tc>
          <w:tcPr>
            <w:tcW w:w="7740" w:type="dxa"/>
            <w:vAlign w:val="bottom"/>
            <w:tcBorders>
              <w:bottom w:val="single" w:sz="8" w:color="0000EE"/>
            </w:tcBorders>
            <w:gridSpan w:val="17"/>
          </w:tcPr>
          <w:p>
            <w:pPr>
              <w:spacing w:after="0" w:line="188" w:lineRule="exact"/>
              <w:rPr>
                <w:rFonts w:ascii="Arial" w:cs="Arial" w:eastAsia="Arial" w:hAnsi="Arial"/>
                <w:sz w:val="17"/>
                <w:szCs w:val="17"/>
                <w:color w:val="0000EE"/>
              </w:rPr>
            </w:pPr>
            <w:hyperlink w:anchor="page40">
              <w:r>
                <w:rPr>
                  <w:rFonts w:ascii="Arial" w:cs="Arial" w:eastAsia="Arial" w:hAnsi="Arial"/>
                  <w:sz w:val="17"/>
                  <w:szCs w:val="17"/>
                  <w:color w:val="0000EE"/>
                </w:rPr>
                <w:t>Security Ownership of Certain Beneficial Owners and Management and Related Shareholder Matters</w:t>
              </w:r>
            </w:hyperlink>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 w:type="dxa"/>
            <w:vAlign w:val="bottom"/>
            <w:gridSpan w:val="3"/>
          </w:tcPr>
          <w:p>
            <w:pPr>
              <w:spacing w:after="0" w:line="188" w:lineRule="exact"/>
              <w:rPr>
                <w:rFonts w:ascii="Arial" w:cs="Arial" w:eastAsia="Arial" w:hAnsi="Arial"/>
                <w:sz w:val="17"/>
                <w:szCs w:val="17"/>
                <w:color w:val="0000EE"/>
                <w:w w:val="97"/>
              </w:rPr>
            </w:pPr>
            <w:hyperlink w:anchor="page40">
              <w:r>
                <w:rPr>
                  <w:rFonts w:ascii="Arial" w:cs="Arial" w:eastAsia="Arial" w:hAnsi="Arial"/>
                  <w:sz w:val="17"/>
                  <w:szCs w:val="17"/>
                  <w:color w:val="0000EE"/>
                  <w:w w:val="97"/>
                </w:rPr>
                <w:t>Item 13.</w:t>
              </w:r>
            </w:hyperlink>
          </w:p>
        </w:tc>
        <w:tc>
          <w:tcPr>
            <w:tcW w:w="300" w:type="dxa"/>
            <w:vAlign w:val="bottom"/>
            <w:gridSpan w:val="3"/>
          </w:tcPr>
          <w:p>
            <w:pPr>
              <w:spacing w:after="0"/>
              <w:rPr>
                <w:sz w:val="16"/>
                <w:szCs w:val="16"/>
                <w:color w:val="auto"/>
              </w:rPr>
            </w:pPr>
          </w:p>
        </w:tc>
        <w:tc>
          <w:tcPr>
            <w:tcW w:w="8560" w:type="dxa"/>
            <w:vAlign w:val="bottom"/>
            <w:gridSpan w:val="18"/>
          </w:tcPr>
          <w:p>
            <w:pPr>
              <w:spacing w:after="0" w:line="188" w:lineRule="exact"/>
              <w:rPr>
                <w:rFonts w:ascii="Arial" w:cs="Arial" w:eastAsia="Arial" w:hAnsi="Arial"/>
                <w:sz w:val="17"/>
                <w:szCs w:val="17"/>
                <w:color w:val="0000EE"/>
              </w:rPr>
            </w:pPr>
            <w:hyperlink w:anchor="page40">
              <w:r>
                <w:rPr>
                  <w:rFonts w:ascii="Arial" w:cs="Arial" w:eastAsia="Arial" w:hAnsi="Arial"/>
                  <w:sz w:val="17"/>
                  <w:szCs w:val="17"/>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188"/>
        </w:trPr>
        <w:tc>
          <w:tcPr>
            <w:tcW w:w="640" w:type="dxa"/>
            <w:vAlign w:val="bottom"/>
            <w:tcBorders>
              <w:top w:val="single" w:sz="8" w:color="0000EE"/>
            </w:tcBorders>
            <w:gridSpan w:val="3"/>
          </w:tcPr>
          <w:p>
            <w:pPr>
              <w:spacing w:after="0" w:line="188" w:lineRule="exact"/>
              <w:rPr>
                <w:rFonts w:ascii="Arial" w:cs="Arial" w:eastAsia="Arial" w:hAnsi="Arial"/>
                <w:sz w:val="17"/>
                <w:szCs w:val="17"/>
                <w:color w:val="0000EE"/>
                <w:w w:val="97"/>
              </w:rPr>
            </w:pPr>
            <w:hyperlink w:anchor="page40">
              <w:r>
                <w:rPr>
                  <w:rFonts w:ascii="Arial" w:cs="Arial" w:eastAsia="Arial" w:hAnsi="Arial"/>
                  <w:sz w:val="17"/>
                  <w:szCs w:val="17"/>
                  <w:color w:val="0000EE"/>
                  <w:w w:val="97"/>
                </w:rPr>
                <w:t>Item 14.</w:t>
              </w:r>
            </w:hyperlink>
          </w:p>
        </w:tc>
        <w:tc>
          <w:tcPr>
            <w:tcW w:w="300" w:type="dxa"/>
            <w:vAlign w:val="bottom"/>
            <w:gridSpan w:val="3"/>
          </w:tcPr>
          <w:p>
            <w:pPr>
              <w:spacing w:after="0"/>
              <w:rPr>
                <w:sz w:val="16"/>
                <w:szCs w:val="16"/>
                <w:color w:val="auto"/>
              </w:rPr>
            </w:pPr>
          </w:p>
        </w:tc>
        <w:tc>
          <w:tcPr>
            <w:tcW w:w="5840" w:type="dxa"/>
            <w:vAlign w:val="bottom"/>
            <w:tcBorders>
              <w:top w:val="single" w:sz="8" w:color="0000EE"/>
            </w:tcBorders>
            <w:gridSpan w:val="14"/>
          </w:tcPr>
          <w:p>
            <w:pPr>
              <w:spacing w:after="0" w:line="188" w:lineRule="exact"/>
              <w:rPr>
                <w:rFonts w:ascii="Arial" w:cs="Arial" w:eastAsia="Arial" w:hAnsi="Arial"/>
                <w:sz w:val="17"/>
                <w:szCs w:val="17"/>
                <w:color w:val="0000EE"/>
              </w:rPr>
            </w:pPr>
            <w:hyperlink w:anchor="page40">
              <w:r>
                <w:rPr>
                  <w:rFonts w:ascii="Arial" w:cs="Arial" w:eastAsia="Arial" w:hAnsi="Arial"/>
                  <w:sz w:val="17"/>
                  <w:szCs w:val="17"/>
                  <w:color w:val="0000EE"/>
                </w:rPr>
                <w:t>Principal Accounting Fees and Services</w:t>
              </w:r>
            </w:hyperlink>
          </w:p>
        </w:tc>
        <w:tc>
          <w:tcPr>
            <w:tcW w:w="27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940" w:type="dxa"/>
            <w:vAlign w:val="bottom"/>
            <w:gridSpan w:val="6"/>
          </w:tcPr>
          <w:p>
            <w:pPr>
              <w:spacing w:after="0"/>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PART IV.</w:t>
              </w:r>
            </w:hyperlink>
          </w:p>
        </w:tc>
        <w:tc>
          <w:tcPr>
            <w:tcW w:w="8560" w:type="dxa"/>
            <w:vAlign w:val="bottom"/>
            <w:gridSpan w:val="18"/>
            <w:vMerge w:val="restart"/>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Exhibits, Financial Statement Schedules</w:t>
              </w:r>
            </w:hyperlink>
          </w:p>
        </w:tc>
        <w:tc>
          <w:tcPr>
            <w:tcW w:w="0" w:type="dxa"/>
            <w:vAlign w:val="bottom"/>
          </w:tcPr>
          <w:p>
            <w:pPr>
              <w:spacing w:after="0"/>
              <w:rPr>
                <w:sz w:val="1"/>
                <w:szCs w:val="1"/>
                <w:color w:val="auto"/>
              </w:rPr>
            </w:pPr>
          </w:p>
        </w:tc>
      </w:tr>
      <w:tr>
        <w:trPr>
          <w:trHeight w:val="188"/>
        </w:trPr>
        <w:tc>
          <w:tcPr>
            <w:tcW w:w="640" w:type="dxa"/>
            <w:vAlign w:val="bottom"/>
            <w:tcBorders>
              <w:top w:val="single" w:sz="8" w:color="0000EE"/>
            </w:tcBorders>
            <w:gridSpan w:val="3"/>
          </w:tcPr>
          <w:p>
            <w:pPr>
              <w:spacing w:after="0" w:line="188" w:lineRule="exact"/>
              <w:rPr>
                <w:rFonts w:ascii="Arial" w:cs="Arial" w:eastAsia="Arial" w:hAnsi="Arial"/>
                <w:sz w:val="17"/>
                <w:szCs w:val="17"/>
                <w:color w:val="0000EE"/>
                <w:w w:val="97"/>
              </w:rPr>
            </w:pPr>
            <w:hyperlink w:anchor="page41">
              <w:r>
                <w:rPr>
                  <w:rFonts w:ascii="Arial" w:cs="Arial" w:eastAsia="Arial" w:hAnsi="Arial"/>
                  <w:sz w:val="17"/>
                  <w:szCs w:val="17"/>
                  <w:color w:val="0000EE"/>
                  <w:w w:val="97"/>
                </w:rPr>
                <w:t>Item 15.</w:t>
              </w:r>
            </w:hyperlink>
          </w:p>
        </w:tc>
        <w:tc>
          <w:tcPr>
            <w:tcW w:w="60" w:type="dxa"/>
            <w:vAlign w:val="bottom"/>
            <w:tcBorders>
              <w:top w:val="single" w:sz="8" w:color="0000EE"/>
            </w:tcBorders>
            <w:gridSpan w:val="2"/>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84">
        <w:r>
          <w:rPr>
            <w:rFonts w:ascii="Arial" w:cs="Arial" w:eastAsia="Arial" w:hAnsi="Arial"/>
            <w:sz w:val="17"/>
            <w:szCs w:val="17"/>
            <w:b w:val="1"/>
            <w:bCs w:val="1"/>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546735</wp:posOffset>
            </wp:positionV>
            <wp:extent cx="6502400" cy="50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Page</w:t>
      </w:r>
    </w:p>
    <w:p>
      <w:pPr>
        <w:spacing w:after="0" w:line="233"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5</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15</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16</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17</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18</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19</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22</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23</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34</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36</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36</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36</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37</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38</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38</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38</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38</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38</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39</w:t>
      </w:r>
    </w:p>
    <w:p>
      <w:pPr>
        <w:sectPr>
          <w:pgSz w:w="11900" w:h="16838" w:orient="portrait"/>
          <w:cols w:equalWidth="0" w:num="2">
            <w:col w:w="9500" w:space="280"/>
            <w:col w:w="400"/>
          </w:cols>
          <w:pgMar w:left="860" w:top="121" w:right="859" w:bottom="1440" w:gutter="0" w:footer="0" w:header="0"/>
        </w:sectPr>
      </w:pPr>
    </w:p>
    <w:bookmarkStart w:id="2" w:name="page3"/>
    <w:bookmarkEnd w:id="2"/>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(“2014 10</w:t>
      </w:r>
      <w:r>
        <w:rPr>
          <w:rFonts w:ascii="MS PGothic" w:cs="MS PGothic" w:eastAsia="MS PGothic" w:hAnsi="MS PGothic"/>
          <w:sz w:val="17"/>
          <w:szCs w:val="17"/>
          <w:color w:val="auto"/>
        </w:rPr>
        <w:t>‑</w:t>
      </w:r>
      <w:r>
        <w:rPr>
          <w:rFonts w:ascii="Arial" w:cs="Arial" w:eastAsia="Arial" w:hAnsi="Arial"/>
          <w:sz w:val="17"/>
          <w:szCs w:val="17"/>
          <w:color w:val="auto"/>
        </w:rPr>
        <w:t>K Report”) as “World Fuel,” “we,” “our” and “us.”</w:t>
      </w:r>
    </w:p>
    <w:p>
      <w:pPr>
        <w:spacing w:after="0" w:line="155"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We are a global fuel logistics, transaction management and payment processing company, principally engaged in the distribution of fuel and related products and services in the aviation, marine and land transportation industries. We compete by providing our customers with value</w:t>
      </w:r>
      <w:r>
        <w:rPr>
          <w:rFonts w:ascii="MS PGothic" w:cs="MS PGothic" w:eastAsia="MS PGothic" w:hAnsi="MS PGothic"/>
          <w:sz w:val="17"/>
          <w:szCs w:val="17"/>
          <w:color w:val="auto"/>
        </w:rPr>
        <w:t>‑</w:t>
      </w:r>
      <w:r>
        <w:rPr>
          <w:rFonts w:ascii="Arial" w:cs="Arial" w:eastAsia="Arial" w:hAnsi="Arial"/>
          <w:sz w:val="17"/>
          <w:szCs w:val="17"/>
          <w:color w:val="auto"/>
        </w:rPr>
        <w:t>added benefits, including single</w:t>
      </w:r>
      <w:r>
        <w:rPr>
          <w:rFonts w:ascii="MS PGothic" w:cs="MS PGothic" w:eastAsia="MS PGothic" w:hAnsi="MS PGothic"/>
          <w:sz w:val="17"/>
          <w:szCs w:val="17"/>
          <w:color w:val="auto"/>
        </w:rPr>
        <w:t>‑</w:t>
      </w:r>
      <w:r>
        <w:rPr>
          <w:rFonts w:ascii="Arial" w:cs="Arial" w:eastAsia="Arial" w:hAnsi="Arial"/>
          <w:sz w:val="17"/>
          <w:szCs w:val="17"/>
          <w:color w:val="auto"/>
        </w:rPr>
        <w:t>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In our aviation segment, we offer fuel and related products and services to major commercial airlines, second and third</w:t>
      </w:r>
      <w:r>
        <w:rPr>
          <w:rFonts w:ascii="MS PGothic" w:cs="MS PGothic" w:eastAsia="MS PGothic" w:hAnsi="MS PGothic"/>
          <w:sz w:val="17"/>
          <w:szCs w:val="17"/>
          <w:color w:val="auto"/>
        </w:rPr>
        <w:t>‑</w:t>
      </w:r>
      <w:r>
        <w:rPr>
          <w:rFonts w:ascii="Arial" w:cs="Arial" w:eastAsia="Arial" w:hAnsi="Arial"/>
          <w:sz w:val="17"/>
          <w:szCs w:val="17"/>
          <w:color w:val="auto"/>
        </w:rPr>
        <w:t>tier airlines, cargo carriers, regional and low cost carriers, airports, fixed based operators, corporate fleets, fractional operators, private aircraft, military fleets and to the United States (“U.S.”) and foreign governments. In our marine segment, we offer fuel, lubricants and related products and services to a broad base of marine customers, including international container and tanker fleets, commercial cruise lines, yachts and time</w:t>
      </w:r>
      <w:r>
        <w:rPr>
          <w:rFonts w:ascii="MS PGothic" w:cs="MS PGothic" w:eastAsia="MS PGothic" w:hAnsi="MS PGothic"/>
          <w:sz w:val="17"/>
          <w:szCs w:val="17"/>
          <w:color w:val="auto"/>
        </w:rPr>
        <w:t>‑</w:t>
      </w:r>
      <w:r>
        <w:rPr>
          <w:rFonts w:ascii="Arial" w:cs="Arial" w:eastAsia="Arial" w:hAnsi="Arial"/>
          <w:sz w:val="17"/>
          <w:szCs w:val="17"/>
          <w:color w:val="auto"/>
        </w:rPr>
        <w:t>charter operators, the U.S. and foreign governments, as well as other fuel suppliers. In our land segment, we offer fuel, lubricants and related products and services to petroleum distributors operating in the land transportation market, retail petroleum operators, and industrial, commercial, residential and government customers, as well as engage in crude oil marketing activities. In addition, we offer transaction management services which consist of card payment solutions and merchant processing services to customers in the aviation, marine and land transportation industries.</w:t>
      </w:r>
    </w:p>
    <w:p>
      <w:pPr>
        <w:spacing w:after="0" w:line="171"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We have offices throughout the United States and in various foreign jurisdictions, including: the United Kingdom, Denmark, Norway, Sweden, the Netherlands, Germany, Greece, the United Arab Emirates, Russia, Taiwan, South Korea, Singapore, Japan, Hong Kong, Costa Rica, Brazil, Chile, Argentina, Mexico, Colombia, Puerto Rico, Canada, South Africa, Gibraltar, India and Australia. See “Item 2 – Properties” for a list of principal offices by business segment and “Exhibit 21.1 – Subsidiaries of the Registrant” included in this 2014 10</w:t>
      </w:r>
      <w:r>
        <w:rPr>
          <w:rFonts w:ascii="MS PGothic" w:cs="MS PGothic" w:eastAsia="MS PGothic" w:hAnsi="MS PGothic"/>
          <w:sz w:val="17"/>
          <w:szCs w:val="17"/>
          <w:color w:val="auto"/>
        </w:rPr>
        <w:t>‑</w:t>
      </w:r>
      <w:r>
        <w:rPr>
          <w:rFonts w:ascii="Arial" w:cs="Arial" w:eastAsia="Arial" w:hAnsi="Arial"/>
          <w:sz w:val="17"/>
          <w:szCs w:val="17"/>
          <w:color w:val="auto"/>
        </w:rPr>
        <w:t>K Report for a list of our subsidiaries.</w:t>
      </w:r>
    </w:p>
    <w:p>
      <w:pPr>
        <w:spacing w:after="0" w:line="155" w:lineRule="exact"/>
        <w:rPr>
          <w:sz w:val="20"/>
          <w:szCs w:val="20"/>
          <w:color w:val="auto"/>
        </w:rPr>
      </w:pPr>
    </w:p>
    <w:p>
      <w:pPr>
        <w:jc w:val="both"/>
        <w:spacing w:after="0" w:line="222" w:lineRule="exact"/>
        <w:rPr>
          <w:sz w:val="20"/>
          <w:szCs w:val="20"/>
          <w:color w:val="auto"/>
        </w:rPr>
      </w:pPr>
      <w:r>
        <w:rPr>
          <w:rFonts w:ascii="Arial" w:cs="Arial" w:eastAsia="Arial" w:hAnsi="Arial"/>
          <w:sz w:val="17"/>
          <w:szCs w:val="17"/>
          <w:color w:val="auto"/>
        </w:rPr>
        <w:t>Financial information with respect to our business segments and the geographic areas of our business is provided in Note 11 to the accompanying consolidated financial statements included in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154" w:lineRule="exact"/>
        <w:rPr>
          <w:sz w:val="20"/>
          <w:szCs w:val="20"/>
          <w:color w:val="auto"/>
        </w:rPr>
      </w:pPr>
    </w:p>
    <w:p>
      <w:pPr>
        <w:jc w:val="both"/>
        <w:spacing w:after="0" w:line="199" w:lineRule="exact"/>
        <w:rPr>
          <w:sz w:val="20"/>
          <w:szCs w:val="20"/>
          <w:color w:val="auto"/>
        </w:rPr>
      </w:pPr>
      <w:r>
        <w:rPr>
          <w:rFonts w:ascii="Arial" w:cs="Arial" w:eastAsia="Arial" w:hAnsi="Arial"/>
          <w:sz w:val="17"/>
          <w:szCs w:val="17"/>
          <w:color w:val="auto"/>
        </w:rPr>
        <w:t>Our principal executive office is located at 9800 Northwest 41</w:t>
      </w:r>
      <w:r>
        <w:rPr>
          <w:rFonts w:ascii="Arial" w:cs="Arial" w:eastAsia="Arial" w:hAnsi="Arial"/>
          <w:sz w:val="8"/>
          <w:szCs w:val="8"/>
          <w:color w:val="auto"/>
        </w:rPr>
        <w:t>st</w:t>
      </w:r>
      <w:r>
        <w:rPr>
          <w:rFonts w:ascii="Arial" w:cs="Arial" w:eastAsia="Arial" w:hAnsi="Arial"/>
          <w:sz w:val="17"/>
          <w:szCs w:val="17"/>
          <w:color w:val="auto"/>
        </w:rPr>
        <w:t xml:space="preserve"> Street, Suite 400, Miami, Florida 33178 and our telephone number at this address is 305</w:t>
      </w:r>
      <w:r>
        <w:rPr>
          <w:rFonts w:ascii="MS PGothic" w:cs="MS PGothic" w:eastAsia="MS PGothic" w:hAnsi="MS PGothic"/>
          <w:sz w:val="17"/>
          <w:szCs w:val="17"/>
          <w:color w:val="auto"/>
        </w:rPr>
        <w:t>‑</w:t>
      </w:r>
      <w:r>
        <w:rPr>
          <w:rFonts w:ascii="Arial" w:cs="Arial" w:eastAsia="Arial" w:hAnsi="Arial"/>
          <w:sz w:val="17"/>
          <w:szCs w:val="17"/>
          <w:color w:val="auto"/>
        </w:rPr>
        <w:t>428</w:t>
      </w:r>
      <w:r>
        <w:rPr>
          <w:rFonts w:ascii="MS PGothic" w:cs="MS PGothic" w:eastAsia="MS PGothic" w:hAnsi="MS PGothic"/>
          <w:sz w:val="17"/>
          <w:szCs w:val="17"/>
          <w:color w:val="auto"/>
        </w:rPr>
        <w:t>‑</w:t>
      </w:r>
      <w:r>
        <w:rPr>
          <w:rFonts w:ascii="Arial" w:cs="Arial" w:eastAsia="Arial" w:hAnsi="Arial"/>
          <w:sz w:val="17"/>
          <w:szCs w:val="17"/>
          <w:color w:val="auto"/>
        </w:rPr>
        <w:t>8000. Our internet address is http://www.wfscorp.com and the investor relations section of our website is located at http://ir.wfscorp.com. We make available free of charge, on or through the investor relations section of our website, our Annual Reports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 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Corporate Conduct and Ethics (“Code of Conduct”), Board of Directors’ committee charters and Corporate Governance Principles. Our internet website and information contained on our internet website are not part of this 2014 10</w:t>
      </w:r>
      <w:r>
        <w:rPr>
          <w:rFonts w:ascii="MS PGothic" w:cs="MS PGothic" w:eastAsia="MS PGothic" w:hAnsi="MS PGothic"/>
          <w:sz w:val="17"/>
          <w:szCs w:val="17"/>
          <w:color w:val="auto"/>
        </w:rPr>
        <w:t>‑</w:t>
      </w:r>
      <w:r>
        <w:rPr>
          <w:rFonts w:ascii="Arial" w:cs="Arial" w:eastAsia="Arial" w:hAnsi="Arial"/>
          <w:sz w:val="17"/>
          <w:szCs w:val="17"/>
          <w:color w:val="auto"/>
        </w:rPr>
        <w:t>K Report and are not incorporated by reference in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Aviation Segment</w:t>
      </w:r>
    </w:p>
    <w:p>
      <w:pPr>
        <w:spacing w:after="0" w:line="19" w:lineRule="exact"/>
        <w:rPr>
          <w:sz w:val="20"/>
          <w:szCs w:val="20"/>
          <w:color w:val="auto"/>
        </w:rPr>
      </w:pPr>
    </w:p>
    <w:p>
      <w:pPr>
        <w:jc w:val="both"/>
        <w:spacing w:after="0" w:line="197" w:lineRule="exact"/>
        <w:rPr>
          <w:sz w:val="20"/>
          <w:szCs w:val="20"/>
          <w:color w:val="auto"/>
        </w:rPr>
      </w:pPr>
      <w:r>
        <w:rPr>
          <w:rFonts w:ascii="Arial" w:cs="Arial" w:eastAsia="Arial" w:hAnsi="Arial"/>
          <w:sz w:val="17"/>
          <w:szCs w:val="17"/>
          <w:color w:val="auto"/>
        </w:rPr>
        <w:t>We market fuel and related products and services to major commercial airlines, second and third</w:t>
      </w:r>
      <w:r>
        <w:rPr>
          <w:rFonts w:ascii="MS PGothic" w:cs="MS PGothic" w:eastAsia="MS PGothic" w:hAnsi="MS PGothic"/>
          <w:sz w:val="17"/>
          <w:szCs w:val="17"/>
          <w:color w:val="auto"/>
        </w:rPr>
        <w:t>‑</w:t>
      </w:r>
      <w:r>
        <w:rPr>
          <w:rFonts w:ascii="Arial" w:cs="Arial" w:eastAsia="Arial" w:hAnsi="Arial"/>
          <w:sz w:val="17"/>
          <w:szCs w:val="17"/>
          <w:color w:val="auto"/>
        </w:rPr>
        <w:t>tier airlines, cargo carriers, regional and low</w:t>
      </w:r>
      <w:r>
        <w:rPr>
          <w:rFonts w:ascii="MS PGothic" w:cs="MS PGothic" w:eastAsia="MS PGothic" w:hAnsi="MS PGothic"/>
          <w:sz w:val="17"/>
          <w:szCs w:val="17"/>
          <w:color w:val="auto"/>
        </w:rPr>
        <w:t>‑</w:t>
      </w:r>
      <w:r>
        <w:rPr>
          <w:rFonts w:ascii="Arial" w:cs="Arial" w:eastAsia="Arial" w:hAnsi="Arial"/>
          <w:sz w:val="17"/>
          <w:szCs w:val="17"/>
          <w:color w:val="auto"/>
        </w:rPr>
        <w:t>cost carriers, airports, fixed based operators, corporate fleets, fractional operators, private aircraft, military fleets and to the U.S. and foreign governments. Our aviation</w:t>
      </w:r>
      <w:r>
        <w:rPr>
          <w:rFonts w:ascii="MS PGothic" w:cs="MS PGothic" w:eastAsia="MS PGothic" w:hAnsi="MS PGothic"/>
          <w:sz w:val="17"/>
          <w:szCs w:val="17"/>
          <w:color w:val="auto"/>
        </w:rPr>
        <w:t>‑</w:t>
      </w:r>
      <w:r>
        <w:rPr>
          <w:rFonts w:ascii="Arial" w:cs="Arial" w:eastAsia="Arial" w:hAnsi="Arial"/>
          <w:sz w:val="17"/>
          <w:szCs w:val="17"/>
          <w:color w:val="auto"/>
        </w:rPr>
        <w:t>related services include fuel management, price risk management, arranging ground handling, providing 24/7 global dispatch services, arranging air charter and arranging and providing international trip planning, including flight plans, weather reports and overflight permits. In addition, we offer card payment solutions and related processing services. Because fuel is a major component of an aircraft’s operating costs, our customers require cost effective and professional fuel services. We have developed an extensive network of third</w:t>
      </w:r>
      <w:r>
        <w:rPr>
          <w:rFonts w:ascii="MS PGothic" w:cs="MS PGothic" w:eastAsia="MS PGothic" w:hAnsi="MS PGothic"/>
          <w:sz w:val="17"/>
          <w:szCs w:val="17"/>
          <w:color w:val="auto"/>
        </w:rPr>
        <w:t>‑</w:t>
      </w:r>
      <w:r>
        <w:rPr>
          <w:rFonts w:ascii="Arial" w:cs="Arial" w:eastAsia="Arial" w:hAnsi="Arial"/>
          <w:sz w:val="17"/>
          <w:szCs w:val="17"/>
          <w:color w:val="auto"/>
        </w:rPr>
        <w:t xml:space="preserve"> party suppliers and service providers that enables us to provide aviation fuel and related services throughout the world. We believe the breadth of our service offering combined with our global supplier network is a strategic differentiator that allows customers to secure fuel and high</w:t>
      </w:r>
      <w:r>
        <w:rPr>
          <w:rFonts w:ascii="MS PGothic" w:cs="MS PGothic" w:eastAsia="MS PGothic" w:hAnsi="MS PGothic"/>
          <w:sz w:val="17"/>
          <w:szCs w:val="17"/>
          <w:color w:val="auto"/>
        </w:rPr>
        <w:t>‑</w:t>
      </w:r>
      <w:r>
        <w:rPr>
          <w:rFonts w:ascii="Arial" w:cs="Arial" w:eastAsia="Arial" w:hAnsi="Arial"/>
          <w:sz w:val="17"/>
          <w:szCs w:val="17"/>
          <w:color w:val="auto"/>
        </w:rPr>
        <w:t>quality services in any location worldwide on short notice.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 w:name="page4"/>
    <w:bookmarkEnd w:id="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We purchase our aviation fuel from suppliers worldwide, which is then typically delivered into our customers’ aircraft or designated storage directly from our suppliers pursuant to arrangements with them or from our fuel inventory pursuant to contracts with various third parties. Inventory is purchased at airport locations or shipped via pipelines and held at multiple locations for strategic reasons. We typically hedge inventory in an effort to protect us against price risk. We also engage in both contract sales, which are sales made pursuant to fuel purchase contracts with customers who commit to purchasing fuel from us over the contract term, and spot sales, which are sales that do not involve continuing contractual obligations by our customers to purchase fuel from us. Our cost of fuel is generally tied to market</w:t>
      </w:r>
      <w:r>
        <w:rPr>
          <w:rFonts w:ascii="MS PGothic" w:cs="MS PGothic" w:eastAsia="MS PGothic" w:hAnsi="MS PGothic"/>
          <w:sz w:val="17"/>
          <w:szCs w:val="17"/>
          <w:color w:val="auto"/>
        </w:rPr>
        <w:t>‑</w:t>
      </w:r>
      <w:r>
        <w:rPr>
          <w:rFonts w:ascii="Arial" w:cs="Arial" w:eastAsia="Arial" w:hAnsi="Arial"/>
          <w:sz w:val="17"/>
          <w:szCs w:val="17"/>
          <w:color w:val="auto"/>
        </w:rPr>
        <w:t>based formulas or is government controlled and our suppliers typically extend unsecured trade credit to us. We may prepay our fuel purchases when limited by the amount of credit extended to us by suppliers or as required to transact business in certain countries. We also enter into derivative contracts in order to mitigate the risk of market price fluctuations of certain of our transactions and to offer our customers fuel pricing alternatives to meet their needs.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each of the years presented in the accompanying consolidated statements of income and comprehensive income, none of our aviation customers accounted for more than 10% of total consolidated revenue.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Marine Segment</w:t>
      </w:r>
    </w:p>
    <w:p>
      <w:pPr>
        <w:spacing w:after="0" w:line="23"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We market fuel, lubricants and related products and services to a broad base of marine customers, including international container and tanker fleets, commercial cruise lines, yachts and time</w:t>
      </w:r>
      <w:r>
        <w:rPr>
          <w:rFonts w:ascii="MS PGothic" w:cs="MS PGothic" w:eastAsia="MS PGothic" w:hAnsi="MS PGothic"/>
          <w:sz w:val="17"/>
          <w:szCs w:val="17"/>
          <w:color w:val="auto"/>
        </w:rPr>
        <w:t>‑</w:t>
      </w:r>
      <w:r>
        <w:rPr>
          <w:rFonts w:ascii="Arial" w:cs="Arial" w:eastAsia="Arial" w:hAnsi="Arial"/>
          <w:sz w:val="17"/>
          <w:szCs w:val="17"/>
          <w:color w:val="auto"/>
        </w:rPr>
        <w:t>charter operators, the U.S. and foreign governments, as well as other fuel suppliers. Through our extensive network of offices, we provide our customers with real</w:t>
      </w:r>
      <w:r>
        <w:rPr>
          <w:rFonts w:ascii="MS PGothic" w:cs="MS PGothic" w:eastAsia="MS PGothic" w:hAnsi="MS PGothic"/>
          <w:sz w:val="17"/>
          <w:szCs w:val="17"/>
          <w:color w:val="auto"/>
        </w:rPr>
        <w:t>‑</w:t>
      </w:r>
      <w:r>
        <w:rPr>
          <w:rFonts w:ascii="Arial" w:cs="Arial" w:eastAsia="Arial" w:hAnsi="Arial"/>
          <w:sz w:val="17"/>
          <w:szCs w:val="17"/>
          <w:color w:val="auto"/>
        </w:rPr>
        <w:t xml:space="preserve"> time global market intelligence and rapid access to quality and competitively priced marine fuel 24 hours a day, every day of the year. In addition, we offer card payment solutions and related processing services. Our marine fuel related services include management services for the procurement of fuel, cost control through the use of price hedging instruments, quality control and claims management.</w:t>
      </w:r>
    </w:p>
    <w:p>
      <w:pPr>
        <w:spacing w:after="0" w:line="11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primarily act as a reseller as we generally take delivery for fuel purchased from our supplier at the same place and time as the fuel is sold to our customer. We also sell fuel from our inventory, which we maintain in certain locations for strategic reasons in storage facilities that we own or lease and generally hedge in an effort to protect us against price risk. We also act as a broker and are paid a commission for negotiating the transaction by arranging the fuel purchase contract between the supplier and the end user and expediting the arrangements for the delivery of fuel. In addition, we enter into derivative contracts in order to mitigate the risk of market price fluctuations on certain of our transactions and to offer our customers fuel pricing alternatives to meet their needs.</w:t>
      </w:r>
    </w:p>
    <w:p>
      <w:pPr>
        <w:spacing w:after="0" w:line="90"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The majority of our marine segment activity consists of spot sales. Our cost of fuel is generally tied to spot pricing or market</w:t>
      </w:r>
      <w:r>
        <w:rPr>
          <w:rFonts w:ascii="MS PGothic" w:cs="MS PGothic" w:eastAsia="MS PGothic" w:hAnsi="MS PGothic"/>
          <w:sz w:val="17"/>
          <w:szCs w:val="17"/>
          <w:color w:val="auto"/>
        </w:rPr>
        <w:t>‑</w:t>
      </w:r>
      <w:r>
        <w:rPr>
          <w:rFonts w:ascii="Arial" w:cs="Arial" w:eastAsia="Arial" w:hAnsi="Arial"/>
          <w:sz w:val="17"/>
          <w:szCs w:val="17"/>
          <w:color w:val="auto"/>
        </w:rPr>
        <w:t>based formulas or is government controlled, and our suppliers typically extend unsecured trade credit to us. We also contract with third parties to provide various services for our customers, including fueling of vessels in port and at sea, and transportation and delivery of fuel and fuel products.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each of the years presented in the accompanying consolidated statements of income and comprehensive income, none of our marine customers accounted for more than 10% of total consolidated revenue.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 Segment</w:t>
      </w:r>
    </w:p>
    <w:p>
      <w:pPr>
        <w:spacing w:after="0" w:line="23"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In our land segment, we offer fuel, heating oil, lubricants and related products and services to petroleum distributors operating in the land transportation market, retail petroleum operators, and industrial, commercial, residential and government customers. Our land</w:t>
      </w:r>
      <w:r>
        <w:rPr>
          <w:rFonts w:ascii="MS PGothic" w:cs="MS PGothic" w:eastAsia="MS PGothic" w:hAnsi="MS PGothic"/>
          <w:sz w:val="17"/>
          <w:szCs w:val="17"/>
          <w:color w:val="auto"/>
        </w:rPr>
        <w:t>‑</w:t>
      </w:r>
      <w:r>
        <w:rPr>
          <w:rFonts w:ascii="Arial" w:cs="Arial" w:eastAsia="Arial" w:hAnsi="Arial"/>
          <w:sz w:val="17"/>
          <w:szCs w:val="17"/>
          <w:color w:val="auto"/>
        </w:rPr>
        <w:t>related services include management services for the procurement of fuel and price risk management. Additionally, we engage in crude oil marketing activities. We primarily conduct these activities throughout most of the United States as well as parts of the United Kingdom and Brazil.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we offer transaction management services, which include card payment solutions, merchant processing services, payment solutions for tolls across Europe, government payment systems for global fuel procurement and commercial payment programs in the land transportation industry.</w:t>
      </w:r>
    </w:p>
    <w:p>
      <w:pPr>
        <w:spacing w:after="0" w:line="97" w:lineRule="exact"/>
        <w:rPr>
          <w:sz w:val="20"/>
          <w:szCs w:val="20"/>
          <w:color w:val="auto"/>
        </w:rPr>
      </w:pPr>
    </w:p>
    <w:p>
      <w:pPr>
        <w:jc w:val="both"/>
        <w:spacing w:after="0" w:line="200" w:lineRule="exact"/>
        <w:rPr>
          <w:sz w:val="20"/>
          <w:szCs w:val="20"/>
          <w:color w:val="auto"/>
        </w:rPr>
      </w:pPr>
      <w:r>
        <w:rPr>
          <w:rFonts w:ascii="Arial" w:cs="Arial" w:eastAsia="Arial" w:hAnsi="Arial"/>
          <w:sz w:val="17"/>
          <w:szCs w:val="17"/>
          <w:color w:val="auto"/>
        </w:rPr>
        <w:t>In connection with our fuel marketing activities, we act as a reseller as we purchase fuel from a supplier and contemporaneously resell it to our customers through spot sales and contract sales. In general, fuel is delivered to our customers directly or at designated tanker truck loading terminals commonly referred to as “racks,” which are owned and operated by our suppliers or other third</w:t>
      </w:r>
      <w:r>
        <w:rPr>
          <w:rFonts w:ascii="MS PGothic" w:cs="MS PGothic" w:eastAsia="MS PGothic" w:hAnsi="MS PGothic"/>
          <w:sz w:val="17"/>
          <w:szCs w:val="17"/>
          <w:color w:val="auto"/>
        </w:rPr>
        <w:t>‑</w:t>
      </w:r>
      <w:r>
        <w:rPr>
          <w:rFonts w:ascii="Arial" w:cs="Arial" w:eastAsia="Arial" w:hAnsi="Arial"/>
          <w:sz w:val="17"/>
          <w:szCs w:val="17"/>
          <w:color w:val="auto"/>
        </w:rPr>
        <w:t>parties, or directly to customer locations through third party carriers. We also maintain inventory in certain locations including pipelines and ship inventory via railcar. Inventory held in storage or being shipped is typically hedged in an effort to protect us against price risk. Our cost of fuel is generally tied to market</w:t>
      </w:r>
      <w:r>
        <w:rPr>
          <w:rFonts w:ascii="MS PGothic" w:cs="MS PGothic" w:eastAsia="MS PGothic" w:hAnsi="MS PGothic"/>
          <w:sz w:val="17"/>
          <w:szCs w:val="17"/>
          <w:color w:val="auto"/>
        </w:rPr>
        <w:t>‑</w:t>
      </w:r>
      <w:r>
        <w:rPr>
          <w:rFonts w:ascii="Arial" w:cs="Arial" w:eastAsia="Arial" w:hAnsi="Arial"/>
          <w:sz w:val="17"/>
          <w:szCs w:val="17"/>
          <w:color w:val="auto"/>
        </w:rPr>
        <w:t>based formulas and our suppliers typically extend unsecured trade credit to us. We also enter into derivative contracts in order to mitigate the risk of market price fluctuations for certain of our transactions and to offer our customers fuel pricing alternatives to meet their needs.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4" w:name="page5"/>
    <w:bookmarkEnd w:id="4"/>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each of the years presented in the accompanying consolidated statements of income and comprehensive income, none of our land customers accounted for more than 10% of total consolidated revenue.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Competitors</w:t>
      </w:r>
    </w:p>
    <w:p>
      <w:pPr>
        <w:spacing w:after="0" w:line="19"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Our competitors within the highly fragmented world</w:t>
      </w:r>
      <w:r>
        <w:rPr>
          <w:rFonts w:ascii="MS PGothic" w:cs="MS PGothic" w:eastAsia="MS PGothic" w:hAnsi="MS PGothic"/>
          <w:sz w:val="17"/>
          <w:szCs w:val="17"/>
          <w:color w:val="auto"/>
        </w:rPr>
        <w:t>‑</w:t>
      </w:r>
      <w:r>
        <w:rPr>
          <w:rFonts w:ascii="Arial" w:cs="Arial" w:eastAsia="Arial" w:hAnsi="Arial"/>
          <w:sz w:val="17"/>
          <w:szCs w:val="17"/>
          <w:color w:val="auto"/>
        </w:rPr>
        <w:t>wide downstream markets of aviation, marine and land fuel are numerous, ranging from large multinational corporations, principally major oil producers, which have significantly greater capital resources, to relatively small and specialized firms. We compete with the major oil producers that market fuel directly to the large commercial airlines, shipping companies and petroleum distributors operating in the land transportation market as well as fuel resellers. We believe that our extensive market knowledge, worldwide presence, logistical expertise, extension of credit and use of derivatives to provide fuel pricing alternatives give us the ability to compete in the marketplace.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5, 2015, we employed 4,041 people worldwide.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3" w:lineRule="exact"/>
        <w:rPr>
          <w:sz w:val="20"/>
          <w:szCs w:val="20"/>
          <w:color w:val="auto"/>
        </w:rPr>
      </w:pPr>
    </w:p>
    <w:p>
      <w:pPr>
        <w:jc w:val="both"/>
        <w:spacing w:after="0" w:line="197" w:lineRule="exact"/>
        <w:rPr>
          <w:sz w:val="20"/>
          <w:szCs w:val="20"/>
          <w:color w:val="auto"/>
        </w:rPr>
      </w:pPr>
      <w:r>
        <w:rPr>
          <w:rFonts w:ascii="Arial" w:cs="Arial" w:eastAsia="Arial" w:hAnsi="Arial"/>
          <w:sz w:val="17"/>
          <w:szCs w:val="17"/>
          <w:color w:val="auto"/>
        </w:rPr>
        <w:t>Our current and past activities are subject to substantial regulation by federal, state and local government agencies, inside and outside the United States, which enforce laws and regulations governing the transportation, sale, storage and disposal of fuel and the collection, transportation, processing, storage, use and disposal of hazardous substances and wastes, including waste oil and petroleum products.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w:t>
      </w:r>
      <w:r>
        <w:rPr>
          <w:rFonts w:ascii="MS PGothic" w:cs="MS PGothic" w:eastAsia="MS PGothic" w:hAnsi="MS PGothic"/>
          <w:sz w:val="17"/>
          <w:szCs w:val="17"/>
          <w:color w:val="auto"/>
        </w:rPr>
        <w:t>‑</w:t>
      </w:r>
      <w:r>
        <w:rPr>
          <w:rFonts w:ascii="Arial" w:cs="Arial" w:eastAsia="Arial" w:hAnsi="Arial"/>
          <w:sz w:val="17"/>
          <w:szCs w:val="17"/>
          <w:color w:val="auto"/>
        </w:rPr>
        <w:t>compliance. See “Item 1A – Risk Factors,” and “Item 3 – Legal Proceedings.”</w:t>
      </w:r>
    </w:p>
    <w:p>
      <w:pPr>
        <w:spacing w:after="0" w:line="10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may also be affected by new environmental laws and regulations that will apply to us or our customers in the future, some of which could increase the cost or reduce the demand for our products and services. For example, due to concern over the risk of climate change, a number of countries have adopted, or are considering the adoption of, regulatory frameworks to reduce greenhouse gas emissions. In the U.S., the U.S. Environmental Protection Agency has finalized rules requiring the reporting of greenhouse gas (“GHG”) emissions by petroleum product suppliers and facilities meeting certain annual emissions thresholds and to regulate emissions from major sources of GHGs under the Clean Air Act. In other countries, proposed regulations include adoption of cap and trade regimes, carbon taxes, restrictive permitting, increased efficiency standards, and incentives or mandates for renewable energy. Although the ultimate impact of these or other future measures is difficult to accurately predict, they could make our products more expensive or reduce demand for petroleum products, as well as shift demand toward relatively lower-carbon sources. This, in turn, could affect our operations, earnings and competitive position.</w:t>
      </w:r>
    </w:p>
    <w:p>
      <w:pPr>
        <w:spacing w:after="0" w:line="67"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Forward</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Looking Statements</w:t>
      </w:r>
    </w:p>
    <w:p>
      <w:pPr>
        <w:spacing w:after="0" w:line="4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Examples of forward-looking statements in this 2014 10-K Report include, but are not limited to, our expectations regarding our business strategy, business prospects, operating results, ability to collect outstanding receivables, potential liabilities and the extent of any insurance coverage, the impact of litigation and other proceedings,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and other proceedings, competitive conditions, general economic conditions and synergies relating to acquisitions,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joint ventures and alliances. These assumptions could prove inaccurate. Although we believe that the estimates and projections reflected in the forward-looking statements are reasonable, our expectations may prove to be incorrect.</w:t>
      </w:r>
    </w:p>
    <w:p>
      <w:pPr>
        <w:spacing w:after="0" w:line="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Important factors that could cause actual results to differ materially from the results and events anticipated or implied by such forward-looking statements include, but are not limited to:</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customer and counterparty creditworthiness and our ability to collect accounts receivable and settle derivative contracts;</w:t>
      </w:r>
    </w:p>
    <w:p>
      <w:pPr>
        <w:spacing w:after="0" w:line="63" w:lineRule="exact"/>
        <w:rPr>
          <w:sz w:val="20"/>
          <w:szCs w:val="20"/>
          <w:color w:val="auto"/>
        </w:rPr>
      </w:pPr>
    </w:p>
    <w:p>
      <w:pPr>
        <w:ind w:left="500" w:hanging="182"/>
        <w:spacing w:after="0"/>
        <w:tabs>
          <w:tab w:leader="none" w:pos="50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market price of fuel;</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changes in the political, economic or regulatory conditions generally and in the markets in which we operate;</w:t>
      </w:r>
    </w:p>
    <w:p>
      <w:pPr>
        <w:spacing w:after="0" w:line="63" w:lineRule="exact"/>
        <w:rPr>
          <w:sz w:val="20"/>
          <w:szCs w:val="20"/>
          <w:color w:val="auto"/>
        </w:rPr>
      </w:pPr>
    </w:p>
    <w:p>
      <w:pPr>
        <w:ind w:left="400" w:hanging="82"/>
        <w:spacing w:after="0"/>
        <w:tabs>
          <w:tab w:leader="none" w:pos="40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failure to effectively hedge certain financial risks and the use of derivatives;</w:t>
      </w:r>
    </w:p>
    <w:p>
      <w:pPr>
        <w:spacing w:after="0" w:line="63" w:lineRule="exact"/>
        <w:rPr>
          <w:rFonts w:ascii="Times New Roman" w:cs="Times New Roman" w:eastAsia="Times New Roman" w:hAnsi="Times New Roman"/>
          <w:sz w:val="17"/>
          <w:szCs w:val="17"/>
          <w:color w:val="auto"/>
        </w:rPr>
      </w:pPr>
    </w:p>
    <w:p>
      <w:pPr>
        <w:ind w:left="400" w:hanging="82"/>
        <w:spacing w:after="0"/>
        <w:tabs>
          <w:tab w:leader="none" w:pos="40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non-performance by counterparties or customers to derivative contracts;</w:t>
      </w:r>
    </w:p>
    <w:p>
      <w:pPr>
        <w:spacing w:after="0" w:line="63"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credit terms extended to us from our suppliers;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non-performance of suppliers on their sale commitments and customers on their purchase commitments;</w:t>
      </w:r>
    </w:p>
    <w:p>
      <w:pPr>
        <w:spacing w:after="0" w:line="63" w:lineRule="exact"/>
        <w:rPr>
          <w:sz w:val="20"/>
          <w:szCs w:val="20"/>
          <w:color w:val="auto"/>
        </w:rPr>
      </w:pPr>
    </w:p>
    <w:p>
      <w:pPr>
        <w:ind w:left="420" w:hanging="102"/>
        <w:spacing w:after="0"/>
        <w:tabs>
          <w:tab w:leader="none" w:pos="4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loss of, or reduced sales to a significant government customer;</w:t>
      </w:r>
    </w:p>
    <w:p>
      <w:pPr>
        <w:spacing w:after="0" w:line="63" w:lineRule="exact"/>
        <w:rPr>
          <w:rFonts w:ascii="Times New Roman" w:cs="Times New Roman" w:eastAsia="Times New Roman" w:hAnsi="Times New Roman"/>
          <w:sz w:val="17"/>
          <w:szCs w:val="17"/>
          <w:color w:val="auto"/>
        </w:rPr>
      </w:pPr>
    </w:p>
    <w:p>
      <w:pPr>
        <w:ind w:left="440" w:hanging="122"/>
        <w:spacing w:after="0"/>
        <w:tabs>
          <w:tab w:leader="none" w:pos="4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non-performance of third-party service providers;</w:t>
      </w:r>
    </w:p>
    <w:p>
      <w:pPr>
        <w:spacing w:after="0" w:line="63" w:lineRule="exact"/>
        <w:rPr>
          <w:rFonts w:ascii="Times New Roman" w:cs="Times New Roman" w:eastAsia="Times New Roman" w:hAnsi="Times New Roman"/>
          <w:sz w:val="17"/>
          <w:szCs w:val="17"/>
          <w:color w:val="auto"/>
        </w:rPr>
      </w:pPr>
    </w:p>
    <w:p>
      <w:pPr>
        <w:ind w:left="380" w:right="220" w:hanging="52"/>
        <w:spacing w:after="0" w:line="22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adverse conditions in the industries in which our customers operate, including a continuation of the global economic instability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and its impact on the airline and shipping industries;</w:t>
      </w:r>
    </w:p>
    <w:p>
      <w:pPr>
        <w:spacing w:after="0" w:line="91" w:lineRule="exact"/>
        <w:rPr>
          <w:rFonts w:ascii="Times New Roman" w:cs="Times New Roman" w:eastAsia="Times New Roman" w:hAnsi="Times New Roman"/>
          <w:sz w:val="17"/>
          <w:szCs w:val="17"/>
          <w:color w:val="auto"/>
        </w:rPr>
      </w:pPr>
    </w:p>
    <w:p>
      <w:pPr>
        <w:ind w:left="480" w:hanging="162"/>
        <w:spacing w:after="0"/>
        <w:tabs>
          <w:tab w:leader="none" w:pos="4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cyber-related incidents;</w:t>
      </w:r>
    </w:p>
    <w:p>
      <w:pPr>
        <w:spacing w:after="0" w:line="63" w:lineRule="exact"/>
        <w:rPr>
          <w:rFonts w:ascii="Times New Roman" w:cs="Times New Roman" w:eastAsia="Times New Roman" w:hAnsi="Times New Roman"/>
          <w:sz w:val="17"/>
          <w:szCs w:val="17"/>
          <w:color w:val="auto"/>
        </w:rPr>
      </w:pPr>
    </w:p>
    <w:p>
      <w:pPr>
        <w:ind w:left="520" w:hanging="202"/>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currency exchange fluctuations;</w:t>
      </w:r>
    </w:p>
    <w:p>
      <w:pPr>
        <w:spacing w:after="0" w:line="63"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failure of fuel and other products we sell to meet specifications;</w:t>
      </w:r>
    </w:p>
    <w:p>
      <w:pPr>
        <w:spacing w:after="0" w:line="63" w:lineRule="exact"/>
        <w:rPr>
          <w:rFonts w:ascii="Times New Roman" w:cs="Times New Roman" w:eastAsia="Times New Roman" w:hAnsi="Times New Roman"/>
          <w:sz w:val="17"/>
          <w:szCs w:val="17"/>
          <w:color w:val="auto"/>
        </w:rPr>
      </w:pPr>
    </w:p>
    <w:p>
      <w:pPr>
        <w:ind w:left="540" w:hanging="222"/>
        <w:spacing w:after="0"/>
        <w:tabs>
          <w:tab w:leader="none" w:pos="5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manage growth;</w:t>
      </w:r>
    </w:p>
    <w:p>
      <w:pPr>
        <w:spacing w:after="0" w:line="63" w:lineRule="exact"/>
        <w:rPr>
          <w:rFonts w:ascii="Times New Roman" w:cs="Times New Roman" w:eastAsia="Times New Roman" w:hAnsi="Times New Roman"/>
          <w:sz w:val="17"/>
          <w:szCs w:val="17"/>
          <w:color w:val="auto"/>
        </w:rPr>
      </w:pPr>
    </w:p>
    <w:p>
      <w:pPr>
        <w:ind w:left="400" w:hanging="82"/>
        <w:spacing w:after="0"/>
        <w:tabs>
          <w:tab w:leader="none" w:pos="4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integrate and derive benefits from acquired businesses;</w:t>
      </w:r>
    </w:p>
    <w:p>
      <w:pPr>
        <w:spacing w:after="0" w:line="63" w:lineRule="exact"/>
        <w:rPr>
          <w:rFonts w:ascii="Times New Roman" w:cs="Times New Roman" w:eastAsia="Times New Roman" w:hAnsi="Times New Roman"/>
          <w:sz w:val="17"/>
          <w:szCs w:val="17"/>
          <w:color w:val="auto"/>
        </w:rPr>
      </w:pPr>
    </w:p>
    <w:p>
      <w:pPr>
        <w:ind w:left="440" w:hanging="122"/>
        <w:spacing w:after="0"/>
        <w:tabs>
          <w:tab w:leader="none" w:pos="4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material disruptions in the availability or supply of fuel;</w:t>
      </w:r>
    </w:p>
    <w:p>
      <w:pPr>
        <w:spacing w:after="0" w:line="63" w:lineRule="exact"/>
        <w:rPr>
          <w:rFonts w:ascii="Times New Roman" w:cs="Times New Roman" w:eastAsia="Times New Roman" w:hAnsi="Times New Roman"/>
          <w:sz w:val="17"/>
          <w:szCs w:val="17"/>
          <w:color w:val="auto"/>
        </w:rPr>
      </w:pPr>
    </w:p>
    <w:p>
      <w:pPr>
        <w:ind w:left="380" w:hanging="62"/>
        <w:spacing w:after="0"/>
        <w:tabs>
          <w:tab w:leader="none" w:pos="3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environmental and other risks associated with the storage, transportation and delivery of petroleum products;</w:t>
      </w:r>
    </w:p>
    <w:p>
      <w:pPr>
        <w:spacing w:after="0" w:line="63"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the Lac-Mégantic derailment and related matters;</w:t>
      </w:r>
    </w:p>
    <w:p>
      <w:pPr>
        <w:spacing w:after="0" w:line="63" w:lineRule="exact"/>
        <w:rPr>
          <w:rFonts w:ascii="Times New Roman" w:cs="Times New Roman" w:eastAsia="Times New Roman" w:hAnsi="Times New Roman"/>
          <w:sz w:val="17"/>
          <w:szCs w:val="17"/>
          <w:color w:val="auto"/>
        </w:rPr>
      </w:pPr>
    </w:p>
    <w:p>
      <w:pPr>
        <w:ind w:left="440" w:hanging="122"/>
        <w:spacing w:after="0"/>
        <w:tabs>
          <w:tab w:leader="none" w:pos="4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risks associated with operating in high risk locations;</w:t>
      </w:r>
    </w:p>
    <w:p>
      <w:pPr>
        <w:spacing w:after="0" w:line="63" w:lineRule="exact"/>
        <w:rPr>
          <w:rFonts w:ascii="Times New Roman" w:cs="Times New Roman" w:eastAsia="Times New Roman" w:hAnsi="Times New Roman"/>
          <w:sz w:val="17"/>
          <w:szCs w:val="17"/>
          <w:color w:val="auto"/>
        </w:rPr>
      </w:pPr>
    </w:p>
    <w:p>
      <w:pPr>
        <w:ind w:left="680" w:hanging="362"/>
        <w:spacing w:after="0"/>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uninsured losses;</w:t>
      </w:r>
    </w:p>
    <w:p>
      <w:pPr>
        <w:spacing w:after="0" w:line="63" w:lineRule="exact"/>
        <w:rPr>
          <w:rFonts w:ascii="Times New Roman" w:cs="Times New Roman" w:eastAsia="Times New Roman" w:hAnsi="Times New Roman"/>
          <w:sz w:val="17"/>
          <w:szCs w:val="17"/>
          <w:color w:val="auto"/>
        </w:rPr>
      </w:pPr>
    </w:p>
    <w:p>
      <w:pPr>
        <w:ind w:left="440" w:hanging="122"/>
        <w:spacing w:after="0"/>
        <w:tabs>
          <w:tab w:leader="none" w:pos="4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natural disasters, such as hurricanes;</w:t>
      </w:r>
    </w:p>
    <w:p>
      <w:pPr>
        <w:spacing w:after="0" w:line="63" w:lineRule="exact"/>
        <w:rPr>
          <w:rFonts w:ascii="Times New Roman" w:cs="Times New Roman" w:eastAsia="Times New Roman" w:hAnsi="Times New Roman"/>
          <w:sz w:val="17"/>
          <w:szCs w:val="17"/>
          <w:color w:val="auto"/>
        </w:rPr>
      </w:pPr>
    </w:p>
    <w:p>
      <w:pPr>
        <w:ind w:left="380" w:right="220" w:hanging="52"/>
        <w:spacing w:after="0" w:line="22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our failure to comply with restrictions and covenants in our senior revolving credit facility (“Credit Facility”) and our senior term</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loans (“Term Loans”);</w:t>
      </w:r>
    </w:p>
    <w:p>
      <w:pPr>
        <w:spacing w:after="0" w:line="26" w:lineRule="exact"/>
        <w:rPr>
          <w:rFonts w:ascii="Times New Roman" w:cs="Times New Roman" w:eastAsia="Times New Roman" w:hAnsi="Times New Roman"/>
          <w:sz w:val="17"/>
          <w:szCs w:val="17"/>
          <w:color w:val="auto"/>
        </w:rPr>
      </w:pPr>
    </w:p>
    <w:p>
      <w:pPr>
        <w:ind w:left="400" w:hanging="82"/>
        <w:spacing w:after="0"/>
        <w:tabs>
          <w:tab w:leader="none" w:pos="4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declines in the value and liquidity of cash equivalents and investments;</w:t>
      </w:r>
    </w:p>
    <w:p>
      <w:pPr>
        <w:spacing w:after="0" w:line="63" w:lineRule="exact"/>
        <w:rPr>
          <w:rFonts w:ascii="Times New Roman" w:cs="Times New Roman" w:eastAsia="Times New Roman" w:hAnsi="Times New Roman"/>
          <w:sz w:val="17"/>
          <w:szCs w:val="17"/>
          <w:color w:val="auto"/>
        </w:rPr>
      </w:pPr>
    </w:p>
    <w:p>
      <w:pPr>
        <w:ind w:left="400" w:hanging="82"/>
        <w:spacing w:after="0"/>
        <w:tabs>
          <w:tab w:leader="none" w:pos="4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and attract senior management and other key employees;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changes in U.S. or foreign tax laws or changes in the mix of taxable income among different tax jurisdictions;</w:t>
      </w:r>
    </w:p>
    <w:p>
      <w:pPr>
        <w:spacing w:after="0" w:line="63" w:lineRule="exact"/>
        <w:rPr>
          <w:sz w:val="20"/>
          <w:szCs w:val="20"/>
          <w:color w:val="auto"/>
        </w:rPr>
      </w:pPr>
    </w:p>
    <w:p>
      <w:pPr>
        <w:ind w:left="380" w:right="620" w:hanging="52"/>
        <w:spacing w:after="0" w:line="22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our ability to comply with U.S. and international laws and regulations including those related to anti-corruption, economic</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sanction programs and environmental matters;</w:t>
      </w:r>
    </w:p>
    <w:p>
      <w:pPr>
        <w:spacing w:after="0" w:line="26" w:lineRule="exact"/>
        <w:rPr>
          <w:sz w:val="20"/>
          <w:szCs w:val="20"/>
          <w:color w:val="auto"/>
        </w:rPr>
      </w:pPr>
    </w:p>
    <w:p>
      <w:pPr>
        <w:ind w:left="520" w:hanging="202"/>
        <w:spacing w:after="0"/>
        <w:tabs>
          <w:tab w:leader="none" w:pos="5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levels of competition;</w:t>
      </w:r>
    </w:p>
    <w:p>
      <w:pPr>
        <w:spacing w:after="0" w:line="63" w:lineRule="exact"/>
        <w:rPr>
          <w:rFonts w:ascii="Times New Roman" w:cs="Times New Roman" w:eastAsia="Times New Roman" w:hAnsi="Times New Roman"/>
          <w:sz w:val="17"/>
          <w:szCs w:val="17"/>
          <w:color w:val="auto"/>
        </w:rPr>
      </w:pPr>
    </w:p>
    <w:p>
      <w:pPr>
        <w:ind w:left="400" w:hanging="82"/>
        <w:spacing w:after="0"/>
        <w:tabs>
          <w:tab w:leader="none" w:pos="40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of litigation and the costs associated in defending any actions;</w:t>
      </w:r>
    </w:p>
    <w:p>
      <w:pPr>
        <w:spacing w:after="0" w:line="128" w:lineRule="exact"/>
        <w:rPr>
          <w:rFonts w:ascii="Times New Roman" w:cs="Times New Roman" w:eastAsia="Times New Roman" w:hAnsi="Times New Roman"/>
          <w:sz w:val="17"/>
          <w:szCs w:val="17"/>
          <w:color w:val="auto"/>
        </w:rPr>
      </w:pPr>
    </w:p>
    <w:p>
      <w:pPr>
        <w:ind w:left="400" w:hanging="82"/>
        <w:spacing w:after="0"/>
        <w:tabs>
          <w:tab w:leader="none" w:pos="40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the liquidity and solvency of banks within our Credit Facility and Term Loans;</w:t>
      </w:r>
    </w:p>
    <w:p>
      <w:pPr>
        <w:spacing w:after="0" w:line="63" w:lineRule="exact"/>
        <w:rPr>
          <w:rFonts w:ascii="Times New Roman" w:cs="Times New Roman" w:eastAsia="Times New Roman" w:hAnsi="Times New Roman"/>
          <w:sz w:val="17"/>
          <w:szCs w:val="17"/>
          <w:color w:val="auto"/>
        </w:rPr>
      </w:pPr>
    </w:p>
    <w:p>
      <w:pPr>
        <w:ind w:left="520" w:hanging="202"/>
        <w:spacing w:after="0"/>
        <w:tabs>
          <w:tab w:leader="none" w:pos="5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in interest rates; and</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176" w:lineRule="exact"/>
        <w:rPr>
          <w:sz w:val="20"/>
          <w:szCs w:val="20"/>
          <w:color w:val="auto"/>
        </w:rPr>
      </w:pPr>
    </w:p>
    <w:p>
      <w:pPr>
        <w:ind w:left="380" w:right="200" w:hanging="52"/>
        <w:spacing w:after="0" w:line="22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other risks, including those described in “Item 1A - Risk Factors” and those described from time to time in our other filings with</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 SEC.</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2014 10-K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these statements, we claim the protection of the safe harbor for forward-looking statements contained in Section 27A of the Securities Act of 1933, as amended, and Section 21E of the Securities Exchange Act of 1934.</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color w:val="auto"/>
        </w:rPr>
        <w:t>We extend credit to most of our customers in connection with their purchases of fuel and services from us, and our business, financial condition, results of operations and cash flows will be adversely affected if we are unable to collect accounts receivable.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extend credit to certain of our customers in connection with their purchases of fuel and services from us. Our success in attracting customers has been due, in part, to our willingness to extend credit on an unsecured basis to customers, which can include other fuel suppliers, that would otherwise be required to prepay or post letters of credit with other suppliers of fuel and other services. While no single customer represents more than 10% of our total consolidated revenue, diversification of credit risk is limited because we transact primarily within the aviation, marine and land transportation industries.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Our exposure to credit losses will depend on the financial condition of our customers and other factors beyond our control, such as deteriorating conditions in the world economy or in the aviation, marine or land transportation industries, changes in oil prices, political instability, terrorist activities, military action or natural disasters in our market areas. The overall volatility in the credit and financial markets over the past several years increases our potential exposure to customer credit risk because it can make it more difficult for our customers to access sufficient capital to meet their liquidity needs. This market volatility, coupled with a reduction of business activity generally, increases our risks related to our status as an unsecured creditor of many of our customers. Credit losses, if significant, would have a material adverse effect on our business, financial condition, results of operations and cash flows.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Our derivatives transactions with customers, suppliers and financial institutions expose us to heightened counterparty risk, which could have a material adverse effect on our business.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part of our price risk management services, we offer our customers various pricing structures for future purchases of fuel, including derivatives products designed to assist our customers with hedging their exposure to fluctuations in fuel prices. In the ordinary course of business, we enter into fixed forward pricing contracts (“fixed forward contracts”) with our customers and suppliers under which we agree to sell or purchase, as the case may be, certain volumes of fuel at fixed prices. In addition, we may act as a counterparty in swap transactions with some of our customers where the customer may be required to make certain financial payments to us in connection with changes in the price of fuel. Furthermore, we may use derivatives to hedge price risks associated with our fuel inventories and purchase and sale commitments. We typically hedge our financial risk in any of the foregoing types of transactions by entering into derivative instruments with large energy companies and financial institution counterparties (such as exchanges, broker/dealers and commercial and investment banks), on secured as well as unsecured terms.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If we have not required a customer to post collateral in connection with a fixed forward contract or swap transaction, we will have effectively extended unsecured credit to that customer. Based on the volatility of fuel prices, our counterparties may not be willing or able to fulfill their obligations to us under their fixed forward contracts or their swap transactions. In such cases, we would be exposed to losses or costs associated with any such default. For example, in the event the spot market price of fuel at the time of delivery is significantly less than the fixed price, a customer could default on its purchase obligation to us and purchase the fuel at the current spot market rate from another supplier. Meanwhile, we may have entered into a corresponding commitment with a supplier in order to offer our customer specified pricing or terms. Similarly, the counterparties with whom we may hedge our price risk exposure may not be willing or able to fulfill their obligations to us under their swap transactions.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While we generally attempt to structure our agreements such that we are able to recover from the non-performing counterparty any losses or costs we may incur, we may not always be able to recover such amounts and may be exposed to claims for damages, penalties or other costs. Furthermore, although we have credit standards and perform credit evaluations of our customers and suppliers, our evaluations may be inaccurate and we cannot assure you that credit performance will not be materially worse than anticipated. Accordingly, should any counterparty fail to honor its obligations under our agreements, we could sustain significant losses that would have a material adverse effect on our business, financial condition, results of operations and cash flows.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We may be subject to costs and liabilities as a result of the derailment of a train carrying our crude oil in Lac-Mégantic, Quebec in July 2013.</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on behalf of DPTS Marketing, LLC (“DPM”), a crude oil marketing joint venture in which we owned a 50% membership interest, purchased crude oil from various producers in the Bakken region of North Dakota. Dakota Petroleum Transport Solutions, LLC (“DPTS”), a crude oil transloading joint venture in which we also owned a 50% membership interest, arranged for the transloading of the crude oil for DPM into tank cars at the joint venture’s facility in New Town, North Dakota. We leased the tank cars used in the transloading from a number of third party lessors and subleased these tank cars to DPM.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crude oil derailed in Lac-Mégantic, Quebec. The derailment resulted in significant loss of life, damage to the environment from spilled crude oil and extensive property damage.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certain of our subsidiaries, DPM and DPTS, along with a number of third parties, including CPR, MMA and certain of its affiliates, several manufacturers and lessors of tank cars, as well as the intended purchaser and certain suppliers of the crude oil, have been named as defendants in lawsuits and proceedings related to the incident. In addition, orders were issued by the government of Quebec against CPR, MMA and us, requiring CPR, MMA and us to recover the spilled crude oil caused by the incident and to otherwise fully remediate the impact of the incident on the environment. For a more detailed discussion of these proceedings, see “Legal Proceedings” under Part I – Item 3 of this 2014 10 K Report.</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December 2014, we sold our 50% interest in DPM and DPTS to certain subsidiaries of Dakota Plains Holdings, Inc. (“DAKP”), our partner in the joint ventures. In connection with the sale transaction, we agreed to indemnify DAKP and certain of its affiliates, including DPM and DPTS, for third party claims for bodily injury or property damage arising from the derailment. Pursuant to the agreement, we will control the defense of DAKP and the joint ventures for claims associated with the derailment. In addition, DAKP assigned to us all recoveries from third parties and under applicable insurance policies held by DAKP and the joint ventures for claims arising out of the derailment. Finally, DAKP also agreed to indemnify us for certain costs and expenses arising out of the derailment up to $10.0 million.</w:t>
      </w:r>
    </w:p>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Additional claims, lawsuits, proceedings, investigations and orders may be filed, commenced or issued with respect to the incident, which may involve civil claims for damages or governmental investigative, regulatory or enforcement actions against us. The adverse resolution of any proceedings related to these events could subject us to monetary damages, fines and other costs, which could have a negative and material impact on our business, prospects, results of operations and financial condition.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While we, DPM and DPTS, maintain insurance to mitigate the costs of environmental releases as well as other results of unexpected events, including loss of life, property damage and defense costs, there can be no guarantee that our insurance will be adequate to cover all liabilities that may be incurred as a result of this incident. However, we expect that substantially all of the legal costs we incur in defending against the proceedings described above will be covered by insurance.</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also evaluating potential claims that we, DPM or DPTS may assert against third parties to recover costs and other liabilities that may be incurred as a result of this incident. We can provide no guarantee that any such claims, if brought by us, will be successful or, if successful, that the responsible parties will have the financial resources to address any such claims. Any losses not covered by insurance or otherwise not recoverable from third parties, if significant, could have a material adverse effect on our business, financial condition, results of operations or cash flows.</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Our fuel storage and transportation operations have inherent risks that could negatively impact our stock price, results of operations and financial condition.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Operating fuel storage and distribution terminals and transporting fuel products involve inherent risks including:</w:t>
      </w:r>
    </w:p>
    <w:p>
      <w:pPr>
        <w:spacing w:after="0" w:line="120" w:lineRule="exact"/>
        <w:rPr>
          <w:sz w:val="20"/>
          <w:szCs w:val="20"/>
          <w:color w:val="auto"/>
        </w:rPr>
      </w:pPr>
    </w:p>
    <w:p>
      <w:pPr>
        <w:ind w:left="460" w:hanging="142"/>
        <w:spacing w:after="0"/>
        <w:tabs>
          <w:tab w:leader="none" w:pos="4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oil spills and other environmental mishaps;</w:t>
      </w:r>
    </w:p>
    <w:p>
      <w:pPr>
        <w:spacing w:after="0" w:line="33" w:lineRule="exact"/>
        <w:rPr>
          <w:rFonts w:ascii="Times New Roman" w:cs="Times New Roman" w:eastAsia="Times New Roman" w:hAnsi="Times New Roman"/>
          <w:sz w:val="17"/>
          <w:szCs w:val="17"/>
          <w:color w:val="auto"/>
        </w:rPr>
      </w:pPr>
    </w:p>
    <w:p>
      <w:pPr>
        <w:ind w:left="440" w:hanging="122"/>
        <w:spacing w:after="0"/>
        <w:tabs>
          <w:tab w:leader="none" w:pos="4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fires, collisions and other catastrophic disasters;</w:t>
      </w:r>
    </w:p>
    <w:p>
      <w:pPr>
        <w:spacing w:after="0" w:line="11" w:lineRule="exact"/>
        <w:rPr>
          <w:rFonts w:ascii="Times New Roman" w:cs="Times New Roman" w:eastAsia="Times New Roman" w:hAnsi="Times New Roman"/>
          <w:sz w:val="17"/>
          <w:szCs w:val="17"/>
          <w:color w:val="auto"/>
        </w:rPr>
      </w:pPr>
    </w:p>
    <w:p>
      <w:pPr>
        <w:ind w:left="600" w:hanging="282"/>
        <w:spacing w:after="0"/>
        <w:tabs>
          <w:tab w:leader="none" w:pos="60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injuries and loss of life;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8" w:name="page9"/>
    <w:bookmarkEnd w:id="8"/>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ind w:left="400" w:hanging="82"/>
        <w:spacing w:after="0"/>
        <w:tabs>
          <w:tab w:leader="none" w:pos="40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severe damage to and destruction of property and equipment; and</w:t>
      </w:r>
    </w:p>
    <w:p>
      <w:pPr>
        <w:spacing w:after="0" w:line="33" w:lineRule="exact"/>
        <w:rPr>
          <w:rFonts w:ascii="Times New Roman" w:cs="Times New Roman" w:eastAsia="Times New Roman" w:hAnsi="Times New Roman"/>
          <w:sz w:val="17"/>
          <w:szCs w:val="17"/>
          <w:color w:val="auto"/>
        </w:rPr>
      </w:pPr>
    </w:p>
    <w:p>
      <w:pPr>
        <w:ind w:left="480" w:hanging="162"/>
        <w:spacing w:after="0"/>
        <w:tabs>
          <w:tab w:leader="none" w:pos="4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loss of product and business interruption.</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Damage arising from such occurrences may result in fines and significant third party claims. We maintain insurance to mitigate these costs, but there can be no assurance that our insurance would be sufficient to cover the liabilities we might suffer from the occurrence of one or more of the risks described above.</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addition, if we are involved in a spill, leak, fire or other accident involving hazardous substances or if there are releases of fuel or fuel products we own or have custody of, our operations could be disrupted. We could also be subject to material liabilities, such as the cost of investigating and remediating contaminated properties or claims by customers, employees or others who may have been injured, or whose property may have been damaged. These liabilities, to the extent not covered by insurance, could have a material adverse effect on our business, financial condition, results of operations and cash flows. Some environmental laws impose strict liability, which means we could have liability without regard to whether we were negligent or at fault. Any of these occurrences, and any resulting negative media coverage, could have a material adverse effect on our stock price and on our business, financial condition, results of operations and cash flows.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Information technology failures and data security breaches, including as a result of cybersecurity attacks, could negatively impact our results of operations and financial condition, subject us to increased operating costs, and expose us to litigation.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rely on our computer systems and network infrastructure across our operations. Despite our implementation of security measures, all of our technology systems are vulnerable to damage, disability or failures due to physical theft, fire, power loss, telecommunications failure, operational error, or other catastrophic events. Our technology systems are also subject to cybersecurity attacks including malware, other malicious software, phishing email attacks, attempts to gain unauthorized access to our data, the unauthorized release, corruption or loss of our data, loss or damage to our data delivery systems, and other electronic security breaches. In addition to our own vulnerabilities, our reliance on email transmissions over public networks to process certain transactions exposes us to risks associated with the failure of our customers, business partners and other third parties to use appropriate controls to protect sensitive information, as well as to risks of on-line fraud and email scams. Furthermore, despite our efforts to ensure the integrity of our systems and prevent future cybersecurity attacks, it is possible that our business, financial and other systems could be compromised, especially because such attacks can originate from a wide variety of sources including persons involved in organized crime or associated with external service providers. Those parties may also attempt to fraudulently induce employees, customers or other users of our systems to disclose sensitive information in order to gain access to our data or use electronic means to induce the company to enter into fraudulent transactions. Past and future occurrences of such attacks could damage our reputation and our ability to conduct our business, impact our credit and risk exposure decisions, cause us to lose customers or revenues, subject us to litigation and require us to incur significant expense to address and remediate or otherwise resolve these issues, which could have a material adverse effect on our business, financial condition, results of operations and cash flows.</w:t>
      </w:r>
    </w:p>
    <w:p>
      <w:pPr>
        <w:spacing w:after="0" w:line="35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currently maintain insurance to protect against cybersecurity risks and incidents. However, there can be no assurance that such insurance coverage will be available in the future on commercially reasonable terms or at commercially reasonable rates. In addition, insurance coverage may be insufficient or may not cover certain of these cybersecurity risks and, even if available, the insurance proceeds received for any loss or damage may be insufficient to cover our losses or liabilities without materially adversely affecting our business, financial condition and results of operations.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The personal information that we collect may be vulnerable to breach, theft, loss or misuse that could increase operational costs, result in regulatory penalties and adversely affect our results of operation and financial condition.</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connection with various businesses we operate, such as our transaction management and payment processing businesses, we have access to sensitive, confidential or personal data or information from our employees, customers (both corporate and individual consumers), suppliers and other third parties, some of which may be subject to privacy and security laws, regulations and customer imposed controls. In the ordinary course of business, we collect, process, transmit and retain sensitive information regarding these parties. Despite our efforts to protect this information, our facilities and systems and those of our third party service providers may be vulnerable to security breaches, theft, misplaced or lost data and programming and human errors that could potentially lead to such information being compromised.</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Failure to adequately protect this information could lead to substantial fines, penalties, third party liability, remediation costs, potential cancellation of existing contracts and inability to compete for future business. Due to legislative and regulatory rules, we may be required to notify the owners of such information of any data breaches, which could harm our business relationships, reputation and financial results, as well as subject us to litigation or actions by regulatory authorities. Furthermore, there has been heightened legislative and regulatory focus on data security in the U.S. and abroad (particularly in the European Union). Significant changes in applicable regulations may require us to make costly changes to our systems.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9" w:name="page10"/>
    <w:bookmarkEnd w:id="9"/>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Although we have taken steps to address these concerns by implementing network security and internal control measures, there can be no assurance that a data security breach will not have a material adverse effect on our business, financial condition, results of operations and cash flows.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Businesses we have acquired or may acquire in the future, as well as strategic investments such as joint venture arrangements, expose us to increased operating risks.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part of our growth strategy, we have been acquisitive and intend to continue to explore acquisition opportunities of fuel resellers, logistics and transaction management and payment processing companies, as well as other service and technology businesses. We cannot provide any assurance that we will find attractive acquisition candidates in the future, that we will be able to acquire such candidates on economically acceptable terms or that we will be able to finance acquisitions on economically acceptable terms. If we acquire new businesses in the future, we may incur substantial additional indebtedness and other expenses or we may complete potentially dilutive issuances of equity securities, which may affect the market price of our common stock, inhibit our ability to pay dividends or otherwise restrict our operations. We have also entered into joint venture arrangements and equity method investments intended to complement or expand our business, as well as divested of certain of our businesses. These types of transactions can pose substantial risks and liabilities associated with their operations, as well as the risk that our relationships with our partners do not succeed in the manner that we anticipate. These transactions involve significant challenges and risks, including:</w:t>
      </w:r>
    </w:p>
    <w:p>
      <w:pPr>
        <w:spacing w:after="0" w:line="156" w:lineRule="exact"/>
        <w:rPr>
          <w:sz w:val="20"/>
          <w:szCs w:val="20"/>
          <w:color w:val="auto"/>
        </w:rPr>
      </w:pPr>
    </w:p>
    <w:p>
      <w:pPr>
        <w:ind w:left="380" w:hanging="52"/>
        <w:spacing w:after="0" w:line="25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our ability to effectively integrate and manage acquired businesses or strategic investments, while maintaining uniform</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standards and controls;</w:t>
      </w:r>
    </w:p>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our ability to realize our investment and anticipated synergies in the acquired businesses or strategic investments;</w:t>
      </w:r>
    </w:p>
    <w:p>
      <w:pPr>
        <w:spacing w:after="0" w:line="11" w:lineRule="exact"/>
        <w:rPr>
          <w:sz w:val="20"/>
          <w:szCs w:val="20"/>
          <w:color w:val="auto"/>
        </w:rPr>
      </w:pPr>
    </w:p>
    <w:p>
      <w:pPr>
        <w:ind w:left="380" w:hanging="52"/>
        <w:spacing w:after="0" w:line="23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the diversion of management’s time and attention from other business concerns, the potentially negative impact of changes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management on existing business relationships and other disruptions of our business;</w:t>
      </w:r>
    </w:p>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the risks associated with entering into businesses or markets in which we may have no or limited direct prior experience;</w:t>
      </w:r>
    </w:p>
    <w:p>
      <w:pPr>
        <w:spacing w:after="0" w:line="11" w:lineRule="exact"/>
        <w:rPr>
          <w:sz w:val="20"/>
          <w:szCs w:val="20"/>
          <w:color w:val="auto"/>
        </w:rPr>
      </w:pPr>
    </w:p>
    <w:p>
      <w:pPr>
        <w:ind w:left="380" w:hanging="62"/>
        <w:spacing w:after="0"/>
        <w:tabs>
          <w:tab w:leader="none" w:pos="3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loss of key employees, customers or suppliers of the acquired businesses;</w:t>
      </w:r>
    </w:p>
    <w:p>
      <w:pPr>
        <w:spacing w:after="0" w:line="11" w:lineRule="exact"/>
        <w:rPr>
          <w:rFonts w:ascii="Times New Roman" w:cs="Times New Roman" w:eastAsia="Times New Roman" w:hAnsi="Times New Roman"/>
          <w:sz w:val="17"/>
          <w:szCs w:val="17"/>
          <w:color w:val="auto"/>
        </w:rPr>
      </w:pPr>
    </w:p>
    <w:p>
      <w:pPr>
        <w:ind w:left="380" w:hanging="52"/>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the ability to integrate the IT systems of acquired businesses into our existing IT infrastructure and manage those systems that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cannot be effectively integrated;</w:t>
      </w: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the requirement to write down acquired assets as a result of the acquired business being worth less than we paid for it;</w:t>
      </w:r>
    </w:p>
    <w:p>
      <w:pPr>
        <w:spacing w:after="0" w:line="11"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capital expenditure requirements exceeding our estimates;</w:t>
      </w:r>
    </w:p>
    <w:p>
      <w:pPr>
        <w:spacing w:after="0" w:line="11" w:lineRule="exact"/>
        <w:rPr>
          <w:rFonts w:ascii="Times New Roman" w:cs="Times New Roman" w:eastAsia="Times New Roman" w:hAnsi="Times New Roman"/>
          <w:sz w:val="17"/>
          <w:szCs w:val="17"/>
          <w:color w:val="auto"/>
        </w:rPr>
      </w:pPr>
    </w:p>
    <w:p>
      <w:pPr>
        <w:ind w:left="380" w:hanging="62"/>
        <w:spacing w:after="0"/>
        <w:tabs>
          <w:tab w:leader="none" w:pos="3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an acquisition or strategic investment could reduce our future earnings; and</w:t>
      </w:r>
    </w:p>
    <w:p>
      <w:pPr>
        <w:spacing w:after="0" w:line="11" w:lineRule="exact"/>
        <w:rPr>
          <w:rFonts w:ascii="Times New Roman" w:cs="Times New Roman" w:eastAsia="Times New Roman" w:hAnsi="Times New Roman"/>
          <w:sz w:val="17"/>
          <w:szCs w:val="17"/>
          <w:color w:val="auto"/>
        </w:rPr>
      </w:pPr>
    </w:p>
    <w:p>
      <w:pPr>
        <w:ind w:left="380" w:hanging="52"/>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the assumption of material liabilities, exposure to litigation, regulatory noncompliance or unknown liabilities, and no or limited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indemnities.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Insurance coverage for some of our operations may be insufficient to cover losses, which may have a material adverse effect on our financial condition and results of operations.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We maintain insurance to cover various risks associated with the operation of our business. Certain risks, however, such as environmental risks, are not fully insurable and our insurance coverage does not cover all potential losses, costs, or liabilities. Accordingly, our insurance policies may not adequately cover or may have exclusions of coverage for certain losses. Therefore, there can be no assurance that our insurance coverage will be available or will be adequate to cover claims that may arise.</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Furthermore, our ability to obtain and maintain adequate insurance and the cost of such insurance may be affected by significant claims, such as the Lac-Mégantic derailment, and conditions in the insurance market over which we have no control. If the cost of insurance increases, we may decide to discontinue certain insurance coverage, reduce our level of coverage or increase our deductibles/retentions in order to offset the cost increase. In addition, our existing types and levels of insurance coverage could become difficult or impossible to obtain in the future. The occurrence of an event that is not fully covered by insurance, the loss of insurance coverage or a significant increase in the cost of insurance could have a material adverse effect on our business,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parties who fail to provide products or services to us or our customers as agreed could harm our business.</w:t>
      </w:r>
    </w:p>
    <w:p>
      <w:pPr>
        <w:spacing w:after="0" w:line="2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purchase fuel and other products from suppliers and resell to customers. If the fuel and other products we sell fail to meet the specifications we have agreed to with customers, we could incur significant liabilities if a customer initiates a claim or a lawsuit for which we settle or results in a decision against us. In addition, our relationship with our customers could be adversely affected and adverse publicity about any allegations of contaminated products may negatively affect us, regardless of whether the allegations are true. Although in most cases we have recourse against our suppliers for products that fail to meet contractual specifications, such recourse cannot be assured and may be costly to enforce. For example, several of our supply agreements are with foreign entities, including foreign governments, and are governed by the laws of foreign jurisdictions. If a supplier breaches such agreement, then we may incur the additional costs of determining our rights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and obligations under the agreement, under applicable foreign laws, and enforcing an agreement in a foreign jurisdiction. Any significant liability in excess of any applicable insurance coverage could have a material adverse effect on our business, financial condition, results of operations and cash flows.</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also use third parties to provide various services to our customers, including into plane fueling at airports, fueling of vessels in port and at sea and delivering land based fuel. The failure of these third parties to perform these services in accordance with contractual terms for any reason, such as their inability to supply specified fuel or an interruption of their business because of weather, environmental or labor difficulties or political unrest, could affect our relationships with our customers and subject us to claims and other liabilities that could have a material adverse effect on our business, financial condition, results of operations and cash flows.</w:t>
      </w: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Adverse conditions in the aviation, marine and land transportation industries may have a material adverse effect on our business.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business is focused on the marketing of fuel and other related products and services to the aviation, marine and land transportation industries, which are generally affected by economic cycles. Therefore, weak economic conditions can have a negative impact on the business of our customers which may, in turn, have an adverse effect on our business. In addition, any political instability, natural disasters and other weather-related events, terrorist activity or military action that disrupts shipping, flight operations or land transportation will adversely affect our customers and may reduce the demand for our products and services. Our business could also be adversely affected by increased merger activity in the aviation, marine or land transportation industries, which may reduce the number of customers that purchase our products and services, as well as the prices we are able to charge for such products and services.</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addition, the aviation, marine and land transportation industries are subject to continuing changes in laws and regulations, including environmental regulations mandating or incentivizing alternative energy sources or attempting to control or limit emissions and pollution. For example, recent amendments to the International Convention for the Prevention of Pollution from Ships, or MARPOL, established a phased reduction of the sulfur content in fuel oil and allows for stricter sulfur limits in designated emission control areas. Further changes in laws and regulations applicable to international and national maritime trade are expected over the coming years. Complying with these and other laws and regulations may require capital expenditures by our customers or otherwise increase our customers’ operating costs, which could in turn, reduce the demand for our products and services. Although the ultimate impact of any regulations is difficult to predict accurately, they could have a material adverse effect on our business or on the businesses of our customers.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We are exposed to various risks in connection with our use of derivatives which could have a material adverse effect on our results of operations.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fuel products we sell, to offer our customers fuel pricing alternatives to meet their needs and to mitigate the risk of fluctuations in foreign currency exchange rates. However, our efforts to hedge our exposure to fuel price and exchange rate fluctuations could be ineffective in certain instances. For example, we hedge jet fuel prices with derivatives tied to other petroleum products that often bear some historical correlation to aviation jet fuel (e.g. heating oil in the United States or gasoil in Europe or Asia). If the price of aviation jet fuel and the price of any such products experience divergence in correlation, then it is more likely that our attempts to mitigate price risk associated with our aviation business would not be effective. For purposes of hedging, neither heating oil nor gasoil is a perfect substitute for aviation jet fuel and short term significant pricing differences may occur. There may be times where the change in the price of jet fuel increases or decreases based on market supply and demand fundamentals or disruptive events (e.g. hurricanes) while the change in the price of heating oil or gasoil remains relatively constant.</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also enter into proprietary derivative transactions, primarily intended to capitalize on arbitrage opportunities associated with basis, time, quality or geographic spreads related to fuel products we sell. Proprietary derivative transactions, by their nature, entail exposure to adverse changes in commodity prices in relation to our proprietary positions. Although we have established limits on such exposure, any such adverse changes could result in losses. The risks we face because of our use of financial derivatives can be exacerbated by volatility in the financial and other markets. In addition, we may fail to adequately hedge our risks or could otherwise incur losses if our employees fail to comply with our policies and procedures with respect to hedging or proprietary trading, for example by engaging in unauthorized trading activity, failing to hedge a specific financial risk or failing to observe limits on exposure, which could subject us to financial losses that would have a material adverse effect on our business, financial condition, results of operations and cash flows.</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Finally, the majority of our derivatives are not designated as cash flow hedges for accounting purposes, and we therefore recognize changes in the fair market value of these derivatives as a component of revenue or cost of revenue (based on the underlying transaction type) in our consolidated statements of income and comprehensive income. Since the fair value of these derivatives are marked to market at the end of each quarter, changes in the fair value of our derivative instruments as a result of gains or losses may cause our earnings to fluctuate from period to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1" w:name="page12"/>
    <w:bookmarkEnd w:id="1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line="245" w:lineRule="auto"/>
        <w:rPr>
          <w:sz w:val="20"/>
          <w:szCs w:val="20"/>
          <w:color w:val="auto"/>
        </w:rPr>
      </w:pPr>
      <w:r>
        <w:rPr>
          <w:rFonts w:ascii="Arial" w:cs="Arial" w:eastAsia="Arial" w:hAnsi="Arial"/>
          <w:sz w:val="17"/>
          <w:szCs w:val="17"/>
          <w:b w:val="1"/>
          <w:bCs w:val="1"/>
          <w:color w:val="auto"/>
        </w:rPr>
        <w:t>If we fail to comply with laws or other government regulations applicable to our operations, we could suffer penalties or costs that could have a material adverse effect on our business.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required to comply with extensive and complex laws and other regulations at the international, federal, state and local government levels relating to, among other things:</w:t>
      </w:r>
    </w:p>
    <w:p>
      <w:pPr>
        <w:spacing w:after="0" w:line="103" w:lineRule="exact"/>
        <w:rPr>
          <w:sz w:val="20"/>
          <w:szCs w:val="20"/>
          <w:color w:val="auto"/>
        </w:rPr>
      </w:pPr>
    </w:p>
    <w:p>
      <w:pPr>
        <w:ind w:left="700" w:hanging="382"/>
        <w:spacing w:after="0"/>
        <w:tabs>
          <w:tab w:leader="none" w:pos="70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transportation, handling and delivery of fuel and fuel products;</w:t>
      </w:r>
    </w:p>
    <w:p>
      <w:pPr>
        <w:spacing w:after="0" w:line="7" w:lineRule="exact"/>
        <w:rPr>
          <w:rFonts w:ascii="Times New Roman" w:cs="Times New Roman" w:eastAsia="Times New Roman" w:hAnsi="Times New Roman"/>
          <w:sz w:val="17"/>
          <w:szCs w:val="17"/>
          <w:color w:val="auto"/>
        </w:rPr>
      </w:pPr>
    </w:p>
    <w:p>
      <w:pPr>
        <w:ind w:left="720" w:hanging="402"/>
        <w:spacing w:after="0"/>
        <w:tabs>
          <w:tab w:leader="none" w:pos="7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operation of fuel storage and distribution facilities;</w:t>
      </w:r>
    </w:p>
    <w:p>
      <w:pPr>
        <w:spacing w:after="0" w:line="11" w:lineRule="exact"/>
        <w:rPr>
          <w:rFonts w:ascii="Times New Roman" w:cs="Times New Roman" w:eastAsia="Times New Roman" w:hAnsi="Times New Roman"/>
          <w:sz w:val="17"/>
          <w:szCs w:val="17"/>
          <w:color w:val="auto"/>
        </w:rPr>
      </w:pPr>
    </w:p>
    <w:p>
      <w:pPr>
        <w:ind w:left="960" w:hanging="642"/>
        <w:spacing w:after="0"/>
        <w:tabs>
          <w:tab w:leader="none" w:pos="96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workplace safety;</w:t>
      </w:r>
    </w:p>
    <w:p>
      <w:pPr>
        <w:spacing w:after="0" w:line="11" w:lineRule="exact"/>
        <w:rPr>
          <w:rFonts w:ascii="Times New Roman" w:cs="Times New Roman" w:eastAsia="Times New Roman" w:hAnsi="Times New Roman"/>
          <w:sz w:val="17"/>
          <w:szCs w:val="17"/>
          <w:color w:val="auto"/>
        </w:rPr>
      </w:pPr>
    </w:p>
    <w:p>
      <w:pPr>
        <w:ind w:left="860" w:hanging="542"/>
        <w:spacing w:after="0"/>
        <w:tabs>
          <w:tab w:leader="none" w:pos="86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fuel spillage or seepage;</w:t>
      </w:r>
    </w:p>
    <w:p>
      <w:pPr>
        <w:spacing w:after="0" w:line="11" w:lineRule="exact"/>
        <w:rPr>
          <w:rFonts w:ascii="Times New Roman" w:cs="Times New Roman" w:eastAsia="Times New Roman" w:hAnsi="Times New Roman"/>
          <w:sz w:val="17"/>
          <w:szCs w:val="17"/>
          <w:color w:val="auto"/>
        </w:rPr>
      </w:pPr>
    </w:p>
    <w:p>
      <w:pPr>
        <w:ind w:left="860" w:hanging="542"/>
        <w:spacing w:after="0"/>
        <w:tabs>
          <w:tab w:leader="none" w:pos="86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environmental protection;</w:t>
      </w:r>
    </w:p>
    <w:p>
      <w:pPr>
        <w:spacing w:after="0" w:line="11" w:lineRule="exact"/>
        <w:rPr>
          <w:rFonts w:ascii="Times New Roman" w:cs="Times New Roman" w:eastAsia="Times New Roman" w:hAnsi="Times New Roman"/>
          <w:sz w:val="17"/>
          <w:szCs w:val="17"/>
          <w:color w:val="auto"/>
        </w:rPr>
      </w:pPr>
    </w:p>
    <w:p>
      <w:pPr>
        <w:ind w:left="800" w:hanging="482"/>
        <w:spacing w:after="0"/>
        <w:tabs>
          <w:tab w:leader="none" w:pos="80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consumer and data protection;</w:t>
      </w:r>
    </w:p>
    <w:p>
      <w:pPr>
        <w:spacing w:after="0" w:line="11" w:lineRule="exact"/>
        <w:rPr>
          <w:rFonts w:ascii="Times New Roman" w:cs="Times New Roman" w:eastAsia="Times New Roman" w:hAnsi="Times New Roman"/>
          <w:sz w:val="17"/>
          <w:szCs w:val="17"/>
          <w:color w:val="auto"/>
        </w:rPr>
      </w:pPr>
    </w:p>
    <w:p>
      <w:pPr>
        <w:ind w:left="740" w:hanging="422"/>
        <w:spacing w:after="0"/>
        <w:tabs>
          <w:tab w:leader="none" w:pos="7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payment card industry data security standards;</w:t>
      </w:r>
    </w:p>
    <w:p>
      <w:pPr>
        <w:spacing w:after="0" w:line="11" w:lineRule="exact"/>
        <w:rPr>
          <w:rFonts w:ascii="Times New Roman" w:cs="Times New Roman" w:eastAsia="Times New Roman" w:hAnsi="Times New Roman"/>
          <w:sz w:val="17"/>
          <w:szCs w:val="17"/>
          <w:color w:val="auto"/>
        </w:rPr>
      </w:pPr>
    </w:p>
    <w:p>
      <w:pPr>
        <w:ind w:left="740" w:hanging="422"/>
        <w:spacing w:after="0"/>
        <w:tabs>
          <w:tab w:leader="none" w:pos="7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government contracting and procurement;</w:t>
      </w:r>
    </w:p>
    <w:p>
      <w:pPr>
        <w:spacing w:after="0" w:line="11" w:lineRule="exact"/>
        <w:rPr>
          <w:rFonts w:ascii="Times New Roman" w:cs="Times New Roman" w:eastAsia="Times New Roman" w:hAnsi="Times New Roman"/>
          <w:sz w:val="17"/>
          <w:szCs w:val="17"/>
          <w:color w:val="auto"/>
        </w:rPr>
      </w:pPr>
    </w:p>
    <w:p>
      <w:pPr>
        <w:ind w:left="740" w:hanging="422"/>
        <w:spacing w:after="0"/>
        <w:tabs>
          <w:tab w:leader="none" w:pos="7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anti-trust and other applicable competition laws;</w:t>
      </w:r>
    </w:p>
    <w:p>
      <w:pPr>
        <w:spacing w:after="0" w:line="11" w:lineRule="exact"/>
        <w:rPr>
          <w:rFonts w:ascii="Times New Roman" w:cs="Times New Roman" w:eastAsia="Times New Roman" w:hAnsi="Times New Roman"/>
          <w:sz w:val="17"/>
          <w:szCs w:val="17"/>
          <w:color w:val="auto"/>
        </w:rPr>
      </w:pPr>
    </w:p>
    <w:p>
      <w:pPr>
        <w:ind w:left="740" w:hanging="422"/>
        <w:spacing w:after="0"/>
        <w:tabs>
          <w:tab w:leader="none" w:pos="7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anti-money laundering rules and regulations;</w:t>
      </w:r>
    </w:p>
    <w:p>
      <w:pPr>
        <w:spacing w:after="0" w:line="11" w:lineRule="exact"/>
        <w:rPr>
          <w:rFonts w:ascii="Times New Roman" w:cs="Times New Roman" w:eastAsia="Times New Roman" w:hAnsi="Times New Roman"/>
          <w:sz w:val="17"/>
          <w:szCs w:val="17"/>
          <w:color w:val="auto"/>
        </w:rPr>
      </w:pPr>
    </w:p>
    <w:p>
      <w:pPr>
        <w:ind w:left="720" w:hanging="402"/>
        <w:spacing w:after="0"/>
        <w:tabs>
          <w:tab w:leader="none" w:pos="7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reporting and licensing requirements; and</w:t>
      </w:r>
    </w:p>
    <w:p>
      <w:pPr>
        <w:spacing w:after="0" w:line="11" w:lineRule="exact"/>
        <w:rPr>
          <w:rFonts w:ascii="Times New Roman" w:cs="Times New Roman" w:eastAsia="Times New Roman" w:hAnsi="Times New Roman"/>
          <w:sz w:val="17"/>
          <w:szCs w:val="17"/>
          <w:color w:val="auto"/>
        </w:rPr>
      </w:pPr>
    </w:p>
    <w:p>
      <w:pPr>
        <w:ind w:left="840" w:hanging="522"/>
        <w:spacing w:after="0"/>
        <w:tabs>
          <w:tab w:leader="none" w:pos="8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hazardous waste disposal.</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If we fail to comply with these laws or regulations, we could be subject to substantial fines or penalties or to civil or criminal liability. In addition, compliance with existing and future laws regulating the delivery of fuel by barge, truck or railcar, fuel storage terminals and underground storage tanks that we own or operate may require significant capital expenditures and increased operating and maintenance costs. To the extent that we use third parties in our operations, we are also subject to the risk that we would be held accountable for the failure of these third parties to comply with the laws and regulations of the U.S. and various international jurisdictions. Any significant fines and costs incurred as a result of such regulations could have a material adverse effect on our business and results of operations.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Our business is dependent on the ability to obtain financing to meet our capital requirements and fund our future growth, which may be particularly difficult to obtain if there is volatility in the credit or capital markets.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rely on credit arrangements with banks, suppliers and other parties as a significant source of liquidity for capital requirements not satisfied by operating cash flow. Any inability to obtain credit as and when we need it on commercially reasonable terms or at all, such as in the event there is a substantial tightening of the global credit markets or a significant reduction in supplier trade credit, could have a negative impact on our business, financial condition, and cash flows, as well as our future development and growth. Furthermore, if we are unable to obtain debt financing and instead raise capital through an equity issuance, existing shareholders would be diluted. Even if we are able to obtain debt financing, the restrictions creditors may place on our operations and our increased interest expense and leverage could limit our ability to grow.</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Reduced sales to our government customers could adversely affect our profitability.</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U.S. and foreign government budget constraints and the scheduled withdrawal of armed forces from Afghanistan are expected to result in a decrease in defense spending, which in turn could cause a significant reduction in sales and related profit in our government services business. Furthermore, profitability associated with our government services business may fluctuate significantly from time to time as a result of the commencement, extension or completion of existing and new government contracts. As a result of complex logistics and extended payment terms for our government customers, sales of products and services to such customers generally carry higher margins than sales to other customers. Accordingly, a decrease in government sales could contribute disproportionately to a reduction in our gross margin and profitability and such decrease could be sudden. The loss of a significant government customer or a material reduction in sales to government customers could adversely affect our business, financial condition, results of operations and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the market price of fuel may have a material adverse effect on our business.</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Fuel prices have been extremely volatile in the recent past, may be volatile in the future and depend on factors outside of our control, such as:</w:t>
      </w:r>
    </w:p>
    <w:p>
      <w:pPr>
        <w:spacing w:after="0" w:line="103" w:lineRule="exact"/>
        <w:rPr>
          <w:sz w:val="20"/>
          <w:szCs w:val="20"/>
          <w:color w:val="auto"/>
        </w:rPr>
      </w:pPr>
    </w:p>
    <w:p>
      <w:pPr>
        <w:ind w:left="560" w:hanging="242"/>
        <w:spacing w:after="0"/>
        <w:tabs>
          <w:tab w:leader="none" w:pos="5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global economic conditions;</w:t>
      </w:r>
    </w:p>
    <w:p>
      <w:pPr>
        <w:spacing w:after="0" w:line="7" w:lineRule="exact"/>
        <w:rPr>
          <w:rFonts w:ascii="Times New Roman" w:cs="Times New Roman" w:eastAsia="Times New Roman" w:hAnsi="Times New Roman"/>
          <w:sz w:val="17"/>
          <w:szCs w:val="17"/>
          <w:color w:val="auto"/>
        </w:rPr>
      </w:pPr>
    </w:p>
    <w:p>
      <w:pPr>
        <w:ind w:left="440" w:hanging="122"/>
        <w:spacing w:after="0"/>
        <w:tabs>
          <w:tab w:leader="none" w:pos="44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global crude oil and natural gas prices;</w:t>
      </w:r>
    </w:p>
    <w:p>
      <w:pPr>
        <w:spacing w:after="0" w:line="11" w:lineRule="exact"/>
        <w:rPr>
          <w:rFonts w:ascii="Times New Roman" w:cs="Times New Roman" w:eastAsia="Times New Roman" w:hAnsi="Times New Roman"/>
          <w:sz w:val="17"/>
          <w:szCs w:val="17"/>
          <w:color w:val="auto"/>
        </w:rPr>
      </w:pPr>
    </w:p>
    <w:p>
      <w:pPr>
        <w:ind w:left="440" w:hanging="122"/>
        <w:spacing w:after="0"/>
        <w:tabs>
          <w:tab w:leader="none" w:pos="44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expected and actual supply and demand for fuel;</w:t>
      </w:r>
    </w:p>
    <w:p>
      <w:pPr>
        <w:spacing w:after="0" w:line="11" w:lineRule="exact"/>
        <w:rPr>
          <w:rFonts w:ascii="Times New Roman" w:cs="Times New Roman" w:eastAsia="Times New Roman" w:hAnsi="Times New Roman"/>
          <w:sz w:val="17"/>
          <w:szCs w:val="17"/>
          <w:color w:val="auto"/>
        </w:rPr>
      </w:pPr>
    </w:p>
    <w:p>
      <w:pPr>
        <w:ind w:left="600" w:hanging="282"/>
        <w:spacing w:after="0"/>
        <w:tabs>
          <w:tab w:leader="none" w:pos="60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geopolitical conditions;</w:t>
      </w:r>
    </w:p>
    <w:p>
      <w:pPr>
        <w:spacing w:after="0" w:line="11" w:lineRule="exact"/>
        <w:rPr>
          <w:rFonts w:ascii="Times New Roman" w:cs="Times New Roman" w:eastAsia="Times New Roman" w:hAnsi="Times New Roman"/>
          <w:sz w:val="17"/>
          <w:szCs w:val="17"/>
          <w:color w:val="auto"/>
        </w:rPr>
      </w:pPr>
    </w:p>
    <w:p>
      <w:pPr>
        <w:ind w:left="380" w:right="20" w:hanging="52"/>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laws and regulations related to environmental matters, including those mandating or incentivizing alternative energy sources or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otherwise addressing global climate change;</w:t>
      </w:r>
    </w:p>
    <w:p>
      <w:pPr>
        <w:ind w:left="380" w:hanging="62"/>
        <w:spacing w:after="0"/>
        <w:tabs>
          <w:tab w:leader="none" w:pos="3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pricing or production controls by various organizations and oil producing countries;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ind w:left="400" w:hanging="82"/>
        <w:spacing w:after="0"/>
        <w:tabs>
          <w:tab w:leader="none" w:pos="40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technological advances affecting energy consumption or supply;</w:t>
      </w:r>
    </w:p>
    <w:p>
      <w:pPr>
        <w:spacing w:after="0" w:line="33" w:lineRule="exact"/>
        <w:rPr>
          <w:rFonts w:ascii="Times New Roman" w:cs="Times New Roman" w:eastAsia="Times New Roman" w:hAnsi="Times New Roman"/>
          <w:sz w:val="17"/>
          <w:szCs w:val="17"/>
          <w:color w:val="auto"/>
        </w:rPr>
      </w:pPr>
    </w:p>
    <w:p>
      <w:pPr>
        <w:ind w:left="540" w:hanging="222"/>
        <w:spacing w:after="0"/>
        <w:tabs>
          <w:tab w:leader="none" w:pos="54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energy conservation efforts;</w:t>
      </w:r>
    </w:p>
    <w:p>
      <w:pPr>
        <w:spacing w:after="0" w:line="11" w:lineRule="exact"/>
        <w:rPr>
          <w:rFonts w:ascii="Times New Roman" w:cs="Times New Roman" w:eastAsia="Times New Roman" w:hAnsi="Times New Roman"/>
          <w:sz w:val="17"/>
          <w:szCs w:val="17"/>
          <w:color w:val="auto"/>
        </w:rPr>
      </w:pPr>
    </w:p>
    <w:p>
      <w:pPr>
        <w:ind w:left="460" w:hanging="142"/>
        <w:spacing w:after="0"/>
        <w:tabs>
          <w:tab w:leader="none" w:pos="46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price and availability of alternative fuels; and</w:t>
      </w:r>
    </w:p>
    <w:p>
      <w:pPr>
        <w:spacing w:after="0" w:line="11" w:lineRule="exact"/>
        <w:rPr>
          <w:rFonts w:ascii="Times New Roman" w:cs="Times New Roman" w:eastAsia="Times New Roman" w:hAnsi="Times New Roman"/>
          <w:sz w:val="17"/>
          <w:szCs w:val="17"/>
          <w:color w:val="auto"/>
        </w:rPr>
      </w:pPr>
    </w:p>
    <w:p>
      <w:pPr>
        <w:ind w:left="1040" w:hanging="722"/>
        <w:spacing w:after="0"/>
        <w:tabs>
          <w:tab w:leader="none" w:pos="104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weather.</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If fuel prices increase, our customers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or comply with new environmental regulations to obtain associated incentives. For example, in the shipping industry a number of container ships are sailing at reduced speeds, known as “slow steaming,” to conserve fuel and reduce carbon emissions. In any such event, there can be no assurance that the volume of orders from our customers will increase again or that we will be able to replace lost volumes with new customers. In addition, if fuel prices increase, our own credit limits could prevent us from purchasing enough fuel from our suppliers to meet our customers’ demands or could require us to prepay for fuel purchases which would impair our liquidity.</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also maintain fuel inventories for competitive or logistical reasons. Because fuel is a commodity, we have no control over the changing market value of our inventory. Our inventory is valued using the average cost methodology and is stated at the lower of average cost or market. A rapid decline in fuel prices could cause our inventory value to be higher than market, resulting in our inventory being marked down to market or the inventory itself sold at lower prices. While we attempt to mitigate these fluctuations such as these through hedging, there can be no assurance that such hedges will be effective. Accordingly, if the market value of our inventory is less than our average cost and to the extent our hedges are ineffective, we would record a write down of inventory and a non-cash charge to cost of revenue, which would adversely impact our earnings.</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7"/>
          <w:szCs w:val="17"/>
          <w:b w:val="1"/>
          <w:bCs w:val="1"/>
          <w:color w:val="auto"/>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Because we offer fuel products and services on a worldwide basis, our business is subject to risks associated with doing business internationally. Our business and future operating results could be harmed by a variety of factors, including:</w:t>
      </w:r>
    </w:p>
    <w:p>
      <w:pPr>
        <w:spacing w:after="0" w:line="103" w:lineRule="exact"/>
        <w:rPr>
          <w:sz w:val="20"/>
          <w:szCs w:val="20"/>
          <w:color w:val="auto"/>
        </w:rPr>
      </w:pPr>
    </w:p>
    <w:p>
      <w:pPr>
        <w:ind w:left="380" w:hanging="52"/>
        <w:spacing w:after="0" w:line="22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trade protection measures and import, export and other licensing requirements, which could increase our costs or prevent us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from doing certain business internationally;</w:t>
      </w:r>
    </w:p>
    <w:p>
      <w:pPr>
        <w:ind w:left="400" w:hanging="82"/>
        <w:spacing w:after="0"/>
        <w:tabs>
          <w:tab w:leader="none" w:pos="40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hiring and retaining senior management for overseas operations;</w:t>
      </w:r>
    </w:p>
    <w:p>
      <w:pPr>
        <w:spacing w:after="0" w:line="11" w:lineRule="exact"/>
        <w:rPr>
          <w:rFonts w:ascii="Times New Roman" w:cs="Times New Roman" w:eastAsia="Times New Roman" w:hAnsi="Times New Roman"/>
          <w:sz w:val="17"/>
          <w:szCs w:val="17"/>
          <w:color w:val="auto"/>
        </w:rPr>
      </w:pPr>
    </w:p>
    <w:p>
      <w:pPr>
        <w:ind w:left="380" w:hanging="62"/>
        <w:spacing w:after="0"/>
        <w:tabs>
          <w:tab w:leader="none" w:pos="38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difficulty in staffing and managing widespread operations, which could reduce our productivity;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unexpected changes in regulatory requirements, which may be costly and require significant time to implement;</w:t>
      </w:r>
    </w:p>
    <w:p>
      <w:pPr>
        <w:spacing w:after="0" w:line="11" w:lineRule="exact"/>
        <w:rPr>
          <w:sz w:val="20"/>
          <w:szCs w:val="20"/>
          <w:color w:val="auto"/>
        </w:rPr>
      </w:pPr>
    </w:p>
    <w:p>
      <w:pPr>
        <w:ind w:left="380" w:hanging="52"/>
        <w:spacing w:after="0" w:line="23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laws restricting us from repatriating profits earned from our activities within foreign countries, including the payment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distributions;</w:t>
      </w:r>
    </w:p>
    <w:p>
      <w:pPr>
        <w:ind w:left="380" w:right="20" w:hanging="52"/>
        <w:spacing w:after="0" w:line="23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governmental actions that may result in the deprivation of our contractual rights or the inability to obtain or retain authorizations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required to conduct our business;</w:t>
      </w:r>
    </w:p>
    <w:p>
      <w:pPr>
        <w:ind w:left="440" w:hanging="122"/>
        <w:spacing w:after="0"/>
        <w:tabs>
          <w:tab w:leader="none" w:pos="44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political risks specific to foreign jurisdictions; and</w:t>
      </w:r>
    </w:p>
    <w:p>
      <w:pPr>
        <w:spacing w:after="0" w:line="11" w:lineRule="exact"/>
        <w:rPr>
          <w:rFonts w:ascii="Times New Roman" w:cs="Times New Roman" w:eastAsia="Times New Roman" w:hAnsi="Times New Roman"/>
          <w:sz w:val="17"/>
          <w:szCs w:val="17"/>
          <w:color w:val="auto"/>
        </w:rPr>
      </w:pPr>
    </w:p>
    <w:p>
      <w:pPr>
        <w:ind w:left="440" w:hanging="122"/>
        <w:spacing w:after="0"/>
        <w:tabs>
          <w:tab w:leader="none" w:pos="44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terrorism, war, civil unrest and natural disasters.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particular, we operate in certain international markets which have been plagued by corruption and have uncertain regulatory environments, either of which could have a negative impact on our operations there. Furthermore, many countries in which we operate have historically been, and may continue to be, susceptible to recessions or currency devaluation.</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also operate in certain high risk locations that have been experiencing military action or continued unrest which could disrupt the supply of fuel or otherwise disrupt our operations in those areas. In these high risk locations, we may also incur substantial operating costs, including maintaining the safety of our personnel. Furthermore, we cannot guarantee the safety of our personnel in these locations and there is a risk of serious injury or loss of life of employees or subcontractors.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color w:val="auto"/>
        </w:rPr>
        <w:t>Due to our international operations, we are subject to U.S. and international laws, including U.S. economic sanctions, the Foreign Corrupt Practices Act (“FCPA”) and similar anti-bribery laws, which can impose significant compliance costs and subject us to civil or criminal penalties for non-compliance.</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Doing business on a worldwide basis requires us to comply with the laws and regulations of the U.S. government and various international jurisdictions. These regulations place restrictions on our operations, trade practices and partners and investment decisions. In particular, our international operations are subject to U.S. and foreign anti-corruption laws and regulations, such as the Foreign Corrupt Practices Act (“FCPA”) and the U.K. Anti Bribery Act, and economic sanction programs administered by the U.S. Treasury Department’s Office of Foreign Assets Control (“OFAC”). The FCPA prohibits us from providing anything of value to foreign officials for the purposes of influencing official decisions or obtaining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retaining business and the U.K. Anti Bribery Act prohibits bribery both in the United Kingdom and internationally, as well as bribery across public and private sectors. As part of our business, we regularly deal with state owned business enterprises, the employees of which may be considered foreign officials for purposes of the FCPA. In addition, some of the international locations in which we operate lack a developed legal system and have higher than normal levels of corruption. Our activities in these countries create the risk of improper payments or offers of payments by one of our employees or other parties acting on our behalf.</w:t>
      </w:r>
    </w:p>
    <w:p>
      <w:pPr>
        <w:spacing w:after="0" w:line="14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Furthermore, economic sanctions programs are complex, restrict our business dealings with certain countries and individuals, and are constantly changing. Further restrictions may be enacted, amended, enforced or interpreted in a manner that materially impacts our operations. From time to time, certain of our subsidiaries have limited business dealings in countries subject to comprehensive OFAC administered sanctions, specifically Cuba, Iran, Syria and Sudan. These business dealings, which represent an insignificant amount of our consolidated revenues and income, generally consist of the purchase of overflight permits and the provision of flight support and fuel services pursuant to licenses issued by OFAC or as otherwise permitted by U.S. sanctions regulations. As a result of the above activities, we are exposed to a heightened risk of violating anti-corruption laws and OFAC regulations. Violations of these regulations are punishable by civil penalties, including fines, denial of export privileges, injunctions, asset seizures, debarment from government contracts and revocations or restrictions of licenses, as well as criminal fines and imprisonment.</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have established policies and procedures designed to assist with our compliance with applicable U.S. and international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 In addition, such a violation could also cause an event of default under our Credit Facility, which if not waived, could adversely affect our business, financial condition, results of operations and cash flows. Finally, various state and municipal governments, universities and other investors maintain prohibitions or restrictions on investments in companies that do business with sanctioned countries, which could adversely affect the market for our securities.</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December 8, 2009, we received an administrative subpoena from OFAC requesting information regarding our transactions involving Sudanese overflight payments since June 30, 2008. We responded to the subpoena and identified a small number of sanctioned country related transactions which took place after our license had expired that may have resulted in violations of U.S. sanctions regulations or our OFAC issued license. In our response to OFAC, we noted that the transactions we identified as potential violations resulted in very small amounts of revenue to us. We have also taken various remedial actions to further strengthen our compliance related policies and procedures. Nevertheless, should OFAC determine that these activities constituted violations of U.S. sanctions regulations, civil penalties, including fines, could be assessed against us. Additionally, in the course of its ongoing review, OFAC could request additional information from us, in the form of additional subpoenas or otherwise, and we intend to fully cooperate with any such additional subpoenas or requests. We cannot predict the ultimate outcome of the OFAC review, the total costs to be incurred in response to this review, the potential impact on our personnel, the effect of implementing any further measures that may be necessary to ensure full compliance with U.S. sanctions regulations or to what extent, if at all, we could be subject to fines, sanctions or other penalties.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If we are unable to retain our senior management and key employees, our business and results of operations could be harmed.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ability to maintain our competitive position is largely dependent on the services of our senior management and key personnel. Although we have employment or severance agreements with certain of our key employees, these agreements do not prevent those individuals from ceasing their employment with us at any time. If we are unable to retain existing senior management and key personnel, or to attract other qualified senior management and key personnel on terms satisfactory to us, our business could be adversely affected. While we maintain key man life insurance with respect to certain members of senior management, our coverage levels may not be sufficient to offset any losses we may incur and there is no assurance that we will continue to maintain key man life insurance in the future.</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Our failure to comply with the requirements of our Credit Facility and Term Loans could adversely affect our operating flexibility.</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have the ability to borrow money pursuant to a Credit Facility and Term Loans that impose certain operating and financial covenants on us, which restrict our ability to (i) pay dividends, (ii) incur additional debt, (iii) create liens, (iv) make restricted payments, (v) sell assets and (vi) engage in mergers or acquisitions. Our failure to comply with the requirements of these facilities, including meeting certain financial ratios or other covenants, could result in an event of default. An event of default, if not cured or waived, would permit acceleration of any outstanding indebtedness under these facilities, could trigger cross defaults under other agreements to which we are a party (such as certain derivative contracts), and would impair our ability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obtain working capital advances and letters of credit, any of which could have a material adverse effect on our business, financial condition, results of operations and cash flows.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Our operations may be adversely affected by legislation as well as competition from other energy sources and new or advanced technology.</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Fuel competes with other sources of energy, some of which are less costly on an equivalent energy basis. There are significant governmental incentives and consumer pressures to increase the use of alternative fuels in the United States and abroad. A number of automotive, industrial and power generation manufacturers are developing more fuel efficient engines, hybrid engines and alternative clean power systems using fuel cells or clean burning gaseous fuels. The more successful these alternatives become as a result of governmental incentives or regulations, technological advances, consumer demand, improved pricing or otherwise, the greater the potential negative impact on pricing and demand for our products and services and accordingly, our profitability.</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federal, state, local and/or foreign governments may enact legislation or regulations that attempt to control or limit GHGs such as carbon dioxide. Such laws or regulations could impose costs tied to carbon emissions, operational requirements or restrictions, or additional charges to fund energy efficiency activities. They could also provide a cost advantage to alternative energy sources, result in other costs or requirements, such as costs associated with the adoption of new infrastructure and technology to respond to new mandates, or impose costs or restrictions on end users of fuel. For example, some of our customers in the transportation industry may be required to purchase allowances or offsets or incur other costs to comply with existing or future requirements relating to GHG. Finally, the focus on climate change could also negatively impact the reputation of fuel products or services such as those we offer. The occurrence of any of the foregoing events could put upward pressure on the cost of fuel relative to other energy sources, increase our costs and the prices we charge our customers, reduce the demand for our products, and therefore adversely affect our business, financial condition, results of operations and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disruptions in the availability or supply of fuel would adversely affect our business.</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success of a significant portion of our business depends on our ability to purchase, sell and coordinate delivery of fuel and fuel related services to our customers. Our business would be adversely affected to the extent that political instability, natural disasters, terrorist activity, military action or other conditions disrupt the availability or supply of fuel.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and future litigation could have a material adverse effect on our business and results of operations.</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are currently involved in legal proceedings that have arisen in the ordinary course of our business. Lawsuits and other administrative or legal proceedings can involve substantial costs, including the costs associated with investigation, litigation and possible settlement, judgment, penalty or fine. Although we generally maintain insurance to mitigate certain costs, there can be no assurance that costs associated with lawsuits or other legal proceedings will not exceed the limits of insurance policies. Our business, financial condition, results of operations and cash flows could be adversely affected if a judgment, penalty or fine is not fully covered by insurance.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U.S. or foreign tax laws could adversely affect our business and future operating results.</w:t>
      </w:r>
    </w:p>
    <w:p>
      <w:pPr>
        <w:spacing w:after="0" w:line="2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are affected by various U.S. and foreign taxes, including income taxes and taxes imposed on the purchase and sale of aviation, marine and land fuel products, such as sales, excise, value added tax, energy, environmental and other taxes. From time to time, we may also benefit from special tax concessions in certain jurisdictions. Changes in U.S. and foreign tax laws, our failure to comply with such laws or the loss of tax concessions could adversely affect our business, financial condition, results of operations and cash flows.</w:t>
      </w:r>
    </w:p>
    <w:p>
      <w:pPr>
        <w:spacing w:after="0" w:line="3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Furthermore, significant judgment is required in determining our worldwide provision for income taxes. In the ordinary course of our business, there are many transactions and calculations where the ultimate tax determination is uncertain. We are regularly under audit by tax authorities and, although we believe our tax estimates are reasonable, the final determination of tax audits and any related litigation could be materially different from our historical income tax provisions and accruals. The results of an audit or litigation could have a material effect on our financial statements in the period or periods for which that determination is made.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Finally, we earn a significant amount of our operating income from outside the U.S., and any repatriation of funds currently held in foreign jurisdictions to the U.S. may result in higher effective income tax rates for the Company. In addition, there have been proposals to change U.S. income tax laws that would significantly impact how U.S. multinational corporations are taxed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foreign earnings. Although we cannot predict whether or in what form any proposed legislation may pass, if enacted it could have a material adverse impact on our income tax expense, financial condition, results of operations and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Fluctuations in foreign exchange rates could materially affect our financial condition and results of operations.</w:t>
      </w:r>
    </w:p>
    <w:p>
      <w:pPr>
        <w:spacing w:after="0" w:line="2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majority of our business transactions are denominated in U.S. dollars. In certain markets, however, payments to some of our fuel suppliers and from some of our customers are denominated in local currency. We also have certain liabilities, primarily for local operations, including income and transactional taxes, which are denominated in foreign currencies. This subjects us to foreign currency exchange risk. Although we generally use hedging strategies to manage and minimize the impact of foreign currency exchange risk when available, these hedges may be costly and at any given time, only a portion of this risk may be hedged. Accordingly, our exposure to this risk may be substantial and fluctuations in foreign exchange rates could adversely affect our profitability.</w:t>
      </w:r>
    </w:p>
    <w:p>
      <w:pPr>
        <w:spacing w:after="0" w:line="3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many of our customers are based outside of the U.S. and may be required to purchase U.S. dollars to pay for our products and services. A rapid depreciation or devaluation in currency that affects our customers could have an adverse effect on their operations and their ability to convert local currency to U.S. dollars in order to make required payments to us. This could, in turn, increase our credit losses and adversely affect our business, financial condition, results of operations and cash flows.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We face intense competition and, if we are not able to effectively compete in our markets, our revenues and profits may decrease.</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we do, to relatively small and specialized firms. In addition to competing with fuel resellers, we also compete with the major oil producers that market fuel directly to the large commercial airlines, shipping companies and petroleum distributors. Although many major oil companies have been divesting their downstream assets, some continue to compete with us in certain markets while others may decide to reenter the market in the future. Our business could be adversely affected because of increased competition from these oil companies, who may choose to increase their direct marketing in order to compete with us or provide less advantageous price and credit terms to us than to our fuel reseller competitors.</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cash equivalents and investments are subject to risks that may cause illiquidity and losses from declines in value.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Our cash equivalents, principally consisting of overnight investments, bank money market accounts and bank time deposits are subject to credit, liquidity, market and interest rate risk, which can be exacerbated by volatility in the capital markets. Adverse changes in this respect can result in the decline of the fair value of our cash equivalents and therefore our liquidity, which could materially affect our business,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and proposed derivatives legislation and rulemaking could have a material adverse effect on our business.</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Dodd Frank Wall Street Transparency and Accountability Act of 2010 (the “Act”) provides for federal regulation of the over the counter derivative markets both for commodities and securities, and gives the U.S. Commodity Futures Trading Commission (“CFTC”) and the SEC broad authority to regulate such markets and its participants. This includes, among others, derivative transactions linked to crude oil, refined products and natural gas prices. The CFTC and the SEC are continuing to consider, finalize and implement rules governing, among other things, where swaps are transacted (on exchange versus off exchange); how they are transacted (cleared versus uncleared; margined versus unmargined); the differing responsibilities of those who participate in over the counter derivatives (end users, swap dealers, major swap participants); and the application of cross border rules in the global derivatives markets. Further, regulations setting limits on the size of a party’s derivative positions in major energy markets were adopted by the CFTC but vacated after a successful challenge in federal court. In November 2013, the CFTC re-proposed new position limits rules, which would limit trading in options, futures, and swaps contracts related to certain agricultural, metal, and energy commodities, including energy commodities in which we currently engage in derivative transactions. Such rules have not been finalized, and we cannot currently predict whether or when the re-proposed rules will be adopted or the effect of the final rules, if any, on our businesses. Furthermore, certain of the other requirements under the Act have taken effect and other regulations that could have a significant impact on us are expected to be finalized in the near future.</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various foreign jurisdictions have adopted or are in the process of adopting legislation regulating the use of derivatives, including Singapore and Europe, where we currently conduct certain derivatives related activities.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regulations are finalized, adopted and implemented, we continue to evaluate how legislation will impact our ability to conduct our business. In particular, the Act and any new (or newly implemented) regulations and international legislation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could significantly increase the cost of our derivative contracts (including through requirements to post collateral, which could adversely affect our cash flows and liquidity, or subject us directly or indirectly to reporting requirements), materially alter the terms of our derivative contracts, reduce our ability to offer derivative and other price management products to our customers, reduce the demand for our price risk management services, reduce the availability of derivatives to protect against risks we encounter, increase price volatility in commodities we buy and sell (and derivatives related to those commodities), affect cash flow and liquidity due to margin calls, reduce our ability to monetize or restructure our existing commodity price contracts, and increase our exposure to less creditworthy counterparties. If the increased cost of derivative contracts is significant or we reduce or limit our derivatives activities as a result of any such legislation or rules, our profitability and results of operations could be adversely affected. Any of these consequences could have a material adverse effect on us, our financial condition, and our results of operations and cash flows.</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1B. Unresolved Staff Comments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Properties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following table sets forth our principal properties, the majority of which are leased, as of February 5, 2015. We consider all of our properties and facilities to be suitable and adequate for our present needs and do not anticipate that we will experience difficulty in renewing or replacing those leases that expire in 2015 in any material respect.</w:t>
      </w:r>
    </w:p>
    <w:p>
      <w:pPr>
        <w:spacing w:after="0" w:line="138" w:lineRule="exact"/>
        <w:rPr>
          <w:sz w:val="20"/>
          <w:szCs w:val="20"/>
          <w:color w:val="auto"/>
        </w:rPr>
      </w:pPr>
    </w:p>
    <w:p>
      <w:pPr>
        <w:ind w:right="4040"/>
        <w:spacing w:after="0" w:line="282" w:lineRule="auto"/>
        <w:rPr>
          <w:sz w:val="20"/>
          <w:szCs w:val="20"/>
          <w:color w:val="auto"/>
        </w:rPr>
      </w:pPr>
      <w:r>
        <w:rPr>
          <w:rFonts w:ascii="Arial" w:cs="Arial" w:eastAsia="Arial" w:hAnsi="Arial"/>
          <w:sz w:val="21"/>
          <w:szCs w:val="21"/>
          <w:b w:val="1"/>
          <w:bCs w:val="1"/>
          <w:color w:val="auto"/>
        </w:rPr>
        <w:t>WORLD FUEL SERVICES CORPORATION AND SUBSIDIARIES PROPERTIES</w:t>
      </w:r>
    </w:p>
    <w:p>
      <w:pPr>
        <w:sectPr>
          <w:pgSz w:w="11900" w:h="16838" w:orient="portrait"/>
          <w:cols w:equalWidth="0" w:num="1">
            <w:col w:w="10180"/>
          </w:cols>
          <w:pgMar w:left="860" w:top="121" w:right="85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w:t>
      </w:r>
    </w:p>
    <w:p>
      <w:pPr>
        <w:spacing w:after="0" w:line="37" w:lineRule="exact"/>
        <w:rPr>
          <w:sz w:val="20"/>
          <w:szCs w:val="20"/>
          <w:color w:val="auto"/>
        </w:rPr>
      </w:pPr>
    </w:p>
    <w:p>
      <w:pPr>
        <w:ind w:right="1220"/>
        <w:spacing w:after="0" w:line="255" w:lineRule="auto"/>
        <w:rPr>
          <w:sz w:val="20"/>
          <w:szCs w:val="20"/>
          <w:color w:val="auto"/>
        </w:rPr>
      </w:pPr>
      <w:r>
        <w:rPr>
          <w:rFonts w:ascii="Arial" w:cs="Arial" w:eastAsia="Arial" w:hAnsi="Arial"/>
          <w:sz w:val="17"/>
          <w:szCs w:val="17"/>
          <w:color w:val="auto"/>
        </w:rPr>
        <w:t>9800 Northwest 41st Street Miami, FL 33178, USA</w:t>
      </w:r>
    </w:p>
    <w:p>
      <w:pPr>
        <w:spacing w:after="0" w:line="195" w:lineRule="exact"/>
        <w:rPr>
          <w:sz w:val="20"/>
          <w:szCs w:val="20"/>
          <w:color w:val="auto"/>
        </w:rPr>
      </w:pPr>
    </w:p>
    <w:p>
      <w:pPr>
        <w:ind w:right="1380"/>
        <w:spacing w:after="0" w:line="255" w:lineRule="auto"/>
        <w:rPr>
          <w:sz w:val="20"/>
          <w:szCs w:val="20"/>
          <w:color w:val="auto"/>
        </w:rPr>
      </w:pPr>
      <w:r>
        <w:rPr>
          <w:rFonts w:ascii="Arial" w:cs="Arial" w:eastAsia="Arial" w:hAnsi="Arial"/>
          <w:sz w:val="17"/>
          <w:szCs w:val="17"/>
          <w:color w:val="auto"/>
        </w:rPr>
        <w:t>3340 S. Harlem Avenue Riverside, IL 60546, USA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62 Buckingham Gate</w:t>
      </w:r>
    </w:p>
    <w:p>
      <w:pPr>
        <w:spacing w:after="0"/>
        <w:rPr>
          <w:sz w:val="20"/>
          <w:szCs w:val="20"/>
          <w:color w:val="auto"/>
        </w:rPr>
      </w:pPr>
      <w:r>
        <w:rPr>
          <w:rFonts w:ascii="Arial" w:cs="Arial" w:eastAsia="Arial" w:hAnsi="Arial"/>
          <w:sz w:val="17"/>
          <w:szCs w:val="17"/>
          <w:color w:val="auto"/>
        </w:rPr>
        <w:t>London, UK SW1E 6AJ</w:t>
      </w:r>
    </w:p>
    <w:p>
      <w:pPr>
        <w:spacing w:after="0" w:line="55" w:lineRule="exact"/>
        <w:rPr>
          <w:sz w:val="20"/>
          <w:szCs w:val="20"/>
          <w:color w:val="auto"/>
        </w:rPr>
      </w:pPr>
    </w:p>
    <w:p>
      <w:pPr>
        <w:ind w:right="1120"/>
        <w:spacing w:after="0" w:line="220" w:lineRule="auto"/>
        <w:rPr>
          <w:sz w:val="20"/>
          <w:szCs w:val="20"/>
          <w:color w:val="auto"/>
        </w:rPr>
      </w:pPr>
      <w:r>
        <w:rPr>
          <w:rFonts w:ascii="Arial" w:cs="Arial" w:eastAsia="Arial" w:hAnsi="Arial"/>
          <w:sz w:val="17"/>
          <w:szCs w:val="17"/>
          <w:color w:val="auto"/>
        </w:rPr>
        <w:t>Kingfisher House North Park Gatwick Road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Crawley, West Sussex, UK RH102XN</w:t>
      </w:r>
    </w:p>
    <w:p>
      <w:pPr>
        <w:spacing w:after="0" w:line="33" w:lineRule="exact"/>
        <w:rPr>
          <w:sz w:val="20"/>
          <w:szCs w:val="20"/>
          <w:color w:val="auto"/>
        </w:rPr>
      </w:pPr>
    </w:p>
    <w:p>
      <w:pPr>
        <w:ind w:right="980"/>
        <w:spacing w:after="0" w:line="198" w:lineRule="exact"/>
        <w:rPr>
          <w:sz w:val="20"/>
          <w:szCs w:val="20"/>
          <w:color w:val="auto"/>
        </w:rPr>
      </w:pPr>
      <w:r>
        <w:rPr>
          <w:rFonts w:ascii="Arial" w:cs="Arial" w:eastAsia="Arial" w:hAnsi="Arial"/>
          <w:sz w:val="17"/>
          <w:szCs w:val="17"/>
          <w:color w:val="auto"/>
        </w:rPr>
        <w:t>238A Thompson Road #17</w:t>
      </w:r>
      <w:r>
        <w:rPr>
          <w:rFonts w:ascii="MS PGothic" w:cs="MS PGothic" w:eastAsia="MS PGothic" w:hAnsi="MS PGothic"/>
          <w:sz w:val="17"/>
          <w:szCs w:val="17"/>
          <w:color w:val="auto"/>
        </w:rPr>
        <w:t>‑</w:t>
      </w:r>
      <w:r>
        <w:rPr>
          <w:rFonts w:ascii="Arial" w:cs="Arial" w:eastAsia="Arial" w:hAnsi="Arial"/>
          <w:sz w:val="17"/>
          <w:szCs w:val="17"/>
          <w:color w:val="auto"/>
        </w:rPr>
        <w:t>03 Novena Square Tower A Singapore 307684</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Office No. 2003, Swiss Tower</w:t>
      </w:r>
    </w:p>
    <w:p>
      <w:pPr>
        <w:ind w:right="520"/>
        <w:spacing w:after="0" w:line="234" w:lineRule="auto"/>
        <w:rPr>
          <w:sz w:val="20"/>
          <w:szCs w:val="20"/>
          <w:color w:val="auto"/>
        </w:rPr>
      </w:pPr>
      <w:r>
        <w:rPr>
          <w:rFonts w:ascii="Arial" w:cs="Arial" w:eastAsia="Arial" w:hAnsi="Arial"/>
          <w:sz w:val="17"/>
          <w:szCs w:val="17"/>
          <w:color w:val="auto"/>
        </w:rPr>
        <w:t>Plot No. Y3, Jumeirah Lakes Towers Dubai, United Arab Emirates</w:t>
      </w:r>
    </w:p>
    <w:p>
      <w:pPr>
        <w:spacing w:after="0" w:line="38" w:lineRule="exact"/>
        <w:rPr>
          <w:sz w:val="20"/>
          <w:szCs w:val="20"/>
          <w:color w:val="auto"/>
        </w:rPr>
      </w:pPr>
    </w:p>
    <w:p>
      <w:pPr>
        <w:ind w:right="1260"/>
        <w:spacing w:after="0" w:line="220" w:lineRule="auto"/>
        <w:rPr>
          <w:sz w:val="20"/>
          <w:szCs w:val="20"/>
          <w:color w:val="auto"/>
        </w:rPr>
      </w:pPr>
      <w:r>
        <w:rPr>
          <w:rFonts w:ascii="Arial" w:cs="Arial" w:eastAsia="Arial" w:hAnsi="Arial"/>
          <w:sz w:val="17"/>
          <w:szCs w:val="17"/>
          <w:color w:val="auto"/>
        </w:rPr>
        <w:t>Av. Rio Branco 181/3602 – Parte, Centro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Rio de Janeiro, Brazil 20040 007</w:t>
      </w:r>
    </w:p>
    <w:p>
      <w:pPr>
        <w:spacing w:after="0" w:line="55" w:lineRule="exact"/>
        <w:rPr>
          <w:sz w:val="20"/>
          <w:szCs w:val="20"/>
          <w:color w:val="auto"/>
        </w:rPr>
      </w:pPr>
    </w:p>
    <w:p>
      <w:pPr>
        <w:ind w:right="760"/>
        <w:spacing w:after="0" w:line="227" w:lineRule="auto"/>
        <w:rPr>
          <w:sz w:val="20"/>
          <w:szCs w:val="20"/>
          <w:color w:val="auto"/>
        </w:rPr>
      </w:pPr>
      <w:r>
        <w:rPr>
          <w:rFonts w:ascii="Arial" w:cs="Arial" w:eastAsia="Arial" w:hAnsi="Arial"/>
          <w:sz w:val="17"/>
          <w:szCs w:val="17"/>
          <w:color w:val="auto"/>
        </w:rPr>
        <w:t>Calle Francisco Sarabia No. 34 B Colonia Penon de los Banos Delegación Venustiano Carranza C.P. 15520, Mexico D.F.</w:t>
      </w:r>
    </w:p>
    <w:p>
      <w:pPr>
        <w:spacing w:after="0" w:line="39" w:lineRule="exact"/>
        <w:rPr>
          <w:sz w:val="20"/>
          <w:szCs w:val="20"/>
          <w:color w:val="auto"/>
        </w:rPr>
      </w:pPr>
    </w:p>
    <w:p>
      <w:pPr>
        <w:jc w:val="both"/>
        <w:ind w:right="540"/>
        <w:spacing w:after="0" w:line="234" w:lineRule="auto"/>
        <w:rPr>
          <w:sz w:val="20"/>
          <w:szCs w:val="20"/>
          <w:color w:val="auto"/>
        </w:rPr>
      </w:pPr>
      <w:r>
        <w:rPr>
          <w:rFonts w:ascii="Arial" w:cs="Arial" w:eastAsia="Arial" w:hAnsi="Arial"/>
          <w:sz w:val="17"/>
          <w:szCs w:val="17"/>
          <w:color w:val="auto"/>
        </w:rPr>
        <w:t>Forum 2, Building N, Level 4, Radial Santa Ana Belén (Lindoral), Pozos, Santa Ana San José, Costa Rica</w:t>
      </w:r>
    </w:p>
    <w:p>
      <w:pPr>
        <w:spacing w:after="0" w:line="38"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555 West Brown Deer Road, Suite 200 Milwaukee, WI 53224, USA</w:t>
      </w:r>
    </w:p>
    <w:p>
      <w:pPr>
        <w:spacing w:after="0" w:line="2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605 North Highway 169, Suite 1100 &amp; 1200 Plymouth, MN 55441, USA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One Mill Street</w:t>
      </w:r>
    </w:p>
    <w:p>
      <w:pPr>
        <w:spacing w:after="0"/>
        <w:rPr>
          <w:sz w:val="20"/>
          <w:szCs w:val="20"/>
          <w:color w:val="auto"/>
        </w:rPr>
      </w:pPr>
      <w:r>
        <w:rPr>
          <w:rFonts w:ascii="Arial" w:cs="Arial" w:eastAsia="Arial" w:hAnsi="Arial"/>
          <w:sz w:val="17"/>
          <w:szCs w:val="17"/>
          <w:color w:val="auto"/>
        </w:rPr>
        <w:t>Parish, NY 13131, USA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Virkelyst 10</w:t>
      </w:r>
    </w:p>
    <w:p>
      <w:pPr>
        <w:spacing w:after="0" w:line="196" w:lineRule="exact"/>
        <w:rPr>
          <w:sz w:val="20"/>
          <w:szCs w:val="20"/>
          <w:color w:val="auto"/>
        </w:rPr>
      </w:pPr>
      <w:r>
        <w:rPr>
          <w:rFonts w:ascii="Arial" w:cs="Arial" w:eastAsia="Arial" w:hAnsi="Arial"/>
          <w:sz w:val="17"/>
          <w:szCs w:val="17"/>
          <w:color w:val="auto"/>
        </w:rPr>
        <w:t>DK</w:t>
      </w:r>
      <w:r>
        <w:rPr>
          <w:rFonts w:ascii="MS PGothic" w:cs="MS PGothic" w:eastAsia="MS PGothic" w:hAnsi="MS PGothic"/>
          <w:sz w:val="17"/>
          <w:szCs w:val="17"/>
          <w:color w:val="auto"/>
        </w:rPr>
        <w:t>‑</w:t>
      </w:r>
      <w:r>
        <w:rPr>
          <w:rFonts w:ascii="Arial" w:cs="Arial" w:eastAsia="Arial" w:hAnsi="Arial"/>
          <w:sz w:val="17"/>
          <w:szCs w:val="17"/>
          <w:color w:val="auto"/>
        </w:rPr>
        <w:t>9400 Nr. Sundby, Denmark</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6000 Metcalf Ln</w:t>
      </w:r>
    </w:p>
    <w:p>
      <w:pPr>
        <w:spacing w:after="0"/>
        <w:rPr>
          <w:sz w:val="20"/>
          <w:szCs w:val="20"/>
          <w:color w:val="auto"/>
        </w:rPr>
      </w:pPr>
      <w:r>
        <w:rPr>
          <w:rFonts w:ascii="Arial" w:cs="Arial" w:eastAsia="Arial" w:hAnsi="Arial"/>
          <w:sz w:val="17"/>
          <w:szCs w:val="17"/>
          <w:color w:val="auto"/>
        </w:rPr>
        <w:t>Shawnee Mission, KS 66202, USA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8650 College Blvd</w:t>
      </w:r>
    </w:p>
    <w:p>
      <w:pPr>
        <w:spacing w:after="0"/>
        <w:rPr>
          <w:sz w:val="20"/>
          <w:szCs w:val="20"/>
          <w:color w:val="auto"/>
        </w:rPr>
      </w:pPr>
      <w:r>
        <w:rPr>
          <w:rFonts w:ascii="Arial" w:cs="Arial" w:eastAsia="Arial" w:hAnsi="Arial"/>
          <w:sz w:val="17"/>
          <w:szCs w:val="17"/>
          <w:color w:val="auto"/>
        </w:rPr>
        <w:t>Overland Park, KS 66210, USA</w:t>
      </w:r>
    </w:p>
    <w:p>
      <w:pPr>
        <w:spacing w:after="0" w:line="5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Causeway End, Brinkworth, Chippenham SN15 5DN, 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300 Flint Ridge Road</w:t>
      </w:r>
    </w:p>
    <w:p>
      <w:pPr>
        <w:spacing w:after="0"/>
        <w:rPr>
          <w:sz w:val="20"/>
          <w:szCs w:val="20"/>
          <w:color w:val="auto"/>
        </w:rPr>
      </w:pPr>
      <w:r>
        <w:rPr>
          <w:rFonts w:ascii="Arial" w:cs="Arial" w:eastAsia="Arial" w:hAnsi="Arial"/>
          <w:sz w:val="17"/>
          <w:szCs w:val="17"/>
          <w:color w:val="auto"/>
        </w:rPr>
        <w:t>Webster, Texas 77598</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tabs>
          <w:tab w:leader="none" w:pos="3720" w:val="left"/>
        </w:tabs>
        <w:rPr>
          <w:sz w:val="20"/>
          <w:szCs w:val="20"/>
          <w:color w:val="auto"/>
        </w:rPr>
      </w:pPr>
      <w:r>
        <w:rPr>
          <w:rFonts w:ascii="Arial" w:cs="Arial" w:eastAsia="Arial" w:hAnsi="Arial"/>
          <w:sz w:val="14"/>
          <w:szCs w:val="14"/>
          <w:b w:val="1"/>
          <w:bCs w:val="1"/>
          <w:color w:val="auto"/>
        </w:rPr>
        <w:t>Principal Use</w:t>
      </w:r>
      <w:r>
        <w:rPr>
          <w:sz w:val="20"/>
          <w:szCs w:val="20"/>
          <w:color w:val="auto"/>
        </w:rPr>
        <w:tab/>
      </w:r>
      <w:r>
        <w:rPr>
          <w:rFonts w:ascii="Arial" w:cs="Arial" w:eastAsia="Arial" w:hAnsi="Arial"/>
          <w:sz w:val="13"/>
          <w:szCs w:val="13"/>
          <w:b w:val="1"/>
          <w:bCs w:val="1"/>
          <w:color w:val="auto"/>
        </w:rPr>
        <w:t>Lease Expiration</w:t>
      </w:r>
    </w:p>
    <w:p>
      <w:pPr>
        <w:spacing w:after="0" w:line="32" w:lineRule="exact"/>
        <w:rPr>
          <w:sz w:val="20"/>
          <w:szCs w:val="20"/>
          <w:color w:val="auto"/>
        </w:rPr>
      </w:pPr>
    </w:p>
    <w:p>
      <w:pPr>
        <w:spacing w:after="0"/>
        <w:tabs>
          <w:tab w:leader="none" w:pos="3720" w:val="left"/>
        </w:tabs>
        <w:rPr>
          <w:sz w:val="20"/>
          <w:szCs w:val="20"/>
          <w:color w:val="auto"/>
        </w:rPr>
      </w:pPr>
      <w:r>
        <w:rPr>
          <w:rFonts w:ascii="Arial" w:cs="Arial" w:eastAsia="Arial" w:hAnsi="Arial"/>
          <w:sz w:val="17"/>
          <w:szCs w:val="17"/>
          <w:color w:val="auto"/>
        </w:rPr>
        <w:t>Executive, administrative, operations and</w:t>
      </w:r>
      <w:r>
        <w:rPr>
          <w:sz w:val="20"/>
          <w:szCs w:val="20"/>
          <w:color w:val="auto"/>
        </w:rPr>
        <w:tab/>
      </w:r>
      <w:r>
        <w:rPr>
          <w:rFonts w:ascii="Arial" w:cs="Arial" w:eastAsia="Arial" w:hAnsi="Arial"/>
          <w:sz w:val="17"/>
          <w:szCs w:val="17"/>
          <w:color w:val="auto"/>
        </w:rPr>
        <w:t>May 2021</w:t>
      </w:r>
    </w:p>
    <w:p>
      <w:pPr>
        <w:ind w:right="2980"/>
        <w:spacing w:after="0" w:line="234" w:lineRule="auto"/>
        <w:rPr>
          <w:sz w:val="20"/>
          <w:szCs w:val="20"/>
          <w:color w:val="auto"/>
        </w:rPr>
      </w:pPr>
      <w:r>
        <w:rPr>
          <w:rFonts w:ascii="Arial" w:cs="Arial" w:eastAsia="Arial" w:hAnsi="Arial"/>
          <w:sz w:val="17"/>
          <w:szCs w:val="17"/>
          <w:color w:val="auto"/>
        </w:rPr>
        <w:t>sales office for corporate, aviation, marine and land segments</w:t>
      </w:r>
    </w:p>
    <w:p>
      <w:pPr>
        <w:spacing w:after="0" w:line="38" w:lineRule="exact"/>
        <w:rPr>
          <w:sz w:val="20"/>
          <w:szCs w:val="20"/>
          <w:color w:val="auto"/>
        </w:rPr>
      </w:pPr>
    </w:p>
    <w:p>
      <w:pPr>
        <w:ind w:right="2000"/>
        <w:spacing w:after="0" w:line="255" w:lineRule="auto"/>
        <w:rPr>
          <w:sz w:val="20"/>
          <w:szCs w:val="20"/>
          <w:color w:val="auto"/>
        </w:rPr>
      </w:pPr>
      <w:r>
        <w:rPr>
          <w:rFonts w:ascii="Arial" w:cs="Arial" w:eastAsia="Arial" w:hAnsi="Arial"/>
          <w:sz w:val="17"/>
          <w:szCs w:val="17"/>
          <w:color w:val="auto"/>
        </w:rPr>
        <w:t>Administrative, operations and sales office for June 2018 land segment</w:t>
      </w:r>
    </w:p>
    <w:p>
      <w:pPr>
        <w:spacing w:after="0" w:line="26" w:lineRule="exact"/>
        <w:rPr>
          <w:sz w:val="20"/>
          <w:szCs w:val="20"/>
          <w:color w:val="auto"/>
        </w:rPr>
      </w:pPr>
    </w:p>
    <w:p>
      <w:pPr>
        <w:ind w:right="2000"/>
        <w:spacing w:after="0" w:line="255" w:lineRule="auto"/>
        <w:rPr>
          <w:sz w:val="20"/>
          <w:szCs w:val="20"/>
          <w:color w:val="auto"/>
        </w:rPr>
      </w:pPr>
      <w:r>
        <w:rPr>
          <w:rFonts w:ascii="Arial" w:cs="Arial" w:eastAsia="Arial" w:hAnsi="Arial"/>
          <w:sz w:val="17"/>
          <w:szCs w:val="17"/>
          <w:color w:val="auto"/>
        </w:rPr>
        <w:t>Administrative, operations and sales office for June 2023 aviation, marine and land segments</w:t>
      </w:r>
    </w:p>
    <w:p>
      <w:pPr>
        <w:spacing w:after="0" w:line="26" w:lineRule="exact"/>
        <w:rPr>
          <w:sz w:val="20"/>
          <w:szCs w:val="20"/>
          <w:color w:val="auto"/>
        </w:rPr>
      </w:pPr>
    </w:p>
    <w:p>
      <w:pPr>
        <w:ind w:right="1520"/>
        <w:spacing w:after="0" w:line="255" w:lineRule="auto"/>
        <w:rPr>
          <w:sz w:val="20"/>
          <w:szCs w:val="20"/>
          <w:color w:val="auto"/>
        </w:rPr>
      </w:pPr>
      <w:r>
        <w:rPr>
          <w:rFonts w:ascii="Arial" w:cs="Arial" w:eastAsia="Arial" w:hAnsi="Arial"/>
          <w:sz w:val="17"/>
          <w:szCs w:val="17"/>
          <w:color w:val="auto"/>
        </w:rPr>
        <w:t>Administrative, operations and sales office for September 2015 aviation and land segments</w:t>
      </w:r>
    </w:p>
    <w:p>
      <w:pPr>
        <w:spacing w:after="0" w:line="195" w:lineRule="exact"/>
        <w:rPr>
          <w:sz w:val="20"/>
          <w:szCs w:val="20"/>
          <w:color w:val="auto"/>
        </w:rPr>
      </w:pPr>
    </w:p>
    <w:p>
      <w:pPr>
        <w:ind w:right="1580"/>
        <w:spacing w:after="0" w:line="255" w:lineRule="auto"/>
        <w:rPr>
          <w:sz w:val="20"/>
          <w:szCs w:val="20"/>
          <w:color w:val="auto"/>
        </w:rPr>
      </w:pPr>
      <w:r>
        <w:rPr>
          <w:rFonts w:ascii="Arial" w:cs="Arial" w:eastAsia="Arial" w:hAnsi="Arial"/>
          <w:sz w:val="17"/>
          <w:szCs w:val="17"/>
          <w:color w:val="auto"/>
        </w:rPr>
        <w:t>Administrative, operations and sales office for December 2015 aviation and marine segments</w:t>
      </w:r>
    </w:p>
    <w:p>
      <w:pPr>
        <w:spacing w:after="0" w:line="190" w:lineRule="exact"/>
        <w:rPr>
          <w:sz w:val="20"/>
          <w:szCs w:val="20"/>
          <w:color w:val="auto"/>
        </w:rPr>
      </w:pPr>
    </w:p>
    <w:p>
      <w:pPr>
        <w:spacing w:after="0"/>
        <w:tabs>
          <w:tab w:leader="none" w:pos="3720" w:val="left"/>
        </w:tabs>
        <w:rPr>
          <w:sz w:val="20"/>
          <w:szCs w:val="20"/>
          <w:color w:val="auto"/>
        </w:rPr>
      </w:pPr>
      <w:r>
        <w:rPr>
          <w:rFonts w:ascii="Arial" w:cs="Arial" w:eastAsia="Arial" w:hAnsi="Arial"/>
          <w:sz w:val="17"/>
          <w:szCs w:val="17"/>
          <w:color w:val="auto"/>
        </w:rPr>
        <w:t>Sales and marketing office for aviation and</w:t>
      </w:r>
      <w:r>
        <w:rPr>
          <w:sz w:val="20"/>
          <w:szCs w:val="20"/>
          <w:color w:val="auto"/>
        </w:rPr>
        <w:tab/>
      </w:r>
      <w:r>
        <w:rPr>
          <w:rFonts w:ascii="Arial" w:cs="Arial" w:eastAsia="Arial" w:hAnsi="Arial"/>
          <w:sz w:val="17"/>
          <w:szCs w:val="17"/>
          <w:color w:val="auto"/>
        </w:rPr>
        <w:t>March 2017</w:t>
      </w:r>
    </w:p>
    <w:p>
      <w:pPr>
        <w:spacing w:after="0"/>
        <w:rPr>
          <w:sz w:val="20"/>
          <w:szCs w:val="20"/>
          <w:color w:val="auto"/>
        </w:rPr>
      </w:pPr>
      <w:r>
        <w:rPr>
          <w:rFonts w:ascii="Arial" w:cs="Arial" w:eastAsia="Arial" w:hAnsi="Arial"/>
          <w:sz w:val="17"/>
          <w:szCs w:val="17"/>
          <w:color w:val="auto"/>
        </w:rPr>
        <w:t>marine segments</w:t>
      </w:r>
    </w:p>
    <w:p>
      <w:pPr>
        <w:spacing w:after="0" w:line="224" w:lineRule="exact"/>
        <w:rPr>
          <w:sz w:val="20"/>
          <w:szCs w:val="20"/>
          <w:color w:val="auto"/>
        </w:rPr>
      </w:pPr>
    </w:p>
    <w:p>
      <w:pPr>
        <w:ind w:right="1580"/>
        <w:spacing w:after="0" w:line="255" w:lineRule="auto"/>
        <w:rPr>
          <w:sz w:val="20"/>
          <w:szCs w:val="20"/>
          <w:color w:val="auto"/>
        </w:rPr>
      </w:pPr>
      <w:r>
        <w:rPr>
          <w:rFonts w:ascii="Arial" w:cs="Arial" w:eastAsia="Arial" w:hAnsi="Arial"/>
          <w:sz w:val="17"/>
          <w:szCs w:val="17"/>
          <w:color w:val="auto"/>
        </w:rPr>
        <w:t>Administrative, operations and sales office for December 2016 aviation, marine and land segments</w:t>
      </w:r>
    </w:p>
    <w:p>
      <w:pPr>
        <w:spacing w:after="0" w:line="195" w:lineRule="exact"/>
        <w:rPr>
          <w:sz w:val="20"/>
          <w:szCs w:val="20"/>
          <w:color w:val="auto"/>
        </w:rPr>
      </w:pPr>
    </w:p>
    <w:p>
      <w:pPr>
        <w:ind w:right="1580"/>
        <w:spacing w:after="0" w:line="255" w:lineRule="auto"/>
        <w:rPr>
          <w:sz w:val="20"/>
          <w:szCs w:val="20"/>
          <w:color w:val="auto"/>
        </w:rPr>
      </w:pPr>
      <w:r>
        <w:rPr>
          <w:rFonts w:ascii="Arial" w:cs="Arial" w:eastAsia="Arial" w:hAnsi="Arial"/>
          <w:sz w:val="17"/>
          <w:szCs w:val="17"/>
          <w:color w:val="auto"/>
        </w:rPr>
        <w:t>Administrative, operations and sales office for Month-to-month aviation segment</w:t>
      </w:r>
    </w:p>
    <w:p>
      <w:pPr>
        <w:spacing w:after="0" w:line="363" w:lineRule="exact"/>
        <w:rPr>
          <w:sz w:val="20"/>
          <w:szCs w:val="20"/>
          <w:color w:val="auto"/>
        </w:rPr>
      </w:pPr>
    </w:p>
    <w:p>
      <w:pPr>
        <w:ind w:right="1900"/>
        <w:spacing w:after="0" w:line="255" w:lineRule="auto"/>
        <w:rPr>
          <w:sz w:val="20"/>
          <w:szCs w:val="20"/>
          <w:color w:val="auto"/>
        </w:rPr>
      </w:pPr>
      <w:r>
        <w:rPr>
          <w:rFonts w:ascii="Arial" w:cs="Arial" w:eastAsia="Arial" w:hAnsi="Arial"/>
          <w:sz w:val="17"/>
          <w:szCs w:val="17"/>
          <w:color w:val="auto"/>
        </w:rPr>
        <w:t>Administrative, operations and sales office for March 2018 aviation and marine segments</w:t>
      </w:r>
    </w:p>
    <w:p>
      <w:pPr>
        <w:spacing w:after="0" w:line="195" w:lineRule="exact"/>
        <w:rPr>
          <w:sz w:val="20"/>
          <w:szCs w:val="20"/>
          <w:color w:val="auto"/>
        </w:rPr>
      </w:pPr>
    </w:p>
    <w:p>
      <w:pPr>
        <w:ind w:right="1760"/>
        <w:spacing w:after="0" w:line="255" w:lineRule="auto"/>
        <w:rPr>
          <w:sz w:val="20"/>
          <w:szCs w:val="20"/>
          <w:color w:val="auto"/>
        </w:rPr>
      </w:pPr>
      <w:r>
        <w:rPr>
          <w:rFonts w:ascii="Arial" w:cs="Arial" w:eastAsia="Arial" w:hAnsi="Arial"/>
          <w:sz w:val="17"/>
          <w:szCs w:val="17"/>
          <w:color w:val="auto"/>
        </w:rPr>
        <w:t>Administrative, operations and sales office for January 2017 land segment</w:t>
      </w:r>
    </w:p>
    <w:p>
      <w:pPr>
        <w:spacing w:after="0" w:line="26" w:lineRule="exact"/>
        <w:rPr>
          <w:sz w:val="20"/>
          <w:szCs w:val="20"/>
          <w:color w:val="auto"/>
        </w:rPr>
      </w:pPr>
    </w:p>
    <w:p>
      <w:pPr>
        <w:ind w:right="2000"/>
        <w:spacing w:after="0" w:line="255" w:lineRule="auto"/>
        <w:rPr>
          <w:sz w:val="20"/>
          <w:szCs w:val="20"/>
          <w:color w:val="auto"/>
        </w:rPr>
      </w:pPr>
      <w:r>
        <w:rPr>
          <w:rFonts w:ascii="Arial" w:cs="Arial" w:eastAsia="Arial" w:hAnsi="Arial"/>
          <w:sz w:val="17"/>
          <w:szCs w:val="17"/>
          <w:color w:val="auto"/>
        </w:rPr>
        <w:t>Administrative, operations and sales office for June 2018 land segment</w:t>
      </w:r>
    </w:p>
    <w:p>
      <w:pPr>
        <w:spacing w:after="0" w:line="26" w:lineRule="exact"/>
        <w:rPr>
          <w:sz w:val="20"/>
          <w:szCs w:val="20"/>
          <w:color w:val="auto"/>
        </w:rPr>
      </w:pPr>
    </w:p>
    <w:p>
      <w:pPr>
        <w:ind w:right="1580"/>
        <w:spacing w:after="0" w:line="255" w:lineRule="auto"/>
        <w:rPr>
          <w:sz w:val="20"/>
          <w:szCs w:val="20"/>
          <w:color w:val="auto"/>
        </w:rPr>
      </w:pPr>
      <w:r>
        <w:rPr>
          <w:rFonts w:ascii="Arial" w:cs="Arial" w:eastAsia="Arial" w:hAnsi="Arial"/>
          <w:sz w:val="17"/>
          <w:szCs w:val="17"/>
          <w:color w:val="auto"/>
        </w:rPr>
        <w:t>Administrative, operations and sales office for December 2015 aviation segment</w:t>
      </w:r>
    </w:p>
    <w:p>
      <w:pPr>
        <w:spacing w:after="0" w:line="26" w:lineRule="exact"/>
        <w:rPr>
          <w:sz w:val="20"/>
          <w:szCs w:val="20"/>
          <w:color w:val="auto"/>
        </w:rPr>
      </w:pPr>
    </w:p>
    <w:p>
      <w:pPr>
        <w:ind w:right="1840"/>
        <w:spacing w:after="0" w:line="255" w:lineRule="auto"/>
        <w:rPr>
          <w:sz w:val="20"/>
          <w:szCs w:val="20"/>
          <w:color w:val="auto"/>
        </w:rPr>
      </w:pPr>
      <w:r>
        <w:rPr>
          <w:rFonts w:ascii="Arial" w:cs="Arial" w:eastAsia="Arial" w:hAnsi="Arial"/>
          <w:sz w:val="17"/>
          <w:szCs w:val="17"/>
          <w:color w:val="auto"/>
        </w:rPr>
        <w:t>Administrative, operations and sales office for August 2015 aviation and land segments</w:t>
      </w:r>
    </w:p>
    <w:p>
      <w:pPr>
        <w:spacing w:after="0" w:line="26" w:lineRule="exact"/>
        <w:rPr>
          <w:sz w:val="20"/>
          <w:szCs w:val="20"/>
          <w:color w:val="auto"/>
        </w:rPr>
      </w:pPr>
    </w:p>
    <w:p>
      <w:pPr>
        <w:ind w:right="2020"/>
        <w:spacing w:after="0" w:line="255" w:lineRule="auto"/>
        <w:rPr>
          <w:sz w:val="20"/>
          <w:szCs w:val="20"/>
          <w:color w:val="auto"/>
        </w:rPr>
      </w:pPr>
      <w:r>
        <w:rPr>
          <w:rFonts w:ascii="Arial" w:cs="Arial" w:eastAsia="Arial" w:hAnsi="Arial"/>
          <w:sz w:val="17"/>
          <w:szCs w:val="17"/>
          <w:color w:val="auto"/>
        </w:rPr>
        <w:t>Administrative, operations and sales office for April 2017 land segment</w:t>
      </w:r>
    </w:p>
    <w:p>
      <w:pPr>
        <w:spacing w:after="0" w:line="26" w:lineRule="exact"/>
        <w:rPr>
          <w:sz w:val="20"/>
          <w:szCs w:val="20"/>
          <w:color w:val="auto"/>
        </w:rPr>
      </w:pPr>
    </w:p>
    <w:p>
      <w:pPr>
        <w:ind w:right="1840"/>
        <w:spacing w:after="0" w:line="255" w:lineRule="auto"/>
        <w:rPr>
          <w:sz w:val="20"/>
          <w:szCs w:val="20"/>
          <w:color w:val="auto"/>
        </w:rPr>
      </w:pPr>
      <w:r>
        <w:rPr>
          <w:rFonts w:ascii="Arial" w:cs="Arial" w:eastAsia="Arial" w:hAnsi="Arial"/>
          <w:sz w:val="17"/>
          <w:szCs w:val="17"/>
          <w:color w:val="auto"/>
        </w:rPr>
        <w:t>Administrative, operations and sales office for August 2017 aviation, marine and land segments</w:t>
      </w:r>
    </w:p>
    <w:p>
      <w:pPr>
        <w:spacing w:after="0" w:line="26" w:lineRule="exact"/>
        <w:rPr>
          <w:sz w:val="20"/>
          <w:szCs w:val="20"/>
          <w:color w:val="auto"/>
        </w:rPr>
      </w:pPr>
    </w:p>
    <w:p>
      <w:pPr>
        <w:ind w:right="2260"/>
        <w:spacing w:after="0" w:line="255" w:lineRule="auto"/>
        <w:rPr>
          <w:sz w:val="20"/>
          <w:szCs w:val="20"/>
          <w:color w:val="auto"/>
        </w:rPr>
      </w:pPr>
      <w:r>
        <w:rPr>
          <w:rFonts w:ascii="Arial" w:cs="Arial" w:eastAsia="Arial" w:hAnsi="Arial"/>
          <w:sz w:val="17"/>
          <w:szCs w:val="17"/>
          <w:color w:val="auto"/>
        </w:rPr>
        <w:t>Administrative, operations and sales office for Owned land segment</w:t>
      </w:r>
    </w:p>
    <w:p>
      <w:pPr>
        <w:spacing w:after="0" w:line="26" w:lineRule="exact"/>
        <w:rPr>
          <w:sz w:val="20"/>
          <w:szCs w:val="20"/>
          <w:color w:val="auto"/>
        </w:rPr>
      </w:pPr>
    </w:p>
    <w:p>
      <w:pPr>
        <w:ind w:right="2260"/>
        <w:spacing w:after="0" w:line="255" w:lineRule="auto"/>
        <w:rPr>
          <w:sz w:val="20"/>
          <w:szCs w:val="20"/>
          <w:color w:val="auto"/>
        </w:rPr>
      </w:pPr>
      <w:r>
        <w:rPr>
          <w:rFonts w:ascii="Arial" w:cs="Arial" w:eastAsia="Arial" w:hAnsi="Arial"/>
          <w:sz w:val="17"/>
          <w:szCs w:val="17"/>
          <w:color w:val="auto"/>
        </w:rPr>
        <w:t>Administrative, operations and sales office for Owned aviation segment</w:t>
      </w:r>
    </w:p>
    <w:p>
      <w:pPr>
        <w:spacing w:after="0" w:line="200" w:lineRule="exact"/>
        <w:rPr>
          <w:sz w:val="20"/>
          <w:szCs w:val="20"/>
          <w:color w:val="auto"/>
        </w:rPr>
      </w:pPr>
    </w:p>
    <w:p>
      <w:pPr>
        <w:sectPr>
          <w:pgSz w:w="11900" w:h="16838" w:orient="portrait"/>
          <w:cols w:equalWidth="0" w:num="2">
            <w:col w:w="3320" w:space="320"/>
            <w:col w:w="6540"/>
          </w:cols>
          <w:pgMar w:left="860" w:top="121" w:right="859" w:bottom="1440" w:gutter="0" w:footer="0" w:header="0"/>
          <w:type w:val="continuous"/>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type w:val="continuous"/>
        </w:sectPr>
      </w:pPr>
    </w:p>
    <w:bookmarkStart w:id="18" w:name="page19"/>
    <w:bookmarkEnd w:id="18"/>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Legal Proceedings</w:t>
      </w:r>
    </w:p>
    <w:p>
      <w:pPr>
        <w:spacing w:after="0" w:line="15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Lac</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Mégantic, Quebec</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As described in Note 7 to the Consolidated Financial Statements – Commitments and Contingencies – Lac-Mégantic, Quebec, various lawsuits have been filed against us and other third parties related to the Lac-Mégantic incident. In 2013, we, certain of our subsidiaries, DPM and DPTS, along with a number of third parties, including MMA and certain of its affiliates, as well as several manufacturers and lessors of tank cars, were named as defendants in twenty complaints filed in the Circuit Court of Cook County, Illinois. The complaints generally allege wrongful death and negligence in the failure to provide for the proper and safe transportation of crude oil and seek economic and compensatory damages, as well as costs. The actions were removed to the United States District Court for the Northern District of Illinois (the “IL District Court”) and subsequently reassigned to a single judge in the IL District Court (other than one action that was remanded to state court prior to reassignment and another that was voluntarily dismissed by the plaintiffs).</w:t>
      </w:r>
    </w:p>
    <w:p>
      <w:pPr>
        <w:spacing w:after="0" w:line="35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plaintiffs subsequently filed a motion to have these actions remanded to state court. We filed a motion in the United States District Court for the District of Maine (the “ME District Court”), where MMA’s bankruptcy is pending, to transfer all of these actions to that court. On March 21, 2014, the ME District Court granted the transfer motion. On April 4, 2014, the plaintiffs filed a motion for reconsideration of the order granting the transfer motion and a motion requesting the ME District Court abstain from exercising jurisdiction over the cases. The motion for reconsideration was denied and the motion for abstention remains pending. On May 1, 2014, the plaintiffs filed a notice stating their intention to appeal the order granting the transfer motion to the First Circuit Court of Appeals. On June 17, 2014, the ME District Court entered a consent order staying proceedings in the transferred cases pending the appeal. On November 11, 2014, the Bankruptcy Trustee and plaintiffs moved to amend the consent order staying proceedings in the transferred cases to allow plaintiffs to file additional cases in other jurisdictions. We and other parties opposed this motion which is currently pending before the court. We believe the plaintiffs’ claims against us, certain of our subsidiaries, DPM and DPTS are without merit and intend to vigorously defend against such claims and pursue any and all defenses available.</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2013, we, certain of our subsidiaries, DPM and DPTS, along with a number of other third parties, including CPR, MMA and certain of its affiliates, several manufacturers and lessors of tank cars, as well as the intended purchaser and certain suppliers of the crude oil, were named as defendants in a motion filed in Quebec Superior Court to authorize the bringing of a class-action lawsuit seeking economic, compensatory and punitive damages, as well as costs. The motion generally alleges wrongful death and negligence in the failure to provide for the proper and safe transportation of crude oil. We believe these claims against us, certain of our subsidiaries, DPM and DPTS are without merit and intend to vigorously defend against such claims and pursue any and all defenses available.</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2013, the Quebec Minister for Sustainable Development, Environment, Wildlife and Parks (the “Minister”) issued an order requiring MMA and us to recover the spilled crude oil caused by the incident and to otherwise fully remediate the impact of the incident on the environment. The Minister subsequently issued a modified order, to which CPR was added as a party. The requirements of the modified order with respect to us are not materially different from the initial order (the initial order and modified order are hereinafter collectively referred to as the “Order”). We have filed a contestation of the Order before the Tribunal administratif du Québec, an administrative body responsible for hearing such contestations, that challenges the legality and validity of the Order on various grounds. In July and September of 2014, we voluntarily entered into agreements with the government of Quebec to perform sediment characterization work in Lake Mégantic and the Chaudière River and certain remediation work in the Chaudière River. The associated cost of these activities is not significant and will be covered by insurance. These agreements were made without admission of liability and under full reservation of rights. We continue to challenge both the legality and validity of the Order.</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On January 30, 2014, the Trustee for MMA’s U.S. bankruptcy estate (the “Trustee”) filed an adversary proceeding against us, and certain of our subsidiaries, in the United States Bankruptcy Court for the District of Maine alleging negligence in the failure to provide the proper and safe transportation of crude oil, and seeking economic damages, as well as costs and expenses associated with MMA’s lawsuits arising from the incident. On May 29, 2014, we and our named subsidiaries filed an answer to the Trustee’s complaint. In the quarter ended December 31, 2014, the Trustee moved for, and was granted, leave to file an amended complaint in the adversary proceeding naming CPR and Irving Oil Limited as defendants. We believe these claims against us and certain of our subsidiaries are without merit and intend to vigorously defend against such claims and pursue any and all defenses available.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Trustee and the Monitor are continuing to explore a potential global settlement of all third party claims arising out of the incident. The Monitor has represented in court filings that those discussions resulted in firm commitments from certain third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parties of settlement funds totaling approximately C$200.0 million ($170.0 million). The Trustee and the Monitor continue to discuss global settlement with various other parties, including us.</w:t>
      </w:r>
    </w:p>
    <w:p>
      <w:pPr>
        <w:spacing w:after="0" w:line="11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addition to these proceedings, we have received demands for defense and/or indemnification from certain tank car lessors pursuant to our lease agreements with such parties. In connection with these demands, three of our tank car lessors have filed actions against us seeking a declaratory judgment on their indemnification claims and reimbursement for the value of certain leased tank cars that were lost or destroyed in the derailment. Specifically, on July 28, 2014, The CIT Group/Equipment Financing, Inc. and CIT Group Inc. filed a complaint against us in the United States District Court for the District of Minnesota alleging breach of contract and seeking declaratory relief and economic damages, as well as costs. On September 19, 2014, we filed a motion to dismiss certain counts of the complaint, which has not yet been ruled on by the court. On October 10, 2014, CIT filed a motion for partial summary judgment, which motion is currently pending before the court. Furthermore, on September 5, 2014, General Electric Railcar Services Corporation (“GE”) filed a complaint against us in the United States District Court for the Southern District of Florida alleging breach of contract and seeking declaratory relief and economic damages, as well as costs. On December 5, 2014, GE amended its complaint and on December 22, 2014, we filed a motion to dismiss certain counts of the amended complaint, which the court has not yet decided. Finally, on November 11, 2014, SMBC Rail Services (“SMBC”) filed a complaint against us in the Northern District of Texas alleging breach of contract and seeking declaratory relief and economic damages, costs, and injunctive relief prohibiting us from entering into any settlement agreement that would impair the obligations owed to SMBC under the lease agreement. On November 18, 2014, SMBC filed a motion for a preliminary injunction that sought to prohibit us from continuing settlement negotiations with the Trustee, the Monitor or other parties. We filed an opposition to the preliminary injunction on December 2, 2014, and a motion to dismiss certain counts of the complaint the following day. On December 29, 2014, the court denied SMBC’s motion for a preliminary injunction. The court has not yet ruled on our motion to dismiss. We believe these claims against us are without merit and intend to vigorously defend against such claims and pursue any and all defenses available.</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December 2014, we sold our 50% interest in DPM and DPTS to certain subsidiaries of DAKP, our partner in the joint ventures. In connection with the sale transaction, we agreed to indemnify DAKP and certain of its affiliates, including DPM and DPTS, for third party claims for bodily injury or property damage arising from the derailment. Pursuant to the agreement, we will control the defense of DAKP and the joint ventures for claims associated with the derailment. In addition, DAKP assigned to us all recoveries from third parties and under applicable insurance policies held by DAKP and the joint ventures for claims arising out of the derailment. Finally, DAKP also agreed to indemnify us for certain costs and expenses arising out of the derailment up to $10.0 million.</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 claims, lawsuits, proceedings, investigations and orders may be filed, commenced or issued with respect to the incident, which may involve civil claims for damages or governmental investigative, regulatory or enforcement actions against us.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2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are a party to various claims, complaints and proceedings arising in the ordinary course of our business operations including, but not limited to: (i) commercial and governmental contract claims, such as property damage, demurrage, billing and fuel quality claims,</w:t>
      </w:r>
    </w:p>
    <w:p>
      <w:pPr>
        <w:jc w:val="both"/>
        <w:ind w:firstLine="7"/>
        <w:spacing w:after="0" w:line="245" w:lineRule="auto"/>
        <w:tabs>
          <w:tab w:leader="none" w:pos="2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environmental claims, (iii) bankruptcy preference claims and (iv) tax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21"/>
          <w:szCs w:val="21"/>
          <w:b w:val="1"/>
          <w:bCs w:val="1"/>
          <w:color w:val="auto"/>
        </w:rPr>
        <w:t>Item 5. Market for Registrant’s Common Equity, Related Shareholder Matters and Issuer Purchases of Equity Securities</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common stock is traded on the New York Stock Exchange (“NYSE”) under the symbol INT. As of December 31, 2014, the closing price of our stock on the NYSE was $46.93. The following table sets forth, for each quarter in 2014 and 2013, the high and low closing sales prices of our common stock as reported by the NYSE.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Price</w:t>
            </w:r>
          </w:p>
        </w:tc>
        <w:tc>
          <w:tcPr>
            <w:tcW w:w="740" w:type="dxa"/>
            <w:vAlign w:val="bottom"/>
            <w:tcBorders>
              <w:bottom w:val="single" w:sz="8" w:color="auto"/>
            </w:tcBorders>
          </w:tcPr>
          <w:p>
            <w:pPr>
              <w:spacing w:after="0"/>
              <w:rPr>
                <w:sz w:val="14"/>
                <w:szCs w:val="14"/>
                <w:color w:val="auto"/>
              </w:rPr>
            </w:pPr>
          </w:p>
        </w:tc>
      </w:tr>
      <w:tr>
        <w:trPr>
          <w:trHeight w:val="188"/>
        </w:trPr>
        <w:tc>
          <w:tcPr>
            <w:tcW w:w="4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High</w:t>
            </w: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w:t>
            </w:r>
          </w:p>
        </w:tc>
      </w:tr>
      <w:tr>
        <w:trPr>
          <w:trHeight w:val="188"/>
        </w:trPr>
        <w:tc>
          <w:tcPr>
            <w:tcW w:w="43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2014</w:t>
            </w:r>
          </w:p>
        </w:tc>
        <w:tc>
          <w:tcPr>
            <w:tcW w:w="3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5"/>
        </w:trPr>
        <w:tc>
          <w:tcPr>
            <w:tcW w:w="4300" w:type="dxa"/>
            <w:vAlign w:val="bottom"/>
          </w:tcPr>
          <w:p>
            <w:pPr>
              <w:spacing w:after="0"/>
              <w:rPr>
                <w:sz w:val="20"/>
                <w:szCs w:val="20"/>
                <w:color w:val="auto"/>
              </w:rPr>
            </w:pPr>
            <w:r>
              <w:rPr>
                <w:rFonts w:ascii="Arial" w:cs="Arial" w:eastAsia="Arial" w:hAnsi="Arial"/>
                <w:sz w:val="17"/>
                <w:szCs w:val="17"/>
                <w:color w:val="auto"/>
              </w:rPr>
              <w:t>First quarter</w:t>
            </w:r>
          </w:p>
        </w:tc>
        <w:tc>
          <w:tcPr>
            <w:tcW w:w="3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45.66</w:t>
            </w:r>
          </w:p>
        </w:tc>
        <w:tc>
          <w:tcPr>
            <w:tcW w:w="80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41.40</w:t>
            </w:r>
          </w:p>
        </w:tc>
      </w:tr>
      <w:tr>
        <w:trPr>
          <w:trHeight w:val="195"/>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3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49.23</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42.75</w:t>
            </w:r>
          </w:p>
        </w:tc>
      </w:tr>
      <w:tr>
        <w:trPr>
          <w:trHeight w:val="195"/>
        </w:trPr>
        <w:tc>
          <w:tcPr>
            <w:tcW w:w="4300" w:type="dxa"/>
            <w:vAlign w:val="bottom"/>
          </w:tcPr>
          <w:p>
            <w:pPr>
              <w:spacing w:after="0"/>
              <w:rPr>
                <w:sz w:val="20"/>
                <w:szCs w:val="20"/>
                <w:color w:val="auto"/>
              </w:rPr>
            </w:pPr>
            <w:r>
              <w:rPr>
                <w:rFonts w:ascii="Arial" w:cs="Arial" w:eastAsia="Arial" w:hAnsi="Arial"/>
                <w:sz w:val="17"/>
                <w:szCs w:val="17"/>
                <w:color w:val="auto"/>
              </w:rPr>
              <w:t>Third quarter</w:t>
            </w:r>
          </w:p>
        </w:tc>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49.24</w:t>
            </w:r>
          </w:p>
        </w:tc>
        <w:tc>
          <w:tcPr>
            <w:tcW w:w="8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39.92</w:t>
            </w:r>
          </w:p>
        </w:tc>
      </w:tr>
      <w:tr>
        <w:trPr>
          <w:trHeight w:val="195"/>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3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48.21</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w:t>
            </w:r>
          </w:p>
        </w:tc>
      </w:tr>
      <w:tr>
        <w:trPr>
          <w:trHeight w:val="195"/>
        </w:trPr>
        <w:tc>
          <w:tcPr>
            <w:tcW w:w="4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3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5"/>
        </w:trPr>
        <w:tc>
          <w:tcPr>
            <w:tcW w:w="4300" w:type="dxa"/>
            <w:vAlign w:val="bottom"/>
          </w:tcPr>
          <w:p>
            <w:pPr>
              <w:spacing w:after="0"/>
              <w:rPr>
                <w:sz w:val="20"/>
                <w:szCs w:val="20"/>
                <w:color w:val="auto"/>
              </w:rPr>
            </w:pPr>
            <w:r>
              <w:rPr>
                <w:rFonts w:ascii="Arial" w:cs="Arial" w:eastAsia="Arial" w:hAnsi="Arial"/>
                <w:sz w:val="17"/>
                <w:szCs w:val="17"/>
                <w:color w:val="auto"/>
              </w:rPr>
              <w:t>First quarter</w:t>
            </w:r>
          </w:p>
        </w:tc>
        <w:tc>
          <w:tcPr>
            <w:tcW w:w="3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45.11</w:t>
            </w:r>
          </w:p>
        </w:tc>
        <w:tc>
          <w:tcPr>
            <w:tcW w:w="80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37.84</w:t>
            </w:r>
          </w:p>
        </w:tc>
      </w:tr>
      <w:tr>
        <w:trPr>
          <w:trHeight w:val="195"/>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3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41.88</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37.03</w:t>
            </w:r>
          </w:p>
        </w:tc>
      </w:tr>
      <w:tr>
        <w:trPr>
          <w:trHeight w:val="195"/>
        </w:trPr>
        <w:tc>
          <w:tcPr>
            <w:tcW w:w="4300" w:type="dxa"/>
            <w:vAlign w:val="bottom"/>
          </w:tcPr>
          <w:p>
            <w:pPr>
              <w:spacing w:after="0"/>
              <w:rPr>
                <w:sz w:val="20"/>
                <w:szCs w:val="20"/>
                <w:color w:val="auto"/>
              </w:rPr>
            </w:pPr>
            <w:r>
              <w:rPr>
                <w:rFonts w:ascii="Arial" w:cs="Arial" w:eastAsia="Arial" w:hAnsi="Arial"/>
                <w:sz w:val="17"/>
                <w:szCs w:val="17"/>
                <w:color w:val="auto"/>
              </w:rPr>
              <w:t>Third quarter</w:t>
            </w:r>
          </w:p>
        </w:tc>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41.62</w:t>
            </w:r>
          </w:p>
        </w:tc>
        <w:tc>
          <w:tcPr>
            <w:tcW w:w="8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35.00</w:t>
            </w:r>
          </w:p>
        </w:tc>
      </w:tr>
      <w:tr>
        <w:trPr>
          <w:trHeight w:val="201"/>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3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43.21</w:t>
            </w:r>
          </w:p>
        </w:tc>
        <w:tc>
          <w:tcPr>
            <w:tcW w:w="8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36.79</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5, 2015, there were 351 shareholders of record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table sets forth the amount, the declaration date, record date and payment date for each quarterly cash dividend declared in 2014 and 2013.</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8"/>
              </w:rPr>
              <w:t>Per Share Amount</w:t>
            </w:r>
          </w:p>
        </w:tc>
        <w:tc>
          <w:tcPr>
            <w:tcW w:w="18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Declaration Date</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Record Date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Payment Date</w:t>
            </w:r>
          </w:p>
        </w:tc>
      </w:tr>
      <w:tr>
        <w:trPr>
          <w:trHeight w:val="188"/>
        </w:trPr>
        <w:tc>
          <w:tcPr>
            <w:tcW w:w="24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2014</w:t>
            </w:r>
          </w:p>
        </w:tc>
        <w:tc>
          <w:tcPr>
            <w:tcW w:w="1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95"/>
        </w:trPr>
        <w:tc>
          <w:tcPr>
            <w:tcW w:w="2420" w:type="dxa"/>
            <w:vAlign w:val="bottom"/>
          </w:tcPr>
          <w:p>
            <w:pPr>
              <w:spacing w:after="0"/>
              <w:rPr>
                <w:sz w:val="20"/>
                <w:szCs w:val="20"/>
                <w:color w:val="auto"/>
              </w:rPr>
            </w:pPr>
            <w:r>
              <w:rPr>
                <w:rFonts w:ascii="Arial" w:cs="Arial" w:eastAsia="Arial" w:hAnsi="Arial"/>
                <w:sz w:val="17"/>
                <w:szCs w:val="17"/>
                <w:color w:val="auto"/>
              </w:rPr>
              <w:t>First quarter</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0.0375</w:t>
            </w:r>
          </w:p>
        </w:tc>
        <w:tc>
          <w:tcPr>
            <w:tcW w:w="1820" w:type="dxa"/>
            <w:vAlign w:val="bottom"/>
          </w:tcPr>
          <w:p>
            <w:pPr>
              <w:jc w:val="right"/>
              <w:ind w:right="75"/>
              <w:spacing w:after="0"/>
              <w:rPr>
                <w:sz w:val="20"/>
                <w:szCs w:val="20"/>
                <w:color w:val="auto"/>
              </w:rPr>
            </w:pPr>
            <w:r>
              <w:rPr>
                <w:rFonts w:ascii="Arial" w:cs="Arial" w:eastAsia="Arial" w:hAnsi="Arial"/>
                <w:sz w:val="17"/>
                <w:szCs w:val="17"/>
                <w:color w:val="auto"/>
              </w:rPr>
              <w:t>March 7, 2014</w:t>
            </w:r>
          </w:p>
        </w:tc>
        <w:tc>
          <w:tcPr>
            <w:tcW w:w="1820" w:type="dxa"/>
            <w:vAlign w:val="bottom"/>
          </w:tcPr>
          <w:p>
            <w:pPr>
              <w:jc w:val="right"/>
              <w:spacing w:after="0"/>
              <w:rPr>
                <w:sz w:val="20"/>
                <w:szCs w:val="20"/>
                <w:color w:val="auto"/>
              </w:rPr>
            </w:pPr>
            <w:r>
              <w:rPr>
                <w:rFonts w:ascii="Arial" w:cs="Arial" w:eastAsia="Arial" w:hAnsi="Arial"/>
                <w:sz w:val="17"/>
                <w:szCs w:val="17"/>
                <w:color w:val="auto"/>
              </w:rPr>
              <w:t>March 21, 2014</w:t>
            </w:r>
          </w:p>
        </w:tc>
        <w:tc>
          <w:tcPr>
            <w:tcW w:w="1440" w:type="dxa"/>
            <w:vAlign w:val="bottom"/>
          </w:tcPr>
          <w:p>
            <w:pPr>
              <w:jc w:val="right"/>
              <w:spacing w:after="0"/>
              <w:rPr>
                <w:sz w:val="20"/>
                <w:szCs w:val="20"/>
                <w:color w:val="auto"/>
              </w:rPr>
            </w:pPr>
            <w:r>
              <w:rPr>
                <w:rFonts w:ascii="Arial" w:cs="Arial" w:eastAsia="Arial" w:hAnsi="Arial"/>
                <w:sz w:val="17"/>
                <w:szCs w:val="17"/>
                <w:color w:val="auto"/>
              </w:rPr>
              <w:t>April 4, 2014</w:t>
            </w:r>
          </w:p>
        </w:tc>
      </w:tr>
      <w:tr>
        <w:trPr>
          <w:trHeight w:val="195"/>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0.0375</w:t>
            </w:r>
          </w:p>
        </w:tc>
        <w:tc>
          <w:tcPr>
            <w:tcW w:w="1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May 29, 2014</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June 20, 2014</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July 11, 2014</w:t>
            </w:r>
          </w:p>
        </w:tc>
      </w:tr>
      <w:tr>
        <w:trPr>
          <w:trHeight w:val="195"/>
        </w:trPr>
        <w:tc>
          <w:tcPr>
            <w:tcW w:w="2420" w:type="dxa"/>
            <w:vAlign w:val="bottom"/>
          </w:tcPr>
          <w:p>
            <w:pPr>
              <w:spacing w:after="0"/>
              <w:rPr>
                <w:sz w:val="20"/>
                <w:szCs w:val="20"/>
                <w:color w:val="auto"/>
              </w:rPr>
            </w:pPr>
            <w:r>
              <w:rPr>
                <w:rFonts w:ascii="Arial" w:cs="Arial" w:eastAsia="Arial" w:hAnsi="Arial"/>
                <w:sz w:val="17"/>
                <w:szCs w:val="17"/>
                <w:color w:val="auto"/>
              </w:rPr>
              <w:t>Third quarter</w:t>
            </w:r>
          </w:p>
        </w:tc>
        <w:tc>
          <w:tcPr>
            <w:tcW w:w="1320" w:type="dxa"/>
            <w:vAlign w:val="bottom"/>
          </w:tcPr>
          <w:p>
            <w:pPr>
              <w:spacing w:after="0"/>
              <w:rPr>
                <w:sz w:val="16"/>
                <w:szCs w:val="16"/>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0.0375</w:t>
            </w:r>
          </w:p>
        </w:tc>
        <w:tc>
          <w:tcPr>
            <w:tcW w:w="1820" w:type="dxa"/>
            <w:vAlign w:val="bottom"/>
          </w:tcPr>
          <w:p>
            <w:pPr>
              <w:jc w:val="right"/>
              <w:ind w:right="75"/>
              <w:spacing w:after="0"/>
              <w:rPr>
                <w:sz w:val="20"/>
                <w:szCs w:val="20"/>
                <w:color w:val="auto"/>
              </w:rPr>
            </w:pPr>
            <w:r>
              <w:rPr>
                <w:rFonts w:ascii="Arial" w:cs="Arial" w:eastAsia="Arial" w:hAnsi="Arial"/>
                <w:sz w:val="17"/>
                <w:szCs w:val="17"/>
                <w:color w:val="auto"/>
              </w:rPr>
              <w:t>September 3, 2014</w:t>
            </w:r>
          </w:p>
        </w:tc>
        <w:tc>
          <w:tcPr>
            <w:tcW w:w="1820" w:type="dxa"/>
            <w:vAlign w:val="bottom"/>
          </w:tcPr>
          <w:p>
            <w:pPr>
              <w:jc w:val="right"/>
              <w:spacing w:after="0"/>
              <w:rPr>
                <w:sz w:val="20"/>
                <w:szCs w:val="20"/>
                <w:color w:val="auto"/>
              </w:rPr>
            </w:pPr>
            <w:r>
              <w:rPr>
                <w:rFonts w:ascii="Arial" w:cs="Arial" w:eastAsia="Arial" w:hAnsi="Arial"/>
                <w:sz w:val="17"/>
                <w:szCs w:val="17"/>
                <w:color w:val="auto"/>
              </w:rPr>
              <w:t>September 19, 2014</w:t>
            </w:r>
          </w:p>
        </w:tc>
        <w:tc>
          <w:tcPr>
            <w:tcW w:w="1440" w:type="dxa"/>
            <w:vAlign w:val="bottom"/>
          </w:tcPr>
          <w:p>
            <w:pPr>
              <w:jc w:val="right"/>
              <w:spacing w:after="0"/>
              <w:rPr>
                <w:sz w:val="20"/>
                <w:szCs w:val="20"/>
                <w:color w:val="auto"/>
              </w:rPr>
            </w:pPr>
            <w:r>
              <w:rPr>
                <w:rFonts w:ascii="Arial" w:cs="Arial" w:eastAsia="Arial" w:hAnsi="Arial"/>
                <w:sz w:val="17"/>
                <w:szCs w:val="17"/>
                <w:color w:val="auto"/>
              </w:rPr>
              <w:t>October 10, 2014</w:t>
            </w:r>
          </w:p>
        </w:tc>
      </w:tr>
      <w:tr>
        <w:trPr>
          <w:trHeight w:val="195"/>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1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0.0375</w:t>
            </w:r>
          </w:p>
        </w:tc>
        <w:tc>
          <w:tcPr>
            <w:tcW w:w="1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November 21, 2014</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December 19, 2014</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9, 2015</w:t>
            </w:r>
          </w:p>
        </w:tc>
      </w:tr>
      <w:tr>
        <w:trPr>
          <w:trHeight w:val="195"/>
        </w:trPr>
        <w:tc>
          <w:tcPr>
            <w:tcW w:w="2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5"/>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1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95"/>
        </w:trPr>
        <w:tc>
          <w:tcPr>
            <w:tcW w:w="2420" w:type="dxa"/>
            <w:vAlign w:val="bottom"/>
          </w:tcPr>
          <w:p>
            <w:pPr>
              <w:spacing w:after="0"/>
              <w:rPr>
                <w:sz w:val="20"/>
                <w:szCs w:val="20"/>
                <w:color w:val="auto"/>
              </w:rPr>
            </w:pPr>
            <w:r>
              <w:rPr>
                <w:rFonts w:ascii="Arial" w:cs="Arial" w:eastAsia="Arial" w:hAnsi="Arial"/>
                <w:sz w:val="17"/>
                <w:szCs w:val="17"/>
                <w:color w:val="auto"/>
              </w:rPr>
              <w:t>First quarter</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0.0375</w:t>
            </w:r>
          </w:p>
        </w:tc>
        <w:tc>
          <w:tcPr>
            <w:tcW w:w="1820" w:type="dxa"/>
            <w:vAlign w:val="bottom"/>
          </w:tcPr>
          <w:p>
            <w:pPr>
              <w:jc w:val="right"/>
              <w:ind w:right="75"/>
              <w:spacing w:after="0"/>
              <w:rPr>
                <w:sz w:val="20"/>
                <w:szCs w:val="20"/>
                <w:color w:val="auto"/>
              </w:rPr>
            </w:pPr>
            <w:r>
              <w:rPr>
                <w:rFonts w:ascii="Arial" w:cs="Arial" w:eastAsia="Arial" w:hAnsi="Arial"/>
                <w:sz w:val="17"/>
                <w:szCs w:val="17"/>
                <w:color w:val="auto"/>
              </w:rPr>
              <w:t>March 8, 2013</w:t>
            </w:r>
          </w:p>
        </w:tc>
        <w:tc>
          <w:tcPr>
            <w:tcW w:w="1820" w:type="dxa"/>
            <w:vAlign w:val="bottom"/>
          </w:tcPr>
          <w:p>
            <w:pPr>
              <w:jc w:val="right"/>
              <w:spacing w:after="0"/>
              <w:rPr>
                <w:sz w:val="20"/>
                <w:szCs w:val="20"/>
                <w:color w:val="auto"/>
              </w:rPr>
            </w:pPr>
            <w:r>
              <w:rPr>
                <w:rFonts w:ascii="Arial" w:cs="Arial" w:eastAsia="Arial" w:hAnsi="Arial"/>
                <w:sz w:val="17"/>
                <w:szCs w:val="17"/>
                <w:color w:val="auto"/>
              </w:rPr>
              <w:t>March 22, 2013</w:t>
            </w:r>
          </w:p>
        </w:tc>
        <w:tc>
          <w:tcPr>
            <w:tcW w:w="1440" w:type="dxa"/>
            <w:vAlign w:val="bottom"/>
          </w:tcPr>
          <w:p>
            <w:pPr>
              <w:jc w:val="right"/>
              <w:spacing w:after="0"/>
              <w:rPr>
                <w:sz w:val="20"/>
                <w:szCs w:val="20"/>
                <w:color w:val="auto"/>
              </w:rPr>
            </w:pPr>
            <w:r>
              <w:rPr>
                <w:rFonts w:ascii="Arial" w:cs="Arial" w:eastAsia="Arial" w:hAnsi="Arial"/>
                <w:sz w:val="17"/>
                <w:szCs w:val="17"/>
                <w:color w:val="auto"/>
              </w:rPr>
              <w:t>April 5, 2013</w:t>
            </w:r>
          </w:p>
        </w:tc>
      </w:tr>
      <w:tr>
        <w:trPr>
          <w:trHeight w:val="195"/>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0.0375</w:t>
            </w:r>
          </w:p>
        </w:tc>
        <w:tc>
          <w:tcPr>
            <w:tcW w:w="1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May 31, 2013</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June 21, 2013</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July 5, 2013</w:t>
            </w:r>
          </w:p>
        </w:tc>
      </w:tr>
      <w:tr>
        <w:trPr>
          <w:trHeight w:val="195"/>
        </w:trPr>
        <w:tc>
          <w:tcPr>
            <w:tcW w:w="2420" w:type="dxa"/>
            <w:vAlign w:val="bottom"/>
          </w:tcPr>
          <w:p>
            <w:pPr>
              <w:spacing w:after="0"/>
              <w:rPr>
                <w:sz w:val="20"/>
                <w:szCs w:val="20"/>
                <w:color w:val="auto"/>
              </w:rPr>
            </w:pPr>
            <w:r>
              <w:rPr>
                <w:rFonts w:ascii="Arial" w:cs="Arial" w:eastAsia="Arial" w:hAnsi="Arial"/>
                <w:sz w:val="17"/>
                <w:szCs w:val="17"/>
                <w:color w:val="auto"/>
              </w:rPr>
              <w:t>Third quarter</w:t>
            </w:r>
          </w:p>
        </w:tc>
        <w:tc>
          <w:tcPr>
            <w:tcW w:w="1320" w:type="dxa"/>
            <w:vAlign w:val="bottom"/>
          </w:tcPr>
          <w:p>
            <w:pPr>
              <w:spacing w:after="0"/>
              <w:rPr>
                <w:sz w:val="16"/>
                <w:szCs w:val="16"/>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0.0375</w:t>
            </w:r>
          </w:p>
        </w:tc>
        <w:tc>
          <w:tcPr>
            <w:tcW w:w="1820" w:type="dxa"/>
            <w:vAlign w:val="bottom"/>
          </w:tcPr>
          <w:p>
            <w:pPr>
              <w:jc w:val="right"/>
              <w:ind w:right="75"/>
              <w:spacing w:after="0"/>
              <w:rPr>
                <w:sz w:val="20"/>
                <w:szCs w:val="20"/>
                <w:color w:val="auto"/>
              </w:rPr>
            </w:pPr>
            <w:r>
              <w:rPr>
                <w:rFonts w:ascii="Arial" w:cs="Arial" w:eastAsia="Arial" w:hAnsi="Arial"/>
                <w:sz w:val="17"/>
                <w:szCs w:val="17"/>
                <w:color w:val="auto"/>
              </w:rPr>
              <w:t>August 23, 2013</w:t>
            </w:r>
          </w:p>
        </w:tc>
        <w:tc>
          <w:tcPr>
            <w:tcW w:w="1820" w:type="dxa"/>
            <w:vAlign w:val="bottom"/>
          </w:tcPr>
          <w:p>
            <w:pPr>
              <w:jc w:val="right"/>
              <w:spacing w:after="0"/>
              <w:rPr>
                <w:sz w:val="20"/>
                <w:szCs w:val="20"/>
                <w:color w:val="auto"/>
              </w:rPr>
            </w:pPr>
            <w:r>
              <w:rPr>
                <w:rFonts w:ascii="Arial" w:cs="Arial" w:eastAsia="Arial" w:hAnsi="Arial"/>
                <w:sz w:val="17"/>
                <w:szCs w:val="17"/>
                <w:color w:val="auto"/>
              </w:rPr>
              <w:t>September 20, 2013</w:t>
            </w:r>
          </w:p>
        </w:tc>
        <w:tc>
          <w:tcPr>
            <w:tcW w:w="1440" w:type="dxa"/>
            <w:vAlign w:val="bottom"/>
          </w:tcPr>
          <w:p>
            <w:pPr>
              <w:jc w:val="right"/>
              <w:spacing w:after="0"/>
              <w:rPr>
                <w:sz w:val="20"/>
                <w:szCs w:val="20"/>
                <w:color w:val="auto"/>
              </w:rPr>
            </w:pPr>
            <w:r>
              <w:rPr>
                <w:rFonts w:ascii="Arial" w:cs="Arial" w:eastAsia="Arial" w:hAnsi="Arial"/>
                <w:sz w:val="17"/>
                <w:szCs w:val="17"/>
                <w:color w:val="auto"/>
              </w:rPr>
              <w:t>October 4, 2013</w:t>
            </w:r>
          </w:p>
        </w:tc>
      </w:tr>
      <w:tr>
        <w:trPr>
          <w:trHeight w:val="201"/>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13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0.0375</w:t>
            </w:r>
          </w:p>
        </w:tc>
        <w:tc>
          <w:tcPr>
            <w:tcW w:w="1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November 26, 2013</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December 13, 2013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January 3, 2014</w:t>
            </w:r>
          </w:p>
        </w:tc>
      </w:tr>
    </w:tbl>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Credit Facility and Term Loans restrict the payment of cash dividends to a maximum of the sum of (i) $50.0 million plus (ii) 50% of the cumulative consolidated net income for each fiscal quarter beginning with the fiscal quarter ended March 31, 2010, plus</w:t>
      </w:r>
    </w:p>
    <w:p>
      <w:pPr>
        <w:spacing w:after="0" w:line="1" w:lineRule="exact"/>
        <w:rPr>
          <w:sz w:val="20"/>
          <w:szCs w:val="20"/>
          <w:color w:val="auto"/>
        </w:rPr>
      </w:pPr>
    </w:p>
    <w:p>
      <w:pPr>
        <w:jc w:val="both"/>
        <w:ind w:firstLine="7"/>
        <w:spacing w:after="0" w:line="249" w:lineRule="auto"/>
        <w:tabs>
          <w:tab w:leader="none" w:pos="309" w:val="left"/>
        </w:tabs>
        <w:numPr>
          <w:ilvl w:val="0"/>
          <w:numId w:val="17"/>
        </w:numPr>
        <w:rPr>
          <w:rFonts w:ascii="Arial" w:cs="Arial" w:eastAsia="Arial" w:hAnsi="Arial"/>
          <w:sz w:val="17"/>
          <w:szCs w:val="17"/>
          <w:color w:val="auto"/>
        </w:rPr>
      </w:pPr>
      <w:r>
        <w:rPr>
          <w:rFonts w:ascii="Arial" w:cs="Arial" w:eastAsia="Arial" w:hAnsi="Arial"/>
          <w:sz w:val="17"/>
          <w:szCs w:val="17"/>
          <w:color w:val="auto"/>
        </w:rPr>
        <w:t>100% of the net proceeds of all equity issuances made after October 2013. For additional information regarding our Credit Facility and Term Loans, see Note 6 to the accompanying consolidated financial statements, included herein, and “Liquidity and Capital Resources” in “Item 7 – Management’s Discussion and Analysis of Financial Condition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w:t>
      </w:r>
    </w:p>
    <w:p>
      <w:pPr>
        <w:spacing w:after="0" w:line="23" w:lineRule="exact"/>
        <w:rPr>
          <w:sz w:val="20"/>
          <w:szCs w:val="20"/>
          <w:color w:val="auto"/>
        </w:rPr>
      </w:pPr>
    </w:p>
    <w:p>
      <w:pPr>
        <w:jc w:val="both"/>
        <w:spacing w:after="0" w:line="201" w:lineRule="exact"/>
        <w:rPr>
          <w:sz w:val="20"/>
          <w:szCs w:val="20"/>
          <w:color w:val="auto"/>
        </w:rPr>
      </w:pPr>
      <w:r>
        <w:rPr>
          <w:rFonts w:ascii="Arial" w:cs="Arial" w:eastAsia="Arial" w:hAnsi="Arial"/>
          <w:sz w:val="17"/>
          <w:szCs w:val="17"/>
          <w:color w:val="auto"/>
        </w:rPr>
        <w:t>This graph compares the total shareholder return on our common stock with the total return on the Russell 2000 Index and the S&amp;P Energy Index for the five</w:t>
      </w:r>
      <w:r>
        <w:rPr>
          <w:rFonts w:ascii="MS PGothic" w:cs="MS PGothic" w:eastAsia="MS PGothic" w:hAnsi="MS PGothic"/>
          <w:sz w:val="17"/>
          <w:szCs w:val="17"/>
          <w:color w:val="auto"/>
        </w:rPr>
        <w:t>‑</w:t>
      </w:r>
      <w:r>
        <w:rPr>
          <w:rFonts w:ascii="Arial" w:cs="Arial" w:eastAsia="Arial" w:hAnsi="Arial"/>
          <w:sz w:val="17"/>
          <w:szCs w:val="17"/>
          <w:color w:val="auto"/>
        </w:rPr>
        <w:t>year period from December 31, 2009 through December 31, 2014.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121285</wp:posOffset>
            </wp:positionV>
            <wp:extent cx="5438775" cy="3246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8775" cy="324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Fiscal year ending December 31.</w:t>
      </w:r>
    </w:p>
    <w:p>
      <w:pPr>
        <w:spacing w:after="0" w:line="150"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Copyright© 2015 S&amp;P, a division of The McGraw-Hill Companies Inc. All rights reserved.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Copyright© 2015 Russell Investment Group. All rights reserved.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Plans</w:t>
      </w:r>
    </w:p>
    <w:p>
      <w:pPr>
        <w:spacing w:after="0" w:line="23" w:lineRule="exact"/>
        <w:rPr>
          <w:sz w:val="20"/>
          <w:szCs w:val="20"/>
          <w:color w:val="auto"/>
        </w:rPr>
      </w:pPr>
    </w:p>
    <w:p>
      <w:pPr>
        <w:jc w:val="both"/>
        <w:spacing w:after="0" w:line="199" w:lineRule="exact"/>
        <w:rPr>
          <w:sz w:val="20"/>
          <w:szCs w:val="20"/>
          <w:color w:val="auto"/>
        </w:rPr>
      </w:pPr>
      <w:r>
        <w:rPr>
          <w:rFonts w:ascii="Arial" w:cs="Arial" w:eastAsia="Arial" w:hAnsi="Arial"/>
          <w:sz w:val="17"/>
          <w:szCs w:val="17"/>
          <w:color w:val="auto"/>
        </w:rPr>
        <w:t>The following table summarizes securities authorized for issuance related to outstanding restricted stock units (“RSUs”) and stock</w:t>
      </w:r>
      <w:r>
        <w:rPr>
          <w:rFonts w:ascii="MS PGothic" w:cs="MS PGothic" w:eastAsia="MS PGothic" w:hAnsi="MS PGothic"/>
          <w:sz w:val="17"/>
          <w:szCs w:val="17"/>
          <w:color w:val="auto"/>
        </w:rPr>
        <w:t>‑</w:t>
      </w:r>
      <w:r>
        <w:rPr>
          <w:rFonts w:ascii="Arial" w:cs="Arial" w:eastAsia="Arial" w:hAnsi="Arial"/>
          <w:sz w:val="17"/>
          <w:szCs w:val="17"/>
          <w:color w:val="auto"/>
        </w:rPr>
        <w:t>settled stock appreciation rights (“SSAR Awards”) under our equity compensation plan (which was approved by our shareholders) and available for future issuance under our equity compensation plan as of December 31, 2014 (in thousands, except weighted average price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(c) Number of securities</w:t>
            </w:r>
          </w:p>
        </w:tc>
      </w:tr>
      <w:tr>
        <w:trPr>
          <w:trHeight w:val="195"/>
        </w:trPr>
        <w:tc>
          <w:tcPr>
            <w:tcW w:w="3720" w:type="dxa"/>
            <w:vAlign w:val="bottom"/>
          </w:tcPr>
          <w:p>
            <w:pPr>
              <w:spacing w:after="0"/>
              <w:rPr>
                <w:sz w:val="16"/>
                <w:szCs w:val="16"/>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b w:val="1"/>
                <w:bCs w:val="1"/>
                <w:color w:val="auto"/>
              </w:rPr>
              <w:t>(a) Maximum number of</w:t>
            </w:r>
          </w:p>
        </w:tc>
        <w:tc>
          <w:tcPr>
            <w:tcW w:w="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remaining available</w:t>
            </w:r>
          </w:p>
        </w:tc>
      </w:tr>
      <w:tr>
        <w:trPr>
          <w:trHeight w:val="195"/>
        </w:trPr>
        <w:tc>
          <w:tcPr>
            <w:tcW w:w="3720" w:type="dxa"/>
            <w:vAlign w:val="bottom"/>
          </w:tcPr>
          <w:p>
            <w:pPr>
              <w:spacing w:after="0"/>
              <w:rPr>
                <w:sz w:val="16"/>
                <w:szCs w:val="16"/>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b w:val="1"/>
                <w:bCs w:val="1"/>
                <w:color w:val="auto"/>
              </w:rPr>
              <w:t>securities to be issued</w:t>
            </w:r>
          </w:p>
        </w:tc>
        <w:tc>
          <w:tcPr>
            <w:tcW w:w="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for future issuance under</w:t>
            </w:r>
          </w:p>
        </w:tc>
      </w:tr>
      <w:tr>
        <w:trPr>
          <w:trHeight w:val="195"/>
        </w:trPr>
        <w:tc>
          <w:tcPr>
            <w:tcW w:w="3720" w:type="dxa"/>
            <w:vAlign w:val="bottom"/>
          </w:tcPr>
          <w:p>
            <w:pPr>
              <w:spacing w:after="0"/>
              <w:rPr>
                <w:sz w:val="16"/>
                <w:szCs w:val="16"/>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b w:val="1"/>
                <w:bCs w:val="1"/>
                <w:color w:val="auto"/>
              </w:rPr>
              <w:t>upon exercise of</w:t>
            </w:r>
          </w:p>
        </w:tc>
        <w:tc>
          <w:tcPr>
            <w:tcW w:w="220" w:type="dxa"/>
            <w:vAlign w:val="bottom"/>
          </w:tcPr>
          <w:p>
            <w:pPr>
              <w:spacing w:after="0"/>
              <w:rPr>
                <w:sz w:val="16"/>
                <w:szCs w:val="16"/>
                <w:color w:val="auto"/>
              </w:rPr>
            </w:pPr>
          </w:p>
        </w:tc>
        <w:tc>
          <w:tcPr>
            <w:tcW w:w="2360" w:type="dxa"/>
            <w:vAlign w:val="bottom"/>
          </w:tcPr>
          <w:p>
            <w:pPr>
              <w:jc w:val="right"/>
              <w:ind w:right="326"/>
              <w:spacing w:after="0"/>
              <w:rPr>
                <w:sz w:val="20"/>
                <w:szCs w:val="20"/>
                <w:color w:val="auto"/>
              </w:rPr>
            </w:pPr>
            <w:r>
              <w:rPr>
                <w:rFonts w:ascii="Arial" w:cs="Arial" w:eastAsia="Arial" w:hAnsi="Arial"/>
                <w:sz w:val="14"/>
                <w:szCs w:val="14"/>
                <w:b w:val="1"/>
                <w:bCs w:val="1"/>
                <w:color w:val="auto"/>
              </w:rPr>
              <w:t>(b) Weighted average</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equity compensation plan</w:t>
            </w:r>
          </w:p>
        </w:tc>
      </w:tr>
      <w:tr>
        <w:trPr>
          <w:trHeight w:val="195"/>
        </w:trPr>
        <w:tc>
          <w:tcPr>
            <w:tcW w:w="3720" w:type="dxa"/>
            <w:vAlign w:val="bottom"/>
          </w:tcPr>
          <w:p>
            <w:pPr>
              <w:spacing w:after="0"/>
              <w:rPr>
                <w:sz w:val="16"/>
                <w:szCs w:val="16"/>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6"/>
                <w:szCs w:val="16"/>
                <w:color w:val="auto"/>
              </w:rPr>
            </w:pPr>
          </w:p>
        </w:tc>
        <w:tc>
          <w:tcPr>
            <w:tcW w:w="2360" w:type="dxa"/>
            <w:vAlign w:val="bottom"/>
          </w:tcPr>
          <w:p>
            <w:pPr>
              <w:jc w:val="right"/>
              <w:ind w:right="326"/>
              <w:spacing w:after="0"/>
              <w:rPr>
                <w:sz w:val="20"/>
                <w:szCs w:val="20"/>
                <w:color w:val="auto"/>
              </w:rPr>
            </w:pPr>
            <w:r>
              <w:rPr>
                <w:rFonts w:ascii="Arial" w:cs="Arial" w:eastAsia="Arial" w:hAnsi="Arial"/>
                <w:sz w:val="14"/>
                <w:szCs w:val="14"/>
                <w:b w:val="1"/>
                <w:bCs w:val="1"/>
                <w:color w:val="auto"/>
                <w:w w:val="99"/>
              </w:rPr>
              <w:t>exercise price of outstanding</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(excluding securities</w:t>
            </w:r>
          </w:p>
        </w:tc>
      </w:tr>
      <w:tr>
        <w:trPr>
          <w:trHeight w:val="171"/>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name or description</w:t>
            </w:r>
          </w:p>
        </w:tc>
        <w:tc>
          <w:tcPr>
            <w:tcW w:w="2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RSUs and SSAR Awards</w:t>
            </w: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SSAR Awards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reflected in column (a))</w:t>
            </w:r>
          </w:p>
        </w:tc>
      </w:tr>
      <w:tr>
        <w:trPr>
          <w:trHeight w:val="194"/>
        </w:trPr>
        <w:tc>
          <w:tcPr>
            <w:tcW w:w="372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2006 Omnibus Plan (amended and restated)</w:t>
            </w:r>
          </w:p>
        </w:tc>
        <w:tc>
          <w:tcPr>
            <w:tcW w:w="2000" w:type="dxa"/>
            <w:vAlign w:val="bottom"/>
            <w:tcBorders>
              <w:bottom w:val="single" w:sz="8" w:color="auto"/>
            </w:tcBorders>
            <w:shd w:val="clear" w:color="auto" w:fill="CCEEFF"/>
          </w:tcPr>
          <w:p>
            <w:pPr>
              <w:jc w:val="right"/>
              <w:ind w:right="68"/>
              <w:spacing w:after="0" w:line="188" w:lineRule="exact"/>
              <w:rPr>
                <w:sz w:val="20"/>
                <w:szCs w:val="20"/>
                <w:color w:val="auto"/>
              </w:rPr>
            </w:pPr>
            <w:r>
              <w:rPr>
                <w:rFonts w:ascii="Arial" w:cs="Arial" w:eastAsia="Arial" w:hAnsi="Arial"/>
                <w:sz w:val="17"/>
                <w:szCs w:val="17"/>
                <w:color w:val="auto"/>
              </w:rPr>
              <w:t>1,017</w:t>
            </w:r>
          </w:p>
        </w:tc>
        <w:tc>
          <w:tcPr>
            <w:tcW w:w="2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2360" w:type="dxa"/>
            <w:vAlign w:val="bottom"/>
            <w:tcBorders>
              <w:bottom w:val="single" w:sz="8" w:color="auto"/>
            </w:tcBorders>
            <w:shd w:val="clear" w:color="auto" w:fill="CCEEFF"/>
          </w:tcPr>
          <w:p>
            <w:pPr>
              <w:jc w:val="right"/>
              <w:ind w:right="126"/>
              <w:spacing w:after="0" w:line="188" w:lineRule="exact"/>
              <w:rPr>
                <w:sz w:val="20"/>
                <w:szCs w:val="20"/>
                <w:color w:val="auto"/>
              </w:rPr>
            </w:pPr>
            <w:r>
              <w:rPr>
                <w:rFonts w:ascii="Arial" w:cs="Arial" w:eastAsia="Arial" w:hAnsi="Arial"/>
                <w:sz w:val="17"/>
                <w:szCs w:val="17"/>
                <w:color w:val="auto"/>
              </w:rPr>
              <w:t>9.14 (1)</w:t>
            </w:r>
          </w:p>
        </w:tc>
        <w:tc>
          <w:tcPr>
            <w:tcW w:w="18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3,263</w:t>
            </w:r>
          </w:p>
        </w:tc>
      </w:tr>
    </w:tbl>
    <w:p>
      <w:pPr>
        <w:spacing w:after="0" w:line="172" w:lineRule="exact"/>
        <w:rPr>
          <w:sz w:val="20"/>
          <w:szCs w:val="20"/>
          <w:color w:val="auto"/>
        </w:rPr>
      </w:pPr>
    </w:p>
    <w:p>
      <w:pPr>
        <w:ind w:right="100" w:firstLine="55"/>
        <w:spacing w:after="0" w:line="286" w:lineRule="auto"/>
        <w:tabs>
          <w:tab w:leader="none" w:pos="307"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Calculated without taking into account shares of common stock subject to the RSUs reported in column (a) and that will become issuable following vesting of such RSUs without any cash consideration or other payment required.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with respect to repurchases of common stock made by us during the quarterly period ended</w:t>
      </w:r>
    </w:p>
    <w:p>
      <w:pPr>
        <w:spacing w:after="0"/>
        <w:rPr>
          <w:sz w:val="20"/>
          <w:szCs w:val="20"/>
          <w:color w:val="auto"/>
        </w:rPr>
      </w:pPr>
      <w:r>
        <w:rPr>
          <w:rFonts w:ascii="Arial" w:cs="Arial" w:eastAsia="Arial" w:hAnsi="Arial"/>
          <w:sz w:val="17"/>
          <w:szCs w:val="17"/>
          <w:color w:val="auto"/>
        </w:rPr>
        <w:t>December 31, 2014 (in thousands, except average price per share):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 Number</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Approximate Dollar</w:t>
            </w:r>
          </w:p>
        </w:tc>
      </w:tr>
      <w:tr>
        <w:trPr>
          <w:trHeight w:val="195"/>
        </w:trPr>
        <w:tc>
          <w:tcPr>
            <w:tcW w:w="4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of Shares Purchased</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Value of Shares that</w:t>
            </w:r>
          </w:p>
        </w:tc>
      </w:tr>
      <w:tr>
        <w:trPr>
          <w:trHeight w:val="195"/>
        </w:trPr>
        <w:tc>
          <w:tcPr>
            <w:tcW w:w="45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 Number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as Part of Publicly</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8"/>
              </w:rPr>
              <w:t>May Yet Be Purchased</w:t>
            </w:r>
          </w:p>
        </w:tc>
      </w:tr>
      <w:tr>
        <w:trPr>
          <w:trHeight w:val="195"/>
        </w:trPr>
        <w:tc>
          <w:tcPr>
            <w:tcW w:w="45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6"/>
                <w:szCs w:val="16"/>
                <w:color w:val="auto"/>
              </w:rPr>
            </w:pPr>
          </w:p>
        </w:tc>
        <w:tc>
          <w:tcPr>
            <w:tcW w:w="1100" w:type="dxa"/>
            <w:vAlign w:val="bottom"/>
          </w:tcPr>
          <w:p>
            <w:pPr>
              <w:jc w:val="right"/>
              <w:ind w:right="77"/>
              <w:spacing w:after="0"/>
              <w:rPr>
                <w:sz w:val="20"/>
                <w:szCs w:val="20"/>
                <w:color w:val="auto"/>
              </w:rPr>
            </w:pPr>
            <w:r>
              <w:rPr>
                <w:rFonts w:ascii="Arial" w:cs="Arial" w:eastAsia="Arial" w:hAnsi="Arial"/>
                <w:sz w:val="14"/>
                <w:szCs w:val="14"/>
                <w:b w:val="1"/>
                <w:bCs w:val="1"/>
                <w:color w:val="auto"/>
                <w:w w:val="98"/>
              </w:rPr>
              <w:t>Average Price</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Announced Plans or</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Under the Plans or</w:t>
            </w:r>
          </w:p>
        </w:tc>
      </w:tr>
      <w:tr>
        <w:trPr>
          <w:trHeight w:val="171"/>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Purchased (1)</w:t>
            </w:r>
          </w:p>
        </w:tc>
        <w:tc>
          <w:tcPr>
            <w:tcW w:w="13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Paid Per Share</w:t>
            </w: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Programs</w:t>
            </w: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Programs (2)</w:t>
            </w:r>
          </w:p>
        </w:tc>
      </w:tr>
      <w:tr>
        <w:trPr>
          <w:trHeight w:val="188"/>
        </w:trPr>
        <w:tc>
          <w:tcPr>
            <w:tcW w:w="45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10/1/14-10/31/14</w:t>
            </w:r>
          </w:p>
        </w:tc>
        <w:tc>
          <w:tcPr>
            <w:tcW w:w="1060" w:type="dxa"/>
            <w:vAlign w:val="bottom"/>
            <w:gridSpan w:val="2"/>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7"/>
              <w:spacing w:after="0" w:line="188"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ind w:left="1280"/>
              <w:spacing w:after="0" w:line="188"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55,000</w:t>
            </w:r>
          </w:p>
        </w:tc>
      </w:tr>
      <w:tr>
        <w:trPr>
          <w:trHeight w:val="195"/>
        </w:trPr>
        <w:tc>
          <w:tcPr>
            <w:tcW w:w="4520" w:type="dxa"/>
            <w:vAlign w:val="bottom"/>
          </w:tcPr>
          <w:p>
            <w:pPr>
              <w:spacing w:after="0"/>
              <w:rPr>
                <w:sz w:val="20"/>
                <w:szCs w:val="20"/>
                <w:color w:val="auto"/>
              </w:rPr>
            </w:pPr>
            <w:r>
              <w:rPr>
                <w:rFonts w:ascii="Arial" w:cs="Arial" w:eastAsia="Arial" w:hAnsi="Arial"/>
                <w:sz w:val="17"/>
                <w:szCs w:val="17"/>
                <w:color w:val="auto"/>
              </w:rPr>
              <w:t>11/1/14-11/30/14</w:t>
            </w: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7"/>
              <w:spacing w:after="0"/>
              <w:rPr>
                <w:sz w:val="20"/>
                <w:szCs w:val="20"/>
                <w:color w:val="auto"/>
              </w:rPr>
            </w:pPr>
            <w:r>
              <w:rPr>
                <w:rFonts w:ascii="Arial" w:cs="Arial" w:eastAsia="Arial" w:hAnsi="Arial"/>
                <w:sz w:val="17"/>
                <w:szCs w:val="17"/>
                <w:color w:val="auto"/>
              </w:rPr>
              <w:t>44.21</w:t>
            </w:r>
          </w:p>
        </w:tc>
        <w:tc>
          <w:tcPr>
            <w:tcW w:w="1580" w:type="dxa"/>
            <w:vAlign w:val="bottom"/>
            <w:gridSpan w:val="2"/>
          </w:tcPr>
          <w:p>
            <w:pPr>
              <w:ind w:left="1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55,000</w:t>
            </w:r>
          </w:p>
        </w:tc>
      </w:tr>
      <w:tr>
        <w:trPr>
          <w:trHeight w:val="195"/>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12/1/14-12/31/14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r>
      <w:tr>
        <w:trPr>
          <w:trHeight w:val="194"/>
        </w:trPr>
        <w:tc>
          <w:tcPr>
            <w:tcW w:w="45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980" w:type="dxa"/>
            <w:vAlign w:val="bottom"/>
            <w:tcBorders>
              <w:top w:val="single" w:sz="8" w:color="auto"/>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9</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7"/>
              <w:spacing w:after="0" w:line="188" w:lineRule="exact"/>
              <w:rPr>
                <w:sz w:val="20"/>
                <w:szCs w:val="20"/>
                <w:color w:val="auto"/>
              </w:rPr>
            </w:pPr>
            <w:r>
              <w:rPr>
                <w:rFonts w:ascii="Arial" w:cs="Arial" w:eastAsia="Arial" w:hAnsi="Arial"/>
                <w:sz w:val="17"/>
                <w:szCs w:val="17"/>
                <w:color w:val="auto"/>
              </w:rPr>
              <w:t>44.21</w:t>
            </w:r>
          </w:p>
        </w:tc>
        <w:tc>
          <w:tcPr>
            <w:tcW w:w="1520" w:type="dxa"/>
            <w:vAlign w:val="bottom"/>
            <w:tcBorders>
              <w:top w:val="single" w:sz="8" w:color="auto"/>
              <w:bottom w:val="single" w:sz="8" w:color="auto"/>
            </w:tcBorders>
          </w:tcPr>
          <w:p>
            <w:pPr>
              <w:ind w:left="1280"/>
              <w:spacing w:after="0" w:line="188"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55,000</w:t>
            </w:r>
          </w:p>
        </w:tc>
      </w:tr>
    </w:tbl>
    <w:p>
      <w:pPr>
        <w:spacing w:after="0" w:line="172" w:lineRule="exact"/>
        <w:rPr>
          <w:sz w:val="20"/>
          <w:szCs w:val="20"/>
          <w:color w:val="auto"/>
        </w:rPr>
      </w:pPr>
    </w:p>
    <w:p>
      <w:pPr>
        <w:jc w:val="both"/>
        <w:ind w:left="220" w:hanging="220"/>
        <w:spacing w:after="0" w:line="263" w:lineRule="auto"/>
        <w:rPr>
          <w:sz w:val="20"/>
          <w:szCs w:val="20"/>
          <w:color w:val="auto"/>
        </w:rPr>
      </w:pPr>
      <w:r>
        <w:rPr>
          <w:rFonts w:ascii="Arial" w:cs="Arial" w:eastAsia="Arial" w:hAnsi="Arial"/>
          <w:sz w:val="17"/>
          <w:szCs w:val="17"/>
          <w:color w:val="auto"/>
        </w:rPr>
        <w:t>(1)These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36" w:lineRule="exact"/>
        <w:rPr>
          <w:sz w:val="20"/>
          <w:szCs w:val="20"/>
          <w:color w:val="auto"/>
        </w:rPr>
      </w:pPr>
    </w:p>
    <w:p>
      <w:pPr>
        <w:jc w:val="both"/>
        <w:ind w:left="220" w:hanging="213"/>
        <w:spacing w:after="0" w:line="24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May 2014, our Board of Directors renewed its existing common stock repurchase program by replacing the remainder of the existing program and authorizing the purchase of up to $65.0 million in common stock (the “Repurchase Program”). The Repurchase Program does not require a minimum number of shares of common stock to be purchased, has no expiration date and may be suspended or discontinued at any time. As of December 31, 2014, $55.0 million in common stock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information on repurchases of common stock for the first three quarters of 2014, see the corresponding Quarterly Report on Form 10-Q.</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Selected Financial Data</w:t>
      </w:r>
    </w:p>
    <w:p>
      <w:pPr>
        <w:spacing w:after="0" w:line="107" w:lineRule="exact"/>
        <w:rPr>
          <w:sz w:val="20"/>
          <w:szCs w:val="20"/>
          <w:color w:val="auto"/>
        </w:rPr>
      </w:pPr>
    </w:p>
    <w:p>
      <w:pPr>
        <w:jc w:val="both"/>
        <w:spacing w:after="0" w:line="202" w:lineRule="exact"/>
        <w:rPr>
          <w:sz w:val="20"/>
          <w:szCs w:val="20"/>
          <w:color w:val="auto"/>
        </w:rPr>
      </w:pPr>
      <w:r>
        <w:rPr>
          <w:rFonts w:ascii="Arial" w:cs="Arial" w:eastAsia="Arial" w:hAnsi="Arial"/>
          <w:sz w:val="17"/>
          <w:szCs w:val="17"/>
          <w:color w:val="auto"/>
        </w:rPr>
        <w:t>The following selected consolidated financial data should be read in conjunction with the consolidated financial statements and related notes thereto and Part II, Item 7 of this report appearing under the caption, “Management’s Discussion and Analysis of Financial Condition and Results of Operations” and other financial data and “Risk Factors” included elsewhere in this 2014 10</w:t>
      </w:r>
      <w:r>
        <w:rPr>
          <w:rFonts w:ascii="MS PGothic" w:cs="MS PGothic" w:eastAsia="MS PGothic" w:hAnsi="MS PGothic"/>
          <w:sz w:val="17"/>
          <w:szCs w:val="17"/>
          <w:color w:val="auto"/>
        </w:rPr>
        <w:t>‑</w:t>
      </w:r>
      <w:r>
        <w:rPr>
          <w:rFonts w:ascii="Arial" w:cs="Arial" w:eastAsia="Arial" w:hAnsi="Arial"/>
          <w:sz w:val="17"/>
          <w:szCs w:val="17"/>
          <w:color w:val="auto"/>
        </w:rPr>
        <w:t>K Report. The historical results are not necessarily indicative of the operating results to be expected in the future. All financial information presented has been prepared in U.S. dollars and in accordance with accounting principles generally accepted (“GAAP”) in the United States.</w:t>
      </w:r>
    </w:p>
    <w:p>
      <w:pPr>
        <w:spacing w:after="0" w:line="289" w:lineRule="exact"/>
        <w:rPr>
          <w:sz w:val="20"/>
          <w:szCs w:val="20"/>
          <w:color w:val="auto"/>
        </w:rPr>
      </w:pPr>
    </w:p>
    <w:p>
      <w:pPr>
        <w:ind w:right="4040"/>
        <w:spacing w:after="0" w:line="261" w:lineRule="auto"/>
        <w:rPr>
          <w:sz w:val="20"/>
          <w:szCs w:val="20"/>
          <w:color w:val="auto"/>
        </w:rPr>
      </w:pPr>
      <w:r>
        <w:rPr>
          <w:rFonts w:ascii="Arial" w:cs="Arial" w:eastAsia="Arial" w:hAnsi="Arial"/>
          <w:sz w:val="20"/>
          <w:szCs w:val="20"/>
          <w:b w:val="1"/>
          <w:bCs w:val="1"/>
          <w:color w:val="auto"/>
        </w:rPr>
        <w:t>WORLD FUEL SERVICES CORPORATION AND SUBSIDIARIES SELECTED CONSOLIDATED FINANCIAL DATA</w:t>
      </w:r>
    </w:p>
    <w:p>
      <w:pPr>
        <w:spacing w:after="0"/>
        <w:rPr>
          <w:sz w:val="20"/>
          <w:szCs w:val="20"/>
          <w:color w:val="auto"/>
        </w:rPr>
      </w:pPr>
      <w:r>
        <w:rPr>
          <w:rFonts w:ascii="Arial" w:cs="Arial" w:eastAsia="Arial" w:hAnsi="Arial"/>
          <w:sz w:val="17"/>
          <w:szCs w:val="17"/>
          <w:color w:val="auto"/>
        </w:rPr>
        <w:t>(In thousands, except earnings and dividends per share data)</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For the Year ended December 31,</w:t>
            </w:r>
          </w:p>
        </w:tc>
      </w:tr>
      <w:tr>
        <w:trPr>
          <w:trHeight w:val="188"/>
        </w:trPr>
        <w:tc>
          <w:tcPr>
            <w:tcW w:w="4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2014 (1)</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 (2)</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 (3)</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2011 (4)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 (5)</w:t>
            </w:r>
          </w:p>
        </w:tc>
      </w:tr>
      <w:tr>
        <w:trPr>
          <w:trHeight w:val="188"/>
        </w:trPr>
        <w:tc>
          <w:tcPr>
            <w:tcW w:w="4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Revenue</w:t>
            </w:r>
          </w:p>
        </w:tc>
        <w:tc>
          <w:tcPr>
            <w:tcW w:w="300" w:type="dxa"/>
            <w:vAlign w:val="bottom"/>
            <w:gridSpan w:val="2"/>
            <w:shd w:val="clear" w:color="auto" w:fill="CCEEFF"/>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43,386,389</w:t>
            </w:r>
          </w:p>
        </w:tc>
        <w:tc>
          <w:tcPr>
            <w:tcW w:w="1220" w:type="dxa"/>
            <w:vAlign w:val="bottom"/>
            <w:gridSpan w:val="2"/>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$ 41,561,947</w:t>
            </w:r>
          </w:p>
        </w:tc>
        <w:tc>
          <w:tcPr>
            <w:tcW w:w="2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38,945,338</w:t>
            </w:r>
          </w:p>
        </w:tc>
        <w:tc>
          <w:tcPr>
            <w:tcW w:w="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34,622,854</w:t>
            </w:r>
          </w:p>
        </w:tc>
        <w:tc>
          <w:tcPr>
            <w:tcW w:w="1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19,131,147</w:t>
            </w:r>
          </w:p>
        </w:tc>
      </w:tr>
      <w:tr>
        <w:trPr>
          <w:trHeight w:val="195"/>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Cost of revenue</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42,572,767</w:t>
            </w:r>
          </w:p>
        </w:tc>
        <w:tc>
          <w:tcPr>
            <w:tcW w:w="12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40,809,189</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38,271,891</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33,987,851</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18,689,006</w:t>
            </w:r>
          </w:p>
        </w:tc>
      </w:tr>
      <w:tr>
        <w:trPr>
          <w:trHeight w:val="188"/>
        </w:trPr>
        <w:tc>
          <w:tcPr>
            <w:tcW w:w="4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813,622</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752,758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673,447</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635,003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442,141</w:t>
            </w:r>
          </w:p>
        </w:tc>
      </w:tr>
      <w:tr>
        <w:trPr>
          <w:trHeight w:val="195"/>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Operating expenses (6)</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544,474</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488,400</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416,424</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378,031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261,275</w:t>
            </w:r>
          </w:p>
        </w:tc>
      </w:tr>
      <w:tr>
        <w:trPr>
          <w:trHeight w:val="188"/>
        </w:trPr>
        <w:tc>
          <w:tcPr>
            <w:tcW w:w="4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Income from operations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269,148</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264,358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257,023</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256,972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180,866</w:t>
            </w:r>
          </w:p>
        </w:tc>
      </w:tr>
      <w:tr>
        <w:trPr>
          <w:trHeight w:val="195"/>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Non-operating income (expenses), net (7)</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403</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(17,693)</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(17,428)</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(18,769)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(3,336)</w:t>
            </w:r>
          </w:p>
        </w:tc>
      </w:tr>
      <w:tr>
        <w:trPr>
          <w:trHeight w:val="188"/>
        </w:trPr>
        <w:tc>
          <w:tcPr>
            <w:tcW w:w="4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Income before income taxes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269,551</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246,665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239,595</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238,203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177,530</w:t>
            </w:r>
          </w:p>
        </w:tc>
      </w:tr>
      <w:tr>
        <w:trPr>
          <w:trHeight w:val="195"/>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51,144</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39,505</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38,244</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39,001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31,027</w:t>
            </w:r>
          </w:p>
        </w:tc>
      </w:tr>
      <w:tr>
        <w:trPr>
          <w:trHeight w:val="188"/>
        </w:trPr>
        <w:tc>
          <w:tcPr>
            <w:tcW w:w="4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Net income including noncontrolling interest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218,407</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207,160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201,351</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199,202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146,503</w:t>
            </w:r>
          </w:p>
        </w:tc>
      </w:tr>
      <w:tr>
        <w:trPr>
          <w:trHeight w:val="172"/>
        </w:trPr>
        <w:tc>
          <w:tcPr>
            <w:tcW w:w="4080" w:type="dxa"/>
            <w:vAlign w:val="bottom"/>
          </w:tcPr>
          <w:p>
            <w:pPr>
              <w:spacing w:after="0" w:line="172" w:lineRule="exact"/>
              <w:rPr>
                <w:sz w:val="20"/>
                <w:szCs w:val="20"/>
                <w:color w:val="auto"/>
              </w:rPr>
            </w:pPr>
            <w:r>
              <w:rPr>
                <w:rFonts w:ascii="Arial" w:cs="Arial" w:eastAsia="Arial" w:hAnsi="Arial"/>
                <w:sz w:val="17"/>
                <w:szCs w:val="17"/>
                <w:color w:val="auto"/>
              </w:rPr>
              <w:t>Net (loss) income attributable to noncontrolling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7"/>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interest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(3,340)</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4,085</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12,006</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5,173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w:t>
            </w:r>
          </w:p>
        </w:tc>
      </w:tr>
      <w:tr>
        <w:trPr>
          <w:trHeight w:val="194"/>
        </w:trPr>
        <w:tc>
          <w:tcPr>
            <w:tcW w:w="40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Net income attributable to World Fuel (7)</w:t>
            </w:r>
          </w:p>
        </w:tc>
        <w:tc>
          <w:tcPr>
            <w:tcW w:w="300" w:type="dxa"/>
            <w:vAlign w:val="bottom"/>
            <w:tcBorders>
              <w:bottom w:val="single" w:sz="8" w:color="auto"/>
            </w:tcBorders>
            <w:gridSpan w:val="2"/>
            <w:shd w:val="clear" w:color="auto" w:fill="CCEEFF"/>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221,747</w:t>
            </w:r>
          </w:p>
        </w:tc>
        <w:tc>
          <w:tcPr>
            <w:tcW w:w="420" w:type="dxa"/>
            <w:vAlign w:val="bottom"/>
            <w:tcBorders>
              <w:bottom w:val="single" w:sz="8" w:color="auto"/>
            </w:tcBorders>
            <w:shd w:val="clear" w:color="auto" w:fill="CCEEFF"/>
          </w:tcPr>
          <w:p>
            <w:pPr>
              <w:jc w:val="right"/>
              <w:ind w:right="174"/>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203,075</w:t>
            </w:r>
          </w:p>
        </w:tc>
        <w:tc>
          <w:tcPr>
            <w:tcW w:w="2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5"/>
              <w:spacing w:after="0" w:line="188" w:lineRule="exact"/>
              <w:rPr>
                <w:sz w:val="20"/>
                <w:szCs w:val="20"/>
                <w:color w:val="auto"/>
              </w:rPr>
            </w:pPr>
            <w:r>
              <w:rPr>
                <w:rFonts w:ascii="Arial" w:cs="Arial" w:eastAsia="Arial" w:hAnsi="Arial"/>
                <w:sz w:val="17"/>
                <w:szCs w:val="17"/>
                <w:color w:val="auto"/>
              </w:rPr>
              <w:t>189,345</w:t>
            </w:r>
          </w:p>
        </w:tc>
        <w:tc>
          <w:tcPr>
            <w:tcW w:w="2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194,029</w:t>
            </w:r>
          </w:p>
        </w:tc>
        <w:tc>
          <w:tcPr>
            <w:tcW w:w="1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146,865</w:t>
            </w:r>
          </w:p>
        </w:tc>
      </w:tr>
      <w:tr>
        <w:trPr>
          <w:trHeight w:val="201"/>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Basic earnings per common share (7)</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3.13</w:t>
            </w:r>
          </w:p>
        </w:tc>
        <w:tc>
          <w:tcPr>
            <w:tcW w:w="4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2.74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r>
      <w:tr>
        <w:trPr>
          <w:trHeight w:val="201"/>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Basic weighted average common shares</w:t>
            </w: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70,750</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71,224</w:t>
            </w:r>
          </w:p>
        </w:tc>
        <w:tc>
          <w:tcPr>
            <w:tcW w:w="2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71,154</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70,687</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62,168</w:t>
            </w:r>
          </w:p>
        </w:tc>
      </w:tr>
      <w:tr>
        <w:trPr>
          <w:trHeight w:val="201"/>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Diluted earnings per common share (7)</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3.11</w:t>
            </w:r>
          </w:p>
        </w:tc>
        <w:tc>
          <w:tcPr>
            <w:tcW w:w="4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2.71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r>
      <w:tr>
        <w:trPr>
          <w:trHeight w:val="201"/>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Diluted weighted average common shares</w:t>
            </w: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71,323</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71,800</w:t>
            </w:r>
          </w:p>
        </w:tc>
        <w:tc>
          <w:tcPr>
            <w:tcW w:w="2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71,817</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71,510</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63,441</w:t>
            </w:r>
          </w:p>
        </w:tc>
      </w:tr>
      <w:tr>
        <w:trPr>
          <w:trHeight w:val="201"/>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dividends declared per common share</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0.15</w:t>
            </w:r>
          </w:p>
        </w:tc>
        <w:tc>
          <w:tcPr>
            <w:tcW w:w="4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0.15</w:t>
            </w:r>
          </w:p>
        </w:tc>
      </w:tr>
      <w:tr>
        <w:trPr>
          <w:trHeight w:val="597"/>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4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 (1)</w:t>
            </w:r>
          </w:p>
        </w:tc>
        <w:tc>
          <w:tcPr>
            <w:tcW w:w="12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2013 (2)</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 (3)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 (4)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 (5)</w:t>
            </w:r>
          </w:p>
        </w:tc>
      </w:tr>
      <w:tr>
        <w:trPr>
          <w:trHeight w:val="188"/>
        </w:trPr>
        <w:tc>
          <w:tcPr>
            <w:tcW w:w="4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Cash, cash equivalents and short-term investments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   302,264</w:t>
            </w:r>
          </w:p>
        </w:tc>
        <w:tc>
          <w:tcPr>
            <w:tcW w:w="102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   292,061</w:t>
            </w:r>
          </w:p>
        </w:tc>
        <w:tc>
          <w:tcPr>
            <w:tcW w:w="2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172,740</w:t>
            </w:r>
          </w:p>
        </w:tc>
        <w:tc>
          <w:tcPr>
            <w:tcW w:w="10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   205,415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272,893</w:t>
            </w:r>
          </w:p>
        </w:tc>
      </w:tr>
      <w:tr>
        <w:trPr>
          <w:trHeight w:val="195"/>
        </w:trPr>
        <w:tc>
          <w:tcPr>
            <w:tcW w:w="40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right"/>
              <w:ind w:right="14"/>
              <w:spacing w:after="0"/>
              <w:rPr>
                <w:sz w:val="20"/>
                <w:szCs w:val="20"/>
                <w:color w:val="auto"/>
              </w:rPr>
            </w:pPr>
            <w:r>
              <w:rPr>
                <w:rFonts w:ascii="Arial" w:cs="Arial" w:eastAsia="Arial" w:hAnsi="Arial"/>
                <w:sz w:val="17"/>
                <w:szCs w:val="17"/>
                <w:color w:val="auto"/>
              </w:rPr>
              <w:t>2,307,852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2,538,642</w:t>
            </w:r>
          </w:p>
        </w:tc>
        <w:tc>
          <w:tcPr>
            <w:tcW w:w="240" w:type="dxa"/>
            <w:vAlign w:val="bottom"/>
          </w:tcPr>
          <w:p>
            <w:pPr>
              <w:spacing w:after="0"/>
              <w:rPr>
                <w:sz w:val="16"/>
                <w:szCs w:val="16"/>
                <w:color w:val="auto"/>
              </w:rPr>
            </w:pPr>
          </w:p>
        </w:tc>
        <w:tc>
          <w:tcPr>
            <w:tcW w:w="940" w:type="dxa"/>
            <w:vAlign w:val="bottom"/>
            <w:gridSpan w:val="2"/>
          </w:tcPr>
          <w:p>
            <w:pPr>
              <w:jc w:val="right"/>
              <w:ind w:right="14"/>
              <w:spacing w:after="0"/>
              <w:rPr>
                <w:sz w:val="20"/>
                <w:szCs w:val="20"/>
                <w:color w:val="auto"/>
              </w:rPr>
            </w:pPr>
            <w:r>
              <w:rPr>
                <w:rFonts w:ascii="Arial" w:cs="Arial" w:eastAsia="Arial" w:hAnsi="Arial"/>
                <w:sz w:val="17"/>
                <w:szCs w:val="17"/>
                <w:color w:val="auto"/>
              </w:rPr>
              <w:t>2,193,866</w:t>
            </w:r>
          </w:p>
        </w:tc>
        <w:tc>
          <w:tcPr>
            <w:tcW w:w="1060" w:type="dxa"/>
            <w:vAlign w:val="bottom"/>
          </w:tcPr>
          <w:p>
            <w:pPr>
              <w:jc w:val="right"/>
              <w:spacing w:after="0"/>
              <w:rPr>
                <w:sz w:val="20"/>
                <w:szCs w:val="20"/>
                <w:color w:val="auto"/>
              </w:rPr>
            </w:pPr>
            <w:r>
              <w:rPr>
                <w:rFonts w:ascii="Arial" w:cs="Arial" w:eastAsia="Arial" w:hAnsi="Arial"/>
                <w:sz w:val="17"/>
                <w:szCs w:val="17"/>
                <w:color w:val="auto"/>
              </w:rPr>
              <w:t>2,160,561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1,386,700</w:t>
            </w:r>
          </w:p>
        </w:tc>
      </w:tr>
      <w:tr>
        <w:trPr>
          <w:trHeight w:val="195"/>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3,674,843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3,815,501</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3,281,377</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3,122,227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2,067,867</w:t>
            </w:r>
          </w:p>
        </w:tc>
      </w:tr>
      <w:tr>
        <w:trPr>
          <w:trHeight w:val="195"/>
        </w:trPr>
        <w:tc>
          <w:tcPr>
            <w:tcW w:w="4080" w:type="dxa"/>
            <w:vAlign w:val="bottom"/>
          </w:tcPr>
          <w:p>
            <w:pPr>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right"/>
              <w:ind w:right="14"/>
              <w:spacing w:after="0"/>
              <w:rPr>
                <w:sz w:val="20"/>
                <w:szCs w:val="20"/>
                <w:color w:val="auto"/>
              </w:rPr>
            </w:pPr>
            <w:r>
              <w:rPr>
                <w:rFonts w:ascii="Arial" w:cs="Arial" w:eastAsia="Arial" w:hAnsi="Arial"/>
                <w:sz w:val="17"/>
                <w:szCs w:val="17"/>
                <w:color w:val="auto"/>
              </w:rPr>
              <w:t>4,879,980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4,739,277</w:t>
            </w:r>
          </w:p>
        </w:tc>
        <w:tc>
          <w:tcPr>
            <w:tcW w:w="240" w:type="dxa"/>
            <w:vAlign w:val="bottom"/>
          </w:tcPr>
          <w:p>
            <w:pPr>
              <w:spacing w:after="0"/>
              <w:rPr>
                <w:sz w:val="16"/>
                <w:szCs w:val="16"/>
                <w:color w:val="auto"/>
              </w:rPr>
            </w:pPr>
          </w:p>
        </w:tc>
        <w:tc>
          <w:tcPr>
            <w:tcW w:w="940" w:type="dxa"/>
            <w:vAlign w:val="bottom"/>
            <w:gridSpan w:val="2"/>
          </w:tcPr>
          <w:p>
            <w:pPr>
              <w:jc w:val="right"/>
              <w:ind w:right="14"/>
              <w:spacing w:after="0"/>
              <w:rPr>
                <w:sz w:val="20"/>
                <w:szCs w:val="20"/>
                <w:color w:val="auto"/>
              </w:rPr>
            </w:pPr>
            <w:r>
              <w:rPr>
                <w:rFonts w:ascii="Arial" w:cs="Arial" w:eastAsia="Arial" w:hAnsi="Arial"/>
                <w:sz w:val="17"/>
                <w:szCs w:val="17"/>
                <w:color w:val="auto"/>
              </w:rPr>
              <w:t>4,107,751</w:t>
            </w:r>
          </w:p>
        </w:tc>
        <w:tc>
          <w:tcPr>
            <w:tcW w:w="1060" w:type="dxa"/>
            <w:vAlign w:val="bottom"/>
          </w:tcPr>
          <w:p>
            <w:pPr>
              <w:jc w:val="right"/>
              <w:spacing w:after="0"/>
              <w:rPr>
                <w:sz w:val="20"/>
                <w:szCs w:val="20"/>
                <w:color w:val="auto"/>
              </w:rPr>
            </w:pPr>
            <w:r>
              <w:rPr>
                <w:rFonts w:ascii="Arial" w:cs="Arial" w:eastAsia="Arial" w:hAnsi="Arial"/>
                <w:sz w:val="17"/>
                <w:szCs w:val="17"/>
                <w:color w:val="auto"/>
              </w:rPr>
              <w:t>3,697,246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2,566,450</w:t>
            </w:r>
          </w:p>
        </w:tc>
      </w:tr>
      <w:tr>
        <w:trPr>
          <w:trHeight w:val="195"/>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2,241,354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2,514,515</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2,149,298</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2,026,142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1,358,484</w:t>
            </w:r>
          </w:p>
        </w:tc>
      </w:tr>
      <w:tr>
        <w:trPr>
          <w:trHeight w:val="195"/>
        </w:trPr>
        <w:tc>
          <w:tcPr>
            <w:tcW w:w="4080" w:type="dxa"/>
            <w:vAlign w:val="bottom"/>
          </w:tcPr>
          <w:p>
            <w:pPr>
              <w:spacing w:after="0"/>
              <w:rPr>
                <w:sz w:val="20"/>
                <w:szCs w:val="20"/>
                <w:color w:val="auto"/>
              </w:rPr>
            </w:pPr>
            <w:r>
              <w:rPr>
                <w:rFonts w:ascii="Arial" w:cs="Arial" w:eastAsia="Arial" w:hAnsi="Arial"/>
                <w:sz w:val="17"/>
                <w:szCs w:val="17"/>
                <w:color w:val="auto"/>
              </w:rPr>
              <w:t>Total long-term liabilities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right"/>
              <w:ind w:right="14"/>
              <w:spacing w:after="0"/>
              <w:rPr>
                <w:sz w:val="20"/>
                <w:szCs w:val="20"/>
                <w:color w:val="auto"/>
              </w:rPr>
            </w:pPr>
            <w:r>
              <w:rPr>
                <w:rFonts w:ascii="Arial" w:cs="Arial" w:eastAsia="Arial" w:hAnsi="Arial"/>
                <w:sz w:val="17"/>
                <w:szCs w:val="17"/>
                <w:color w:val="auto"/>
              </w:rPr>
              <w:t>773,745</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545,868</w:t>
            </w:r>
          </w:p>
        </w:tc>
        <w:tc>
          <w:tcPr>
            <w:tcW w:w="240" w:type="dxa"/>
            <w:vAlign w:val="bottom"/>
          </w:tcPr>
          <w:p>
            <w:pPr>
              <w:spacing w:after="0"/>
              <w:rPr>
                <w:sz w:val="16"/>
                <w:szCs w:val="16"/>
                <w:color w:val="auto"/>
              </w:rPr>
            </w:pPr>
          </w:p>
        </w:tc>
        <w:tc>
          <w:tcPr>
            <w:tcW w:w="940" w:type="dxa"/>
            <w:vAlign w:val="bottom"/>
            <w:gridSpan w:val="2"/>
          </w:tcPr>
          <w:p>
            <w:pPr>
              <w:jc w:val="right"/>
              <w:ind w:right="14"/>
              <w:spacing w:after="0"/>
              <w:rPr>
                <w:sz w:val="20"/>
                <w:szCs w:val="20"/>
                <w:color w:val="auto"/>
              </w:rPr>
            </w:pPr>
            <w:r>
              <w:rPr>
                <w:rFonts w:ascii="Arial" w:cs="Arial" w:eastAsia="Arial" w:hAnsi="Arial"/>
                <w:sz w:val="17"/>
                <w:szCs w:val="17"/>
                <w:color w:val="auto"/>
              </w:rPr>
              <w:t>416,829</w:t>
            </w:r>
          </w:p>
        </w:tc>
        <w:tc>
          <w:tcPr>
            <w:tcW w:w="1060" w:type="dxa"/>
            <w:vAlign w:val="bottom"/>
          </w:tcPr>
          <w:p>
            <w:pPr>
              <w:jc w:val="right"/>
              <w:spacing w:after="0"/>
              <w:rPr>
                <w:sz w:val="20"/>
                <w:szCs w:val="20"/>
                <w:color w:val="auto"/>
              </w:rPr>
            </w:pPr>
            <w:r>
              <w:rPr>
                <w:rFonts w:ascii="Arial" w:cs="Arial" w:eastAsia="Arial" w:hAnsi="Arial"/>
                <w:sz w:val="17"/>
                <w:szCs w:val="17"/>
                <w:color w:val="auto"/>
              </w:rPr>
              <w:t>324,386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81,402</w:t>
            </w:r>
          </w:p>
        </w:tc>
      </w:tr>
      <w:tr>
        <w:trPr>
          <w:trHeight w:val="201"/>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equity (8)</w:t>
            </w: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1,864,881</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1,678,894</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1,541,624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1,346,718</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1,126,564</w:t>
            </w:r>
          </w:p>
        </w:tc>
      </w:tr>
    </w:tbl>
    <w:p>
      <w:pPr>
        <w:spacing w:after="0" w:line="81" w:lineRule="exact"/>
        <w:rPr>
          <w:sz w:val="20"/>
          <w:szCs w:val="20"/>
          <w:color w:val="auto"/>
        </w:rPr>
      </w:pPr>
    </w:p>
    <w:p>
      <w:pPr>
        <w:jc w:val="both"/>
        <w:ind w:left="220" w:hanging="213"/>
        <w:spacing w:after="0" w:line="255"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2014, we acquired i) all of the outstanding stock of Watson Petroleum Limited (now known as WFL (UK) Limited) (“Watson Petroleum”) on March 7th, ii) all of the outstanding stock of Colt International, L.L.C. (“Colt”) on July 29th,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155" w:lineRule="exact"/>
        <w:rPr>
          <w:rFonts w:ascii="Arial" w:cs="Arial" w:eastAsia="Arial" w:hAnsi="Arial"/>
          <w:sz w:val="17"/>
          <w:szCs w:val="17"/>
          <w:color w:val="auto"/>
        </w:rPr>
      </w:pPr>
    </w:p>
    <w:p>
      <w:pPr>
        <w:jc w:val="both"/>
        <w:ind w:left="220" w:hanging="213"/>
        <w:spacing w:after="0" w:line="263"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2013, we completed three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149" w:lineRule="exact"/>
        <w:rPr>
          <w:rFonts w:ascii="Arial" w:cs="Arial" w:eastAsia="Arial" w:hAnsi="Arial"/>
          <w:sz w:val="17"/>
          <w:szCs w:val="17"/>
          <w:color w:val="auto"/>
        </w:rPr>
      </w:pPr>
    </w:p>
    <w:p>
      <w:pPr>
        <w:jc w:val="both"/>
        <w:ind w:left="220" w:hanging="213"/>
        <w:spacing w:after="0" w:line="248"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2012, we acquired i) certain assets of CarterEnergy Corporation, including the assets comprising its wholesale motor fuel distribution business (the “CarterEnergy business”) on September 1st, ii) certain assets of Multi Service Corporation, including the assets comprising its transaction management business, and all of the outstanding stock of its foreign subsidiaries (the “Multi Service business”) on December 31st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left="220" w:hanging="213"/>
        <w:spacing w:after="0" w:line="255"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2011, we acquired i) all of the outstanding stock of Nordic Camp Supply ApS and certain affiliates (“NCS”) and ii) all of the outstanding stock of Ascent Aviation Group, Inc. (“Ascent”) on March 1st and April 1st, respectively, and iii) completed six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155" w:lineRule="exact"/>
        <w:rPr>
          <w:rFonts w:ascii="Arial" w:cs="Arial" w:eastAsia="Arial" w:hAnsi="Arial"/>
          <w:sz w:val="17"/>
          <w:szCs w:val="17"/>
          <w:color w:val="auto"/>
        </w:rPr>
      </w:pPr>
    </w:p>
    <w:p>
      <w:pPr>
        <w:jc w:val="both"/>
        <w:ind w:left="220" w:hanging="213"/>
        <w:spacing w:after="0" w:line="245"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2010, we acquired i) certain assets of Lakeside Oil Company, Inc., including the assets comprising its wholesale motor fuel distribution business (the “Lakeside business”) on July 1st, ii) all of the outstanding stock of Western Petroleum Company (“Western”) on October 1st, iii) all of the outstanding stock of The Hiller Group Incorporated, Air Petro Corp. and all of the outstanding membership interests of HG Equipment, LLC and AHT Services, LLC (collectively, “Hiller”) on December 31st and</w:t>
      </w:r>
    </w:p>
    <w:p>
      <w:pPr>
        <w:spacing w:after="0" w:line="2" w:lineRule="exact"/>
        <w:rPr>
          <w:rFonts w:ascii="Arial" w:cs="Arial" w:eastAsia="Arial" w:hAnsi="Arial"/>
          <w:sz w:val="17"/>
          <w:szCs w:val="17"/>
          <w:color w:val="auto"/>
        </w:rPr>
      </w:pPr>
    </w:p>
    <w:p>
      <w:pPr>
        <w:jc w:val="both"/>
        <w:ind w:left="220" w:firstLine="7"/>
        <w:spacing w:after="0" w:line="249" w:lineRule="auto"/>
        <w:tabs>
          <w:tab w:leader="none" w:pos="483" w:val="left"/>
        </w:tabs>
        <w:numPr>
          <w:ilvl w:val="1"/>
          <w:numId w:val="21"/>
        </w:numPr>
        <w:rPr>
          <w:rFonts w:ascii="Arial" w:cs="Arial" w:eastAsia="Arial" w:hAnsi="Arial"/>
          <w:sz w:val="17"/>
          <w:szCs w:val="17"/>
          <w:color w:val="auto"/>
        </w:rPr>
      </w:pPr>
      <w:r>
        <w:rPr>
          <w:rFonts w:ascii="Arial" w:cs="Arial" w:eastAsia="Arial" w:hAnsi="Arial"/>
          <w:sz w:val="17"/>
          <w:szCs w:val="17"/>
          <w:color w:val="auto"/>
        </w:rPr>
        <w:t>completed two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139" w:lineRule="exact"/>
        <w:rPr>
          <w:rFonts w:ascii="Arial" w:cs="Arial" w:eastAsia="Arial" w:hAnsi="Arial"/>
          <w:sz w:val="17"/>
          <w:szCs w:val="17"/>
          <w:color w:val="auto"/>
        </w:rPr>
      </w:pPr>
    </w:p>
    <w:p>
      <w:pPr>
        <w:jc w:val="both"/>
        <w:ind w:left="220" w:hanging="213"/>
        <w:spacing w:after="0" w:line="210" w:lineRule="exact"/>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Included in operating expenses are total non</w:t>
      </w:r>
      <w:r>
        <w:rPr>
          <w:rFonts w:ascii="MS PGothic" w:cs="MS PGothic" w:eastAsia="MS PGothic" w:hAnsi="MS PGothic"/>
          <w:sz w:val="17"/>
          <w:szCs w:val="17"/>
          <w:color w:val="auto"/>
        </w:rPr>
        <w:t>‑</w:t>
      </w:r>
      <w:r>
        <w:rPr>
          <w:rFonts w:ascii="Arial" w:cs="Arial" w:eastAsia="Arial" w:hAnsi="Arial"/>
          <w:sz w:val="17"/>
          <w:szCs w:val="17"/>
          <w:color w:val="auto"/>
        </w:rPr>
        <w:t>cash compensation costs associated with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of $15.8 million for 2014, $16.7 million for 2013, $14.1 million for 2012, $11.0 million for 2011 and $10.1 million for 2010 and intangible amortization expense of $29.1 million for 2014, $22.4 million for 2013, $18.1 million for 2012, $25.0 million for 2011 and $9.8 million for 2010.</w:t>
      </w:r>
    </w:p>
    <w:p>
      <w:pPr>
        <w:spacing w:after="0" w:line="171" w:lineRule="exact"/>
        <w:rPr>
          <w:rFonts w:ascii="Arial" w:cs="Arial" w:eastAsia="Arial" w:hAnsi="Arial"/>
          <w:sz w:val="17"/>
          <w:szCs w:val="17"/>
          <w:color w:val="auto"/>
        </w:rPr>
      </w:pPr>
    </w:p>
    <w:p>
      <w:pPr>
        <w:jc w:val="both"/>
        <w:ind w:left="220" w:hanging="213"/>
        <w:spacing w:after="0" w:line="270"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Included in non-operating income (expenses), net for 2014 is a gain of $18.1 million related to the sale of our crude oil joint venture interests. The after-tax gain, net of certain related operating expenses was $9.9 million, or $0.14 per basic and diluted share.</w:t>
      </w:r>
    </w:p>
    <w:p>
      <w:pPr>
        <w:spacing w:after="0" w:line="351" w:lineRule="exact"/>
        <w:rPr>
          <w:rFonts w:ascii="Arial" w:cs="Arial" w:eastAsia="Arial" w:hAnsi="Arial"/>
          <w:sz w:val="17"/>
          <w:szCs w:val="17"/>
          <w:color w:val="auto"/>
        </w:rPr>
      </w:pPr>
    </w:p>
    <w:p>
      <w:pPr>
        <w:jc w:val="both"/>
        <w:ind w:left="220" w:hanging="213"/>
        <w:spacing w:after="0" w:line="255"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2014, we repurchased 227,000 shares of our common stock for an aggregate value of $10.0 million pursuant to the Repurchase Program. In 2013, we repurchased 926,000 shares of our common stock for an aggregate value of $35.0 million pursuant to the Repurchase Program. In 2010, we completed a public offering of 9,200,000 shares of our common stock and received net proceeds of $218.8 million.</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 Management’s Discussion and Analysis of Financial Condition and Results of Operations</w:t>
      </w:r>
    </w:p>
    <w:p>
      <w:pPr>
        <w:spacing w:after="0" w:line="211"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The following discussion should be read in conjunction with “Item 6 – Selected Financial Data,” and with the accompanying consolidated financial statements and related notes thereto appearing elsewhere in this 2014 10</w:t>
      </w:r>
      <w:r>
        <w:rPr>
          <w:rFonts w:ascii="MS PGothic" w:cs="MS PGothic" w:eastAsia="MS PGothic" w:hAnsi="MS PGothic"/>
          <w:sz w:val="17"/>
          <w:szCs w:val="17"/>
          <w:color w:val="auto"/>
        </w:rPr>
        <w:t>‑</w:t>
      </w:r>
      <w:r>
        <w:rPr>
          <w:rFonts w:ascii="Arial" w:cs="Arial" w:eastAsia="Arial" w:hAnsi="Arial"/>
          <w:sz w:val="17"/>
          <w:szCs w:val="17"/>
          <w:color w:val="auto"/>
        </w:rPr>
        <w:t>K Report. The following discussion may contain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and our actual results may differ significantly from the results suggested by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Some factors that may cause our results to differ materially from the results and events anticipated or implied by such forward</w:t>
      </w:r>
      <w:r>
        <w:rPr>
          <w:rFonts w:ascii="MS PGothic" w:cs="MS PGothic" w:eastAsia="MS PGothic" w:hAnsi="MS PGothic"/>
          <w:sz w:val="17"/>
          <w:szCs w:val="17"/>
          <w:color w:val="auto"/>
        </w:rPr>
        <w:t>‑</w:t>
      </w:r>
      <w:r>
        <w:rPr>
          <w:rFonts w:ascii="Arial" w:cs="Arial" w:eastAsia="Arial" w:hAnsi="Arial"/>
          <w:sz w:val="17"/>
          <w:szCs w:val="17"/>
          <w:color w:val="auto"/>
        </w:rPr>
        <w:t xml:space="preserve"> looking statements are described in “Item 1A – Risk Factors.”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 w:lineRule="exact"/>
        <w:rPr>
          <w:sz w:val="20"/>
          <w:szCs w:val="20"/>
          <w:color w:val="auto"/>
        </w:rPr>
      </w:pPr>
    </w:p>
    <w:p>
      <w:pPr>
        <w:jc w:val="both"/>
        <w:spacing w:after="0" w:line="196" w:lineRule="exact"/>
        <w:rPr>
          <w:sz w:val="20"/>
          <w:szCs w:val="20"/>
          <w:color w:val="auto"/>
        </w:rPr>
      </w:pPr>
      <w:r>
        <w:rPr>
          <w:rFonts w:ascii="Arial" w:cs="Arial" w:eastAsia="Arial" w:hAnsi="Arial"/>
          <w:sz w:val="17"/>
          <w:szCs w:val="17"/>
          <w:color w:val="auto"/>
        </w:rPr>
        <w:t>We are a global fuel logistics, transaction management and payment processing company, principally engaged in the distribution of fuel and related products and services in the aviation, marine and land transportation industries. We compete by providing our customers with value</w:t>
      </w:r>
      <w:r>
        <w:rPr>
          <w:rFonts w:ascii="MS PGothic" w:cs="MS PGothic" w:eastAsia="MS PGothic" w:hAnsi="MS PGothic"/>
          <w:sz w:val="17"/>
          <w:szCs w:val="17"/>
          <w:color w:val="auto"/>
        </w:rPr>
        <w:t>‑</w:t>
      </w:r>
      <w:r>
        <w:rPr>
          <w:rFonts w:ascii="Arial" w:cs="Arial" w:eastAsia="Arial" w:hAnsi="Arial"/>
          <w:sz w:val="17"/>
          <w:szCs w:val="17"/>
          <w:color w:val="auto"/>
        </w:rPr>
        <w:t>added benefits, including single</w:t>
      </w:r>
      <w:r>
        <w:rPr>
          <w:rFonts w:ascii="MS PGothic" w:cs="MS PGothic" w:eastAsia="MS PGothic" w:hAnsi="MS PGothic"/>
          <w:sz w:val="17"/>
          <w:szCs w:val="17"/>
          <w:color w:val="auto"/>
        </w:rPr>
        <w:t>‑</w:t>
      </w:r>
      <w:r>
        <w:rPr>
          <w:rFonts w:ascii="Arial" w:cs="Arial" w:eastAsia="Arial" w:hAnsi="Arial"/>
          <w:sz w:val="17"/>
          <w:szCs w:val="17"/>
          <w:color w:val="auto"/>
        </w:rPr>
        <w:t>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In our aviation segment, we offer fuel and related products and services to major commercial airlines, second and third</w:t>
      </w:r>
      <w:r>
        <w:rPr>
          <w:rFonts w:ascii="MS PGothic" w:cs="MS PGothic" w:eastAsia="MS PGothic" w:hAnsi="MS PGothic"/>
          <w:sz w:val="17"/>
          <w:szCs w:val="17"/>
          <w:color w:val="auto"/>
        </w:rPr>
        <w:t>‑</w:t>
      </w:r>
      <w:r>
        <w:rPr>
          <w:rFonts w:ascii="Arial" w:cs="Arial" w:eastAsia="Arial" w:hAnsi="Arial"/>
          <w:sz w:val="17"/>
          <w:szCs w:val="17"/>
          <w:color w:val="auto"/>
        </w:rPr>
        <w:t>tier airlines, cargo carriers, regional and low cost carriers, airports, fixed based operators, corporate fleets, fractional operators, private aircraft, military fleets and to the U.S. and foreign governments. In our marine segment, we offer fuel, lubricants and related products and services to a broad base of marine customers, including international container and tanker fleets, commercial cruise lines, yachts and time</w:t>
      </w:r>
      <w:r>
        <w:rPr>
          <w:rFonts w:ascii="MS PGothic" w:cs="MS PGothic" w:eastAsia="MS PGothic" w:hAnsi="MS PGothic"/>
          <w:sz w:val="17"/>
          <w:szCs w:val="17"/>
          <w:color w:val="auto"/>
        </w:rPr>
        <w:t>‑</w:t>
      </w:r>
      <w:r>
        <w:rPr>
          <w:rFonts w:ascii="Arial" w:cs="Arial" w:eastAsia="Arial" w:hAnsi="Arial"/>
          <w:sz w:val="17"/>
          <w:szCs w:val="17"/>
          <w:color w:val="auto"/>
        </w:rPr>
        <w:t>charter operators, the U.S. and foreign governments as well as other fuel suppliers. In our land segment, we offer fuel, lubricants and related products and services to petroleum distributors operating in the land transportation market, retail petroleum operators, and industrial, commercial, residential and government customers and we engage in crude oil marketing activities. In addition, we offer transaction management services which consist of card payment solutions and merchant processing services to customers in the aviation, marine and land transportation industries.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5" w:name="page26"/>
    <w:bookmarkEnd w:id="25"/>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financial position, results of operations and cash flows of (i) Watson Petroleum have been included in our land segment commencing on March 7, 2014, its acquisition date and (ii) Colt have been included in our aviation segment commencing on July 29, 2014, its acquisition date.</w:t>
      </w:r>
    </w:p>
    <w:p>
      <w:pPr>
        <w:spacing w:after="0" w:line="149" w:lineRule="exact"/>
        <w:rPr>
          <w:sz w:val="20"/>
          <w:szCs w:val="20"/>
          <w:color w:val="auto"/>
        </w:rPr>
      </w:pPr>
    </w:p>
    <w:p>
      <w:pPr>
        <w:jc w:val="both"/>
        <w:spacing w:after="0" w:line="222" w:lineRule="exact"/>
        <w:rPr>
          <w:sz w:val="20"/>
          <w:szCs w:val="20"/>
          <w:color w:val="auto"/>
        </w:rPr>
      </w:pPr>
      <w:r>
        <w:rPr>
          <w:rFonts w:ascii="Arial" w:cs="Arial" w:eastAsia="Arial" w:hAnsi="Arial"/>
          <w:sz w:val="17"/>
          <w:szCs w:val="17"/>
          <w:color w:val="auto"/>
        </w:rPr>
        <w:t>Selected financial information with respect to our business segments is provided in Note 11 to the accompanying consolidated financial statements included in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our aviation and land segments, we primarily purchase and resell fuel and other products, and we do not act as brokers. Profit from our aviation and land segments is primarily determined by the volume and the gross profit achieved on fuel resales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revenue and cost of revenue are significantly impacted by world oil prices, as evidenced in part by our revenue and cost of revenue fluctuations in previous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156" w:lineRule="exact"/>
        <w:rPr>
          <w:sz w:val="20"/>
          <w:szCs w:val="20"/>
          <w:color w:val="auto"/>
        </w:rPr>
      </w:pPr>
    </w:p>
    <w:p>
      <w:pPr>
        <w:jc w:val="both"/>
        <w:spacing w:after="0" w:line="204" w:lineRule="exact"/>
        <w:rPr>
          <w:sz w:val="20"/>
          <w:szCs w:val="20"/>
          <w:color w:val="auto"/>
        </w:rPr>
      </w:pPr>
      <w:r>
        <w:rPr>
          <w:rFonts w:ascii="Arial" w:cs="Arial" w:eastAsia="Arial" w:hAnsi="Arial"/>
          <w:sz w:val="17"/>
          <w:szCs w:val="17"/>
          <w:color w:val="auto"/>
        </w:rPr>
        <w:t>We may experience decreases in future sales volumes and margins as a result of the ongoing deterioration in the world economy, the decline of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compared to 2013</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revenue for 2014 was $43.4 billion, an increase of $1.8 billion, or 4.4%, as compared to 2013. Our revenue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these periods was attributable to the following segments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8"/>
        </w:trPr>
        <w:tc>
          <w:tcPr>
            <w:tcW w:w="39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Aviation segment</w:t>
            </w:r>
          </w:p>
        </w:tc>
        <w:tc>
          <w:tcPr>
            <w:tcW w:w="27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line="188" w:lineRule="exact"/>
              <w:rPr>
                <w:sz w:val="20"/>
                <w:szCs w:val="20"/>
                <w:color w:val="auto"/>
              </w:rPr>
            </w:pPr>
            <w:r>
              <w:rPr>
                <w:rFonts w:ascii="Arial" w:cs="Arial" w:eastAsia="Arial" w:hAnsi="Arial"/>
                <w:sz w:val="17"/>
                <w:szCs w:val="17"/>
                <w:color w:val="auto"/>
              </w:rPr>
              <w:t>17,268,834</w:t>
            </w:r>
          </w:p>
        </w:tc>
        <w:tc>
          <w:tcPr>
            <w:tcW w:w="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16,087,611</w:t>
            </w:r>
          </w:p>
        </w:tc>
        <w:tc>
          <w:tcPr>
            <w:tcW w:w="2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1,181,223</w:t>
            </w:r>
          </w:p>
        </w:tc>
      </w:tr>
      <w:tr>
        <w:trPr>
          <w:trHeight w:val="195"/>
        </w:trPr>
        <w:tc>
          <w:tcPr>
            <w:tcW w:w="3940" w:type="dxa"/>
            <w:vAlign w:val="bottom"/>
          </w:tcPr>
          <w:p>
            <w:pPr>
              <w:spacing w:after="0"/>
              <w:rPr>
                <w:sz w:val="20"/>
                <w:szCs w:val="20"/>
                <w:color w:val="auto"/>
              </w:rPr>
            </w:pPr>
            <w:r>
              <w:rPr>
                <w:rFonts w:ascii="Arial" w:cs="Arial" w:eastAsia="Arial" w:hAnsi="Arial"/>
                <w:sz w:val="17"/>
                <w:szCs w:val="17"/>
                <w:color w:val="auto"/>
              </w:rPr>
              <w:t>Marine segment</w:t>
            </w:r>
          </w:p>
        </w:tc>
        <w:tc>
          <w:tcPr>
            <w:tcW w:w="2760" w:type="dxa"/>
            <w:vAlign w:val="bottom"/>
          </w:tcPr>
          <w:p>
            <w:pPr>
              <w:spacing w:after="0"/>
              <w:rPr>
                <w:sz w:val="16"/>
                <w:szCs w:val="16"/>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13,843,307</w:t>
            </w:r>
          </w:p>
        </w:tc>
        <w:tc>
          <w:tcPr>
            <w:tcW w:w="280" w:type="dxa"/>
            <w:vAlign w:val="bottom"/>
          </w:tcPr>
          <w:p>
            <w:pPr>
              <w:spacing w:after="0"/>
              <w:rPr>
                <w:sz w:val="16"/>
                <w:szCs w:val="16"/>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14,790,342</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(947,035)</w:t>
            </w:r>
          </w:p>
        </w:tc>
      </w:tr>
      <w:tr>
        <w:trPr>
          <w:trHeight w:val="195"/>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Land segment</w:t>
            </w:r>
          </w:p>
        </w:tc>
        <w:tc>
          <w:tcPr>
            <w:tcW w:w="27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12,274,248</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10,683,994</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1,590,254</w:t>
            </w:r>
          </w:p>
        </w:tc>
      </w:tr>
      <w:tr>
        <w:trPr>
          <w:trHeight w:val="194"/>
        </w:trPr>
        <w:tc>
          <w:tcPr>
            <w:tcW w:w="394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7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7"/>
              <w:spacing w:after="0" w:line="188" w:lineRule="exact"/>
              <w:rPr>
                <w:sz w:val="20"/>
                <w:szCs w:val="20"/>
                <w:color w:val="auto"/>
              </w:rPr>
            </w:pPr>
            <w:r>
              <w:rPr>
                <w:rFonts w:ascii="Arial" w:cs="Arial" w:eastAsia="Arial" w:hAnsi="Arial"/>
                <w:sz w:val="17"/>
                <w:szCs w:val="17"/>
                <w:color w:val="auto"/>
              </w:rPr>
              <w:t>43,386,389</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line="188" w:lineRule="exact"/>
              <w:rPr>
                <w:sz w:val="20"/>
                <w:szCs w:val="20"/>
                <w:color w:val="auto"/>
              </w:rPr>
            </w:pPr>
            <w:r>
              <w:rPr>
                <w:rFonts w:ascii="Arial" w:cs="Arial" w:eastAsia="Arial" w:hAnsi="Arial"/>
                <w:sz w:val="17"/>
                <w:szCs w:val="17"/>
                <w:color w:val="auto"/>
              </w:rPr>
              <w:t>41,561,947</w:t>
            </w:r>
          </w:p>
        </w:tc>
        <w:tc>
          <w:tcPr>
            <w:tcW w:w="2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1,824,442</w:t>
            </w:r>
          </w:p>
        </w:tc>
      </w:tr>
    </w:tbl>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aviation segment revenue for 2014 was $17.3 billion, an increase of $ 1.2 billion, or 7.3% as compared to 2013. Of the increase in aviation segment revenue, $2.5 billion was due to increased volume attributable to new and existing customers, which was partially offset by $1.3 billion due to a decrease in the average price per gallon sold as a result of lower average jet fuel prices in 2014 as compared to 2013.</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marine segment revenue for 2014 was $13.8 billion, a decrease of $0.9 billion, or 6.4% as compared to 2013. Of the decrease in marine segment revenue, $0.5 billion was due to decreased volume and $0.4 billion was due to a decrease in the average price per metric ton sold in 2014 as compared to 2013.</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land segment revenue for 2014 was $12.3 billion, an increase of $1.6 billion, or 14.9%, as compared to 2013. Of the increase in land segment revenue, $2.1 billion was due to revenue from acquired businesses and $0.6 billion was due to increased volume attributable to new and existing customers, which was partially offset by $1.1 billion due to a decrease in the average price per gallon sold as a result of lower average land fuel prices in 2014 as compared to 2013.</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for 2014 was $813.6 million, an increase of $60.9 million, or 8.1%, as compared to 2013. Our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profit during these periods was attributable to the following segments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p>
        </w:tc>
      </w:tr>
      <w:tr>
        <w:trPr>
          <w:trHeight w:val="188"/>
        </w:trPr>
        <w:tc>
          <w:tcPr>
            <w:tcW w:w="42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Aviation segment</w:t>
            </w:r>
          </w:p>
        </w:tc>
        <w:tc>
          <w:tcPr>
            <w:tcW w:w="30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321,596</w:t>
            </w:r>
          </w:p>
        </w:tc>
        <w:tc>
          <w:tcPr>
            <w:tcW w:w="3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327,178</w:t>
            </w:r>
          </w:p>
        </w:tc>
        <w:tc>
          <w:tcPr>
            <w:tcW w:w="2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(5,582)</w:t>
            </w:r>
          </w:p>
        </w:tc>
      </w:tr>
      <w:tr>
        <w:trPr>
          <w:trHeight w:val="195"/>
        </w:trPr>
        <w:tc>
          <w:tcPr>
            <w:tcW w:w="4200" w:type="dxa"/>
            <w:vAlign w:val="bottom"/>
          </w:tcPr>
          <w:p>
            <w:pPr>
              <w:spacing w:after="0"/>
              <w:rPr>
                <w:sz w:val="20"/>
                <w:szCs w:val="20"/>
                <w:color w:val="auto"/>
              </w:rPr>
            </w:pPr>
            <w:r>
              <w:rPr>
                <w:rFonts w:ascii="Arial" w:cs="Arial" w:eastAsia="Arial" w:hAnsi="Arial"/>
                <w:sz w:val="17"/>
                <w:szCs w:val="17"/>
                <w:color w:val="auto"/>
              </w:rPr>
              <w:t>Marine segment</w:t>
            </w:r>
          </w:p>
        </w:tc>
        <w:tc>
          <w:tcPr>
            <w:tcW w:w="3040" w:type="dxa"/>
            <w:vAlign w:val="bottom"/>
          </w:tcPr>
          <w:p>
            <w:pPr>
              <w:spacing w:after="0"/>
              <w:rPr>
                <w:sz w:val="16"/>
                <w:szCs w:val="16"/>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205,612</w:t>
            </w:r>
          </w:p>
        </w:tc>
        <w:tc>
          <w:tcPr>
            <w:tcW w:w="300" w:type="dxa"/>
            <w:vAlign w:val="bottom"/>
          </w:tcPr>
          <w:p>
            <w:pPr>
              <w:spacing w:after="0"/>
              <w:rPr>
                <w:sz w:val="16"/>
                <w:szCs w:val="16"/>
                <w:color w:val="auto"/>
              </w:rPr>
            </w:pPr>
          </w:p>
        </w:tc>
        <w:tc>
          <w:tcPr>
            <w:tcW w:w="840" w:type="dxa"/>
            <w:vAlign w:val="bottom"/>
          </w:tcPr>
          <w:p>
            <w:pPr>
              <w:jc w:val="right"/>
              <w:ind w:right="57"/>
              <w:spacing w:after="0"/>
              <w:rPr>
                <w:sz w:val="20"/>
                <w:szCs w:val="20"/>
                <w:color w:val="auto"/>
              </w:rPr>
            </w:pPr>
            <w:r>
              <w:rPr>
                <w:rFonts w:ascii="Arial" w:cs="Arial" w:eastAsia="Arial" w:hAnsi="Arial"/>
                <w:sz w:val="17"/>
                <w:szCs w:val="17"/>
                <w:color w:val="auto"/>
              </w:rPr>
              <w:t>177,052</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28,560</w:t>
            </w:r>
          </w:p>
        </w:tc>
      </w:tr>
      <w:tr>
        <w:trPr>
          <w:trHeight w:val="195"/>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Land segment</w:t>
            </w:r>
          </w:p>
        </w:tc>
        <w:tc>
          <w:tcPr>
            <w:tcW w:w="30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286,414</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248,528</w:t>
            </w: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37,886</w:t>
            </w:r>
          </w:p>
        </w:tc>
      </w:tr>
      <w:tr>
        <w:trPr>
          <w:trHeight w:val="194"/>
        </w:trPr>
        <w:tc>
          <w:tcPr>
            <w:tcW w:w="420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30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7"/>
              <w:spacing w:after="0" w:line="188" w:lineRule="exact"/>
              <w:rPr>
                <w:sz w:val="20"/>
                <w:szCs w:val="20"/>
                <w:color w:val="auto"/>
              </w:rPr>
            </w:pPr>
            <w:r>
              <w:rPr>
                <w:rFonts w:ascii="Arial" w:cs="Arial" w:eastAsia="Arial" w:hAnsi="Arial"/>
                <w:sz w:val="17"/>
                <w:szCs w:val="17"/>
                <w:color w:val="auto"/>
              </w:rPr>
              <w:t>813,622</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7"/>
              <w:spacing w:after="0" w:line="188" w:lineRule="exact"/>
              <w:rPr>
                <w:sz w:val="20"/>
                <w:szCs w:val="20"/>
                <w:color w:val="auto"/>
              </w:rPr>
            </w:pPr>
            <w:r>
              <w:rPr>
                <w:rFonts w:ascii="Arial" w:cs="Arial" w:eastAsia="Arial" w:hAnsi="Arial"/>
                <w:sz w:val="17"/>
                <w:szCs w:val="17"/>
                <w:color w:val="auto"/>
              </w:rPr>
              <w:t>752,758</w:t>
            </w:r>
          </w:p>
        </w:tc>
        <w:tc>
          <w:tcPr>
            <w:tcW w:w="2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7"/>
                <w:szCs w:val="17"/>
                <w:color w:val="auto"/>
              </w:rPr>
              <w:t>60,864</w:t>
            </w:r>
          </w:p>
        </w:tc>
      </w:tr>
    </w:tbl>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aviation segment gross profit for 2014 was $321.6 million, a decrease of $ 5.6 million, or 1.7%, as compared to 2013. Of the decrease in aviation segment gross profit, $67.4 million was due to lower gross profit per gallon sold principally due to changes in customer mix. This decrease was partially offset by an increase of $49.4 million due to increased volume attributable to new and existing customers and $12.4 million due to gross profit from acquired businesses.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marine segment gross profit for 2014 was $205.6 million, an increase of $28.6 million, or 16.1%, as compared to 2013. Of the increase in marine segment gross profit, $ 35.0 million was due to increased gross profit per metric ton sold principally due to certain higher margin business activity, which was partially offset by $6.4 million due to decreased volume.</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Our land segment gross profit for 2014 was $286.4 million, an increase of $37.9 million, or 15.2%, as compared to 2013. Of the increase in land segment gross profit, $51.2 million was due to gross profit from acquired businesses and $13.6 million was due to increased volume attributable to new and existing customers. This increase was partially offset by $17.0 million in lower gross profit per gallon sold principally due to fluctuations in customer mix. Additionally, our crude oil transloading joint venture, which was deconsolidated effective December 31, 2013, generated $9.9 million in gross profit in 2013 and is not included in our land segment gross profit in 2014.</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2014 were $544.5 million, an increase of $56.1 million, or 11.5%,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2013. The following table sets forth our expense categories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p>
        </w:tc>
      </w:tr>
      <w:tr>
        <w:trPr>
          <w:trHeight w:val="188"/>
        </w:trPr>
        <w:tc>
          <w:tcPr>
            <w:tcW w:w="50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Compensation and employee benefits</w:t>
            </w:r>
          </w:p>
        </w:tc>
        <w:tc>
          <w:tcPr>
            <w:tcW w:w="2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7"/>
              <w:spacing w:after="0" w:line="188" w:lineRule="exact"/>
              <w:rPr>
                <w:sz w:val="20"/>
                <w:szCs w:val="20"/>
                <w:color w:val="auto"/>
              </w:rPr>
            </w:pPr>
            <w:r>
              <w:rPr>
                <w:rFonts w:ascii="Arial" w:cs="Arial" w:eastAsia="Arial" w:hAnsi="Arial"/>
                <w:sz w:val="17"/>
                <w:szCs w:val="17"/>
                <w:color w:val="auto"/>
              </w:rPr>
              <w:t>319,842</w:t>
            </w:r>
          </w:p>
        </w:tc>
        <w:tc>
          <w:tcPr>
            <w:tcW w:w="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7"/>
              <w:spacing w:after="0" w:line="188" w:lineRule="exact"/>
              <w:rPr>
                <w:sz w:val="20"/>
                <w:szCs w:val="20"/>
                <w:color w:val="auto"/>
              </w:rPr>
            </w:pPr>
            <w:r>
              <w:rPr>
                <w:rFonts w:ascii="Arial" w:cs="Arial" w:eastAsia="Arial" w:hAnsi="Arial"/>
                <w:sz w:val="17"/>
                <w:szCs w:val="17"/>
                <w:color w:val="auto"/>
              </w:rPr>
              <w:t>288,021</w:t>
            </w:r>
          </w:p>
        </w:tc>
        <w:tc>
          <w:tcPr>
            <w:tcW w:w="2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rPr>
              <w:t>31,821</w:t>
            </w:r>
          </w:p>
        </w:tc>
      </w:tr>
      <w:tr>
        <w:trPr>
          <w:trHeight w:val="195"/>
        </w:trPr>
        <w:tc>
          <w:tcPr>
            <w:tcW w:w="5020" w:type="dxa"/>
            <w:vAlign w:val="bottom"/>
          </w:tcPr>
          <w:p>
            <w:pPr>
              <w:spacing w:after="0"/>
              <w:rPr>
                <w:sz w:val="20"/>
                <w:szCs w:val="20"/>
                <w:color w:val="auto"/>
              </w:rPr>
            </w:pPr>
            <w:r>
              <w:rPr>
                <w:rFonts w:ascii="Arial" w:cs="Arial" w:eastAsia="Arial" w:hAnsi="Arial"/>
                <w:sz w:val="17"/>
                <w:szCs w:val="17"/>
                <w:color w:val="auto"/>
              </w:rPr>
              <w:t>Provision for bad debt</w:t>
            </w:r>
          </w:p>
        </w:tc>
        <w:tc>
          <w:tcPr>
            <w:tcW w:w="2280" w:type="dxa"/>
            <w:vAlign w:val="bottom"/>
          </w:tcPr>
          <w:p>
            <w:pPr>
              <w:spacing w:after="0"/>
              <w:rPr>
                <w:sz w:val="16"/>
                <w:szCs w:val="16"/>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3,757</w:t>
            </w:r>
          </w:p>
        </w:tc>
        <w:tc>
          <w:tcPr>
            <w:tcW w:w="280" w:type="dxa"/>
            <w:vAlign w:val="bottom"/>
          </w:tcPr>
          <w:p>
            <w:pPr>
              <w:spacing w:after="0"/>
              <w:rPr>
                <w:sz w:val="16"/>
                <w:szCs w:val="16"/>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11,745</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(7,988)</w:t>
            </w:r>
          </w:p>
        </w:tc>
      </w:tr>
      <w:tr>
        <w:trPr>
          <w:trHeight w:val="195"/>
        </w:trPr>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220,875</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188,634</w:t>
            </w: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32,241</w:t>
            </w:r>
          </w:p>
        </w:tc>
      </w:tr>
      <w:tr>
        <w:trPr>
          <w:trHeight w:val="194"/>
        </w:trPr>
        <w:tc>
          <w:tcPr>
            <w:tcW w:w="50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7"/>
              <w:spacing w:after="0" w:line="188" w:lineRule="exact"/>
              <w:rPr>
                <w:sz w:val="20"/>
                <w:szCs w:val="20"/>
                <w:color w:val="auto"/>
              </w:rPr>
            </w:pPr>
            <w:r>
              <w:rPr>
                <w:rFonts w:ascii="Arial" w:cs="Arial" w:eastAsia="Arial" w:hAnsi="Arial"/>
                <w:sz w:val="17"/>
                <w:szCs w:val="17"/>
                <w:color w:val="auto"/>
              </w:rPr>
              <w:t>544,474</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7"/>
              <w:spacing w:after="0" w:line="188" w:lineRule="exact"/>
              <w:rPr>
                <w:sz w:val="20"/>
                <w:szCs w:val="20"/>
                <w:color w:val="auto"/>
              </w:rPr>
            </w:pPr>
            <w:r>
              <w:rPr>
                <w:rFonts w:ascii="Arial" w:cs="Arial" w:eastAsia="Arial" w:hAnsi="Arial"/>
                <w:sz w:val="17"/>
                <w:szCs w:val="17"/>
                <w:color w:val="auto"/>
              </w:rPr>
              <w:t>488,400</w:t>
            </w:r>
          </w:p>
        </w:tc>
        <w:tc>
          <w:tcPr>
            <w:tcW w:w="2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7"/>
                <w:szCs w:val="17"/>
                <w:color w:val="auto"/>
              </w:rPr>
              <w:t>56,074</w:t>
            </w:r>
          </w:p>
        </w:tc>
      </w:tr>
    </w:tbl>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$31.8 million increase in compensation and employee benefits was principally due to the inclusion of $27.3 million of expenses from acquired businesses and an executive non-renewal charge of $4.8 million related to the non-renewal of the employment agreement of our former Executive Chairman of the Board of Directors. The $8.0 million decrease in provision for bad debt was primarily due to an overall decrease in accounts receivable balances throughout the second half of the year as a result of declining world oil prices. The $32.2 million increase in general and administrative expenses was due to the inclusion of $24.6 million in expenses from acquired businesses and acquisition related expenses and $7.6 million principally due to increased professional fees and general insurance expenses.</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Income from Operations. </w:t>
      </w:r>
      <w:r>
        <w:rPr>
          <w:rFonts w:ascii="Arial" w:cs="Arial" w:eastAsia="Arial" w:hAnsi="Arial"/>
          <w:sz w:val="17"/>
          <w:szCs w:val="17"/>
          <w:color w:val="auto"/>
        </w:rPr>
        <w:t>Our income from operations for 2014 was $269.1 million, an increase of $4.8 million, or 1.8%,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2013. Income from operations during these periods was attributable to the following segments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r>
      <w:tr>
        <w:trPr>
          <w:trHeight w:val="188"/>
        </w:trPr>
        <w:tc>
          <w:tcPr>
            <w:tcW w:w="4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Aviation segment</w:t>
            </w:r>
          </w:p>
        </w:tc>
        <w:tc>
          <w:tcPr>
            <w:tcW w:w="24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142,303</w:t>
            </w:r>
          </w:p>
        </w:tc>
        <w:tc>
          <w:tcPr>
            <w:tcW w:w="3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150,886</w:t>
            </w:r>
          </w:p>
        </w:tc>
        <w:tc>
          <w:tcPr>
            <w:tcW w:w="3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(8,583)</w:t>
            </w:r>
          </w:p>
        </w:tc>
      </w:tr>
      <w:tr>
        <w:trPr>
          <w:trHeight w:val="195"/>
        </w:trPr>
        <w:tc>
          <w:tcPr>
            <w:tcW w:w="4860" w:type="dxa"/>
            <w:vAlign w:val="bottom"/>
          </w:tcPr>
          <w:p>
            <w:pPr>
              <w:spacing w:after="0"/>
              <w:rPr>
                <w:sz w:val="20"/>
                <w:szCs w:val="20"/>
                <w:color w:val="auto"/>
              </w:rPr>
            </w:pPr>
            <w:r>
              <w:rPr>
                <w:rFonts w:ascii="Arial" w:cs="Arial" w:eastAsia="Arial" w:hAnsi="Arial"/>
                <w:sz w:val="17"/>
                <w:szCs w:val="17"/>
                <w:color w:val="auto"/>
              </w:rPr>
              <w:t>Marine segment</w:t>
            </w:r>
          </w:p>
        </w:tc>
        <w:tc>
          <w:tcPr>
            <w:tcW w:w="24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90,029</w:t>
            </w:r>
          </w:p>
        </w:tc>
        <w:tc>
          <w:tcPr>
            <w:tcW w:w="3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73,770</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16,259</w:t>
            </w:r>
          </w:p>
        </w:tc>
      </w:tr>
      <w:tr>
        <w:trPr>
          <w:trHeight w:val="195"/>
        </w:trPr>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Land segment</w:t>
            </w:r>
          </w:p>
        </w:tc>
        <w:tc>
          <w:tcPr>
            <w:tcW w:w="2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90,335</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84,767</w:t>
            </w:r>
          </w:p>
        </w:tc>
        <w:tc>
          <w:tcPr>
            <w:tcW w:w="3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w:t>
            </w:r>
          </w:p>
        </w:tc>
      </w:tr>
      <w:tr>
        <w:trPr>
          <w:trHeight w:val="188"/>
        </w:trPr>
        <w:tc>
          <w:tcPr>
            <w:tcW w:w="4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40" w:type="dxa"/>
            <w:vAlign w:val="bottom"/>
          </w:tcPr>
          <w:p>
            <w:pPr>
              <w:jc w:val="right"/>
              <w:ind w:right="56"/>
              <w:spacing w:after="0" w:line="188" w:lineRule="exact"/>
              <w:rPr>
                <w:sz w:val="20"/>
                <w:szCs w:val="20"/>
                <w:color w:val="auto"/>
              </w:rPr>
            </w:pPr>
            <w:r>
              <w:rPr>
                <w:rFonts w:ascii="Arial" w:cs="Arial" w:eastAsia="Arial" w:hAnsi="Arial"/>
                <w:sz w:val="17"/>
                <w:szCs w:val="17"/>
                <w:color w:val="auto"/>
              </w:rPr>
              <w:t>322,667</w:t>
            </w:r>
          </w:p>
        </w:tc>
        <w:tc>
          <w:tcPr>
            <w:tcW w:w="300" w:type="dxa"/>
            <w:vAlign w:val="bottom"/>
          </w:tcPr>
          <w:p>
            <w:pPr>
              <w:spacing w:after="0"/>
              <w:rPr>
                <w:sz w:val="16"/>
                <w:szCs w:val="16"/>
                <w:color w:val="auto"/>
              </w:rPr>
            </w:pPr>
          </w:p>
        </w:tc>
        <w:tc>
          <w:tcPr>
            <w:tcW w:w="840" w:type="dxa"/>
            <w:vAlign w:val="bottom"/>
          </w:tcPr>
          <w:p>
            <w:pPr>
              <w:jc w:val="right"/>
              <w:ind w:right="56"/>
              <w:spacing w:after="0" w:line="188" w:lineRule="exact"/>
              <w:rPr>
                <w:sz w:val="20"/>
                <w:szCs w:val="20"/>
                <w:color w:val="auto"/>
              </w:rPr>
            </w:pPr>
            <w:r>
              <w:rPr>
                <w:rFonts w:ascii="Arial" w:cs="Arial" w:eastAsia="Arial" w:hAnsi="Arial"/>
                <w:sz w:val="17"/>
                <w:szCs w:val="17"/>
                <w:color w:val="auto"/>
              </w:rPr>
              <w:t>309,423</w:t>
            </w:r>
          </w:p>
        </w:tc>
        <w:tc>
          <w:tcPr>
            <w:tcW w:w="320" w:type="dxa"/>
            <w:vAlign w:val="bottom"/>
          </w:tcPr>
          <w:p>
            <w:pPr>
              <w:spacing w:after="0"/>
              <w:rPr>
                <w:sz w:val="16"/>
                <w:szCs w:val="16"/>
                <w:color w:val="auto"/>
              </w:rPr>
            </w:pPr>
          </w:p>
        </w:tc>
        <w:tc>
          <w:tcPr>
            <w:tcW w:w="620" w:type="dxa"/>
            <w:vAlign w:val="bottom"/>
          </w:tcPr>
          <w:p>
            <w:pPr>
              <w:jc w:val="right"/>
              <w:spacing w:after="0" w:line="188" w:lineRule="exact"/>
              <w:rPr>
                <w:sz w:val="20"/>
                <w:szCs w:val="20"/>
                <w:color w:val="auto"/>
              </w:rPr>
            </w:pPr>
            <w:r>
              <w:rPr>
                <w:rFonts w:ascii="Arial" w:cs="Arial" w:eastAsia="Arial" w:hAnsi="Arial"/>
                <w:sz w:val="17"/>
                <w:szCs w:val="17"/>
                <w:color w:val="auto"/>
              </w:rPr>
              <w:t>13,244</w:t>
            </w:r>
          </w:p>
        </w:tc>
      </w:tr>
      <w:tr>
        <w:trPr>
          <w:trHeight w:val="195"/>
        </w:trPr>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Corporate overhead – unallocated</w:t>
            </w:r>
          </w:p>
        </w:tc>
        <w:tc>
          <w:tcPr>
            <w:tcW w:w="2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53,519</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45,065</w:t>
            </w:r>
          </w:p>
        </w:tc>
        <w:tc>
          <w:tcPr>
            <w:tcW w:w="3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8,454</w:t>
            </w:r>
          </w:p>
        </w:tc>
      </w:tr>
      <w:tr>
        <w:trPr>
          <w:trHeight w:val="194"/>
        </w:trPr>
        <w:tc>
          <w:tcPr>
            <w:tcW w:w="486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4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6"/>
              <w:spacing w:after="0" w:line="188" w:lineRule="exact"/>
              <w:rPr>
                <w:sz w:val="20"/>
                <w:szCs w:val="20"/>
                <w:color w:val="auto"/>
              </w:rPr>
            </w:pPr>
            <w:r>
              <w:rPr>
                <w:rFonts w:ascii="Arial" w:cs="Arial" w:eastAsia="Arial" w:hAnsi="Arial"/>
                <w:sz w:val="17"/>
                <w:szCs w:val="17"/>
                <w:color w:val="auto"/>
              </w:rPr>
              <w:t>269,148</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6"/>
              <w:spacing w:after="0" w:line="188" w:lineRule="exact"/>
              <w:rPr>
                <w:sz w:val="20"/>
                <w:szCs w:val="20"/>
                <w:color w:val="auto"/>
              </w:rPr>
            </w:pPr>
            <w:r>
              <w:rPr>
                <w:rFonts w:ascii="Arial" w:cs="Arial" w:eastAsia="Arial" w:hAnsi="Arial"/>
                <w:sz w:val="17"/>
                <w:szCs w:val="17"/>
                <w:color w:val="auto"/>
              </w:rPr>
              <w:t>264,358</w:t>
            </w:r>
          </w:p>
        </w:tc>
        <w:tc>
          <w:tcPr>
            <w:tcW w:w="3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4,790</w:t>
            </w:r>
          </w:p>
        </w:tc>
      </w:tr>
    </w:tbl>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aviation segment income from operations for 2014 was $142.3 million, a decrease of $8.6 million, or 5.7%, as compared to 2013. This decrease resulted from $5.6 million in lower gross profit and a $3.0 million increase in operating expenses. Of the increase in aviation segment operating expenses, $9.6 million was due to the inclusion of acquired businesses, which was partially offset by a decrease of $6.6 million principally due to compensation and employee benefits.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marine segment income from operations for 2014 was $ 90.0 million, an increase of $16.3 million, or 22.0%, as compared to 2013. This increase resulted from $28.6 million in higher gross profit, which was partially offset by an increase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7" w:name="page28"/>
    <w:bookmarkEnd w:id="27"/>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of $ 12.3 million in operating expenses. The increase in marine segment operating expenses was principally due to compensation and employee benefits.</w:t>
      </w:r>
    </w:p>
    <w:p>
      <w:pPr>
        <w:spacing w:after="0" w:line="118"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Our land segment income from operations for 2014 was $90.3 million, an increase of $ 5.6 million, or 6.6%, as compared to 2013. This increase resulted from $37.9 million in higher gross profit which was partially offset by an increase of $32.3 million in operating expenses. Of the increase in land segment operating expenses, $ 40.0 million was due to the inclusion of acquired businesses, which was partially offset by a decrease of $7.7 million principally due to compensation and employee benefits and provision for bad debt.</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Corporate overhead costs not charged to the business segments for 2014 were $ 53.5 million, an increase of $8.5 million, or 18.8%, as compared to 2013. This increase was primarily attributable to the $4.8 million executive non-renewal charge and $3.8 million in increased professional fees.</w:t>
      </w:r>
    </w:p>
    <w:p>
      <w:pPr>
        <w:spacing w:after="0" w:line="110"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i w:val="1"/>
          <w:iCs w:val="1"/>
          <w:color w:val="auto"/>
        </w:rPr>
        <w:t xml:space="preserve">Non-Operating Income (Expenses), net. </w:t>
      </w:r>
      <w:r>
        <w:rPr>
          <w:rFonts w:ascii="Arial" w:cs="Arial" w:eastAsia="Arial" w:hAnsi="Arial"/>
          <w:sz w:val="17"/>
          <w:szCs w:val="17"/>
          <w:color w:val="auto"/>
        </w:rPr>
        <w:t>For 2014, we had non-operating income, net of $0.4 million, as compared to non-operating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net of $17.7 million in 2013. This $18.1 million change was due to an $18.1 million gain on the sale of our crude oil joint venture interests in December 2014. Also impacting the change was a $8.0 million increase in interest expense and other financing costs, net, as a result of higher average borrowings in 2014 as compared to 2013, offset by a $5.4 million increase in earnings from our equity investments and a $2.6 million decrease in other non-operating expenses. The increase in earnings from our equity investments is principally related to the 2013 deconsolidation of our crude oil transloading joint venture effective December 31, 2013, which thereafter was accounted for under the equity method until its sale in December 2014.</w:t>
      </w:r>
    </w:p>
    <w:p>
      <w:pPr>
        <w:spacing w:after="0" w:line="136"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For 2014, our effective income tax rate was 19.0% and our income tax provision was $51.1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an effective income tax rate of 16.0% and an income tax provision of $39.5 million for 2013. The higher effective income tax rate is primarily attributable to differences in the results of our subsidiaries in tax jurisdictions with different income tax rates and a U.S. gain on the sale of the crude oil joint venture interests as compared to 2013. Without the gain on the sale of the crude oil joint venture interests, for 2014, our effective income tax rate would have been 17.7%.</w:t>
      </w:r>
    </w:p>
    <w:p>
      <w:pPr>
        <w:spacing w:after="0" w:line="120"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i w:val="1"/>
          <w:iCs w:val="1"/>
          <w:color w:val="auto"/>
        </w:rPr>
        <w:t xml:space="preserve">Net (Loss) Income Attributable to Noncontrolling Interest. </w:t>
      </w:r>
      <w:r>
        <w:rPr>
          <w:rFonts w:ascii="Arial" w:cs="Arial" w:eastAsia="Arial" w:hAnsi="Arial"/>
          <w:sz w:val="17"/>
          <w:szCs w:val="17"/>
          <w:color w:val="auto"/>
        </w:rPr>
        <w:t>For 2014, net loss attributable to noncontrolling interest was $3.3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net income attributable to noncontrolling interest of $4.1 million for 2013. This $7.4 million change is primarily related to the deconsolidation of our crude oil transloading joint venture effective December 31, 2013. Prior to the deconsolidation of this joint venture, its results were included in our results of operations and we recorded net income attributable to noncontrolling interest.</w:t>
      </w:r>
    </w:p>
    <w:p>
      <w:pPr>
        <w:spacing w:after="0" w:line="324"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i w:val="1"/>
          <w:iCs w:val="1"/>
          <w:color w:val="auto"/>
        </w:rPr>
        <w:t xml:space="preserve">Net Income and Diluted Earnings per Common Share. </w:t>
      </w:r>
      <w:r>
        <w:rPr>
          <w:rFonts w:ascii="Arial" w:cs="Arial" w:eastAsia="Arial" w:hAnsi="Arial"/>
          <w:sz w:val="17"/>
          <w:szCs w:val="17"/>
          <w:color w:val="auto"/>
        </w:rPr>
        <w:t>Our net income for 2014 was $221.7 million, an increase of $18.7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9.2%, as compared to 2013. Diluted earnings per common share for 2014 was $3.11 per common share, an increase of $0.28 per common share, or 9.9% as compared to 2013.</w:t>
      </w:r>
    </w:p>
    <w:p>
      <w:pPr>
        <w:spacing w:after="0" w:line="101" w:lineRule="exact"/>
        <w:rPr>
          <w:sz w:val="20"/>
          <w:szCs w:val="20"/>
          <w:color w:val="auto"/>
        </w:rPr>
      </w:pPr>
    </w:p>
    <w:p>
      <w:pPr>
        <w:jc w:val="both"/>
        <w:ind w:right="20"/>
        <w:spacing w:after="0" w:line="214" w:lineRule="exact"/>
        <w:rPr>
          <w:sz w:val="20"/>
          <w:szCs w:val="20"/>
          <w:color w:val="auto"/>
        </w:rPr>
      </w:pPr>
      <w:r>
        <w:rPr>
          <w:rFonts w:ascii="Arial" w:cs="Arial" w:eastAsia="Arial" w:hAnsi="Arial"/>
          <w:sz w:val="17"/>
          <w:szCs w:val="17"/>
          <w:i w:val="1"/>
          <w:iCs w:val="1"/>
          <w:color w:val="auto"/>
        </w:rPr>
        <w:t>Non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GAAP Net Income and Non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GAAP Diluted Earnings per Common Share. </w:t>
      </w:r>
      <w:r>
        <w:rPr>
          <w:rFonts w:ascii="Arial" w:cs="Arial" w:eastAsia="Arial" w:hAnsi="Arial"/>
          <w:sz w:val="17"/>
          <w:szCs w:val="17"/>
          <w:color w:val="auto"/>
        </w:rPr>
        <w:t>Our non</w:t>
      </w:r>
      <w:r>
        <w:rPr>
          <w:rFonts w:ascii="MS PGothic" w:cs="MS PGothic" w:eastAsia="MS PGothic" w:hAnsi="MS PGothic"/>
          <w:sz w:val="17"/>
          <w:szCs w:val="17"/>
          <w:color w:val="auto"/>
        </w:rPr>
        <w:t>‑</w:t>
      </w:r>
      <w:r>
        <w:rPr>
          <w:rFonts w:ascii="Arial" w:cs="Arial" w:eastAsia="Arial" w:hAnsi="Arial"/>
          <w:sz w:val="17"/>
          <w:szCs w:val="17"/>
          <w:color w:val="auto"/>
        </w:rPr>
        <w:t>GAAP net income for 2014 was</w:t>
      </w:r>
      <w:r>
        <w:rPr>
          <w:rFonts w:ascii="Arial" w:cs="Arial" w:eastAsia="Arial" w:hAnsi="Arial"/>
          <w:sz w:val="17"/>
          <w:szCs w:val="17"/>
          <w:i w:val="1"/>
          <w:iCs w:val="1"/>
          <w:color w:val="auto"/>
        </w:rPr>
        <w:t xml:space="preserve"> </w:t>
      </w:r>
      <w:r>
        <w:rPr>
          <w:rFonts w:ascii="Arial" w:cs="Arial" w:eastAsia="Arial" w:hAnsi="Arial"/>
          <w:sz w:val="17"/>
          <w:szCs w:val="17"/>
          <w:color w:val="auto"/>
        </w:rPr>
        <w:t>$249.1 million, an increase of $18.6 million, or 8.1%, as compared to 2013. Non</w:t>
      </w:r>
      <w:r>
        <w:rPr>
          <w:rFonts w:ascii="MS PGothic" w:cs="MS PGothic" w:eastAsia="MS PGothic" w:hAnsi="MS PGothic"/>
          <w:sz w:val="17"/>
          <w:szCs w:val="17"/>
          <w:color w:val="auto"/>
        </w:rPr>
        <w:t>‑</w:t>
      </w:r>
      <w:r>
        <w:rPr>
          <w:rFonts w:ascii="Arial" w:cs="Arial" w:eastAsia="Arial" w:hAnsi="Arial"/>
          <w:sz w:val="17"/>
          <w:szCs w:val="17"/>
          <w:color w:val="auto"/>
        </w:rPr>
        <w:t xml:space="preserve"> GAAP diluted earnings per common share for 2014 was $3.49 per common share, an increase of $0.27 per common share, or 8.4%, as compared to 2013. The following table sets forth the reconciliation between our net income and non</w:t>
      </w:r>
      <w:r>
        <w:rPr>
          <w:rFonts w:ascii="MS PGothic" w:cs="MS PGothic" w:eastAsia="MS PGothic" w:hAnsi="MS PGothic"/>
          <w:sz w:val="17"/>
          <w:szCs w:val="17"/>
          <w:color w:val="auto"/>
        </w:rPr>
        <w:t>‑</w:t>
      </w:r>
      <w:r>
        <w:rPr>
          <w:rFonts w:ascii="Arial" w:cs="Arial" w:eastAsia="Arial" w:hAnsi="Arial"/>
          <w:sz w:val="17"/>
          <w:szCs w:val="17"/>
          <w:color w:val="auto"/>
        </w:rPr>
        <w:t>GAAP net income for 2014 and 2013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r>
      <w:tr>
        <w:trPr>
          <w:trHeight w:val="188"/>
        </w:trPr>
        <w:tc>
          <w:tcPr>
            <w:tcW w:w="77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Net income attributable to World Fuel</w:t>
            </w:r>
          </w:p>
        </w:tc>
        <w:tc>
          <w:tcPr>
            <w:tcW w:w="400" w:type="dxa"/>
            <w:vAlign w:val="bottom"/>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221,747</w:t>
            </w:r>
          </w:p>
        </w:tc>
        <w:tc>
          <w:tcPr>
            <w:tcW w:w="3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203,075</w:t>
            </w:r>
          </w:p>
        </w:tc>
        <w:tc>
          <w:tcPr>
            <w:tcW w:w="20" w:type="dxa"/>
            <w:vAlign w:val="bottom"/>
          </w:tcPr>
          <w:p>
            <w:pPr>
              <w:spacing w:after="0"/>
              <w:rPr>
                <w:sz w:val="16"/>
                <w:szCs w:val="16"/>
                <w:color w:val="auto"/>
              </w:rPr>
            </w:pPr>
          </w:p>
        </w:tc>
      </w:tr>
      <w:tr>
        <w:trPr>
          <w:trHeight w:val="172"/>
        </w:trPr>
        <w:tc>
          <w:tcPr>
            <w:tcW w:w="7780" w:type="dxa"/>
            <w:vAlign w:val="bottom"/>
          </w:tcPr>
          <w:p>
            <w:pPr>
              <w:spacing w:after="0" w:line="172" w:lineRule="exact"/>
              <w:rPr>
                <w:sz w:val="20"/>
                <w:szCs w:val="20"/>
                <w:color w:val="auto"/>
              </w:rPr>
            </w:pPr>
            <w:r>
              <w:rPr>
                <w:rFonts w:ascii="Arial" w:cs="Arial" w:eastAsia="Arial" w:hAnsi="Arial"/>
                <w:sz w:val="17"/>
                <w:szCs w:val="17"/>
                <w:color w:val="auto"/>
              </w:rPr>
              <w:t>Share-based compensation expense, net of income taxes of $4,661 and $5,534 for 2014 and 2013,</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7"/>
                <w:szCs w:val="17"/>
                <w:color w:val="auto"/>
              </w:rPr>
              <w:t>respectively</w:t>
            </w:r>
          </w:p>
        </w:tc>
        <w:tc>
          <w:tcPr>
            <w:tcW w:w="400" w:type="dxa"/>
            <w:vAlign w:val="bottom"/>
          </w:tcPr>
          <w:p>
            <w:pPr>
              <w:spacing w:after="0"/>
              <w:rPr>
                <w:sz w:val="18"/>
                <w:szCs w:val="18"/>
                <w:color w:val="auto"/>
              </w:rPr>
            </w:pPr>
          </w:p>
        </w:tc>
        <w:tc>
          <w:tcPr>
            <w:tcW w:w="920" w:type="dxa"/>
            <w:vAlign w:val="bottom"/>
          </w:tcPr>
          <w:p>
            <w:pPr>
              <w:jc w:val="right"/>
              <w:ind w:right="116"/>
              <w:spacing w:after="0"/>
              <w:rPr>
                <w:sz w:val="20"/>
                <w:szCs w:val="20"/>
                <w:color w:val="auto"/>
              </w:rPr>
            </w:pPr>
            <w:r>
              <w:rPr>
                <w:rFonts w:ascii="Arial" w:cs="Arial" w:eastAsia="Arial" w:hAnsi="Arial"/>
                <w:sz w:val="17"/>
                <w:szCs w:val="17"/>
                <w:color w:val="auto"/>
              </w:rPr>
              <w:t>9,942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11,182</w:t>
            </w:r>
          </w:p>
        </w:tc>
        <w:tc>
          <w:tcPr>
            <w:tcW w:w="20" w:type="dxa"/>
            <w:vAlign w:val="bottom"/>
          </w:tcPr>
          <w:p>
            <w:pPr>
              <w:spacing w:after="0"/>
              <w:rPr>
                <w:sz w:val="18"/>
                <w:szCs w:val="18"/>
                <w:color w:val="auto"/>
              </w:rPr>
            </w:pPr>
          </w:p>
        </w:tc>
      </w:tr>
      <w:tr>
        <w:trPr>
          <w:trHeight w:val="172"/>
        </w:trPr>
        <w:tc>
          <w:tcPr>
            <w:tcW w:w="778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Intangible asset amortization expense, net of income taxes of $6,694 and $8,128 for 2014 and</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2013, respectively</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22,401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14,448</w:t>
            </w:r>
          </w:p>
        </w:tc>
        <w:tc>
          <w:tcPr>
            <w:tcW w:w="20" w:type="dxa"/>
            <w:vAlign w:val="bottom"/>
          </w:tcPr>
          <w:p>
            <w:pPr>
              <w:spacing w:after="0"/>
              <w:rPr>
                <w:sz w:val="18"/>
                <w:szCs w:val="18"/>
                <w:color w:val="auto"/>
              </w:rPr>
            </w:pPr>
          </w:p>
        </w:tc>
      </w:tr>
      <w:tr>
        <w:trPr>
          <w:trHeight w:val="195"/>
        </w:trPr>
        <w:tc>
          <w:tcPr>
            <w:tcW w:w="7780" w:type="dxa"/>
            <w:vAlign w:val="bottom"/>
          </w:tcPr>
          <w:p>
            <w:pPr>
              <w:spacing w:after="0"/>
              <w:rPr>
                <w:sz w:val="20"/>
                <w:szCs w:val="20"/>
                <w:color w:val="auto"/>
              </w:rPr>
            </w:pPr>
            <w:r>
              <w:rPr>
                <w:rFonts w:ascii="Arial" w:cs="Arial" w:eastAsia="Arial" w:hAnsi="Arial"/>
                <w:sz w:val="17"/>
                <w:szCs w:val="17"/>
                <w:color w:val="auto"/>
              </w:rPr>
              <w:t>Expenses related to acquisitions, net of income taxes of $232 for 2014</w:t>
            </w:r>
          </w:p>
        </w:tc>
        <w:tc>
          <w:tcPr>
            <w:tcW w:w="400" w:type="dxa"/>
            <w:vAlign w:val="bottom"/>
          </w:tcPr>
          <w:p>
            <w:pPr>
              <w:spacing w:after="0"/>
              <w:rPr>
                <w:sz w:val="16"/>
                <w:szCs w:val="16"/>
                <w:color w:val="auto"/>
              </w:rPr>
            </w:pPr>
          </w:p>
        </w:tc>
        <w:tc>
          <w:tcPr>
            <w:tcW w:w="920" w:type="dxa"/>
            <w:vAlign w:val="bottom"/>
          </w:tcPr>
          <w:p>
            <w:pPr>
              <w:jc w:val="right"/>
              <w:ind w:right="116"/>
              <w:spacing w:after="0"/>
              <w:rPr>
                <w:sz w:val="20"/>
                <w:szCs w:val="20"/>
                <w:color w:val="auto"/>
              </w:rPr>
            </w:pPr>
            <w:r>
              <w:rPr>
                <w:rFonts w:ascii="Arial" w:cs="Arial" w:eastAsia="Arial" w:hAnsi="Arial"/>
                <w:sz w:val="17"/>
                <w:szCs w:val="17"/>
                <w:color w:val="auto"/>
              </w:rPr>
              <w:t>1,894</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1,822</w:t>
            </w:r>
          </w:p>
        </w:tc>
        <w:tc>
          <w:tcPr>
            <w:tcW w:w="20" w:type="dxa"/>
            <w:vAlign w:val="bottom"/>
          </w:tcPr>
          <w:p>
            <w:pPr>
              <w:spacing w:after="0"/>
              <w:rPr>
                <w:sz w:val="16"/>
                <w:szCs w:val="16"/>
                <w:color w:val="auto"/>
              </w:rPr>
            </w:pPr>
          </w:p>
        </w:tc>
      </w:tr>
      <w:tr>
        <w:trPr>
          <w:trHeight w:val="172"/>
        </w:trPr>
        <w:tc>
          <w:tcPr>
            <w:tcW w:w="778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Gain on the sale of the crude oil joint venture interests (net of certain related operating expenses),</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net of income taxes of $6,185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(9,879)</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195"/>
        </w:trPr>
        <w:tc>
          <w:tcPr>
            <w:tcW w:w="7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Executive non-renewal charge, net of income taxes of $1,757</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2,994</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4"/>
        </w:trPr>
        <w:tc>
          <w:tcPr>
            <w:tcW w:w="77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Non-GAAP net income attributable to World Fuel</w:t>
            </w:r>
          </w:p>
        </w:tc>
        <w:tc>
          <w:tcPr>
            <w:tcW w:w="40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249,099</w:t>
            </w:r>
          </w:p>
        </w:tc>
        <w:tc>
          <w:tcPr>
            <w:tcW w:w="3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230,527</w:t>
            </w:r>
          </w:p>
        </w:tc>
        <w:tc>
          <w:tcPr>
            <w:tcW w:w="20" w:type="dxa"/>
            <w:vAlign w:val="bottom"/>
          </w:tcPr>
          <w:p>
            <w:pPr>
              <w:spacing w:after="0"/>
              <w:rPr>
                <w:sz w:val="16"/>
                <w:szCs w:val="16"/>
                <w:color w:val="auto"/>
              </w:rPr>
            </w:pPr>
          </w:p>
        </w:tc>
      </w:tr>
      <w:tr>
        <w:trPr>
          <w:trHeight w:val="614"/>
        </w:trPr>
        <w:tc>
          <w:tcPr>
            <w:tcW w:w="7780" w:type="dxa"/>
            <w:vAlign w:val="bottom"/>
          </w:tcPr>
          <w:p>
            <w:pPr>
              <w:ind w:left="5000"/>
              <w:spacing w:after="0"/>
              <w:rPr>
                <w:sz w:val="20"/>
                <w:szCs w:val="20"/>
                <w:color w:val="auto"/>
              </w:rPr>
            </w:pPr>
            <w:r>
              <w:rPr>
                <w:rFonts w:ascii="Arial" w:cs="Arial" w:eastAsia="Arial" w:hAnsi="Arial"/>
                <w:sz w:val="17"/>
                <w:szCs w:val="17"/>
                <w:color w:val="auto"/>
              </w:rPr>
              <w:t>26</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77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77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193"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color w:val="auto"/>
        </w:rPr>
        <w:t>The following table sets forth the reconciliation between our diluted earnings per common share and our non</w:t>
      </w:r>
      <w:r>
        <w:rPr>
          <w:rFonts w:ascii="MS PGothic" w:cs="MS PGothic" w:eastAsia="MS PGothic" w:hAnsi="MS PGothic"/>
          <w:sz w:val="17"/>
          <w:szCs w:val="17"/>
          <w:color w:val="auto"/>
        </w:rPr>
        <w:t>‑</w:t>
      </w:r>
      <w:r>
        <w:rPr>
          <w:rFonts w:ascii="Arial" w:cs="Arial" w:eastAsia="Arial" w:hAnsi="Arial"/>
          <w:sz w:val="17"/>
          <w:szCs w:val="17"/>
          <w:color w:val="auto"/>
        </w:rPr>
        <w:t>GAAP diluted earnings per common share for 2014 and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88"/>
        </w:trPr>
        <w:tc>
          <w:tcPr>
            <w:tcW w:w="82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Diluted earnings per common share</w:t>
            </w:r>
          </w:p>
        </w:tc>
        <w:tc>
          <w:tcPr>
            <w:tcW w:w="420" w:type="dxa"/>
            <w:vAlign w:val="bottom"/>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3.11</w:t>
            </w:r>
          </w:p>
        </w:tc>
        <w:tc>
          <w:tcPr>
            <w:tcW w:w="360" w:type="dxa"/>
            <w:vAlign w:val="bottom"/>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2.83</w:t>
            </w:r>
          </w:p>
        </w:tc>
      </w:tr>
      <w:tr>
        <w:trPr>
          <w:trHeight w:val="195"/>
        </w:trPr>
        <w:tc>
          <w:tcPr>
            <w:tcW w:w="8200" w:type="dxa"/>
            <w:vAlign w:val="bottom"/>
          </w:tcPr>
          <w:p>
            <w:pPr>
              <w:spacing w:after="0"/>
              <w:rPr>
                <w:sz w:val="20"/>
                <w:szCs w:val="20"/>
                <w:color w:val="auto"/>
              </w:rPr>
            </w:pPr>
            <w:r>
              <w:rPr>
                <w:rFonts w:ascii="Arial" w:cs="Arial" w:eastAsia="Arial" w:hAnsi="Arial"/>
                <w:sz w:val="17"/>
                <w:szCs w:val="17"/>
                <w:color w:val="auto"/>
              </w:rPr>
              <w:t>Share-based compensation expense, net of income taxes</w:t>
            </w:r>
          </w:p>
        </w:tc>
        <w:tc>
          <w:tcPr>
            <w:tcW w:w="42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0.14</w:t>
            </w: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0.16</w:t>
            </w:r>
          </w:p>
        </w:tc>
      </w:tr>
      <w:tr>
        <w:trPr>
          <w:trHeight w:val="19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 amortization expense, net of income taxes</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0.31</w:t>
            </w: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r>
      <w:tr>
        <w:trPr>
          <w:trHeight w:val="195"/>
        </w:trPr>
        <w:tc>
          <w:tcPr>
            <w:tcW w:w="8200" w:type="dxa"/>
            <w:vAlign w:val="bottom"/>
          </w:tcPr>
          <w:p>
            <w:pPr>
              <w:spacing w:after="0"/>
              <w:rPr>
                <w:sz w:val="20"/>
                <w:szCs w:val="20"/>
                <w:color w:val="auto"/>
              </w:rPr>
            </w:pPr>
            <w:r>
              <w:rPr>
                <w:rFonts w:ascii="Arial" w:cs="Arial" w:eastAsia="Arial" w:hAnsi="Arial"/>
                <w:sz w:val="17"/>
                <w:szCs w:val="17"/>
                <w:color w:val="auto"/>
              </w:rPr>
              <w:t>Expenses related to acquisitions, net of income taxes</w:t>
            </w:r>
          </w:p>
        </w:tc>
        <w:tc>
          <w:tcPr>
            <w:tcW w:w="42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0.03</w:t>
            </w: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0.03</w:t>
            </w:r>
          </w:p>
        </w:tc>
      </w:tr>
      <w:tr>
        <w:trPr>
          <w:trHeight w:val="172"/>
        </w:trPr>
        <w:tc>
          <w:tcPr>
            <w:tcW w:w="820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Gain on the sale of the crude oil joint venture interests (net of certain related operating expenses), net of</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217"/>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(0.14)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8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Executive non-renewal charge, net of income taxes</w:t>
            </w: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0.04</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4"/>
        </w:trPr>
        <w:tc>
          <w:tcPr>
            <w:tcW w:w="82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Non-GAAP diluted earnings per common share</w:t>
            </w:r>
          </w:p>
        </w:tc>
        <w:tc>
          <w:tcPr>
            <w:tcW w:w="42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3.49</w:t>
            </w:r>
          </w:p>
        </w:tc>
        <w:tc>
          <w:tcPr>
            <w:tcW w:w="360" w:type="dxa"/>
            <w:vAlign w:val="bottom"/>
            <w:tcBorders>
              <w:bottom w:val="single" w:sz="8" w:color="auto"/>
            </w:tcBorders>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3.22</w:t>
            </w:r>
          </w:p>
        </w:tc>
      </w:tr>
    </w:tbl>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non-GAAP financial measures exclude costs associated with share-based compensation, amortization of acquired intangible assets, expenses related to acquisitions, the gain on the sale of the crude oil joint venture interests (net of certain related operating expenses) and the executive non-renewal charge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acquisitions, the gain on the sale of the crude oil joint venture interests (net of certain related operating) expenses and the executive non-renewal charge are useful for purposes of evaluating operating performance of our core operating results and comparing them period over 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compared to 2012</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revenue for 2013 was $41.6 billion, an increase of $2.6 billion, or 6.7%, as compared to 2012. Our revenue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these periods was attributable to the following segments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8"/>
        </w:trPr>
        <w:tc>
          <w:tcPr>
            <w:tcW w:w="39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Aviation segment</w:t>
            </w:r>
          </w:p>
        </w:tc>
        <w:tc>
          <w:tcPr>
            <w:tcW w:w="27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line="188" w:lineRule="exact"/>
              <w:rPr>
                <w:sz w:val="20"/>
                <w:szCs w:val="20"/>
                <w:color w:val="auto"/>
              </w:rPr>
            </w:pPr>
            <w:r>
              <w:rPr>
                <w:rFonts w:ascii="Arial" w:cs="Arial" w:eastAsia="Arial" w:hAnsi="Arial"/>
                <w:sz w:val="17"/>
                <w:szCs w:val="17"/>
                <w:color w:val="auto"/>
              </w:rPr>
              <w:t>16,087,611</w:t>
            </w:r>
          </w:p>
        </w:tc>
        <w:tc>
          <w:tcPr>
            <w:tcW w:w="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14,692,042</w:t>
            </w:r>
          </w:p>
        </w:tc>
        <w:tc>
          <w:tcPr>
            <w:tcW w:w="2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1,395,569</w:t>
            </w:r>
          </w:p>
        </w:tc>
      </w:tr>
      <w:tr>
        <w:trPr>
          <w:trHeight w:val="195"/>
        </w:trPr>
        <w:tc>
          <w:tcPr>
            <w:tcW w:w="3940" w:type="dxa"/>
            <w:vAlign w:val="bottom"/>
          </w:tcPr>
          <w:p>
            <w:pPr>
              <w:spacing w:after="0"/>
              <w:rPr>
                <w:sz w:val="20"/>
                <w:szCs w:val="20"/>
                <w:color w:val="auto"/>
              </w:rPr>
            </w:pPr>
            <w:r>
              <w:rPr>
                <w:rFonts w:ascii="Arial" w:cs="Arial" w:eastAsia="Arial" w:hAnsi="Arial"/>
                <w:sz w:val="17"/>
                <w:szCs w:val="17"/>
                <w:color w:val="auto"/>
              </w:rPr>
              <w:t>Marine segment</w:t>
            </w:r>
          </w:p>
        </w:tc>
        <w:tc>
          <w:tcPr>
            <w:tcW w:w="2760" w:type="dxa"/>
            <w:vAlign w:val="bottom"/>
          </w:tcPr>
          <w:p>
            <w:pPr>
              <w:spacing w:after="0"/>
              <w:rPr>
                <w:sz w:val="16"/>
                <w:szCs w:val="16"/>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14,790,342</w:t>
            </w:r>
          </w:p>
        </w:tc>
        <w:tc>
          <w:tcPr>
            <w:tcW w:w="280" w:type="dxa"/>
            <w:vAlign w:val="bottom"/>
          </w:tcPr>
          <w:p>
            <w:pPr>
              <w:spacing w:after="0"/>
              <w:rPr>
                <w:sz w:val="16"/>
                <w:szCs w:val="16"/>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14,750,425</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39,917</w:t>
            </w:r>
          </w:p>
        </w:tc>
      </w:tr>
      <w:tr>
        <w:trPr>
          <w:trHeight w:val="195"/>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Land segment</w:t>
            </w:r>
          </w:p>
        </w:tc>
        <w:tc>
          <w:tcPr>
            <w:tcW w:w="27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10,683,994</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9,502,871</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1,181,123</w:t>
            </w:r>
          </w:p>
        </w:tc>
      </w:tr>
      <w:tr>
        <w:trPr>
          <w:trHeight w:val="194"/>
        </w:trPr>
        <w:tc>
          <w:tcPr>
            <w:tcW w:w="394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7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7"/>
              <w:spacing w:after="0" w:line="188" w:lineRule="exact"/>
              <w:rPr>
                <w:sz w:val="20"/>
                <w:szCs w:val="20"/>
                <w:color w:val="auto"/>
              </w:rPr>
            </w:pPr>
            <w:r>
              <w:rPr>
                <w:rFonts w:ascii="Arial" w:cs="Arial" w:eastAsia="Arial" w:hAnsi="Arial"/>
                <w:sz w:val="17"/>
                <w:szCs w:val="17"/>
                <w:color w:val="auto"/>
              </w:rPr>
              <w:t>41,561,947</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line="188" w:lineRule="exact"/>
              <w:rPr>
                <w:sz w:val="20"/>
                <w:szCs w:val="20"/>
                <w:color w:val="auto"/>
              </w:rPr>
            </w:pPr>
            <w:r>
              <w:rPr>
                <w:rFonts w:ascii="Arial" w:cs="Arial" w:eastAsia="Arial" w:hAnsi="Arial"/>
                <w:sz w:val="17"/>
                <w:szCs w:val="17"/>
                <w:color w:val="auto"/>
              </w:rPr>
              <w:t>38,945,338</w:t>
            </w:r>
          </w:p>
        </w:tc>
        <w:tc>
          <w:tcPr>
            <w:tcW w:w="2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2,616,609</w:t>
            </w:r>
          </w:p>
        </w:tc>
      </w:tr>
    </w:tbl>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aviation segment revenue for 2013 was $16.1 billion, an increase of $ 1.4 billion, or 9.5% as compared to 2012. Of the increase in aviation segment revenue, $2.0 billion was due to increased volume attributable to new and existing customers, which was partially offset by $0.6 billion due to a decrease in the average price per gallon sold as a result of lower average jet fuel prices in 2013 as compared to 2012.</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marine segment revenue for 2013 and 2012 was $14.8 billion. Of the increase in marine segment revenue, $0.5 billion was due to increased volume attributable to new and existing customers, which was principally offset by a decrease in the average price per metric ton sold as a result of lower average marine fuel prices in 2013 as compared to 2012.</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land segment revenue for 2013 was $10.7 billion, an increase of $1.2 billion, or 12.4%, as compared to 2012. The increase in land segment revenue was principally due to revenue from acquired businesses.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for 2013 was $752.8 million, an increase of $79.3 million, or 11.8%, as compared to 2012. Our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profit during these periods was attributable to the following segments (in thousands):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8"/>
        </w:trPr>
        <w:tc>
          <w:tcPr>
            <w:tcW w:w="42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Aviation segment</w:t>
            </w:r>
          </w:p>
        </w:tc>
        <w:tc>
          <w:tcPr>
            <w:tcW w:w="30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327,178</w:t>
            </w:r>
          </w:p>
        </w:tc>
        <w:tc>
          <w:tcPr>
            <w:tcW w:w="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294,601</w:t>
            </w:r>
          </w:p>
        </w:tc>
        <w:tc>
          <w:tcPr>
            <w:tcW w:w="3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32,577</w:t>
            </w:r>
          </w:p>
        </w:tc>
      </w:tr>
      <w:tr>
        <w:trPr>
          <w:trHeight w:val="195"/>
        </w:trPr>
        <w:tc>
          <w:tcPr>
            <w:tcW w:w="4220" w:type="dxa"/>
            <w:vAlign w:val="bottom"/>
          </w:tcPr>
          <w:p>
            <w:pPr>
              <w:spacing w:after="0"/>
              <w:rPr>
                <w:sz w:val="20"/>
                <w:szCs w:val="20"/>
                <w:color w:val="auto"/>
              </w:rPr>
            </w:pPr>
            <w:r>
              <w:rPr>
                <w:rFonts w:ascii="Arial" w:cs="Arial" w:eastAsia="Arial" w:hAnsi="Arial"/>
                <w:sz w:val="17"/>
                <w:szCs w:val="17"/>
                <w:color w:val="auto"/>
              </w:rPr>
              <w:t>Marine segment</w:t>
            </w:r>
          </w:p>
        </w:tc>
        <w:tc>
          <w:tcPr>
            <w:tcW w:w="3040" w:type="dxa"/>
            <w:vAlign w:val="bottom"/>
          </w:tcPr>
          <w:p>
            <w:pPr>
              <w:spacing w:after="0"/>
              <w:rPr>
                <w:sz w:val="16"/>
                <w:szCs w:val="16"/>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177,052</w:t>
            </w:r>
          </w:p>
        </w:tc>
        <w:tc>
          <w:tcPr>
            <w:tcW w:w="280" w:type="dxa"/>
            <w:vAlign w:val="bottom"/>
          </w:tcPr>
          <w:p>
            <w:pPr>
              <w:spacing w:after="0"/>
              <w:rPr>
                <w:sz w:val="16"/>
                <w:szCs w:val="16"/>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208,028</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(30,976)</w:t>
            </w:r>
          </w:p>
        </w:tc>
      </w:tr>
      <w:tr>
        <w:trPr>
          <w:trHeight w:val="195"/>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Land segment</w:t>
            </w:r>
          </w:p>
        </w:tc>
        <w:tc>
          <w:tcPr>
            <w:tcW w:w="30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248,528</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170,818</w:t>
            </w: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77,710</w:t>
            </w:r>
          </w:p>
        </w:tc>
      </w:tr>
      <w:tr>
        <w:trPr>
          <w:trHeight w:val="194"/>
        </w:trPr>
        <w:tc>
          <w:tcPr>
            <w:tcW w:w="42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30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7"/>
              <w:spacing w:after="0" w:line="188" w:lineRule="exact"/>
              <w:rPr>
                <w:sz w:val="20"/>
                <w:szCs w:val="20"/>
                <w:color w:val="auto"/>
              </w:rPr>
            </w:pPr>
            <w:r>
              <w:rPr>
                <w:rFonts w:ascii="Arial" w:cs="Arial" w:eastAsia="Arial" w:hAnsi="Arial"/>
                <w:sz w:val="17"/>
                <w:szCs w:val="17"/>
                <w:color w:val="auto"/>
              </w:rPr>
              <w:t>752,758</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7"/>
              <w:spacing w:after="0" w:line="188" w:lineRule="exact"/>
              <w:rPr>
                <w:sz w:val="20"/>
                <w:szCs w:val="20"/>
                <w:color w:val="auto"/>
              </w:rPr>
            </w:pPr>
            <w:r>
              <w:rPr>
                <w:rFonts w:ascii="Arial" w:cs="Arial" w:eastAsia="Arial" w:hAnsi="Arial"/>
                <w:sz w:val="17"/>
                <w:szCs w:val="17"/>
                <w:color w:val="auto"/>
              </w:rPr>
              <w:t>673,447</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79,311</w:t>
            </w:r>
          </w:p>
        </w:tc>
      </w:tr>
    </w:tbl>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aviation segment gross profit for 2013 was $327.2 million, an increase of $32.6 million, or 11.1%, as compared to 2012. Of the increase in aviation segment gross profit, $28.6 million was due to increased volume attributable to new and existing customers and $10.9 million was due to gross profit from acquired businesses. These increases were partially offset by $6.9 million in lower gross profit per gallon sold principally due to fluctuations in customer mix.</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marine segment gross profit for 2013 was $177.1 million, a decrease of $31.0 million, or 14.9%, as compared to 2012. Of the decrease in marine segment gross profit, $37.6 million was due to decreased gross profit per metric ton sold principally due to limited price volatility in 2013 and fluctuations in customer mix. This decrease was partially offset by $6.6 million due to increased volume attributable to new and existing customers.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land segment gross profit for 2013 was $248.5 million, an increase of $77.7 million, or 45.5%, as compared to 2012. The increase in land segment gross profit was principally due to gross profit from acquired businesses.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2013 were $488.4 million, an increase of $72.0 million, or 17.3%,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2012. The following table sets forth our expense categories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8"/>
        </w:trPr>
        <w:tc>
          <w:tcPr>
            <w:tcW w:w="50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Compensation and employee benefits</w:t>
            </w:r>
          </w:p>
        </w:tc>
        <w:tc>
          <w:tcPr>
            <w:tcW w:w="2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7"/>
              <w:spacing w:after="0" w:line="188" w:lineRule="exact"/>
              <w:rPr>
                <w:sz w:val="20"/>
                <w:szCs w:val="20"/>
                <w:color w:val="auto"/>
              </w:rPr>
            </w:pPr>
            <w:r>
              <w:rPr>
                <w:rFonts w:ascii="Arial" w:cs="Arial" w:eastAsia="Arial" w:hAnsi="Arial"/>
                <w:sz w:val="17"/>
                <w:szCs w:val="17"/>
                <w:color w:val="auto"/>
              </w:rPr>
              <w:t>288,021</w:t>
            </w:r>
          </w:p>
        </w:tc>
        <w:tc>
          <w:tcPr>
            <w:tcW w:w="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7"/>
              <w:spacing w:after="0" w:line="188" w:lineRule="exact"/>
              <w:rPr>
                <w:sz w:val="20"/>
                <w:szCs w:val="20"/>
                <w:color w:val="auto"/>
              </w:rPr>
            </w:pPr>
            <w:r>
              <w:rPr>
                <w:rFonts w:ascii="Arial" w:cs="Arial" w:eastAsia="Arial" w:hAnsi="Arial"/>
                <w:sz w:val="17"/>
                <w:szCs w:val="17"/>
                <w:color w:val="auto"/>
              </w:rPr>
              <w:t>237,362</w:t>
            </w:r>
          </w:p>
        </w:tc>
        <w:tc>
          <w:tcPr>
            <w:tcW w:w="2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50,659</w:t>
            </w:r>
          </w:p>
        </w:tc>
      </w:tr>
      <w:tr>
        <w:trPr>
          <w:trHeight w:val="195"/>
        </w:trPr>
        <w:tc>
          <w:tcPr>
            <w:tcW w:w="5020" w:type="dxa"/>
            <w:vAlign w:val="bottom"/>
          </w:tcPr>
          <w:p>
            <w:pPr>
              <w:spacing w:after="0"/>
              <w:rPr>
                <w:sz w:val="20"/>
                <w:szCs w:val="20"/>
                <w:color w:val="auto"/>
              </w:rPr>
            </w:pPr>
            <w:r>
              <w:rPr>
                <w:rFonts w:ascii="Arial" w:cs="Arial" w:eastAsia="Arial" w:hAnsi="Arial"/>
                <w:sz w:val="17"/>
                <w:szCs w:val="17"/>
                <w:color w:val="auto"/>
              </w:rPr>
              <w:t>Provision for bad debt</w:t>
            </w:r>
          </w:p>
        </w:tc>
        <w:tc>
          <w:tcPr>
            <w:tcW w:w="2280" w:type="dxa"/>
            <w:vAlign w:val="bottom"/>
          </w:tcPr>
          <w:p>
            <w:pPr>
              <w:spacing w:after="0"/>
              <w:rPr>
                <w:sz w:val="16"/>
                <w:szCs w:val="16"/>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11,745</w:t>
            </w:r>
          </w:p>
        </w:tc>
        <w:tc>
          <w:tcPr>
            <w:tcW w:w="280" w:type="dxa"/>
            <w:vAlign w:val="bottom"/>
          </w:tcPr>
          <w:p>
            <w:pPr>
              <w:spacing w:after="0"/>
              <w:rPr>
                <w:sz w:val="16"/>
                <w:szCs w:val="16"/>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4,790</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6,955</w:t>
            </w:r>
          </w:p>
        </w:tc>
      </w:tr>
      <w:tr>
        <w:trPr>
          <w:trHeight w:val="195"/>
        </w:trPr>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188,634</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174,272</w:t>
            </w: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14,362</w:t>
            </w:r>
          </w:p>
        </w:tc>
      </w:tr>
      <w:tr>
        <w:trPr>
          <w:trHeight w:val="194"/>
        </w:trPr>
        <w:tc>
          <w:tcPr>
            <w:tcW w:w="50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7"/>
              <w:spacing w:after="0" w:line="188" w:lineRule="exact"/>
              <w:rPr>
                <w:sz w:val="20"/>
                <w:szCs w:val="20"/>
                <w:color w:val="auto"/>
              </w:rPr>
            </w:pPr>
            <w:r>
              <w:rPr>
                <w:rFonts w:ascii="Arial" w:cs="Arial" w:eastAsia="Arial" w:hAnsi="Arial"/>
                <w:sz w:val="17"/>
                <w:szCs w:val="17"/>
                <w:color w:val="auto"/>
              </w:rPr>
              <w:t>488,400</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7"/>
              <w:spacing w:after="0" w:line="188" w:lineRule="exact"/>
              <w:rPr>
                <w:sz w:val="20"/>
                <w:szCs w:val="20"/>
                <w:color w:val="auto"/>
              </w:rPr>
            </w:pPr>
            <w:r>
              <w:rPr>
                <w:rFonts w:ascii="Arial" w:cs="Arial" w:eastAsia="Arial" w:hAnsi="Arial"/>
                <w:sz w:val="17"/>
                <w:szCs w:val="17"/>
                <w:color w:val="auto"/>
              </w:rPr>
              <w:t>416,424</w:t>
            </w:r>
          </w:p>
        </w:tc>
        <w:tc>
          <w:tcPr>
            <w:tcW w:w="2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71,976</w:t>
            </w:r>
          </w:p>
        </w:tc>
      </w:tr>
    </w:tbl>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$50.7 million increase in compensation and employee benefits was principally due to the inclusion of expenses from acquired businesses. The $7.0 million increase in provision for bad debt was principally due to an overall increase in the accounts receivable balance in 2013 as compared to 2012 and additional reserves for specific customers. The $14.4 million increase in general and administrative expenses was due to $26.2 million related to the inclusion of expenses from acquired businesses, which was partially offset by $11.8 million in decreased expenses due to efforts to drive greater operational efficiencies.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Income from Operations. </w:t>
      </w:r>
      <w:r>
        <w:rPr>
          <w:rFonts w:ascii="Arial" w:cs="Arial" w:eastAsia="Arial" w:hAnsi="Arial"/>
          <w:sz w:val="17"/>
          <w:szCs w:val="17"/>
          <w:color w:val="auto"/>
        </w:rPr>
        <w:t>Our income from operations for 2013 was $264.4 million, an increase of $7.3 million, or 2.9%,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2012. Income from operations during these periods was attributable to the following segments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8"/>
        </w:trPr>
        <w:tc>
          <w:tcPr>
            <w:tcW w:w="4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Aviation segment</w:t>
            </w:r>
          </w:p>
        </w:tc>
        <w:tc>
          <w:tcPr>
            <w:tcW w:w="3240" w:type="dxa"/>
            <w:vAlign w:val="bottom"/>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$ 150,886</w:t>
            </w:r>
          </w:p>
        </w:tc>
        <w:tc>
          <w:tcPr>
            <w:tcW w:w="1120" w:type="dxa"/>
            <w:vAlign w:val="bottom"/>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$ 128,153</w:t>
            </w:r>
          </w:p>
        </w:tc>
        <w:tc>
          <w:tcPr>
            <w:tcW w:w="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22,733</w:t>
            </w:r>
          </w:p>
        </w:tc>
      </w:tr>
      <w:tr>
        <w:trPr>
          <w:trHeight w:val="195"/>
        </w:trPr>
        <w:tc>
          <w:tcPr>
            <w:tcW w:w="4860" w:type="dxa"/>
            <w:vAlign w:val="bottom"/>
          </w:tcPr>
          <w:p>
            <w:pPr>
              <w:spacing w:after="0"/>
              <w:rPr>
                <w:sz w:val="20"/>
                <w:szCs w:val="20"/>
                <w:color w:val="auto"/>
              </w:rPr>
            </w:pPr>
            <w:r>
              <w:rPr>
                <w:rFonts w:ascii="Arial" w:cs="Arial" w:eastAsia="Arial" w:hAnsi="Arial"/>
                <w:sz w:val="17"/>
                <w:szCs w:val="17"/>
                <w:color w:val="auto"/>
              </w:rPr>
              <w:t>Marine segment</w:t>
            </w:r>
          </w:p>
        </w:tc>
        <w:tc>
          <w:tcPr>
            <w:tcW w:w="3240" w:type="dxa"/>
            <w:vAlign w:val="bottom"/>
          </w:tcPr>
          <w:p>
            <w:pPr>
              <w:jc w:val="right"/>
              <w:ind w:right="56"/>
              <w:spacing w:after="0"/>
              <w:rPr>
                <w:sz w:val="20"/>
                <w:szCs w:val="20"/>
                <w:color w:val="auto"/>
              </w:rPr>
            </w:pPr>
            <w:r>
              <w:rPr>
                <w:rFonts w:ascii="Arial" w:cs="Arial" w:eastAsia="Arial" w:hAnsi="Arial"/>
                <w:sz w:val="17"/>
                <w:szCs w:val="17"/>
                <w:color w:val="auto"/>
              </w:rPr>
              <w:t>73,770</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103,229</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(29,459)</w:t>
            </w:r>
          </w:p>
        </w:tc>
      </w:tr>
      <w:tr>
        <w:trPr>
          <w:trHeight w:val="195"/>
        </w:trPr>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Land segment</w:t>
            </w:r>
          </w:p>
        </w:tc>
        <w:tc>
          <w:tcPr>
            <w:tcW w:w="3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84,767</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75,291</w:t>
            </w: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9,476</w:t>
            </w:r>
          </w:p>
        </w:tc>
      </w:tr>
      <w:tr>
        <w:trPr>
          <w:trHeight w:val="188"/>
        </w:trPr>
        <w:tc>
          <w:tcPr>
            <w:tcW w:w="4860" w:type="dxa"/>
            <w:vAlign w:val="bottom"/>
          </w:tcPr>
          <w:p>
            <w:pPr>
              <w:spacing w:after="0"/>
              <w:rPr>
                <w:sz w:val="16"/>
                <w:szCs w:val="16"/>
                <w:color w:val="auto"/>
              </w:rPr>
            </w:pPr>
          </w:p>
        </w:tc>
        <w:tc>
          <w:tcPr>
            <w:tcW w:w="3240" w:type="dxa"/>
            <w:vAlign w:val="bottom"/>
          </w:tcPr>
          <w:p>
            <w:pPr>
              <w:jc w:val="right"/>
              <w:ind w:right="56"/>
              <w:spacing w:after="0" w:line="188" w:lineRule="exact"/>
              <w:rPr>
                <w:sz w:val="20"/>
                <w:szCs w:val="20"/>
                <w:color w:val="auto"/>
              </w:rPr>
            </w:pPr>
            <w:r>
              <w:rPr>
                <w:rFonts w:ascii="Arial" w:cs="Arial" w:eastAsia="Arial" w:hAnsi="Arial"/>
                <w:sz w:val="17"/>
                <w:szCs w:val="17"/>
                <w:color w:val="auto"/>
              </w:rPr>
              <w:t>309,423</w:t>
            </w:r>
          </w:p>
        </w:tc>
        <w:tc>
          <w:tcPr>
            <w:tcW w:w="1120" w:type="dxa"/>
            <w:vAlign w:val="bottom"/>
          </w:tcPr>
          <w:p>
            <w:pPr>
              <w:jc w:val="right"/>
              <w:ind w:right="76"/>
              <w:spacing w:after="0" w:line="188" w:lineRule="exact"/>
              <w:rPr>
                <w:sz w:val="20"/>
                <w:szCs w:val="20"/>
                <w:color w:val="auto"/>
              </w:rPr>
            </w:pPr>
            <w:r>
              <w:rPr>
                <w:rFonts w:ascii="Arial" w:cs="Arial" w:eastAsia="Arial" w:hAnsi="Arial"/>
                <w:sz w:val="17"/>
                <w:szCs w:val="17"/>
                <w:color w:val="auto"/>
              </w:rPr>
              <w:t>306,673</w:t>
            </w:r>
          </w:p>
        </w:tc>
        <w:tc>
          <w:tcPr>
            <w:tcW w:w="28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Arial" w:cs="Arial" w:eastAsia="Arial" w:hAnsi="Arial"/>
                <w:sz w:val="17"/>
                <w:szCs w:val="17"/>
                <w:color w:val="auto"/>
              </w:rPr>
              <w:t>2,750</w:t>
            </w:r>
          </w:p>
        </w:tc>
      </w:tr>
      <w:tr>
        <w:trPr>
          <w:trHeight w:val="195"/>
        </w:trPr>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Corporate overhead – unallocated</w:t>
            </w:r>
          </w:p>
        </w:tc>
        <w:tc>
          <w:tcPr>
            <w:tcW w:w="3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45,065</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49,650</w:t>
            </w: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(4,585)</w:t>
            </w:r>
          </w:p>
        </w:tc>
      </w:tr>
      <w:tr>
        <w:trPr>
          <w:trHeight w:val="194"/>
        </w:trPr>
        <w:tc>
          <w:tcPr>
            <w:tcW w:w="486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3240" w:type="dxa"/>
            <w:vAlign w:val="bottom"/>
            <w:tcBorders>
              <w:bottom w:val="single" w:sz="8" w:color="auto"/>
            </w:tcBorders>
          </w:tcPr>
          <w:p>
            <w:pPr>
              <w:jc w:val="right"/>
              <w:ind w:right="56"/>
              <w:spacing w:after="0" w:line="188" w:lineRule="exact"/>
              <w:rPr>
                <w:sz w:val="20"/>
                <w:szCs w:val="20"/>
                <w:color w:val="auto"/>
              </w:rPr>
            </w:pPr>
            <w:r>
              <w:rPr>
                <w:rFonts w:ascii="Arial" w:cs="Arial" w:eastAsia="Arial" w:hAnsi="Arial"/>
                <w:sz w:val="17"/>
                <w:szCs w:val="17"/>
                <w:color w:val="auto"/>
              </w:rPr>
              <w:t>$  264,358</w:t>
            </w:r>
          </w:p>
        </w:tc>
        <w:tc>
          <w:tcPr>
            <w:tcW w:w="1120" w:type="dxa"/>
            <w:vAlign w:val="bottom"/>
            <w:tcBorders>
              <w:bottom w:val="single" w:sz="8" w:color="auto"/>
            </w:tcBorders>
          </w:tcPr>
          <w:p>
            <w:pPr>
              <w:jc w:val="right"/>
              <w:ind w:right="76"/>
              <w:spacing w:after="0" w:line="188" w:lineRule="exact"/>
              <w:rPr>
                <w:sz w:val="20"/>
                <w:szCs w:val="20"/>
                <w:color w:val="auto"/>
              </w:rPr>
            </w:pPr>
            <w:r>
              <w:rPr>
                <w:rFonts w:ascii="Arial" w:cs="Arial" w:eastAsia="Arial" w:hAnsi="Arial"/>
                <w:sz w:val="17"/>
                <w:szCs w:val="17"/>
                <w:color w:val="auto"/>
              </w:rPr>
              <w:t>$ 257,023</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7,335</w:t>
            </w:r>
          </w:p>
        </w:tc>
      </w:tr>
    </w:tbl>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aviation segment income from operations for 2013 was $150.9 million, an increase of $22.7 million, or 17.7%, as compared to 2012. This increase resulted from $32.6 million in higher gross profit, which was partially offset by $9.9 million in increased operating expenses attributable to the inclusion of acquired businesses.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marine segment income from operations for 2013 was $73.8 million, a decrease of $29.5 million, or 28.5%, as compared to 2012. This decrease principally resulted from $31.0 million in lower gross profit.</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land segment income from operations for 2013 was $84.8 million, an increase of $9.5 million, or 12.6%, as compared to 2012. This increase resulted from $77.7 million in higher gross profit, which was partially offset by increased operating expenses of $68.2 million. Of the increase in land segment operating expenses, $67.1 million was related to the inclusion of acquired businesses.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0" w:name="page31"/>
    <w:bookmarkEnd w:id="3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Corporate overhead costs not charged to the business segments for 2013 were $45.1 million, a decrease of $4.6 million, or 9.2%, as compared to 2012. The decrease in corporate overhead costs not charged to the business segments was attributable to decreases in general and administrative expenses, principally professional fees.</w:t>
      </w:r>
    </w:p>
    <w:p>
      <w:pPr>
        <w:spacing w:after="0" w:line="88"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i w:val="1"/>
          <w:iCs w:val="1"/>
          <w:color w:val="auto"/>
        </w:rPr>
        <w:t>Non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Operating Income (Expenses), net. </w:t>
      </w:r>
      <w:r>
        <w:rPr>
          <w:rFonts w:ascii="Arial" w:cs="Arial" w:eastAsia="Arial" w:hAnsi="Arial"/>
          <w:sz w:val="17"/>
          <w:szCs w:val="17"/>
          <w:color w:val="auto"/>
        </w:rPr>
        <w:t>For 2013, we had non</w:t>
      </w:r>
      <w:r>
        <w:rPr>
          <w:rFonts w:ascii="MS PGothic" w:cs="MS PGothic" w:eastAsia="MS PGothic" w:hAnsi="MS PGothic"/>
          <w:sz w:val="17"/>
          <w:szCs w:val="17"/>
          <w:color w:val="auto"/>
        </w:rPr>
        <w:t>‑</w:t>
      </w:r>
      <w:r>
        <w:rPr>
          <w:rFonts w:ascii="Arial" w:cs="Arial" w:eastAsia="Arial" w:hAnsi="Arial"/>
          <w:sz w:val="17"/>
          <w:szCs w:val="17"/>
          <w:color w:val="auto"/>
        </w:rPr>
        <w:t>operating expenses, net of $17.7 million, an increase of $0.3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1.5%, as compared to 2012.</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For 2013, our effective income tax rate was 16.0% and our income tax provision was $39.5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an effective income tax rate of 16.0% and an income tax provision of $38.2 million for 2012. Although there was no net change in the overall effective income tax rate between 2013 and 2012, the rates continue to have various recurring components attributable to differences in the results of our subsidiaries in tax jurisdictions with different income tax rates and outstanding uncertain tax positions net of certain nonrecurring discrete tax items including statute lapses, audit settlements, and a change in estimate.</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Net (Loss) Income Attributable to Noncontrolling Interest. </w:t>
      </w:r>
      <w:r>
        <w:rPr>
          <w:rFonts w:ascii="Arial" w:cs="Arial" w:eastAsia="Arial" w:hAnsi="Arial"/>
          <w:sz w:val="17"/>
          <w:szCs w:val="17"/>
          <w:color w:val="auto"/>
        </w:rPr>
        <w:t>For 2013, net income attributable to noncontrolling interest was</w:t>
      </w:r>
      <w:r>
        <w:rPr>
          <w:rFonts w:ascii="Arial" w:cs="Arial" w:eastAsia="Arial" w:hAnsi="Arial"/>
          <w:sz w:val="17"/>
          <w:szCs w:val="17"/>
          <w:i w:val="1"/>
          <w:iCs w:val="1"/>
          <w:color w:val="auto"/>
        </w:rPr>
        <w:t xml:space="preserve"> </w:t>
      </w:r>
      <w:r>
        <w:rPr>
          <w:rFonts w:ascii="Arial" w:cs="Arial" w:eastAsia="Arial" w:hAnsi="Arial"/>
          <w:sz w:val="17"/>
          <w:szCs w:val="17"/>
          <w:color w:val="auto"/>
        </w:rPr>
        <w:t>$4.1 million, a decrease of $7.9 million, or 66.0%, as compared to 2012. The decrease was principally due to the results of our crude oil marketing joint venture.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Net Income and Diluted Earnings per Common Share. </w:t>
      </w:r>
      <w:r>
        <w:rPr>
          <w:rFonts w:ascii="Arial" w:cs="Arial" w:eastAsia="Arial" w:hAnsi="Arial"/>
          <w:sz w:val="17"/>
          <w:szCs w:val="17"/>
          <w:color w:val="auto"/>
        </w:rPr>
        <w:t>Our net income for 2013 was $203.1 million, an increase of $13.7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7.3%, as compared to 2012. Diluted earnings per common share for 2013 was $2.83 per common share, an increase of $0.19 per common share, or 7.2% as compared to 2012.</w:t>
      </w:r>
    </w:p>
    <w:p>
      <w:pPr>
        <w:spacing w:after="0" w:line="101" w:lineRule="exact"/>
        <w:rPr>
          <w:sz w:val="20"/>
          <w:szCs w:val="20"/>
          <w:color w:val="auto"/>
        </w:rPr>
      </w:pPr>
    </w:p>
    <w:p>
      <w:pPr>
        <w:jc w:val="both"/>
        <w:spacing w:after="0" w:line="214" w:lineRule="exact"/>
        <w:rPr>
          <w:sz w:val="20"/>
          <w:szCs w:val="20"/>
          <w:color w:val="auto"/>
        </w:rPr>
      </w:pPr>
      <w:r>
        <w:rPr>
          <w:rFonts w:ascii="Arial" w:cs="Arial" w:eastAsia="Arial" w:hAnsi="Arial"/>
          <w:sz w:val="17"/>
          <w:szCs w:val="17"/>
          <w:i w:val="1"/>
          <w:iCs w:val="1"/>
          <w:color w:val="auto"/>
        </w:rPr>
        <w:t>Non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GAAP Net Income and Non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 GAAP Diluted Earnings per Common Share. </w:t>
      </w:r>
      <w:r>
        <w:rPr>
          <w:rFonts w:ascii="Arial" w:cs="Arial" w:eastAsia="Arial" w:hAnsi="Arial"/>
          <w:sz w:val="17"/>
          <w:szCs w:val="17"/>
          <w:color w:val="auto"/>
        </w:rPr>
        <w:t>Our non</w:t>
      </w:r>
      <w:r>
        <w:rPr>
          <w:rFonts w:ascii="MS PGothic" w:cs="MS PGothic" w:eastAsia="MS PGothic" w:hAnsi="MS PGothic"/>
          <w:sz w:val="17"/>
          <w:szCs w:val="17"/>
          <w:color w:val="auto"/>
        </w:rPr>
        <w:t>‑</w:t>
      </w:r>
      <w:r>
        <w:rPr>
          <w:rFonts w:ascii="Arial" w:cs="Arial" w:eastAsia="Arial" w:hAnsi="Arial"/>
          <w:sz w:val="17"/>
          <w:szCs w:val="17"/>
          <w:color w:val="auto"/>
        </w:rPr>
        <w:t>GAAP net income for 2013 was</w:t>
      </w:r>
      <w:r>
        <w:rPr>
          <w:rFonts w:ascii="Arial" w:cs="Arial" w:eastAsia="Arial" w:hAnsi="Arial"/>
          <w:sz w:val="17"/>
          <w:szCs w:val="17"/>
          <w:i w:val="1"/>
          <w:iCs w:val="1"/>
          <w:color w:val="auto"/>
        </w:rPr>
        <w:t xml:space="preserve"> </w:t>
      </w:r>
      <w:r>
        <w:rPr>
          <w:rFonts w:ascii="Arial" w:cs="Arial" w:eastAsia="Arial" w:hAnsi="Arial"/>
          <w:sz w:val="17"/>
          <w:szCs w:val="17"/>
          <w:color w:val="auto"/>
        </w:rPr>
        <w:t>$230.5 million, an increase of $14.6 million, or 6.8%, as compared to 2012. Non</w:t>
      </w:r>
      <w:r>
        <w:rPr>
          <w:rFonts w:ascii="MS PGothic" w:cs="MS PGothic" w:eastAsia="MS PGothic" w:hAnsi="MS PGothic"/>
          <w:sz w:val="17"/>
          <w:szCs w:val="17"/>
          <w:color w:val="auto"/>
        </w:rPr>
        <w:t>‑</w:t>
      </w:r>
      <w:r>
        <w:rPr>
          <w:rFonts w:ascii="Arial" w:cs="Arial" w:eastAsia="Arial" w:hAnsi="Arial"/>
          <w:sz w:val="17"/>
          <w:szCs w:val="17"/>
          <w:color w:val="auto"/>
        </w:rPr>
        <w:t xml:space="preserve"> GAAP diluted earnings per common share for 2013 was $3.22 per common share, an increase of $0.21 per common share, or 7.0%, as compared to 2012. The following table sets forth the reconciliation between our net income and non</w:t>
      </w:r>
      <w:r>
        <w:rPr>
          <w:rFonts w:ascii="MS PGothic" w:cs="MS PGothic" w:eastAsia="MS PGothic" w:hAnsi="MS PGothic"/>
          <w:sz w:val="17"/>
          <w:szCs w:val="17"/>
          <w:color w:val="auto"/>
        </w:rPr>
        <w:t>‑</w:t>
      </w:r>
      <w:r>
        <w:rPr>
          <w:rFonts w:ascii="Arial" w:cs="Arial" w:eastAsia="Arial" w:hAnsi="Arial"/>
          <w:sz w:val="17"/>
          <w:szCs w:val="17"/>
          <w:color w:val="auto"/>
        </w:rPr>
        <w:t>GAAP net income for 2013 and 2012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78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Net income attributable to World Fuel</w:t>
            </w:r>
          </w:p>
        </w:tc>
        <w:tc>
          <w:tcPr>
            <w:tcW w:w="380" w:type="dxa"/>
            <w:vAlign w:val="bottom"/>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96"/>
              <w:spacing w:after="0" w:line="188" w:lineRule="exact"/>
              <w:rPr>
                <w:sz w:val="20"/>
                <w:szCs w:val="20"/>
                <w:color w:val="auto"/>
              </w:rPr>
            </w:pPr>
            <w:r>
              <w:rPr>
                <w:rFonts w:ascii="Arial" w:cs="Arial" w:eastAsia="Arial" w:hAnsi="Arial"/>
                <w:sz w:val="17"/>
                <w:szCs w:val="17"/>
                <w:color w:val="auto"/>
              </w:rPr>
              <w:t>203,075</w:t>
            </w:r>
          </w:p>
        </w:tc>
        <w:tc>
          <w:tcPr>
            <w:tcW w:w="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189,345</w:t>
            </w:r>
          </w:p>
        </w:tc>
      </w:tr>
      <w:tr>
        <w:trPr>
          <w:trHeight w:val="172"/>
        </w:trPr>
        <w:tc>
          <w:tcPr>
            <w:tcW w:w="7800" w:type="dxa"/>
            <w:vAlign w:val="bottom"/>
          </w:tcPr>
          <w:p>
            <w:pPr>
              <w:spacing w:after="0" w:line="172" w:lineRule="exact"/>
              <w:rPr>
                <w:sz w:val="20"/>
                <w:szCs w:val="20"/>
                <w:color w:val="auto"/>
              </w:rPr>
            </w:pPr>
            <w:r>
              <w:rPr>
                <w:rFonts w:ascii="Arial" w:cs="Arial" w:eastAsia="Arial" w:hAnsi="Arial"/>
                <w:sz w:val="17"/>
                <w:szCs w:val="17"/>
                <w:color w:val="auto"/>
              </w:rPr>
              <w:t>Share-based compensation expense, net of income taxes of $5,534 and $4,442 for 2013 and 2012,</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7"/>
        </w:trPr>
        <w:tc>
          <w:tcPr>
            <w:tcW w:w="7800" w:type="dxa"/>
            <w:vAlign w:val="bottom"/>
          </w:tcPr>
          <w:p>
            <w:pPr>
              <w:ind w:left="140"/>
              <w:spacing w:after="0"/>
              <w:rPr>
                <w:sz w:val="20"/>
                <w:szCs w:val="20"/>
                <w:color w:val="auto"/>
              </w:rPr>
            </w:pPr>
            <w:r>
              <w:rPr>
                <w:rFonts w:ascii="Arial" w:cs="Arial" w:eastAsia="Arial" w:hAnsi="Arial"/>
                <w:sz w:val="17"/>
                <w:szCs w:val="17"/>
                <w:color w:val="auto"/>
              </w:rPr>
              <w:t>respectively</w:t>
            </w:r>
          </w:p>
        </w:tc>
        <w:tc>
          <w:tcPr>
            <w:tcW w:w="380" w:type="dxa"/>
            <w:vAlign w:val="bottom"/>
          </w:tcPr>
          <w:p>
            <w:pPr>
              <w:spacing w:after="0"/>
              <w:rPr>
                <w:sz w:val="18"/>
                <w:szCs w:val="18"/>
                <w:color w:val="auto"/>
              </w:rPr>
            </w:pP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11,182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9,637</w:t>
            </w:r>
          </w:p>
        </w:tc>
      </w:tr>
      <w:tr>
        <w:trPr>
          <w:trHeight w:val="172"/>
        </w:trPr>
        <w:tc>
          <w:tcPr>
            <w:tcW w:w="780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Intangible asset amortization expense, net of income taxes of $8,128 and $4,090 for 2013 and</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17"/>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2012, respectively</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14,448</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14,037</w:t>
            </w:r>
          </w:p>
        </w:tc>
      </w:tr>
      <w:tr>
        <w:trPr>
          <w:trHeight w:val="195"/>
        </w:trPr>
        <w:tc>
          <w:tcPr>
            <w:tcW w:w="7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Expenses related to acquisitions, net of income taxes of $1,574 for 2012</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1,822</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w:t>
            </w:r>
          </w:p>
        </w:tc>
      </w:tr>
      <w:tr>
        <w:trPr>
          <w:trHeight w:val="194"/>
        </w:trPr>
        <w:tc>
          <w:tcPr>
            <w:tcW w:w="78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Non-GAAP net income attributable to World Fuel</w:t>
            </w:r>
          </w:p>
        </w:tc>
        <w:tc>
          <w:tcPr>
            <w:tcW w:w="38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96"/>
              <w:spacing w:after="0" w:line="188" w:lineRule="exact"/>
              <w:rPr>
                <w:sz w:val="20"/>
                <w:szCs w:val="20"/>
                <w:color w:val="auto"/>
              </w:rPr>
            </w:pPr>
            <w:r>
              <w:rPr>
                <w:rFonts w:ascii="Arial" w:cs="Arial" w:eastAsia="Arial" w:hAnsi="Arial"/>
                <w:sz w:val="17"/>
                <w:szCs w:val="17"/>
                <w:color w:val="auto"/>
              </w:rPr>
              <w:t>230,527</w:t>
            </w:r>
          </w:p>
        </w:tc>
        <w:tc>
          <w:tcPr>
            <w:tcW w:w="3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215,943</w:t>
            </w:r>
          </w:p>
        </w:tc>
      </w:tr>
    </w:tbl>
    <w:p>
      <w:pPr>
        <w:spacing w:after="0" w:line="150"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color w:val="auto"/>
        </w:rPr>
        <w:t>The following table sets forth the reconciliation between our diluted earnings per common share and our non</w:t>
      </w:r>
      <w:r>
        <w:rPr>
          <w:rFonts w:ascii="MS PGothic" w:cs="MS PGothic" w:eastAsia="MS PGothic" w:hAnsi="MS PGothic"/>
          <w:sz w:val="17"/>
          <w:szCs w:val="17"/>
          <w:color w:val="auto"/>
        </w:rPr>
        <w:t>‑</w:t>
      </w:r>
      <w:r>
        <w:rPr>
          <w:rFonts w:ascii="Arial" w:cs="Arial" w:eastAsia="Arial" w:hAnsi="Arial"/>
          <w:sz w:val="17"/>
          <w:szCs w:val="17"/>
          <w:color w:val="auto"/>
        </w:rPr>
        <w:t>GAAP diluted earnings per common share for 2013 and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64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Diluted earnings per common share</w:t>
            </w:r>
          </w:p>
        </w:tc>
        <w:tc>
          <w:tcPr>
            <w:tcW w:w="2200" w:type="dxa"/>
            <w:vAlign w:val="bottom"/>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96"/>
              <w:spacing w:after="0" w:line="188" w:lineRule="exact"/>
              <w:rPr>
                <w:sz w:val="20"/>
                <w:szCs w:val="20"/>
                <w:color w:val="auto"/>
              </w:rPr>
            </w:pPr>
            <w:r>
              <w:rPr>
                <w:rFonts w:ascii="Arial" w:cs="Arial" w:eastAsia="Arial" w:hAnsi="Arial"/>
                <w:sz w:val="17"/>
                <w:szCs w:val="17"/>
                <w:color w:val="auto"/>
              </w:rPr>
              <w:t>2.83</w:t>
            </w:r>
          </w:p>
        </w:tc>
        <w:tc>
          <w:tcPr>
            <w:tcW w:w="380" w:type="dxa"/>
            <w:vAlign w:val="bottom"/>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2.64</w:t>
            </w:r>
          </w:p>
        </w:tc>
      </w:tr>
      <w:tr>
        <w:trPr>
          <w:trHeight w:val="195"/>
        </w:trPr>
        <w:tc>
          <w:tcPr>
            <w:tcW w:w="6460" w:type="dxa"/>
            <w:vAlign w:val="bottom"/>
          </w:tcPr>
          <w:p>
            <w:pPr>
              <w:spacing w:after="0"/>
              <w:rPr>
                <w:sz w:val="20"/>
                <w:szCs w:val="20"/>
                <w:color w:val="auto"/>
              </w:rPr>
            </w:pPr>
            <w:r>
              <w:rPr>
                <w:rFonts w:ascii="Arial" w:cs="Arial" w:eastAsia="Arial" w:hAnsi="Arial"/>
                <w:sz w:val="17"/>
                <w:szCs w:val="17"/>
                <w:color w:val="auto"/>
              </w:rPr>
              <w:t>Share-based compensation expense, net of income taxes</w:t>
            </w:r>
          </w:p>
        </w:tc>
        <w:tc>
          <w:tcPr>
            <w:tcW w:w="2200" w:type="dxa"/>
            <w:vAlign w:val="bottom"/>
          </w:tcPr>
          <w:p>
            <w:pPr>
              <w:spacing w:after="0"/>
              <w:rPr>
                <w:sz w:val="16"/>
                <w:szCs w:val="16"/>
                <w:color w:val="auto"/>
              </w:rPr>
            </w:pPr>
          </w:p>
        </w:tc>
        <w:tc>
          <w:tcPr>
            <w:tcW w:w="640" w:type="dxa"/>
            <w:vAlign w:val="bottom"/>
          </w:tcPr>
          <w:p>
            <w:pPr>
              <w:jc w:val="right"/>
              <w:ind w:right="96"/>
              <w:spacing w:after="0"/>
              <w:rPr>
                <w:sz w:val="20"/>
                <w:szCs w:val="20"/>
                <w:color w:val="auto"/>
              </w:rPr>
            </w:pPr>
            <w:r>
              <w:rPr>
                <w:rFonts w:ascii="Arial" w:cs="Arial" w:eastAsia="Arial" w:hAnsi="Arial"/>
                <w:sz w:val="17"/>
                <w:szCs w:val="17"/>
                <w:color w:val="auto"/>
              </w:rPr>
              <w:t>0.16</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0.13</w:t>
            </w:r>
          </w:p>
        </w:tc>
      </w:tr>
      <w:tr>
        <w:trPr>
          <w:trHeight w:val="195"/>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 amortization expense, net of income taxes</w:t>
            </w:r>
          </w:p>
        </w:tc>
        <w:tc>
          <w:tcPr>
            <w:tcW w:w="2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0.20</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r>
      <w:tr>
        <w:trPr>
          <w:trHeight w:val="195"/>
        </w:trPr>
        <w:tc>
          <w:tcPr>
            <w:tcW w:w="6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Expenses related to acquisitions, net of income taxes</w:t>
            </w:r>
          </w:p>
        </w:tc>
        <w:tc>
          <w:tcPr>
            <w:tcW w:w="2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0.03</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r>
      <w:tr>
        <w:trPr>
          <w:trHeight w:val="194"/>
        </w:trPr>
        <w:tc>
          <w:tcPr>
            <w:tcW w:w="646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Non-GAAP diluted earnings per common share</w:t>
            </w:r>
          </w:p>
        </w:tc>
        <w:tc>
          <w:tcPr>
            <w:tcW w:w="220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ind w:right="96"/>
              <w:spacing w:after="0" w:line="188" w:lineRule="exact"/>
              <w:rPr>
                <w:sz w:val="20"/>
                <w:szCs w:val="20"/>
                <w:color w:val="auto"/>
              </w:rPr>
            </w:pPr>
            <w:r>
              <w:rPr>
                <w:rFonts w:ascii="Arial" w:cs="Arial" w:eastAsia="Arial" w:hAnsi="Arial"/>
                <w:sz w:val="17"/>
                <w:szCs w:val="17"/>
                <w:color w:val="auto"/>
              </w:rPr>
              <w:t>3.22</w:t>
            </w:r>
          </w:p>
        </w:tc>
        <w:tc>
          <w:tcPr>
            <w:tcW w:w="380" w:type="dxa"/>
            <w:vAlign w:val="bottom"/>
            <w:tcBorders>
              <w:bottom w:val="single" w:sz="8" w:color="auto"/>
            </w:tcBorders>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3.01</w:t>
            </w:r>
          </w:p>
        </w:tc>
      </w:tr>
    </w:tbl>
    <w:p>
      <w:pPr>
        <w:spacing w:after="0" w:line="150" w:lineRule="exact"/>
        <w:rPr>
          <w:sz w:val="20"/>
          <w:szCs w:val="20"/>
          <w:color w:val="auto"/>
        </w:rPr>
      </w:pPr>
    </w:p>
    <w:p>
      <w:pPr>
        <w:jc w:val="both"/>
        <w:spacing w:after="0" w:line="201" w:lineRule="exact"/>
        <w:rPr>
          <w:sz w:val="20"/>
          <w:szCs w:val="20"/>
          <w:color w:val="auto"/>
        </w:rPr>
      </w:pPr>
      <w:r>
        <w:rPr>
          <w:rFonts w:ascii="Arial" w:cs="Arial" w:eastAsia="Arial" w:hAnsi="Arial"/>
          <w:sz w:val="17"/>
          <w:szCs w:val="17"/>
          <w:color w:val="auto"/>
        </w:rPr>
        <w:t>The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exclude costs associated with share based compensation, amortization of acquired intangible assets and expenses related to acquisitions primarily because we do not believe they are reflective of the Company’s core operating results. We believe the exclusion of share</w:t>
      </w:r>
      <w:r>
        <w:rPr>
          <w:rFonts w:ascii="MS PGothic" w:cs="MS PGothic" w:eastAsia="MS PGothic" w:hAnsi="MS PGothic"/>
          <w:sz w:val="17"/>
          <w:szCs w:val="17"/>
          <w:color w:val="auto"/>
        </w:rPr>
        <w:t>‑</w:t>
      </w:r>
      <w:r>
        <w:rPr>
          <w:rFonts w:ascii="Arial" w:cs="Arial" w:eastAsia="Arial" w:hAnsi="Arial"/>
          <w:sz w:val="17"/>
          <w:szCs w:val="17"/>
          <w:color w:val="auto"/>
        </w:rPr>
        <w:t>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as well as expenses related to acquisitions, are useful for purposes of evaluating operating performance of our core operating results and comparing them period</w:t>
      </w:r>
      <w:r>
        <w:rPr>
          <w:rFonts w:ascii="MS PGothic" w:cs="MS PGothic" w:eastAsia="MS PGothic" w:hAnsi="MS PGothic"/>
          <w:sz w:val="17"/>
          <w:szCs w:val="17"/>
          <w:color w:val="auto"/>
        </w:rPr>
        <w:t>‑</w:t>
      </w:r>
      <w:r>
        <w:rPr>
          <w:rFonts w:ascii="Arial" w:cs="Arial" w:eastAsia="Arial" w:hAnsi="Arial"/>
          <w:sz w:val="17"/>
          <w:szCs w:val="17"/>
          <w:color w:val="auto"/>
        </w:rPr>
        <w:t>over</w:t>
      </w:r>
      <w:r>
        <w:rPr>
          <w:rFonts w:ascii="MS PGothic" w:cs="MS PGothic" w:eastAsia="MS PGothic" w:hAnsi="MS PGothic"/>
          <w:sz w:val="17"/>
          <w:szCs w:val="17"/>
          <w:color w:val="auto"/>
        </w:rPr>
        <w:t>‑</w:t>
      </w:r>
      <w:r>
        <w:rPr>
          <w:rFonts w:ascii="Arial" w:cs="Arial" w:eastAsia="Arial" w:hAnsi="Arial"/>
          <w:sz w:val="17"/>
          <w:szCs w:val="17"/>
          <w:color w:val="auto"/>
        </w:rPr>
        <w:t xml:space="preserve"> period. We believe that these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should not be considered in isolation from, or as a substitute for, financial information prepared in accordance with GAAP. In addition, our presentation of non</w:t>
      </w:r>
      <w:r>
        <w:rPr>
          <w:rFonts w:ascii="MS PGothic" w:cs="MS PGothic" w:eastAsia="MS PGothic" w:hAnsi="MS PGothic"/>
          <w:sz w:val="17"/>
          <w:szCs w:val="17"/>
          <w:color w:val="auto"/>
        </w:rPr>
        <w:t>‑</w:t>
      </w:r>
      <w:r>
        <w:rPr>
          <w:rFonts w:ascii="Arial" w:cs="Arial" w:eastAsia="Arial" w:hAnsi="Arial"/>
          <w:sz w:val="17"/>
          <w:szCs w:val="17"/>
          <w:color w:val="auto"/>
        </w:rPr>
        <w:t>GAAP net income and non</w:t>
      </w:r>
      <w:r>
        <w:rPr>
          <w:rFonts w:ascii="MS PGothic" w:cs="MS PGothic" w:eastAsia="MS PGothic" w:hAnsi="MS PGothic"/>
          <w:sz w:val="17"/>
          <w:szCs w:val="17"/>
          <w:color w:val="auto"/>
        </w:rPr>
        <w:t>‑</w:t>
      </w:r>
      <w:r>
        <w:rPr>
          <w:rFonts w:ascii="Arial" w:cs="Arial" w:eastAsia="Arial" w:hAnsi="Arial"/>
          <w:sz w:val="17"/>
          <w:szCs w:val="17"/>
          <w:color w:val="auto"/>
        </w:rPr>
        <w:t>GAAP diluted earnings per common share may not be comparable to the presentation of such metrics by other companies. Non</w:t>
      </w:r>
      <w:r>
        <w:rPr>
          <w:rFonts w:ascii="MS PGothic" w:cs="MS PGothic" w:eastAsia="MS PGothic" w:hAnsi="MS PGothic"/>
          <w:sz w:val="17"/>
          <w:szCs w:val="17"/>
          <w:color w:val="auto"/>
        </w:rPr>
        <w:t>‑</w:t>
      </w:r>
      <w:r>
        <w:rPr>
          <w:rFonts w:ascii="Arial" w:cs="Arial" w:eastAsia="Arial" w:hAnsi="Arial"/>
          <w:sz w:val="17"/>
          <w:szCs w:val="17"/>
          <w:color w:val="auto"/>
        </w:rPr>
        <w:t>GAAP diluted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1" w:name="page32"/>
    <w:bookmarkEnd w:id="3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193"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earnings per common share is computed by dividing non</w:t>
      </w:r>
      <w:r>
        <w:rPr>
          <w:rFonts w:ascii="MS PGothic" w:cs="MS PGothic" w:eastAsia="MS PGothic" w:hAnsi="MS PGothic"/>
          <w:sz w:val="17"/>
          <w:szCs w:val="17"/>
          <w:color w:val="auto"/>
        </w:rPr>
        <w:t>‑</w:t>
      </w:r>
      <w:r>
        <w:rPr>
          <w:rFonts w:ascii="Arial" w:cs="Arial" w:eastAsia="Arial" w:hAnsi="Arial"/>
          <w:sz w:val="17"/>
          <w:szCs w:val="17"/>
          <w:color w:val="auto"/>
        </w:rPr>
        <w:t>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w:t>
      </w:r>
      <w:r>
        <w:rPr>
          <w:rFonts w:ascii="MS PGothic" w:cs="MS PGothic" w:eastAsia="MS PGothic" w:hAnsi="MS PGothic"/>
          <w:sz w:val="17"/>
          <w:szCs w:val="17"/>
          <w:color w:val="auto"/>
        </w:rPr>
        <w:t>‑</w:t>
      </w:r>
      <w:r>
        <w:rPr>
          <w:rFonts w:ascii="Arial" w:cs="Arial" w:eastAsia="Arial" w:hAnsi="Arial"/>
          <w:sz w:val="17"/>
          <w:szCs w:val="17"/>
          <w:color w:val="auto"/>
        </w:rPr>
        <w:t>GAAP measures to their most directly comparable GAAP financial measures.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table reflects the major categories of cash flows for 2014, 2013 and 2012. For additional details, please see the consolidated statements of cash flows in the consolidated financial statements.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50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Net cash provided by operating activities</w:t>
            </w:r>
          </w:p>
        </w:tc>
        <w:tc>
          <w:tcPr>
            <w:tcW w:w="2940" w:type="dxa"/>
            <w:vAlign w:val="bottom"/>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  141,160</w:t>
            </w:r>
          </w:p>
        </w:tc>
        <w:tc>
          <w:tcPr>
            <w:tcW w:w="1140" w:type="dxa"/>
            <w:vAlign w:val="bottom"/>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  264,302</w:t>
            </w:r>
          </w:p>
        </w:tc>
        <w:tc>
          <w:tcPr>
            <w:tcW w:w="10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  145,791</w:t>
            </w:r>
          </w:p>
        </w:tc>
      </w:tr>
      <w:tr>
        <w:trPr>
          <w:trHeight w:val="195"/>
        </w:trPr>
        <w:tc>
          <w:tcPr>
            <w:tcW w:w="50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940" w:type="dxa"/>
            <w:vAlign w:val="bottom"/>
          </w:tcPr>
          <w:p>
            <w:pPr>
              <w:jc w:val="right"/>
              <w:ind w:right="18"/>
              <w:spacing w:after="0"/>
              <w:rPr>
                <w:sz w:val="20"/>
                <w:szCs w:val="20"/>
                <w:color w:val="auto"/>
              </w:rPr>
            </w:pPr>
            <w:r>
              <w:rPr>
                <w:rFonts w:ascii="Arial" w:cs="Arial" w:eastAsia="Arial" w:hAnsi="Arial"/>
                <w:sz w:val="17"/>
                <w:szCs w:val="17"/>
                <w:color w:val="auto"/>
              </w:rPr>
              <w:t>(297,087)</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(174,560)</w:t>
            </w:r>
          </w:p>
        </w:tc>
        <w:tc>
          <w:tcPr>
            <w:tcW w:w="1060" w:type="dxa"/>
            <w:vAlign w:val="bottom"/>
          </w:tcPr>
          <w:p>
            <w:pPr>
              <w:jc w:val="right"/>
              <w:spacing w:after="0"/>
              <w:rPr>
                <w:sz w:val="20"/>
                <w:szCs w:val="20"/>
                <w:color w:val="auto"/>
              </w:rPr>
            </w:pPr>
            <w:r>
              <w:rPr>
                <w:rFonts w:ascii="Arial" w:cs="Arial" w:eastAsia="Arial" w:hAnsi="Arial"/>
                <w:sz w:val="17"/>
                <w:szCs w:val="17"/>
                <w:color w:val="auto"/>
              </w:rPr>
              <w:t>(246,622)</w:t>
            </w:r>
          </w:p>
        </w:tc>
      </w:tr>
      <w:tr>
        <w:trPr>
          <w:trHeight w:val="201"/>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9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169,515</w:t>
            </w:r>
          </w:p>
        </w:tc>
        <w:tc>
          <w:tcPr>
            <w:tcW w:w="11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29,509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66,858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compared to 2013</w:t>
      </w:r>
    </w:p>
    <w:p>
      <w:pPr>
        <w:spacing w:after="0" w:line="1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2014, net cash provided by operating activities was $ 141.2 million as compared to $264.3 million for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$123.1 million decrease in operating cash flows was primarily due to unfavorable year-over-year changes in assets and liabilities, net of acquisitions.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For 2014, net cash used in investing activities was $297.1 million as compared to $174.6 million for 2013. The</w:t>
      </w:r>
      <w:r>
        <w:rPr>
          <w:rFonts w:ascii="Arial" w:cs="Arial" w:eastAsia="Arial" w:hAnsi="Arial"/>
          <w:sz w:val="17"/>
          <w:szCs w:val="17"/>
          <w:i w:val="1"/>
          <w:iCs w:val="1"/>
          <w:color w:val="auto"/>
        </w:rPr>
        <w:t xml:space="preserve"> </w:t>
      </w:r>
      <w:r>
        <w:rPr>
          <w:rFonts w:ascii="Arial" w:cs="Arial" w:eastAsia="Arial" w:hAnsi="Arial"/>
          <w:sz w:val="17"/>
          <w:szCs w:val="17"/>
          <w:color w:val="auto"/>
        </w:rPr>
        <w:t>$122.5 million increase in cash used in investing activities was principally due to an increase in the cash used for the acquisition of businesses in 2014 as compared to 2013.</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For 2014, net cash provided by financing activities was $169.5 million as compared to $29.5 million for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$140.0 million increase in cash provided by financing activities was principally due to increased net borrowings under our Credit Facility in 2014 as compared to 2013.</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2013 compared to 2012</w:t>
      </w:r>
    </w:p>
    <w:p>
      <w:pPr>
        <w:spacing w:after="0" w:line="19" w:lineRule="exact"/>
        <w:rPr>
          <w:sz w:val="20"/>
          <w:szCs w:val="20"/>
          <w:color w:val="auto"/>
        </w:rPr>
      </w:pPr>
    </w:p>
    <w:p>
      <w:pPr>
        <w:jc w:val="both"/>
        <w:spacing w:after="0" w:line="201" w:lineRule="exact"/>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2013, net cash provided by operating activities was $264.3 million as compared to $145.8 million for 2012.</w:t>
      </w:r>
      <w:r>
        <w:rPr>
          <w:rFonts w:ascii="Arial" w:cs="Arial" w:eastAsia="Arial" w:hAnsi="Arial"/>
          <w:sz w:val="17"/>
          <w:szCs w:val="17"/>
          <w:i w:val="1"/>
          <w:iCs w:val="1"/>
          <w:color w:val="auto"/>
        </w:rPr>
        <w:t xml:space="preserve"> </w:t>
      </w:r>
      <w:r>
        <w:rPr>
          <w:rFonts w:ascii="Arial" w:cs="Arial" w:eastAsia="Arial" w:hAnsi="Arial"/>
          <w:sz w:val="17"/>
          <w:szCs w:val="17"/>
          <w:color w:val="auto"/>
        </w:rPr>
        <w:t>The $ 118.5 million increase in operating cash flows was principally due to favorable year</w:t>
      </w:r>
      <w:r>
        <w:rPr>
          <w:rFonts w:ascii="MS PGothic" w:cs="MS PGothic" w:eastAsia="MS PGothic" w:hAnsi="MS PGothic"/>
          <w:sz w:val="17"/>
          <w:szCs w:val="17"/>
          <w:color w:val="auto"/>
        </w:rPr>
        <w:t>‑</w:t>
      </w:r>
      <w:r>
        <w:rPr>
          <w:rFonts w:ascii="Arial" w:cs="Arial" w:eastAsia="Arial" w:hAnsi="Arial"/>
          <w:sz w:val="17"/>
          <w:szCs w:val="17"/>
          <w:color w:val="auto"/>
        </w:rPr>
        <w:t>over</w:t>
      </w:r>
      <w:r>
        <w:rPr>
          <w:rFonts w:ascii="MS PGothic" w:cs="MS PGothic" w:eastAsia="MS PGothic" w:hAnsi="MS PGothic"/>
          <w:sz w:val="17"/>
          <w:szCs w:val="17"/>
          <w:color w:val="auto"/>
        </w:rPr>
        <w:t>‑</w:t>
      </w:r>
      <w:r>
        <w:rPr>
          <w:rFonts w:ascii="Arial" w:cs="Arial" w:eastAsia="Arial" w:hAnsi="Arial"/>
          <w:sz w:val="17"/>
          <w:szCs w:val="17"/>
          <w:color w:val="auto"/>
        </w:rPr>
        <w:t>year changes in assets and liabilities, net of acquisitions.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For 2013, net cash used in investing activities was $174.6 million as compared to $246.6 million for 2012. The</w:t>
      </w:r>
      <w:r>
        <w:rPr>
          <w:rFonts w:ascii="Arial" w:cs="Arial" w:eastAsia="Arial" w:hAnsi="Arial"/>
          <w:sz w:val="17"/>
          <w:szCs w:val="17"/>
          <w:i w:val="1"/>
          <w:iCs w:val="1"/>
          <w:color w:val="auto"/>
        </w:rPr>
        <w:t xml:space="preserve"> </w:t>
      </w:r>
      <w:r>
        <w:rPr>
          <w:rFonts w:ascii="Arial" w:cs="Arial" w:eastAsia="Arial" w:hAnsi="Arial"/>
          <w:sz w:val="17"/>
          <w:szCs w:val="17"/>
          <w:color w:val="auto"/>
        </w:rPr>
        <w:t>$72.0 million decrease in cash used in investing activities was principally due to a $140.8 million reduction in cash used for acquisitions and other investments in 2013 as compared to 2012, which was partially offset by a $54.3 million increase in capital expenditures for the upgrade and expansion of certain inventory storage and crude oil transloading joint venture facilities in 2013.</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For 2013, net cash provided by financing activities was $29.5 million as compared to $ 66.9 million for 2012. The</w:t>
      </w:r>
      <w:r>
        <w:rPr>
          <w:rFonts w:ascii="Arial" w:cs="Arial" w:eastAsia="Arial" w:hAnsi="Arial"/>
          <w:sz w:val="17"/>
          <w:szCs w:val="17"/>
          <w:i w:val="1"/>
          <w:iCs w:val="1"/>
          <w:color w:val="auto"/>
        </w:rPr>
        <w:t xml:space="preserve"> </w:t>
      </w:r>
      <w:r>
        <w:rPr>
          <w:rFonts w:ascii="Arial" w:cs="Arial" w:eastAsia="Arial" w:hAnsi="Arial"/>
          <w:sz w:val="17"/>
          <w:szCs w:val="17"/>
          <w:color w:val="auto"/>
        </w:rPr>
        <w:t>$37.4 million decrease in cash provided by financing activities was principally due to purchases of common stock of $35.0 million.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Liquidity Measures</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As of December 31, 2014 and 2013, we had cash and cash equivalents of $302.3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$292.1 million, respectively.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On January 30, 2015, we amended our Credit Facility to, among other things, increase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maximum availability under the Credit Facility from $1.10 billion to $ 1.26 billion and added a new $100.0 million term loan facility to our existing Term Loans, for a total amount outstanding of $341.3 million. Under the Credit Facility, we have the right to request increases in available borrowings up to an additional $150.0 million, subject to the satisfaction of certain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2" w:name="page33"/>
    <w:bookmarkEnd w:id="32"/>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conditions. Additionally, the Credit Facility has a sublimit of $400.0 million for the issuance of letters of credit and bankers’ acceptances and matures in October 2018. We had outstanding borrowings under our Credit Facility totaling $420.0 million and $200.0 million as of December 31, 2014 and 2013, respectively. Our issued letters of credit under the Credit Facility totaled $14.8 million and $7.4 million as of December 31, 2014 and 2013, respectively. We also had $241.3 million and $242.5 million in Term Loans outstanding as of December 31, 2014 and 2013, respectively. As of December 31, 2014 and 2013, the unused portion of our Credit Facility was $665.2 million and $892.6 million, respectively.</w:t>
      </w:r>
    </w:p>
    <w:p>
      <w:pPr>
        <w:spacing w:after="0" w:line="164" w:lineRule="exact"/>
        <w:rPr>
          <w:sz w:val="20"/>
          <w:szCs w:val="20"/>
          <w:color w:val="auto"/>
        </w:rPr>
      </w:pPr>
    </w:p>
    <w:p>
      <w:pPr>
        <w:jc w:val="both"/>
        <w:spacing w:after="0" w:line="200" w:lineRule="exact"/>
        <w:rPr>
          <w:sz w:val="20"/>
          <w:szCs w:val="20"/>
          <w:color w:val="auto"/>
        </w:rPr>
      </w:pPr>
      <w:r>
        <w:rPr>
          <w:rFonts w:ascii="Arial" w:cs="Arial" w:eastAsia="Arial" w:hAnsi="Arial"/>
          <w:sz w:val="17"/>
          <w:szCs w:val="17"/>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7"/>
          <w:szCs w:val="17"/>
          <w:color w:val="auto"/>
        </w:rPr>
        <w:t>‑</w:t>
      </w:r>
      <w:r>
        <w:rPr>
          <w:rFonts w:ascii="Arial" w:cs="Arial" w:eastAsia="Arial" w:hAnsi="Arial"/>
          <w:sz w:val="17"/>
          <w:szCs w:val="17"/>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2014, we were in compliance with all financial and other covenants contained in our Credit Facility and our Term Loans.</w:t>
      </w:r>
    </w:p>
    <w:p>
      <w:pPr>
        <w:spacing w:after="0" w:line="36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color w:val="auto"/>
        </w:rPr>
        <w:t xml:space="preserve">Other Credit Lines and Receivables Purchase Agreements. </w:t>
      </w:r>
      <w:r>
        <w:rPr>
          <w:rFonts w:ascii="Arial" w:cs="Arial" w:eastAsia="Arial" w:hAnsi="Arial"/>
          <w:sz w:val="17"/>
          <w:szCs w:val="17"/>
          <w:color w:val="auto"/>
        </w:rPr>
        <w:t>Additionally, we have other uncommitted credit lines primarily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letters of credit, bank guarantees and bankers’ acceptances. These credit lines are renewable on an annual basis and are subject to fees at market rates. As of December 31, 2014 and 2013, our outstanding letters of credit and bank guarantees under these credit lines totaled $211.4 million and $ 150.6 million, respectively. We also have Receivables Purchase Agreements (“RPAs”) that allow for the sale of up to an aggregate of $375.0 million of our accounts receivable. As of December 31, 2014, we had sold accounts receivable of $171.1 million under the RPAs.</w:t>
      </w:r>
    </w:p>
    <w:p>
      <w:pPr>
        <w:spacing w:after="0" w:line="142"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i w:val="1"/>
          <w:iCs w:val="1"/>
          <w:color w:val="auto"/>
        </w:rPr>
        <w:t>Short</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Term Debt. </w:t>
      </w:r>
      <w:r>
        <w:rPr>
          <w:rFonts w:ascii="Arial" w:cs="Arial" w:eastAsia="Arial" w:hAnsi="Arial"/>
          <w:sz w:val="17"/>
          <w:szCs w:val="17"/>
          <w:color w:val="auto"/>
        </w:rPr>
        <w:t>As of December 31, 2014, our short</w:t>
      </w:r>
      <w:r>
        <w:rPr>
          <w:rFonts w:ascii="MS PGothic" w:cs="MS PGothic" w:eastAsia="MS PGothic" w:hAnsi="MS PGothic"/>
          <w:sz w:val="17"/>
          <w:szCs w:val="17"/>
          <w:color w:val="auto"/>
        </w:rPr>
        <w:t>‑</w:t>
      </w:r>
      <w:r>
        <w:rPr>
          <w:rFonts w:ascii="Arial" w:cs="Arial" w:eastAsia="Arial" w:hAnsi="Arial"/>
          <w:sz w:val="17"/>
          <w:szCs w:val="17"/>
          <w:color w:val="auto"/>
        </w:rPr>
        <w:t>term debt of $17.9 million represents the current maturities (within the next</w:t>
      </w:r>
      <w:r>
        <w:rPr>
          <w:rFonts w:ascii="Arial" w:cs="Arial" w:eastAsia="Arial" w:hAnsi="Arial"/>
          <w:sz w:val="17"/>
          <w:szCs w:val="17"/>
          <w:i w:val="1"/>
          <w:iCs w:val="1"/>
          <w:color w:val="auto"/>
        </w:rPr>
        <w:t xml:space="preserve"> </w:t>
      </w:r>
      <w:r>
        <w:rPr>
          <w:rFonts w:ascii="Arial" w:cs="Arial" w:eastAsia="Arial" w:hAnsi="Arial"/>
          <w:sz w:val="17"/>
          <w:szCs w:val="17"/>
          <w:color w:val="auto"/>
        </w:rPr>
        <w:t>twelve months) of certain promissory notes related to acquisitions, capital lease obligations and Term Loan borrowings.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believe that our cash and cash equivalents as of December 31, 2014 (of which $93.6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32"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Contractual Obligations and Off</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Balance Sheet Arrangements</w:t>
      </w:r>
    </w:p>
    <w:p>
      <w:pPr>
        <w:spacing w:after="0" w:line="39"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Our significant contractual obligations and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are set forth below. For additional information on any of the following and other contractual obligations and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see Notes 6 and 7 in the notes to the consolidated financial statements in Item 15 of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our contractual obligations were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&lt; 1 year</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1-3 years</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3-5 years</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&gt; 5 years</w:t>
            </w:r>
          </w:p>
        </w:tc>
      </w:tr>
      <w:tr>
        <w:trPr>
          <w:trHeight w:val="188"/>
        </w:trPr>
        <w:tc>
          <w:tcPr>
            <w:tcW w:w="39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Debt and interest obligations</w:t>
            </w:r>
          </w:p>
        </w:tc>
        <w:tc>
          <w:tcPr>
            <w:tcW w:w="13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761,378</w:t>
            </w:r>
          </w:p>
        </w:tc>
        <w:tc>
          <w:tcPr>
            <w:tcW w:w="2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36,776</w:t>
            </w:r>
          </w:p>
        </w:tc>
        <w:tc>
          <w:tcPr>
            <w:tcW w:w="2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75,342</w:t>
            </w:r>
          </w:p>
        </w:tc>
        <w:tc>
          <w:tcPr>
            <w:tcW w:w="1060" w:type="dxa"/>
            <w:vAlign w:val="bottom"/>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$ 648,843</w:t>
            </w:r>
          </w:p>
        </w:tc>
        <w:tc>
          <w:tcPr>
            <w:tcW w:w="2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417</w:t>
            </w:r>
          </w:p>
        </w:tc>
      </w:tr>
      <w:tr>
        <w:trPr>
          <w:trHeight w:val="195"/>
        </w:trPr>
        <w:tc>
          <w:tcPr>
            <w:tcW w:w="3900" w:type="dxa"/>
            <w:vAlign w:val="bottom"/>
          </w:tcPr>
          <w:p>
            <w:pPr>
              <w:spacing w:after="0"/>
              <w:rPr>
                <w:sz w:val="20"/>
                <w:szCs w:val="20"/>
                <w:color w:val="auto"/>
              </w:rPr>
            </w:pPr>
            <w:r>
              <w:rPr>
                <w:rFonts w:ascii="Arial" w:cs="Arial" w:eastAsia="Arial" w:hAnsi="Arial"/>
                <w:sz w:val="17"/>
                <w:szCs w:val="17"/>
                <w:color w:val="auto"/>
              </w:rPr>
              <w:t>Operating lease obligations</w:t>
            </w:r>
          </w:p>
        </w:tc>
        <w:tc>
          <w:tcPr>
            <w:tcW w:w="132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159,300</w:t>
            </w:r>
          </w:p>
        </w:tc>
        <w:tc>
          <w:tcPr>
            <w:tcW w:w="24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37,766</w:t>
            </w:r>
          </w:p>
        </w:tc>
        <w:tc>
          <w:tcPr>
            <w:tcW w:w="2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54,739</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30,237</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36,558</w:t>
            </w:r>
          </w:p>
        </w:tc>
      </w:tr>
      <w:tr>
        <w:trPr>
          <w:trHeight w:val="195"/>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Employment agreement obligations</w:t>
            </w:r>
          </w:p>
        </w:tc>
        <w:tc>
          <w:tcPr>
            <w:tcW w:w="1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10,355</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5,815</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2,290</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2,250</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3900" w:type="dxa"/>
            <w:vAlign w:val="bottom"/>
          </w:tcPr>
          <w:p>
            <w:pPr>
              <w:spacing w:after="0"/>
              <w:rPr>
                <w:sz w:val="20"/>
                <w:szCs w:val="20"/>
                <w:color w:val="auto"/>
              </w:rPr>
            </w:pPr>
            <w:r>
              <w:rPr>
                <w:rFonts w:ascii="Arial" w:cs="Arial" w:eastAsia="Arial" w:hAnsi="Arial"/>
                <w:sz w:val="17"/>
                <w:szCs w:val="17"/>
                <w:color w:val="auto"/>
              </w:rPr>
              <w:t>Derivatives obligations</w:t>
            </w:r>
          </w:p>
        </w:tc>
        <w:tc>
          <w:tcPr>
            <w:tcW w:w="132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42,035</w:t>
            </w:r>
          </w:p>
        </w:tc>
        <w:tc>
          <w:tcPr>
            <w:tcW w:w="24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17,598</w:t>
            </w:r>
          </w:p>
        </w:tc>
        <w:tc>
          <w:tcPr>
            <w:tcW w:w="2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24,437</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Purchase commitment obligations</w:t>
            </w:r>
          </w:p>
        </w:tc>
        <w:tc>
          <w:tcPr>
            <w:tcW w:w="1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56,636</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52,778</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3,858</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3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obligations</w:t>
            </w:r>
          </w:p>
        </w:tc>
        <w:tc>
          <w:tcPr>
            <w:tcW w:w="1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13,575</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6,819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6,150</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450</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r>
      <w:tr>
        <w:trPr>
          <w:trHeight w:val="194"/>
        </w:trPr>
        <w:tc>
          <w:tcPr>
            <w:tcW w:w="39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1,043,279</w:t>
            </w:r>
          </w:p>
        </w:tc>
        <w:tc>
          <w:tcPr>
            <w:tcW w:w="2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157,552</w:t>
            </w:r>
          </w:p>
        </w:tc>
        <w:tc>
          <w:tcPr>
            <w:tcW w:w="2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166,816</w:t>
            </w:r>
          </w:p>
        </w:tc>
        <w:tc>
          <w:tcPr>
            <w:tcW w:w="1060" w:type="dxa"/>
            <w:vAlign w:val="bottom"/>
            <w:tcBorders>
              <w:bottom w:val="single" w:sz="8" w:color="auto"/>
            </w:tcBorders>
            <w:shd w:val="clear" w:color="auto" w:fill="CCEEFF"/>
          </w:tcPr>
          <w:p>
            <w:pPr>
              <w:jc w:val="right"/>
              <w:ind w:right="76"/>
              <w:spacing w:after="0" w:line="188" w:lineRule="exact"/>
              <w:rPr>
                <w:sz w:val="20"/>
                <w:szCs w:val="20"/>
                <w:color w:val="auto"/>
              </w:rPr>
            </w:pPr>
            <w:r>
              <w:rPr>
                <w:rFonts w:ascii="Arial" w:cs="Arial" w:eastAsia="Arial" w:hAnsi="Arial"/>
                <w:sz w:val="17"/>
                <w:szCs w:val="17"/>
                <w:color w:val="auto"/>
              </w:rPr>
              <w:t>$ 681,780</w:t>
            </w:r>
          </w:p>
        </w:tc>
        <w:tc>
          <w:tcPr>
            <w:tcW w:w="2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37,131</w:t>
            </w:r>
          </w:p>
        </w:tc>
      </w:tr>
    </w:tbl>
    <w:p>
      <w:pPr>
        <w:spacing w:after="0" w:line="163"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i w:val="1"/>
          <w:iCs w:val="1"/>
          <w:color w:val="auto"/>
        </w:rPr>
        <w:t xml:space="preserve">Debt and Interest Obligations. </w:t>
      </w:r>
      <w:r>
        <w:rPr>
          <w:rFonts w:ascii="Arial" w:cs="Arial" w:eastAsia="Arial" w:hAnsi="Arial"/>
          <w:sz w:val="17"/>
          <w:szCs w:val="17"/>
          <w:color w:val="auto"/>
        </w:rPr>
        <w:t>These obligations include principal and interest payments on fixed</w:t>
      </w:r>
      <w:r>
        <w:rPr>
          <w:rFonts w:ascii="MS PGothic" w:cs="MS PGothic" w:eastAsia="MS PGothic" w:hAnsi="MS PGothic"/>
          <w:sz w:val="17"/>
          <w:szCs w:val="17"/>
          <w:color w:val="auto"/>
        </w:rPr>
        <w:t>‑</w:t>
      </w:r>
      <w:r>
        <w:rPr>
          <w:rFonts w:ascii="Arial" w:cs="Arial" w:eastAsia="Arial" w:hAnsi="Arial"/>
          <w:sz w:val="17"/>
          <w:szCs w:val="17"/>
          <w:color w:val="auto"/>
        </w:rPr>
        <w:t>rate and variable</w:t>
      </w:r>
      <w:r>
        <w:rPr>
          <w:rFonts w:ascii="MS PGothic" w:cs="MS PGothic" w:eastAsia="MS PGothic" w:hAnsi="MS PGothic"/>
          <w:sz w:val="17"/>
          <w:szCs w:val="17"/>
          <w:color w:val="auto"/>
        </w:rPr>
        <w:t>‑</w:t>
      </w:r>
      <w:r>
        <w:rPr>
          <w:rFonts w:ascii="Arial" w:cs="Arial" w:eastAsia="Arial" w:hAnsi="Arial"/>
          <w:sz w:val="17"/>
          <w:szCs w:val="17"/>
          <w:color w:val="auto"/>
        </w:rPr>
        <w:t>rate, fixed</w:t>
      </w:r>
      <w:r>
        <w:rPr>
          <w:rFonts w:ascii="MS PGothic" w:cs="MS PGothic" w:eastAsia="MS PGothic" w:hAnsi="MS PGothic"/>
          <w:sz w:val="17"/>
          <w:szCs w:val="17"/>
          <w:color w:val="auto"/>
        </w:rPr>
        <w:t>‑</w:t>
      </w:r>
      <w:r>
        <w:rPr>
          <w:rFonts w:ascii="Arial" w:cs="Arial" w:eastAsia="Arial" w:hAnsi="Arial"/>
          <w:sz w:val="17"/>
          <w:szCs w:val="17"/>
          <w:color w:val="auto"/>
        </w:rPr>
        <w:t>term</w:t>
      </w:r>
      <w:r>
        <w:rPr>
          <w:rFonts w:ascii="Arial" w:cs="Arial" w:eastAsia="Arial" w:hAnsi="Arial"/>
          <w:sz w:val="17"/>
          <w:szCs w:val="17"/>
          <w:i w:val="1"/>
          <w:iCs w:val="1"/>
          <w:color w:val="auto"/>
        </w:rPr>
        <w:t xml:space="preserve"> </w:t>
      </w:r>
      <w:r>
        <w:rPr>
          <w:rFonts w:ascii="Arial" w:cs="Arial" w:eastAsia="Arial" w:hAnsi="Arial"/>
          <w:sz w:val="17"/>
          <w:szCs w:val="17"/>
          <w:color w:val="auto"/>
        </w:rPr>
        <w:t>debt based on the expected payment dates.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3" w:name="page34"/>
    <w:bookmarkEnd w:id="3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Obligations. </w:t>
      </w:r>
      <w:r>
        <w:rPr>
          <w:rFonts w:ascii="Arial" w:cs="Arial" w:eastAsia="Arial" w:hAnsi="Arial"/>
          <w:sz w:val="17"/>
          <w:szCs w:val="17"/>
          <w:color w:val="auto"/>
        </w:rPr>
        <w:t>These obligations primarily consist of deferred compensation arrangements.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Unrecognized Income Tax Liabilities. </w:t>
      </w:r>
      <w:r>
        <w:rPr>
          <w:rFonts w:ascii="Arial" w:cs="Arial" w:eastAsia="Arial" w:hAnsi="Arial"/>
          <w:sz w:val="17"/>
          <w:szCs w:val="17"/>
          <w:color w:val="auto"/>
        </w:rPr>
        <w:t>As of December 31, 2014, our liabilities for unrecognized income tax benefits (“Unrecognized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Tax Liabilities”), including penalties and interest, were $33.0 million. The timing of any settlement of our Unrecognized Tax Liabilities with the respective taxing authority cannot be reasonably estimated.</w:t>
      </w:r>
    </w:p>
    <w:p>
      <w:pPr>
        <w:spacing w:after="0" w:line="11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Off</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Balance Sheet Arrangements</w:t>
      </w:r>
    </w:p>
    <w:p>
      <w:pPr>
        <w:spacing w:after="0" w:line="3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suppliers. A majority of these letters of credit expire within one year from their issuance, and expired letters of credit are renewed as needed. As of December 31, 2014, we had issued letters of credit and bank guarantees totaling $226.2 million under our Credit Facility and other uncommitted credit lines. For additional information on our Credit Facility and other credit lines, see the discussion in “Liquidity and Capital Resources” above.</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i w:val="1"/>
          <w:iCs w:val="1"/>
          <w:color w:val="auto"/>
        </w:rPr>
        <w:t xml:space="preserve">Surety Bonds. </w:t>
      </w:r>
      <w:r>
        <w:rPr>
          <w:rFonts w:ascii="Arial" w:cs="Arial" w:eastAsia="Arial" w:hAnsi="Arial"/>
          <w:sz w:val="17"/>
          <w:szCs w:val="17"/>
          <w:color w:val="auto"/>
        </w:rPr>
        <w:t>In the normal course of business, we are required to post bid, performance and garnishment bonds, primarily in our</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and land segments. As of December 31, 2014, we had $38.7 million in outstanding bonds that were arranged in order to satisfy various security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0" w:lineRule="exact"/>
        <w:rPr>
          <w:sz w:val="20"/>
          <w:szCs w:val="20"/>
          <w:color w:val="auto"/>
        </w:rPr>
      </w:pPr>
    </w:p>
    <w:p>
      <w:pPr>
        <w:jc w:val="both"/>
        <w:spacing w:after="0" w:line="185" w:lineRule="exact"/>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included elsewhere in this 2014 10</w:t>
      </w:r>
      <w:r>
        <w:rPr>
          <w:rFonts w:ascii="MS PGothic" w:cs="MS PGothic" w:eastAsia="MS PGothic" w:hAnsi="MS PGothic"/>
          <w:sz w:val="17"/>
          <w:szCs w:val="17"/>
          <w:color w:val="auto"/>
        </w:rPr>
        <w:t>‑</w:t>
      </w:r>
      <w:r>
        <w:rPr>
          <w:rFonts w:ascii="Arial" w:cs="Arial" w:eastAsia="Arial" w:hAnsi="Arial"/>
          <w:sz w:val="17"/>
          <w:szCs w:val="17"/>
          <w:color w:val="auto"/>
        </w:rPr>
        <w:t xml:space="preserve"> K Report,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derivatives, goodwill and identifiable intangible assets and certain accrued liabilities.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jc w:val="both"/>
        <w:spacing w:after="0" w:line="204" w:lineRule="exact"/>
        <w:rPr>
          <w:sz w:val="20"/>
          <w:szCs w:val="20"/>
          <w:color w:val="auto"/>
        </w:rPr>
      </w:pPr>
      <w:r>
        <w:rPr>
          <w:rFonts w:ascii="Arial" w:cs="Arial" w:eastAsia="Arial" w:hAnsi="Arial"/>
          <w:sz w:val="17"/>
          <w:szCs w:val="17"/>
          <w:color w:val="auto"/>
        </w:rPr>
        <w:t>We have identified the policies below as critical to our business operations and the understanding of our results of operations. For a detailed discussion on the application of these and other significant accounting policies, see Note 1 to the accompanying consolidated financial statements included in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and Allowance for Bad Debt</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be a useful indicator of current or future credit worthiness of our customers, particularly in these difficult economic and financial markets. Accounts receivable are reduced by an allowance for bad debt.</w:t>
      </w:r>
    </w:p>
    <w:p>
      <w:pPr>
        <w:spacing w:after="0" w:line="155" w:lineRule="exact"/>
        <w:rPr>
          <w:sz w:val="20"/>
          <w:szCs w:val="20"/>
          <w:color w:val="auto"/>
        </w:rPr>
      </w:pPr>
    </w:p>
    <w:p>
      <w:pPr>
        <w:jc w:val="both"/>
        <w:spacing w:after="0" w:line="212" w:lineRule="exact"/>
        <w:rPr>
          <w:sz w:val="20"/>
          <w:szCs w:val="20"/>
          <w:color w:val="auto"/>
        </w:rPr>
      </w:pPr>
      <w:r>
        <w:rPr>
          <w:rFonts w:ascii="Arial" w:cs="Arial" w:eastAsia="Arial" w:hAnsi="Arial"/>
          <w:sz w:val="17"/>
          <w:szCs w:val="17"/>
          <w:color w:val="auto"/>
        </w:rPr>
        <w:t>If credit losses exceed established allowances, our business, financial condition, results of operations and cash flows may be adversely affected. For additional information on the credit risks inherent in our business, see “Item 1A – Risk Factors” in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Inventories are valued using the average cost methodology and are stated at the lower of average cost or market. Components of inventory include fuel purchase costs, the related transportation costs and changes in the estimated fair market values for inventories included in a fair value hedge relationship.</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4" w:name="page35"/>
    <w:bookmarkEnd w:id="34"/>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33"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hedge is recognized as a component of other comprehensive income in the shareholders’ equity section of the consolidated balance sheets and subsequently reclassified into the same line item as the forecasted transaction when both are settled, while the ineffective portion of the changes in the estimated fair market value of the hedge is recognized as a component of other income (expense), net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16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Identifiable Intangible Assets</w:t>
      </w:r>
    </w:p>
    <w:p>
      <w:pPr>
        <w:spacing w:after="0" w:line="23" w:lineRule="exact"/>
        <w:rPr>
          <w:sz w:val="20"/>
          <w:szCs w:val="20"/>
          <w:color w:val="auto"/>
        </w:rPr>
      </w:pPr>
    </w:p>
    <w:p>
      <w:pPr>
        <w:jc w:val="both"/>
        <w:spacing w:after="0" w:line="195" w:lineRule="exact"/>
        <w:rPr>
          <w:sz w:val="20"/>
          <w:szCs w:val="20"/>
          <w:color w:val="auto"/>
        </w:rPr>
      </w:pPr>
      <w:r>
        <w:rPr>
          <w:rFonts w:ascii="Arial" w:cs="Arial" w:eastAsia="Arial" w:hAnsi="Arial"/>
          <w:sz w:val="17"/>
          <w:szCs w:val="17"/>
          <w:color w:val="auto"/>
        </w:rPr>
        <w:t>Goodwill represents the future earnings and cash flow potential of acquired businesses in excess of the fair values that are assigned to all other identifiable assets and liabilities. Goodwill arises because the purchase price paid reflects numerous factors, including the strategic fit and expected synergies these acquisitions bring to existing operations and the prevailing market value for comparable companies. Goodwill is not subject to periodic amortization; instead, it is reviewed annually at year</w:t>
      </w:r>
      <w:r>
        <w:rPr>
          <w:rFonts w:ascii="MS PGothic" w:cs="MS PGothic" w:eastAsia="MS PGothic" w:hAnsi="MS PGothic"/>
          <w:sz w:val="17"/>
          <w:szCs w:val="17"/>
          <w:color w:val="auto"/>
        </w:rPr>
        <w:t>‑</w:t>
      </w:r>
      <w:r>
        <w:rPr>
          <w:rFonts w:ascii="Arial" w:cs="Arial" w:eastAsia="Arial" w:hAnsi="Arial"/>
          <w:sz w:val="17"/>
          <w:szCs w:val="17"/>
          <w:color w:val="auto"/>
        </w:rPr>
        <w:t>end (or more frequently under certain circumstances) for impairment. We assess qualitative factors to determine whether it is more likely than not that the fair value of any individual reporting unit is less than its carrying amount. In performing the qualitative assessment, we assess relevant events and circumstances that may impact the fair value of our reporting units, including the following: (i) macroeconomic conditions,</w:t>
      </w:r>
    </w:p>
    <w:p>
      <w:pPr>
        <w:jc w:val="both"/>
        <w:ind w:firstLine="7"/>
        <w:spacing w:after="0" w:line="244" w:lineRule="auto"/>
        <w:tabs>
          <w:tab w:leader="none" w:pos="263"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industry and market considerations, (iii) earnings quality/sustainability, (iv) overall financial performance, (v) events affecting a reporting unit, (vi) share price and (vii) recent fair value calculation for our reporting units, if available. After assessing the above described events and circumstances, if we determine that it is more likely than not that the fair value of a reporting unit is greater than its carrying value, then no further testing is required. Otherwise, we would perform the first step of quantitative testing for goodwill impairment.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Periodically, we will perform the first step of quantitative testing for goodwill impairment in lieu of performing a qualitative assessment. The first step of the goodwill impairment test compares the estimated fair value of a reporting unit with its carrying value. We estimate the fair value of a reporting unit using a discounted cash flow valuation methodology.</w:t>
      </w:r>
    </w:p>
    <w:p>
      <w:pPr>
        <w:spacing w:after="0" w:line="149" w:lineRule="exact"/>
        <w:rPr>
          <w:sz w:val="20"/>
          <w:szCs w:val="20"/>
          <w:color w:val="auto"/>
        </w:rPr>
      </w:pPr>
    </w:p>
    <w:p>
      <w:pPr>
        <w:jc w:val="both"/>
        <w:spacing w:after="0" w:line="201" w:lineRule="exact"/>
        <w:rPr>
          <w:sz w:val="20"/>
          <w:szCs w:val="20"/>
          <w:color w:val="auto"/>
        </w:rPr>
      </w:pPr>
      <w:r>
        <w:rPr>
          <w:rFonts w:ascii="Arial" w:cs="Arial" w:eastAsia="Arial" w:hAnsi="Arial"/>
          <w:sz w:val="17"/>
          <w:szCs w:val="17"/>
          <w:color w:val="auto"/>
        </w:rPr>
        <w:t>In connection with our acquisitions, we record identifiable intangible assets existing at the date of the acquisitions for customer relationships, supplier and non</w:t>
      </w:r>
      <w:r>
        <w:rPr>
          <w:rFonts w:ascii="MS PGothic" w:cs="MS PGothic" w:eastAsia="MS PGothic" w:hAnsi="MS PGothic"/>
          <w:sz w:val="17"/>
          <w:szCs w:val="17"/>
          <w:color w:val="auto"/>
        </w:rPr>
        <w:t>‑</w:t>
      </w:r>
      <w:r>
        <w:rPr>
          <w:rFonts w:ascii="Arial" w:cs="Arial" w:eastAsia="Arial" w:hAnsi="Arial"/>
          <w:sz w:val="17"/>
          <w:szCs w:val="17"/>
          <w:color w:val="auto"/>
        </w:rPr>
        <w:t>compete agreements, developed technology and trademark/trade name rights. Identifiable intangible assets subject to amortization are amortized over their estimated useful lives and are reviewed for impairment and appropriate remaining useful lives whenever events or changes in circumstances indicate that the carrying amount of an asset may not be recoverable based on market factors and operational considerations. For identifiable intangible assets not subject to amortization, we first assess qualitative factors to determine whether it is more likely than not that an asset has been impaired. After assessing qualitative factors, if we determine that it is more likely than not that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an asset is greater than its carrying value, then no further testing is required. Otherwise, we would review for impairment by comparing the fair value of the intangible asset to its carrying value.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3"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w:t>
      </w:r>
      <w:r>
        <w:rPr>
          <w:rFonts w:ascii="MS PGothic" w:cs="MS PGothic" w:eastAsia="MS PGothic" w:hAnsi="MS PGothic"/>
          <w:sz w:val="17"/>
          <w:szCs w:val="17"/>
          <w:color w:val="auto"/>
        </w:rPr>
        <w:t>‑</w:t>
      </w:r>
      <w:r>
        <w:rPr>
          <w:rFonts w:ascii="Arial" w:cs="Arial" w:eastAsia="Arial" w:hAnsi="Arial"/>
          <w:sz w:val="17"/>
          <w:szCs w:val="17"/>
          <w:color w:val="auto"/>
        </w:rPr>
        <w:t>party subcontractor. Our fuel sales are generated as a fuel reseller as well as from on</w:t>
      </w:r>
      <w:r>
        <w:rPr>
          <w:rFonts w:ascii="MS PGothic" w:cs="MS PGothic" w:eastAsia="MS PGothic" w:hAnsi="MS PGothic"/>
          <w:sz w:val="17"/>
          <w:szCs w:val="17"/>
          <w:color w:val="auto"/>
        </w:rPr>
        <w:t>‑</w:t>
      </w:r>
      <w:r>
        <w:rPr>
          <w:rFonts w:ascii="Arial" w:cs="Arial" w:eastAsia="Arial" w:hAnsi="Arial"/>
          <w:sz w:val="17"/>
          <w:szCs w:val="17"/>
          <w:color w:val="auto"/>
        </w:rPr>
        <w:t>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147"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Revenue from fuel</w:t>
      </w:r>
      <w:r>
        <w:rPr>
          <w:rFonts w:ascii="MS PGothic" w:cs="MS PGothic" w:eastAsia="MS PGothic" w:hAnsi="MS PGothic"/>
          <w:sz w:val="17"/>
          <w:szCs w:val="17"/>
          <w:color w:val="auto"/>
        </w:rPr>
        <w:t>‑</w:t>
      </w:r>
      <w:r>
        <w:rPr>
          <w:rFonts w:ascii="Arial" w:cs="Arial" w:eastAsia="Arial" w:hAnsi="Arial"/>
          <w:sz w:val="17"/>
          <w:szCs w:val="17"/>
          <w:color w:val="auto"/>
        </w:rPr>
        <w:t>related services is recognized when services are performed, the sales price is fixed or determinable and collectability is reasonably assured. We record the sale of fuel</w:t>
      </w:r>
      <w:r>
        <w:rPr>
          <w:rFonts w:ascii="MS PGothic" w:cs="MS PGothic" w:eastAsia="MS PGothic" w:hAnsi="MS PGothic"/>
          <w:sz w:val="17"/>
          <w:szCs w:val="17"/>
          <w:color w:val="auto"/>
        </w:rPr>
        <w:t>‑</w:t>
      </w:r>
      <w:r>
        <w:rPr>
          <w:rFonts w:ascii="Arial" w:cs="Arial" w:eastAsia="Arial" w:hAnsi="Arial"/>
          <w:sz w:val="17"/>
          <w:szCs w:val="17"/>
          <w:color w:val="auto"/>
        </w:rPr>
        <w:t>related services on a gross basis as we generally have latitude in establishing the sales price, have discretion in supplier selection, maintain credit risk and are the primary obligor in the sales arrangement.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Commission from fuel broker services is recognized when services are performed and collectability is reasonably assured. When acting as a fuel broker, we are paid a commission by the supplier.</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card payment and processing transactions is recognized at the time the purchase is made by the customer using the charge card. Revenue from charge card transactions is generated from processing fees.</w:t>
      </w:r>
    </w:p>
    <w:p>
      <w:pPr>
        <w:spacing w:after="0" w:line="109"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Share</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Based Payment Awards</w:t>
      </w:r>
    </w:p>
    <w:p>
      <w:pPr>
        <w:spacing w:after="0" w:line="39" w:lineRule="exact"/>
        <w:rPr>
          <w:sz w:val="20"/>
          <w:szCs w:val="20"/>
          <w:color w:val="auto"/>
        </w:rPr>
      </w:pPr>
    </w:p>
    <w:p>
      <w:pPr>
        <w:jc w:val="both"/>
        <w:spacing w:after="0" w:line="204" w:lineRule="exact"/>
        <w:rPr>
          <w:sz w:val="20"/>
          <w:szCs w:val="20"/>
          <w:color w:val="auto"/>
        </w:rPr>
      </w:pPr>
      <w:r>
        <w:rPr>
          <w:rFonts w:ascii="Arial" w:cs="Arial" w:eastAsia="Arial" w:hAnsi="Arial"/>
          <w:sz w:val="17"/>
          <w:szCs w:val="17"/>
          <w:color w:val="auto"/>
        </w:rPr>
        <w:t>We account for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on a fair value basis. Under fair value accounting, the grant</w:t>
      </w:r>
      <w:r>
        <w:rPr>
          <w:rFonts w:ascii="MS PGothic" w:cs="MS PGothic" w:eastAsia="MS PGothic" w:hAnsi="MS PGothic"/>
          <w:sz w:val="17"/>
          <w:szCs w:val="17"/>
          <w:color w:val="auto"/>
        </w:rPr>
        <w:t>‑</w:t>
      </w:r>
      <w:r>
        <w:rPr>
          <w:rFonts w:ascii="Arial" w:cs="Arial" w:eastAsia="Arial" w:hAnsi="Arial"/>
          <w:sz w:val="17"/>
          <w:szCs w:val="17"/>
          <w:color w:val="auto"/>
        </w:rPr>
        <w:t>date fair value of the share</w:t>
      </w:r>
      <w:r>
        <w:rPr>
          <w:rFonts w:ascii="MS PGothic" w:cs="MS PGothic" w:eastAsia="MS PGothic" w:hAnsi="MS PGothic"/>
          <w:sz w:val="17"/>
          <w:szCs w:val="17"/>
          <w:color w:val="auto"/>
        </w:rPr>
        <w:t>‑</w:t>
      </w:r>
      <w:r>
        <w:rPr>
          <w:rFonts w:ascii="Arial" w:cs="Arial" w:eastAsia="Arial" w:hAnsi="Arial"/>
          <w:sz w:val="17"/>
          <w:szCs w:val="17"/>
          <w:color w:val="auto"/>
        </w:rPr>
        <w:t>based payment award is amortized as compensation expense,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vesting period for both graded and cliff vesting awards. Annual compensation expense for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is reduced by an expected forfeiture amount on the outstanding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w:t>
      </w:r>
    </w:p>
    <w:p>
      <w:pPr>
        <w:spacing w:after="0" w:line="132" w:lineRule="exact"/>
        <w:rPr>
          <w:sz w:val="20"/>
          <w:szCs w:val="20"/>
          <w:color w:val="auto"/>
        </w:rPr>
      </w:pPr>
    </w:p>
    <w:p>
      <w:pPr>
        <w:jc w:val="both"/>
        <w:spacing w:after="0" w:line="199" w:lineRule="exact"/>
        <w:rPr>
          <w:sz w:val="20"/>
          <w:szCs w:val="20"/>
          <w:color w:val="auto"/>
        </w:rPr>
      </w:pPr>
      <w:r>
        <w:rPr>
          <w:rFonts w:ascii="Arial" w:cs="Arial" w:eastAsia="Arial" w:hAnsi="Arial"/>
          <w:sz w:val="17"/>
          <w:szCs w:val="17"/>
          <w:color w:val="auto"/>
        </w:rPr>
        <w:t>The estimated fair value of stock awards, such as restricted stock and RSUs is based on the grant</w:t>
      </w:r>
      <w:r>
        <w:rPr>
          <w:rFonts w:ascii="MS PGothic" w:cs="MS PGothic" w:eastAsia="MS PGothic" w:hAnsi="MS PGothic"/>
          <w:sz w:val="17"/>
          <w:szCs w:val="17"/>
          <w:color w:val="auto"/>
        </w:rPr>
        <w:t>‑</w:t>
      </w:r>
      <w:r>
        <w:rPr>
          <w:rFonts w:ascii="Arial" w:cs="Arial" w:eastAsia="Arial" w:hAnsi="Arial"/>
          <w:sz w:val="17"/>
          <w:szCs w:val="17"/>
          <w:color w:val="auto"/>
        </w:rPr>
        <w:t>date market value of our common stock, as defined in the respective plans under which the awards were granted. To determine the estimated fair value of SSAR Awards, we use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estimation of the fair value of SSAR Awards on the date of grant using an option</w:t>
      </w:r>
      <w:r>
        <w:rPr>
          <w:rFonts w:ascii="MS PGothic" w:cs="MS PGothic" w:eastAsia="MS PGothic" w:hAnsi="MS PGothic"/>
          <w:sz w:val="17"/>
          <w:szCs w:val="17"/>
          <w:color w:val="auto"/>
        </w:rPr>
        <w:t>‑</w:t>
      </w:r>
      <w:r>
        <w:rPr>
          <w:rFonts w:ascii="Arial" w:cs="Arial" w:eastAsia="Arial" w:hAnsi="Arial"/>
          <w:sz w:val="17"/>
          <w:szCs w:val="17"/>
          <w:color w:val="auto"/>
        </w:rPr>
        <w:t>pricing model is affected by our stock price as well as assumptions regarding a number of complex and subjective variables. These variables include our expected stock price volatility over the term of the awards, actual and projected employee stock option exercise behaviors, risk</w:t>
      </w:r>
      <w:r>
        <w:rPr>
          <w:rFonts w:ascii="MS PGothic" w:cs="MS PGothic" w:eastAsia="MS PGothic" w:hAnsi="MS PGothic"/>
          <w:sz w:val="17"/>
          <w:szCs w:val="17"/>
          <w:color w:val="auto"/>
        </w:rPr>
        <w:t>‑</w:t>
      </w:r>
      <w:r>
        <w:rPr>
          <w:rFonts w:ascii="Arial" w:cs="Arial" w:eastAsia="Arial" w:hAnsi="Arial"/>
          <w:sz w:val="17"/>
          <w:szCs w:val="17"/>
          <w:color w:val="auto"/>
        </w:rPr>
        <w:t xml:space="preserve"> free interest rates and expected dividends. The expected term of SSAR Awards represents the estimated period of time from grant until exercise or conversion and is based on vesting schedules and expected post</w:t>
      </w:r>
      <w:r>
        <w:rPr>
          <w:rFonts w:ascii="MS PGothic" w:cs="MS PGothic" w:eastAsia="MS PGothic" w:hAnsi="MS PGothic"/>
          <w:sz w:val="17"/>
          <w:szCs w:val="17"/>
          <w:color w:val="auto"/>
        </w:rPr>
        <w:t>‑</w:t>
      </w:r>
      <w:r>
        <w:rPr>
          <w:rFonts w:ascii="Arial" w:cs="Arial" w:eastAsia="Arial" w:hAnsi="Arial"/>
          <w:sz w:val="17"/>
          <w:szCs w:val="17"/>
          <w:color w:val="auto"/>
        </w:rPr>
        <w: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w:t>
      </w:r>
      <w:r>
        <w:rPr>
          <w:rFonts w:ascii="MS PGothic" w:cs="MS PGothic" w:eastAsia="MS PGothic" w:hAnsi="MS PGothic"/>
          <w:sz w:val="17"/>
          <w:szCs w:val="17"/>
          <w:color w:val="auto"/>
        </w:rPr>
        <w:t>‑</w:t>
      </w:r>
      <w:r>
        <w:rPr>
          <w:rFonts w:ascii="Arial" w:cs="Arial" w:eastAsia="Arial" w:hAnsi="Arial"/>
          <w:sz w:val="17"/>
          <w:szCs w:val="17"/>
          <w:color w:val="auto"/>
        </w:rPr>
        <w:t>recurring events that would not be expected in the future. Risk</w:t>
      </w:r>
      <w:r>
        <w:rPr>
          <w:rFonts w:ascii="MS PGothic" w:cs="MS PGothic" w:eastAsia="MS PGothic" w:hAnsi="MS PGothic"/>
          <w:sz w:val="17"/>
          <w:szCs w:val="17"/>
          <w:color w:val="auto"/>
        </w:rPr>
        <w:t>‑</w:t>
      </w:r>
      <w:r>
        <w:rPr>
          <w:rFonts w:ascii="Arial" w:cs="Arial" w:eastAsia="Arial" w:hAnsi="Arial"/>
          <w:sz w:val="17"/>
          <w:szCs w:val="17"/>
          <w:color w:val="auto"/>
        </w:rPr>
        <w:t>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177"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color w:val="auto"/>
        </w:rPr>
        <w:t>Cash flows from income tax benefits resulting from income tax deductions in excess of the compensation cost recognized for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(excess income tax benefits) are classified as financing cash flows. These excess income tax benefits are credited to capital in excess of par value.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Information regarding recent accounting pronouncements is included in Note 1 to the accompanying consolidated financial statements included in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7A. Quantitative and Qualitative Disclosures About Market Risk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describes our derivative classifications:</w:t>
      </w:r>
    </w:p>
    <w:p>
      <w:pPr>
        <w:spacing w:after="0" w:line="18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Includes certain of our foreign currency forward contracts we enter into in order to mitigate the risk of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 fluctuations.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1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i w:val="1"/>
          <w:iCs w:val="1"/>
          <w:color w:val="auto"/>
        </w:rPr>
        <w:t>Fair Value Hedges</w:t>
      </w:r>
      <w:r>
        <w:rPr>
          <w:rFonts w:ascii="Arial" w:cs="Arial" w:eastAsia="Arial" w:hAnsi="Arial"/>
          <w:sz w:val="17"/>
          <w:szCs w:val="17"/>
          <w:color w:val="auto"/>
        </w:rPr>
        <w:t>. Includes derivatives we enter into in order to hedge price risk associated with our inventory and certain firm</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relating to fixed price purchase and sale contracts.</w:t>
      </w:r>
    </w:p>
    <w:p>
      <w:pPr>
        <w:spacing w:after="0" w:line="118"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i w:val="1"/>
          <w:iCs w:val="1"/>
          <w:color w:val="auto"/>
        </w:rPr>
        <w:t>Non-designated Derivatives</w:t>
      </w:r>
      <w:r>
        <w:rPr>
          <w:rFonts w:ascii="Arial" w:cs="Arial" w:eastAsia="Arial" w:hAnsi="Arial"/>
          <w:sz w:val="17"/>
          <w:szCs w:val="17"/>
          <w:color w:val="auto"/>
        </w:rPr>
        <w:t>. Includes derivatives we primarily enter into in order to mitigate the risk of market price fluctuations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136" w:lineRule="exact"/>
        <w:rPr>
          <w:sz w:val="20"/>
          <w:szCs w:val="20"/>
          <w:color w:val="auto"/>
        </w:rPr>
      </w:pPr>
    </w:p>
    <w:p>
      <w:pPr>
        <w:jc w:val="both"/>
        <w:ind w:right="20"/>
        <w:spacing w:after="0" w:line="222" w:lineRule="exact"/>
        <w:rPr>
          <w:sz w:val="20"/>
          <w:szCs w:val="20"/>
          <w:color w:val="auto"/>
        </w:rPr>
      </w:pPr>
      <w:r>
        <w:rPr>
          <w:rFonts w:ascii="Arial" w:cs="Arial" w:eastAsia="Arial" w:hAnsi="Arial"/>
          <w:sz w:val="17"/>
          <w:szCs w:val="17"/>
          <w:color w:val="auto"/>
        </w:rPr>
        <w:t>As of December 31, 2014, our derivative instruments, at their respective fair value positions were as follows (in thousands, except weighted average fixed price and weighted average mark</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amount):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Arial" w:cs="Arial" w:eastAsia="Arial" w:hAnsi="Arial"/>
                <w:sz w:val="12"/>
                <w:szCs w:val="12"/>
                <w:b w:val="1"/>
                <w:bCs w:val="1"/>
                <w:color w:val="auto"/>
              </w:rPr>
              <w:t>Weighted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5"/>
        </w:trPr>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Weighted</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2"/>
                <w:szCs w:val="12"/>
                <w:b w:val="1"/>
                <w:bCs w:val="1"/>
                <w:color w:val="auto"/>
              </w:rPr>
              <w:t>Mark-to-</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Fair</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Settlement</w:t>
            </w: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Fixed</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Value</w:t>
            </w:r>
          </w:p>
        </w:tc>
      </w:tr>
      <w:tr>
        <w:trPr>
          <w:trHeight w:val="177"/>
        </w:trPr>
        <w:tc>
          <w:tcPr>
            <w:tcW w:w="1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Hedge Strategy</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Period</w:t>
            </w: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Derivative Instrument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Notional</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Unit</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r>
      <w:tr>
        <w:trPr>
          <w:trHeight w:val="18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Fair Value Hedge</w:t>
            </w: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for inventory hedging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305</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74.110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195"/>
        </w:trPr>
        <w:tc>
          <w:tcPr>
            <w:tcW w:w="12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Commodity contracts for inventory hedging (short)</w:t>
            </w:r>
          </w:p>
        </w:tc>
        <w:tc>
          <w:tcPr>
            <w:tcW w:w="126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rPr>
              <w:t>4,977</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jc w:val="right"/>
              <w:ind w:right="32"/>
              <w:spacing w:after="0"/>
              <w:rPr>
                <w:sz w:val="20"/>
                <w:szCs w:val="20"/>
                <w:color w:val="auto"/>
              </w:rPr>
            </w:pPr>
            <w:r>
              <w:rPr>
                <w:rFonts w:ascii="Arial" w:cs="Arial" w:eastAsia="Arial" w:hAnsi="Arial"/>
                <w:sz w:val="14"/>
                <w:szCs w:val="14"/>
                <w:color w:val="auto"/>
              </w:rPr>
              <w:t>77.510</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ind w:right="52"/>
              <w:spacing w:after="0"/>
              <w:rPr>
                <w:sz w:val="20"/>
                <w:szCs w:val="20"/>
                <w:color w:val="auto"/>
              </w:rPr>
            </w:pPr>
            <w:r>
              <w:rPr>
                <w:rFonts w:ascii="Arial" w:cs="Arial" w:eastAsia="Arial" w:hAnsi="Arial"/>
                <w:sz w:val="14"/>
                <w:szCs w:val="14"/>
                <w:color w:val="auto"/>
              </w:rPr>
              <w:t>4.599</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22,889</w:t>
            </w:r>
          </w:p>
        </w:tc>
      </w:tr>
      <w:tr>
        <w:trPr>
          <w:trHeight w:val="168"/>
        </w:trPr>
        <w:tc>
          <w:tcPr>
            <w:tcW w:w="1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36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21,912</w:t>
            </w:r>
          </w:p>
        </w:tc>
      </w:tr>
      <w:tr>
        <w:trPr>
          <w:trHeight w:val="195"/>
        </w:trPr>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Non-Designated</w:t>
            </w: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34,192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62.693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(15.594)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(533,192)</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Commodity contracts (short)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27,013</w:t>
            </w:r>
          </w:p>
        </w:tc>
        <w:tc>
          <w:tcPr>
            <w:tcW w:w="460" w:type="dxa"/>
            <w:vAlign w:val="bottom"/>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83.370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20.735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560,114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2016</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1,131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89.989</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(23.195)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(26,234)</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2016</w:t>
            </w:r>
          </w:p>
        </w:tc>
        <w:tc>
          <w:tcPr>
            <w:tcW w:w="3640" w:type="dxa"/>
            <w:vAlign w:val="bottom"/>
          </w:tcPr>
          <w:p>
            <w:pPr>
              <w:ind w:left="120"/>
              <w:spacing w:after="0"/>
              <w:rPr>
                <w:sz w:val="20"/>
                <w:szCs w:val="20"/>
                <w:color w:val="auto"/>
              </w:rPr>
            </w:pPr>
            <w:r>
              <w:rPr>
                <w:rFonts w:ascii="Arial" w:cs="Arial" w:eastAsia="Arial" w:hAnsi="Arial"/>
                <w:sz w:val="14"/>
                <w:szCs w:val="14"/>
                <w:color w:val="auto"/>
              </w:rPr>
              <w:t>Commodity contracts (short)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722</w:t>
            </w:r>
          </w:p>
        </w:tc>
        <w:tc>
          <w:tcPr>
            <w:tcW w:w="460" w:type="dxa"/>
            <w:vAlign w:val="bottom"/>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85.497</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17.734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12,804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2017</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46.463</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(6.696)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2017</w:t>
            </w:r>
          </w:p>
        </w:tc>
        <w:tc>
          <w:tcPr>
            <w:tcW w:w="3640" w:type="dxa"/>
            <w:vAlign w:val="bottom"/>
          </w:tcPr>
          <w:p>
            <w:pPr>
              <w:ind w:left="120"/>
              <w:spacing w:after="0"/>
              <w:rPr>
                <w:sz w:val="20"/>
                <w:szCs w:val="20"/>
                <w:color w:val="auto"/>
              </w:rPr>
            </w:pPr>
            <w:r>
              <w:rPr>
                <w:rFonts w:ascii="Arial" w:cs="Arial" w:eastAsia="Arial" w:hAnsi="Arial"/>
                <w:sz w:val="14"/>
                <w:szCs w:val="14"/>
                <w:color w:val="auto"/>
              </w:rPr>
              <w:t>Commodity contracts (short)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109</w:t>
            </w:r>
          </w:p>
        </w:tc>
        <w:tc>
          <w:tcPr>
            <w:tcW w:w="460" w:type="dxa"/>
            <w:vAlign w:val="bottom"/>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54.430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7.743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2018</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25.922</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2018</w:t>
            </w:r>
          </w:p>
        </w:tc>
        <w:tc>
          <w:tcPr>
            <w:tcW w:w="3640" w:type="dxa"/>
            <w:vAlign w:val="bottom"/>
          </w:tcPr>
          <w:p>
            <w:pPr>
              <w:ind w:left="120"/>
              <w:spacing w:after="0"/>
              <w:rPr>
                <w:sz w:val="20"/>
                <w:szCs w:val="20"/>
                <w:color w:val="auto"/>
              </w:rPr>
            </w:pPr>
            <w:r>
              <w:rPr>
                <w:rFonts w:ascii="Arial" w:cs="Arial" w:eastAsia="Arial" w:hAnsi="Arial"/>
                <w:sz w:val="14"/>
                <w:szCs w:val="14"/>
                <w:color w:val="auto"/>
              </w:rPr>
              <w:t>Commodity contracts (short)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11</w:t>
            </w:r>
          </w:p>
        </w:tc>
        <w:tc>
          <w:tcPr>
            <w:tcW w:w="460" w:type="dxa"/>
            <w:vAlign w:val="bottom"/>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83.997</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21.636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28,783</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0.850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471</w:t>
            </w:r>
          </w:p>
        </w:tc>
        <w:tc>
          <w:tcPr>
            <w:tcW w:w="460" w:type="dxa"/>
            <w:vAlign w:val="bottom"/>
          </w:tcPr>
          <w:p>
            <w:pPr>
              <w:jc w:val="right"/>
              <w:spacing w:after="0"/>
              <w:rPr>
                <w:sz w:val="20"/>
                <w:szCs w:val="20"/>
                <w:color w:val="auto"/>
              </w:rPr>
            </w:pPr>
            <w:r>
              <w:rPr>
                <w:rFonts w:ascii="Arial" w:cs="Arial" w:eastAsia="Arial" w:hAnsi="Arial"/>
                <w:sz w:val="14"/>
                <w:szCs w:val="14"/>
                <w:color w:val="auto"/>
              </w:rPr>
              <w:t>BRL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2.580</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(0.013)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61,577</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CAD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1.140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0.020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112</w:t>
            </w:r>
          </w:p>
        </w:tc>
        <w:tc>
          <w:tcPr>
            <w:tcW w:w="460" w:type="dxa"/>
            <w:vAlign w:val="bottom"/>
          </w:tcPr>
          <w:p>
            <w:pPr>
              <w:jc w:val="right"/>
              <w:spacing w:after="0"/>
              <w:rPr>
                <w:sz w:val="20"/>
                <w:szCs w:val="20"/>
                <w:color w:val="auto"/>
              </w:rPr>
            </w:pPr>
            <w:r>
              <w:rPr>
                <w:rFonts w:ascii="Arial" w:cs="Arial" w:eastAsia="Arial" w:hAnsi="Arial"/>
                <w:sz w:val="14"/>
                <w:szCs w:val="14"/>
                <w:color w:val="auto"/>
              </w:rPr>
              <w:t>CHF</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0.960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4,764,256</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CLP</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602.490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31,884,747</w:t>
            </w:r>
          </w:p>
        </w:tc>
        <w:tc>
          <w:tcPr>
            <w:tcW w:w="460" w:type="dxa"/>
            <w:vAlign w:val="bottom"/>
          </w:tcPr>
          <w:p>
            <w:pPr>
              <w:jc w:val="right"/>
              <w:spacing w:after="0"/>
              <w:rPr>
                <w:sz w:val="20"/>
                <w:szCs w:val="20"/>
                <w:color w:val="auto"/>
              </w:rPr>
            </w:pPr>
            <w:r>
              <w:rPr>
                <w:rFonts w:ascii="Arial" w:cs="Arial" w:eastAsia="Arial" w:hAnsi="Arial"/>
                <w:sz w:val="14"/>
                <w:szCs w:val="14"/>
                <w:color w:val="auto"/>
              </w:rPr>
              <w:t>COP</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2,174.000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126,778</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DKK</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5.950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77,278</w:t>
            </w:r>
          </w:p>
        </w:tc>
        <w:tc>
          <w:tcPr>
            <w:tcW w:w="460" w:type="dxa"/>
            <w:vAlign w:val="bottom"/>
          </w:tcPr>
          <w:p>
            <w:pPr>
              <w:jc w:val="right"/>
              <w:spacing w:after="0"/>
              <w:rPr>
                <w:sz w:val="20"/>
                <w:szCs w:val="20"/>
                <w:color w:val="auto"/>
              </w:rPr>
            </w:pPr>
            <w:r>
              <w:rPr>
                <w:rFonts w:ascii="Arial" w:cs="Arial" w:eastAsia="Arial" w:hAnsi="Arial"/>
                <w:sz w:val="14"/>
                <w:szCs w:val="14"/>
                <w:color w:val="auto"/>
              </w:rPr>
              <w:t>EUR</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1.250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208,786</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GBP</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1.610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0.023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135,879</w:t>
            </w:r>
          </w:p>
        </w:tc>
        <w:tc>
          <w:tcPr>
            <w:tcW w:w="460" w:type="dxa"/>
            <w:vAlign w:val="bottom"/>
          </w:tcPr>
          <w:p>
            <w:pPr>
              <w:jc w:val="right"/>
              <w:spacing w:after="0"/>
              <w:rPr>
                <w:sz w:val="20"/>
                <w:szCs w:val="20"/>
                <w:color w:val="auto"/>
              </w:rPr>
            </w:pPr>
            <w:r>
              <w:rPr>
                <w:rFonts w:ascii="Arial" w:cs="Arial" w:eastAsia="Arial" w:hAnsi="Arial"/>
                <w:sz w:val="14"/>
                <w:szCs w:val="14"/>
                <w:color w:val="auto"/>
              </w:rPr>
              <w:t>INR</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63.040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1,390,740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JPY</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113.080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2,382,533</w:t>
            </w:r>
          </w:p>
        </w:tc>
        <w:tc>
          <w:tcPr>
            <w:tcW w:w="460" w:type="dxa"/>
            <w:vAlign w:val="bottom"/>
          </w:tcPr>
          <w:p>
            <w:pPr>
              <w:jc w:val="right"/>
              <w:spacing w:after="0"/>
              <w:rPr>
                <w:sz w:val="20"/>
                <w:szCs w:val="20"/>
                <w:color w:val="auto"/>
              </w:rPr>
            </w:pPr>
            <w:r>
              <w:rPr>
                <w:rFonts w:ascii="Arial" w:cs="Arial" w:eastAsia="Arial" w:hAnsi="Arial"/>
                <w:sz w:val="14"/>
                <w:szCs w:val="14"/>
                <w:color w:val="auto"/>
              </w:rPr>
              <w:t>MXN</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13.920</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214,957</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NOK</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6.720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7,912</w:t>
            </w:r>
          </w:p>
        </w:tc>
        <w:tc>
          <w:tcPr>
            <w:tcW w:w="460" w:type="dxa"/>
            <w:vAlign w:val="bottom"/>
          </w:tcPr>
          <w:p>
            <w:pPr>
              <w:jc w:val="right"/>
              <w:spacing w:after="0"/>
              <w:rPr>
                <w:sz w:val="20"/>
                <w:szCs w:val="20"/>
                <w:color w:val="auto"/>
              </w:rPr>
            </w:pPr>
            <w:r>
              <w:rPr>
                <w:rFonts w:ascii="Arial" w:cs="Arial" w:eastAsia="Arial" w:hAnsi="Arial"/>
                <w:sz w:val="14"/>
                <w:szCs w:val="14"/>
                <w:color w:val="auto"/>
              </w:rPr>
              <w:t>PLN</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3.400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32,891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3.570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0.014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46,921</w:t>
            </w:r>
          </w:p>
        </w:tc>
        <w:tc>
          <w:tcPr>
            <w:tcW w:w="460" w:type="dxa"/>
            <w:vAlign w:val="bottom"/>
          </w:tcPr>
          <w:p>
            <w:pPr>
              <w:jc w:val="right"/>
              <w:spacing w:after="0"/>
              <w:rPr>
                <w:sz w:val="20"/>
                <w:szCs w:val="20"/>
                <w:color w:val="auto"/>
              </w:rPr>
            </w:pPr>
            <w:r>
              <w:rPr>
                <w:rFonts w:ascii="Arial" w:cs="Arial" w:eastAsia="Arial" w:hAnsi="Arial"/>
                <w:sz w:val="14"/>
                <w:szCs w:val="14"/>
                <w:color w:val="auto"/>
              </w:rPr>
              <w:t>SGD</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1.300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0.004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78,298</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ZAR</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11.310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2016</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8,325</w:t>
            </w:r>
          </w:p>
        </w:tc>
        <w:tc>
          <w:tcPr>
            <w:tcW w:w="460" w:type="dxa"/>
            <w:vAlign w:val="bottom"/>
          </w:tcPr>
          <w:p>
            <w:pPr>
              <w:jc w:val="right"/>
              <w:spacing w:after="0"/>
              <w:rPr>
                <w:sz w:val="20"/>
                <w:szCs w:val="20"/>
                <w:color w:val="auto"/>
              </w:rPr>
            </w:pPr>
            <w:r>
              <w:rPr>
                <w:rFonts w:ascii="Arial" w:cs="Arial" w:eastAsia="Arial" w:hAnsi="Arial"/>
                <w:sz w:val="14"/>
                <w:szCs w:val="14"/>
                <w:color w:val="auto"/>
              </w:rPr>
              <w:t>GBP</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1.620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0.055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459</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2017</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1,400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GBP</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1.610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0.033</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1"/>
        </w:trPr>
        <w:tc>
          <w:tcPr>
            <w:tcW w:w="1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w:t>
      </w:r>
    </w:p>
    <w:p>
      <w:pPr>
        <w:spacing w:after="0" w:line="23" w:lineRule="exact"/>
        <w:rPr>
          <w:sz w:val="20"/>
          <w:szCs w:val="20"/>
          <w:color w:val="auto"/>
        </w:rPr>
      </w:pPr>
    </w:p>
    <w:p>
      <w:pPr>
        <w:jc w:val="both"/>
        <w:spacing w:after="0" w:line="197" w:lineRule="exact"/>
        <w:rPr>
          <w:sz w:val="20"/>
          <w:szCs w:val="20"/>
          <w:color w:val="auto"/>
        </w:rPr>
      </w:pPr>
      <w:r>
        <w:rPr>
          <w:rFonts w:ascii="Arial" w:cs="Arial" w:eastAsia="Arial" w:hAnsi="Arial"/>
          <w:sz w:val="17"/>
          <w:szCs w:val="17"/>
          <w:color w:val="auto"/>
        </w:rPr>
        <w:t>Borrowings under our Credit Facility and Term Loans related to base rate loans or Eurodollar rate loans bear floating interest rates plus applicable margins. As of December 31, 2014, the applicable margins for base rate loans and Eurodollar rate loans were 1.25% and 2.25%, respectively. As of December 31, 2014, we had outstanding borrowings under our Credit Facility totaling $420.0 million and $241.3 million in Term Loans. As of December 31, 2014, the aggregate outstanding balance of our promissory notes issued in connection with our acquisitions was $12.6 million, which bear interest at annual rates of approximately 1.2%. Our remaining outstanding debt of $15.9 million as of December 31, 2014 primarily relates to capital leases and loans payable to noncontrolling shareholders of a consolidated subsidiary, which bear interest at annual rates ranging from 2.2% to 6.3%. The weighted average interest rate on our short</w:t>
      </w:r>
      <w:r>
        <w:rPr>
          <w:rFonts w:ascii="MS PGothic" w:cs="MS PGothic" w:eastAsia="MS PGothic" w:hAnsi="MS PGothic"/>
          <w:sz w:val="17"/>
          <w:szCs w:val="17"/>
          <w:color w:val="auto"/>
        </w:rPr>
        <w:t>‑</w:t>
      </w:r>
      <w:r>
        <w:rPr>
          <w:rFonts w:ascii="Arial" w:cs="Arial" w:eastAsia="Arial" w:hAnsi="Arial"/>
          <w:sz w:val="17"/>
          <w:szCs w:val="17"/>
          <w:color w:val="auto"/>
        </w:rPr>
        <w:t>term debt was 2.2% as of December 31, 2014. A 1.0% fluctuation in the interest rate on our outstanding debt would result in a $6.9 million change in interest expense during the next twelve months.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analyzed our assets and liabilities denominated in currencies other than their respective functional currencies to identify consolidated currency exposures as of December 31, 2014, including derivatives utilized to hedge such exposures. For these assets and liabilities, we then assessed the effect of a hypothetical uniform 10% strengthening in the value of the 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dollar relative to these other currencies. This analysis indicated that the effect on our income before income taxes would not be significant.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 Financial Statements and Supplementary Data</w:t>
      </w:r>
    </w:p>
    <w:p>
      <w:pPr>
        <w:spacing w:after="0" w:line="211" w:lineRule="exact"/>
        <w:rPr>
          <w:sz w:val="20"/>
          <w:szCs w:val="20"/>
          <w:color w:val="auto"/>
        </w:rPr>
      </w:pPr>
    </w:p>
    <w:p>
      <w:pPr>
        <w:jc w:val="both"/>
        <w:spacing w:after="0" w:line="222" w:lineRule="exact"/>
        <w:rPr>
          <w:sz w:val="20"/>
          <w:szCs w:val="20"/>
          <w:color w:val="auto"/>
        </w:rPr>
      </w:pPr>
      <w:r>
        <w:rPr>
          <w:rFonts w:ascii="Arial" w:cs="Arial" w:eastAsia="Arial" w:hAnsi="Arial"/>
          <w:sz w:val="17"/>
          <w:szCs w:val="17"/>
          <w:color w:val="auto"/>
        </w:rPr>
        <w:t>The financial statements, together with the report thereon of PricewaterhouseCoopers LLP dated February 12, 2015, and the Selected Quarterly Financial Data (Unaudited), are set forth in Item 15 of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 Changes in and Disagreements with Accountants on Accounting and Financial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9A. Controls and Procedures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Evaluation of Disclosure Controls and Procedures</w:t>
      </w:r>
    </w:p>
    <w:p>
      <w:pPr>
        <w:spacing w:after="0" w:line="2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65" w:lineRule="exact"/>
        <w:rPr>
          <w:sz w:val="20"/>
          <w:szCs w:val="20"/>
          <w:color w:val="auto"/>
        </w:rPr>
      </w:pPr>
    </w:p>
    <w:p>
      <w:pPr>
        <w:jc w:val="both"/>
        <w:spacing w:after="0" w:line="205" w:lineRule="exact"/>
        <w:rPr>
          <w:sz w:val="20"/>
          <w:szCs w:val="20"/>
          <w:color w:val="auto"/>
        </w:rPr>
      </w:pPr>
      <w:r>
        <w:rPr>
          <w:rFonts w:ascii="Arial" w:cs="Arial" w:eastAsia="Arial" w:hAnsi="Arial"/>
          <w:sz w:val="17"/>
          <w:szCs w:val="17"/>
          <w:color w:val="auto"/>
        </w:rPr>
        <w:t>As of the end of the period covered by this report, we evaluated, under the supervision and with the participation of our CEO and CFO, the effectiveness of the design and operation of our disclosure controls and procedures pursuant to Exchange Act Rule 13a</w:t>
      </w:r>
      <w:r>
        <w:rPr>
          <w:rFonts w:ascii="MS PGothic" w:cs="MS PGothic" w:eastAsia="MS PGothic" w:hAnsi="MS PGothic"/>
          <w:sz w:val="17"/>
          <w:szCs w:val="17"/>
          <w:color w:val="auto"/>
        </w:rPr>
        <w:t>‑</w:t>
      </w:r>
      <w:r>
        <w:rPr>
          <w:rFonts w:ascii="Arial" w:cs="Arial" w:eastAsia="Arial" w:hAnsi="Arial"/>
          <w:sz w:val="17"/>
          <w:szCs w:val="17"/>
          <w:color w:val="auto"/>
        </w:rPr>
        <w:t>15(e). Based upon this evaluation, the CEO and CFO concluded that our disclosure controls and procedures were effective at a reasonable assurance level as of December 31, 2014.</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 w:lineRule="exact"/>
        <w:rPr>
          <w:sz w:val="20"/>
          <w:szCs w:val="20"/>
          <w:color w:val="auto"/>
        </w:rPr>
      </w:pPr>
    </w:p>
    <w:p>
      <w:pPr>
        <w:jc w:val="both"/>
        <w:spacing w:after="0" w:line="197" w:lineRule="exact"/>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7"/>
          <w:szCs w:val="17"/>
          <w:color w:val="auto"/>
        </w:rPr>
        <w:t>‑</w:t>
      </w:r>
      <w:r>
        <w:rPr>
          <w:rFonts w:ascii="Arial" w:cs="Arial" w:eastAsia="Arial" w:hAnsi="Arial"/>
          <w:sz w:val="17"/>
          <w:szCs w:val="17"/>
          <w:color w:val="auto"/>
        </w:rPr>
        <w:t xml:space="preserve"> 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Management has assessed the effectiveness of our internal control over financial reporting as of December 31, 2014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2014. Management has excluded Watson Petroleum and Colt, (the ‘‘Excluded Businesses’’) from its assessment of internal control over financial reporting as of December 31, 2014, because the Excluded Businesses were acquired during 2014. The total assets, including goodwill and identifiable intangible assets, and total revenues of the Excluded Businesses represent approximately 10.4% and 4.6%, respectively, of the related consolidated financial statement amounts as of and for the year ended December 31, 2014.</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effectiveness of our internal control over financial reporting as of December 31, 2014 has been audited by PricewaterhouseCoopers LLP, an independent registered certified public accounting firm, as stated in their report appearing herein.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There were no changes in our internal control over financial reporting that materially affected, or are reasonably likely to materially affect, our internal control over financial reporting during the quarter ended December 31, 2014.</w:t>
      </w:r>
    </w:p>
    <w:p>
      <w:pPr>
        <w:spacing w:after="0" w:line="200" w:lineRule="exact"/>
        <w:rPr>
          <w:sz w:val="20"/>
          <w:szCs w:val="20"/>
          <w:color w:val="auto"/>
        </w:rPr>
      </w:pPr>
    </w:p>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9B.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39" w:name="page40"/>
    <w:bookmarkEnd w:id="39"/>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 Directors, Executive Officers and Corporate Governance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Governance Documents.” We intend to disclose any amendments to our Code of Conduct or waivers with respect to our Code of Conduct granted to our principal executive, financial and accounting officers on our website.</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remaining information regarding our directors, executive officers and corporate governance is incorporated herein by reference from our Definitive Proxy Statement for the 2015 Annual Meeting of Shareholders to be filed pursuant to Regulation 14A within 120 days after the close of the fiscal year ended December 31, 2014.</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11. Executive Compensation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Information on executive compensation is incorporated herein by reference from our Definitive Proxy Statement for the 2015 Annual Meeting of Shareholders to be filed pursuant to Regulation 14A within 120 days after the close of the fiscal year ended December 31, 2014.</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21"/>
          <w:szCs w:val="21"/>
          <w:b w:val="1"/>
          <w:bCs w:val="1"/>
          <w:color w:val="auto"/>
        </w:rPr>
        <w:t>Item 12. Security Ownership of Certain Beneficial Owners and Management and Related Shareholder Matters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Information on security ownership of certain beneficial owners and management and related shareholder matters is incorporated herein by reference from our Definitive Proxy Statement for the 2015 Annual Meeting of Shareholders to be filed pursuant to Regulation 14A within 120 days after the close of the fiscal year ended December 31, 2014.</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Transactions, and Director Independence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Information on certain relationships and related transactions and director independence is incorporated herein by reference from our Definitive Proxy Statement for the 2015 Annual Meeting of Shareholders to be filed pursuant to Regulation 14A within 120 days after the close of the fiscal year ended December 31, 2014.</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Principal Accounting Fees and Services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Information on principal accounting fees and services is incorporated herein by reference from our Definitive Proxy Statement for the 2015 Annual Meeting of Shareholders to be filed pursuant to Regulation 14A within 120 days after the close of the fiscal year ended December 31, 2014.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40" w:name="page41"/>
    <w:bookmarkEnd w:id="4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15. Exhibits, Financial Statement Schedules</w:t>
      </w:r>
    </w:p>
    <w:p>
      <w:pPr>
        <w:spacing w:after="0" w:line="124" w:lineRule="exact"/>
        <w:rPr>
          <w:sz w:val="20"/>
          <w:szCs w:val="20"/>
          <w:color w:val="auto"/>
        </w:rPr>
      </w:pPr>
    </w:p>
    <w:p>
      <w:pPr>
        <w:ind w:left="80"/>
        <w:spacing w:after="0" w:line="196" w:lineRule="exact"/>
        <w:tabs>
          <w:tab w:leader="none" w:pos="700" w:val="left"/>
        </w:tabs>
        <w:rPr>
          <w:sz w:val="20"/>
          <w:szCs w:val="20"/>
          <w:color w:val="auto"/>
        </w:rPr>
      </w:pPr>
      <w:r>
        <w:rPr>
          <w:rFonts w:ascii="Arial" w:cs="Arial" w:eastAsia="Arial" w:hAnsi="Arial"/>
          <w:sz w:val="17"/>
          <w:szCs w:val="17"/>
          <w:color w:val="auto"/>
        </w:rPr>
        <w:t>(a)(1)</w:t>
        <w:tab/>
        <w:t>The following consolidated financial statements are filed as a part of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257"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160" w:type="dxa"/>
            <w:vAlign w:val="bottom"/>
            <w:tcBorders>
              <w:bottom w:val="single" w:sz="8" w:color="0000EE"/>
            </w:tcBorders>
          </w:tcPr>
          <w:p>
            <w:pPr>
              <w:spacing w:after="0"/>
              <w:rPr>
                <w:rFonts w:ascii="Arial" w:cs="Arial" w:eastAsia="Arial" w:hAnsi="Arial"/>
                <w:sz w:val="17"/>
                <w:szCs w:val="17"/>
                <w:color w:val="0000EE"/>
                <w:w w:val="92"/>
              </w:rPr>
            </w:pPr>
            <w:hyperlink w:anchor="page44">
              <w:r>
                <w:rPr>
                  <w:rFonts w:ascii="Arial" w:cs="Arial" w:eastAsia="Arial" w:hAnsi="Arial"/>
                  <w:sz w:val="17"/>
                  <w:szCs w:val="17"/>
                  <w:color w:val="0000EE"/>
                  <w:w w:val="92"/>
                </w:rPr>
                <w:t>(i)</w:t>
              </w:r>
            </w:hyperlink>
          </w:p>
        </w:tc>
        <w:tc>
          <w:tcPr>
            <w:tcW w:w="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780" w:type="dxa"/>
            <w:vAlign w:val="bottom"/>
            <w:vMerge w:val="restart"/>
          </w:tcPr>
          <w:p>
            <w:pPr>
              <w:spacing w:after="0"/>
              <w:rPr>
                <w:sz w:val="18"/>
                <w:szCs w:val="18"/>
                <w:color w:val="auto"/>
              </w:rPr>
            </w:pPr>
          </w:p>
        </w:tc>
        <w:tc>
          <w:tcPr>
            <w:tcW w:w="5180" w:type="dxa"/>
            <w:vAlign w:val="bottom"/>
            <w:tcBorders>
              <w:bottom w:val="single" w:sz="8" w:color="0000EE"/>
            </w:tcBorders>
            <w:gridSpan w:val="4"/>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Report of Independent Registered Certified Public Accounting Firm.</w:t>
              </w:r>
            </w:hyperlink>
          </w:p>
        </w:tc>
        <w:tc>
          <w:tcPr>
            <w:tcW w:w="580" w:type="dxa"/>
            <w:vAlign w:val="bottom"/>
            <w:vMerge w:val="restart"/>
          </w:tcPr>
          <w:p>
            <w:pPr>
              <w:spacing w:after="0"/>
              <w:rPr>
                <w:sz w:val="18"/>
                <w:szCs w:val="18"/>
                <w:color w:val="auto"/>
              </w:rPr>
            </w:pPr>
          </w:p>
        </w:tc>
        <w:tc>
          <w:tcPr>
            <w:tcW w:w="1180" w:type="dxa"/>
            <w:vAlign w:val="bottom"/>
            <w:vMerge w:val="restart"/>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spacing w:after="0"/>
              <w:rPr>
                <w:rFonts w:ascii="Arial" w:cs="Arial" w:eastAsia="Arial" w:hAnsi="Arial"/>
                <w:sz w:val="17"/>
                <w:szCs w:val="17"/>
                <w:color w:val="0000EE"/>
                <w:w w:val="84"/>
              </w:rPr>
            </w:pPr>
            <w:hyperlink w:anchor="page45">
              <w:r>
                <w:rPr>
                  <w:rFonts w:ascii="Arial" w:cs="Arial" w:eastAsia="Arial" w:hAnsi="Arial"/>
                  <w:sz w:val="17"/>
                  <w:szCs w:val="17"/>
                  <w:color w:val="0000EE"/>
                  <w:w w:val="84"/>
                </w:rPr>
                <w:t>(ii)</w:t>
              </w:r>
            </w:hyperlink>
          </w:p>
        </w:tc>
        <w:tc>
          <w:tcPr>
            <w:tcW w:w="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80" w:type="dxa"/>
            <w:vAlign w:val="bottom"/>
            <w:gridSpan w:val="3"/>
            <w:vMerge w:val="restart"/>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Consolidated Balance Sheets as of December 31, 2014 and 2013.</w:t>
              </w:r>
            </w:hyperlink>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180" w:type="dxa"/>
            <w:vAlign w:val="bottom"/>
            <w:tcBorders>
              <w:bottom w:val="single" w:sz="8" w:color="0000EE"/>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780" w:type="dxa"/>
            <w:vAlign w:val="bottom"/>
            <w:vMerge w:val="restart"/>
          </w:tcPr>
          <w:p>
            <w:pPr>
              <w:spacing w:after="0"/>
              <w:rPr>
                <w:sz w:val="24"/>
                <w:szCs w:val="24"/>
                <w:color w:val="auto"/>
              </w:rPr>
            </w:pPr>
          </w:p>
        </w:tc>
        <w:tc>
          <w:tcPr>
            <w:tcW w:w="5080" w:type="dxa"/>
            <w:vAlign w:val="bottom"/>
            <w:tcBorders>
              <w:bottom w:val="single" w:sz="8" w:color="0000EE"/>
            </w:tcBorders>
            <w:gridSpan w:val="3"/>
            <w:vMerge w:val="continue"/>
          </w:tcPr>
          <w:p>
            <w:pPr>
              <w:spacing w:after="0"/>
              <w:rPr>
                <w:sz w:val="24"/>
                <w:szCs w:val="24"/>
                <w:color w:val="auto"/>
              </w:rPr>
            </w:pPr>
          </w:p>
        </w:tc>
        <w:tc>
          <w:tcPr>
            <w:tcW w:w="68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75"/>
        </w:trPr>
        <w:tc>
          <w:tcPr>
            <w:tcW w:w="220" w:type="dxa"/>
            <w:vAlign w:val="bottom"/>
            <w:gridSpan w:val="4"/>
            <w:vMerge w:val="restart"/>
          </w:tcPr>
          <w:p>
            <w:pPr>
              <w:spacing w:after="0"/>
              <w:rPr>
                <w:rFonts w:ascii="Arial" w:cs="Arial" w:eastAsia="Arial" w:hAnsi="Arial"/>
                <w:sz w:val="17"/>
                <w:szCs w:val="17"/>
                <w:color w:val="0000EE"/>
                <w:w w:val="88"/>
              </w:rPr>
            </w:pPr>
            <w:hyperlink w:anchor="page46">
              <w:r>
                <w:rPr>
                  <w:rFonts w:ascii="Arial" w:cs="Arial" w:eastAsia="Arial" w:hAnsi="Arial"/>
                  <w:sz w:val="17"/>
                  <w:szCs w:val="17"/>
                  <w:color w:val="0000EE"/>
                  <w:w w:val="88"/>
                </w:rPr>
                <w:t>(iii)</w:t>
              </w:r>
            </w:hyperlink>
          </w:p>
        </w:tc>
        <w:tc>
          <w:tcPr>
            <w:tcW w:w="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940" w:type="dxa"/>
            <w:vAlign w:val="bottom"/>
            <w:gridSpan w:val="6"/>
            <w:vMerge w:val="restart"/>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Consolidated Statements of Income and Comprehensive Income for 2014, 2013 and 2012.</w:t>
              </w:r>
            </w:hyperlink>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220" w:type="dxa"/>
            <w:vAlign w:val="bottom"/>
            <w:tcBorders>
              <w:bottom w:val="single" w:sz="8" w:color="0000EE"/>
            </w:tcBorders>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780" w:type="dxa"/>
            <w:vAlign w:val="bottom"/>
            <w:vMerge w:val="restart"/>
          </w:tcPr>
          <w:p>
            <w:pPr>
              <w:spacing w:after="0"/>
              <w:rPr>
                <w:sz w:val="24"/>
                <w:szCs w:val="24"/>
                <w:color w:val="auto"/>
              </w:rPr>
            </w:pPr>
          </w:p>
        </w:tc>
        <w:tc>
          <w:tcPr>
            <w:tcW w:w="6940" w:type="dxa"/>
            <w:vAlign w:val="bottom"/>
            <w:tcBorders>
              <w:bottom w:val="single" w:sz="8" w:color="0000EE"/>
            </w:tcBorders>
            <w:gridSpan w:val="6"/>
            <w:vMerge w:val="continue"/>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75"/>
        </w:trPr>
        <w:tc>
          <w:tcPr>
            <w:tcW w:w="240" w:type="dxa"/>
            <w:vAlign w:val="bottom"/>
            <w:gridSpan w:val="5"/>
            <w:vMerge w:val="restart"/>
          </w:tcPr>
          <w:p>
            <w:pPr>
              <w:spacing w:after="0"/>
              <w:rPr>
                <w:rFonts w:ascii="Arial" w:cs="Arial" w:eastAsia="Arial" w:hAnsi="Arial"/>
                <w:sz w:val="17"/>
                <w:szCs w:val="17"/>
                <w:color w:val="0000EE"/>
                <w:w w:val="93"/>
              </w:rPr>
            </w:pPr>
            <w:hyperlink w:anchor="page47">
              <w:r>
                <w:rPr>
                  <w:rFonts w:ascii="Arial" w:cs="Arial" w:eastAsia="Arial" w:hAnsi="Arial"/>
                  <w:sz w:val="17"/>
                  <w:szCs w:val="17"/>
                  <w:color w:val="0000EE"/>
                  <w:w w:val="93"/>
                </w:rPr>
                <w:t>(iv)</w:t>
              </w:r>
            </w:hyperlink>
          </w:p>
        </w:tc>
        <w:tc>
          <w:tcPr>
            <w:tcW w:w="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760" w:type="dxa"/>
            <w:vAlign w:val="bottom"/>
            <w:gridSpan w:val="5"/>
            <w:vMerge w:val="restart"/>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Consolidated Statements of Shareholders’ Equity for 2014, 2013 and 2012.</w:t>
              </w:r>
            </w:hyperlink>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240" w:type="dxa"/>
            <w:vAlign w:val="bottom"/>
            <w:tcBorders>
              <w:bottom w:val="single" w:sz="8" w:color="0000EE"/>
            </w:tcBorders>
            <w:gridSpan w:val="5"/>
            <w:vMerge w:val="continue"/>
          </w:tcPr>
          <w:p>
            <w:pPr>
              <w:spacing w:after="0"/>
              <w:rPr>
                <w:sz w:val="24"/>
                <w:szCs w:val="24"/>
                <w:color w:val="auto"/>
              </w:rPr>
            </w:pPr>
          </w:p>
        </w:tc>
        <w:tc>
          <w:tcPr>
            <w:tcW w:w="20" w:type="dxa"/>
            <w:vAlign w:val="bottom"/>
            <w:vMerge w:val="restart"/>
          </w:tcPr>
          <w:p>
            <w:pPr>
              <w:spacing w:after="0"/>
              <w:rPr>
                <w:sz w:val="24"/>
                <w:szCs w:val="24"/>
                <w:color w:val="auto"/>
              </w:rPr>
            </w:pPr>
          </w:p>
        </w:tc>
        <w:tc>
          <w:tcPr>
            <w:tcW w:w="780" w:type="dxa"/>
            <w:vAlign w:val="bottom"/>
            <w:vMerge w:val="restart"/>
          </w:tcPr>
          <w:p>
            <w:pPr>
              <w:spacing w:after="0"/>
              <w:rPr>
                <w:sz w:val="24"/>
                <w:szCs w:val="24"/>
                <w:color w:val="auto"/>
              </w:rPr>
            </w:pPr>
          </w:p>
        </w:tc>
        <w:tc>
          <w:tcPr>
            <w:tcW w:w="5760" w:type="dxa"/>
            <w:vAlign w:val="bottom"/>
            <w:tcBorders>
              <w:bottom w:val="single" w:sz="8" w:color="0000EE"/>
            </w:tcBorders>
            <w:gridSpan w:val="5"/>
            <w:vMerge w:val="continue"/>
          </w:tcPr>
          <w:p>
            <w:pPr>
              <w:spacing w:after="0"/>
              <w:rPr>
                <w:sz w:val="24"/>
                <w:szCs w:val="24"/>
                <w:color w:val="auto"/>
              </w:rPr>
            </w:pPr>
          </w:p>
        </w:tc>
        <w:tc>
          <w:tcPr>
            <w:tcW w:w="1180" w:type="dxa"/>
            <w:vAlign w:val="bottom"/>
            <w:vMerge w:val="restart"/>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75"/>
        </w:trPr>
        <w:tc>
          <w:tcPr>
            <w:tcW w:w="200" w:type="dxa"/>
            <w:vAlign w:val="bottom"/>
            <w:gridSpan w:val="3"/>
            <w:vMerge w:val="restart"/>
          </w:tcPr>
          <w:p>
            <w:pPr>
              <w:spacing w:after="0"/>
              <w:rPr>
                <w:rFonts w:ascii="Arial" w:cs="Arial" w:eastAsia="Arial" w:hAnsi="Arial"/>
                <w:sz w:val="17"/>
                <w:szCs w:val="17"/>
                <w:color w:val="0000EE"/>
                <w:w w:val="90"/>
              </w:rPr>
            </w:pPr>
            <w:hyperlink w:anchor="page48">
              <w:r>
                <w:rPr>
                  <w:rFonts w:ascii="Arial" w:cs="Arial" w:eastAsia="Arial" w:hAnsi="Arial"/>
                  <w:sz w:val="17"/>
                  <w:szCs w:val="17"/>
                  <w:color w:val="0000EE"/>
                  <w:w w:val="90"/>
                </w:rPr>
                <w:t>(v)</w:t>
              </w:r>
            </w:hyperlink>
          </w:p>
        </w:tc>
        <w:tc>
          <w:tcPr>
            <w:tcW w:w="40" w:type="dxa"/>
            <w:vAlign w:val="bottom"/>
            <w:gridSpan w:val="2"/>
          </w:tcPr>
          <w:p>
            <w:pPr>
              <w:spacing w:after="0"/>
              <w:rPr>
                <w:sz w:val="6"/>
                <w:szCs w:val="6"/>
                <w:color w:val="auto"/>
              </w:rPr>
            </w:pPr>
          </w:p>
        </w:tc>
        <w:tc>
          <w:tcPr>
            <w:tcW w:w="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60" w:type="dxa"/>
            <w:vAlign w:val="bottom"/>
            <w:gridSpan w:val="2"/>
            <w:vMerge w:val="restart"/>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Consolidated Statements of Cash Flows for 2014, 2013 and 2012.</w:t>
              </w:r>
            </w:hyperlink>
          </w:p>
        </w:tc>
        <w:tc>
          <w:tcPr>
            <w:tcW w:w="700" w:type="dxa"/>
            <w:vAlign w:val="bottom"/>
            <w:gridSpan w:val="3"/>
          </w:tcPr>
          <w:p>
            <w:pPr>
              <w:spacing w:after="0"/>
              <w:rPr>
                <w:sz w:val="6"/>
                <w:szCs w:val="6"/>
                <w:color w:val="auto"/>
              </w:rPr>
            </w:pPr>
          </w:p>
        </w:tc>
        <w:tc>
          <w:tcPr>
            <w:tcW w:w="11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200" w:type="dxa"/>
            <w:vAlign w:val="bottom"/>
            <w:tcBorders>
              <w:bottom w:val="single" w:sz="8" w:color="0000EE"/>
            </w:tcBorders>
            <w:gridSpan w:val="3"/>
            <w:vMerge w:val="continue"/>
          </w:tcPr>
          <w:p>
            <w:pPr>
              <w:spacing w:after="0"/>
              <w:rPr>
                <w:sz w:val="24"/>
                <w:szCs w:val="24"/>
                <w:color w:val="auto"/>
              </w:rPr>
            </w:pPr>
          </w:p>
        </w:tc>
        <w:tc>
          <w:tcPr>
            <w:tcW w:w="60" w:type="dxa"/>
            <w:vAlign w:val="bottom"/>
            <w:gridSpan w:val="3"/>
          </w:tcPr>
          <w:p>
            <w:pPr>
              <w:spacing w:after="0"/>
              <w:rPr>
                <w:sz w:val="24"/>
                <w:szCs w:val="24"/>
                <w:color w:val="auto"/>
              </w:rPr>
            </w:pPr>
          </w:p>
        </w:tc>
        <w:tc>
          <w:tcPr>
            <w:tcW w:w="780" w:type="dxa"/>
            <w:vAlign w:val="bottom"/>
            <w:vMerge w:val="restart"/>
          </w:tcPr>
          <w:p>
            <w:pPr>
              <w:spacing w:after="0"/>
              <w:rPr>
                <w:sz w:val="24"/>
                <w:szCs w:val="24"/>
                <w:color w:val="auto"/>
              </w:rPr>
            </w:pPr>
          </w:p>
        </w:tc>
        <w:tc>
          <w:tcPr>
            <w:tcW w:w="5060" w:type="dxa"/>
            <w:vAlign w:val="bottom"/>
            <w:tcBorders>
              <w:bottom w:val="single" w:sz="8" w:color="0000EE"/>
            </w:tcBorders>
            <w:gridSpan w:val="2"/>
            <w:vMerge w:val="continue"/>
          </w:tcPr>
          <w:p>
            <w:pPr>
              <w:spacing w:after="0"/>
              <w:rPr>
                <w:sz w:val="24"/>
                <w:szCs w:val="24"/>
                <w:color w:val="auto"/>
              </w:rPr>
            </w:pPr>
          </w:p>
        </w:tc>
        <w:tc>
          <w:tcPr>
            <w:tcW w:w="1880" w:type="dxa"/>
            <w:vAlign w:val="bottom"/>
            <w:gridSpan w:val="4"/>
            <w:vMerge w:val="restart"/>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75"/>
        </w:trPr>
        <w:tc>
          <w:tcPr>
            <w:tcW w:w="260" w:type="dxa"/>
            <w:vAlign w:val="bottom"/>
            <w:gridSpan w:val="6"/>
            <w:vMerge w:val="restart"/>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(vi)</w:t>
              </w:r>
            </w:hyperlink>
          </w:p>
        </w:tc>
        <w:tc>
          <w:tcPr>
            <w:tcW w:w="780" w:type="dxa"/>
            <w:vAlign w:val="bottom"/>
            <w:vMerge w:val="continue"/>
          </w:tcPr>
          <w:p>
            <w:pPr>
              <w:spacing w:after="0"/>
              <w:rPr>
                <w:sz w:val="6"/>
                <w:szCs w:val="6"/>
                <w:color w:val="auto"/>
              </w:rPr>
            </w:pPr>
          </w:p>
        </w:tc>
        <w:tc>
          <w:tcPr>
            <w:tcW w:w="3700" w:type="dxa"/>
            <w:vAlign w:val="bottom"/>
            <w:vMerge w:val="restart"/>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Notes to the Consolidated Financial Statements.</w:t>
              </w:r>
            </w:hyperlink>
          </w:p>
        </w:tc>
        <w:tc>
          <w:tcPr>
            <w:tcW w:w="1360" w:type="dxa"/>
            <w:vAlign w:val="bottom"/>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260" w:type="dxa"/>
            <w:vAlign w:val="bottom"/>
            <w:tcBorders>
              <w:bottom w:val="single" w:sz="8" w:color="0000EE"/>
            </w:tcBorders>
            <w:gridSpan w:val="6"/>
            <w:vMerge w:val="continue"/>
          </w:tcPr>
          <w:p>
            <w:pPr>
              <w:spacing w:after="0"/>
              <w:rPr>
                <w:sz w:val="24"/>
                <w:szCs w:val="24"/>
                <w:color w:val="auto"/>
              </w:rPr>
            </w:pPr>
          </w:p>
        </w:tc>
        <w:tc>
          <w:tcPr>
            <w:tcW w:w="780" w:type="dxa"/>
            <w:vAlign w:val="bottom"/>
            <w:vMerge w:val="restart"/>
          </w:tcPr>
          <w:p>
            <w:pPr>
              <w:spacing w:after="0"/>
              <w:rPr>
                <w:sz w:val="24"/>
                <w:szCs w:val="24"/>
                <w:color w:val="auto"/>
              </w:rPr>
            </w:pPr>
          </w:p>
        </w:tc>
        <w:tc>
          <w:tcPr>
            <w:tcW w:w="3700" w:type="dxa"/>
            <w:vAlign w:val="bottom"/>
            <w:tcBorders>
              <w:bottom w:val="single" w:sz="8" w:color="0000EE"/>
            </w:tcBorders>
            <w:vMerge w:val="continue"/>
          </w:tcPr>
          <w:p>
            <w:pPr>
              <w:spacing w:after="0"/>
              <w:rPr>
                <w:sz w:val="24"/>
                <w:szCs w:val="24"/>
                <w:color w:val="auto"/>
              </w:rPr>
            </w:pPr>
          </w:p>
        </w:tc>
        <w:tc>
          <w:tcPr>
            <w:tcW w:w="3240" w:type="dxa"/>
            <w:vAlign w:val="bottom"/>
            <w:gridSpan w:val="5"/>
            <w:vMerge w:val="restart"/>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75"/>
        </w:trPr>
        <w:tc>
          <w:tcPr>
            <w:tcW w:w="260" w:type="dxa"/>
            <w:vAlign w:val="bottom"/>
            <w:gridSpan w:val="6"/>
          </w:tcPr>
          <w:p>
            <w:pPr>
              <w:spacing w:after="0"/>
              <w:rPr>
                <w:sz w:val="6"/>
                <w:szCs w:val="6"/>
                <w:color w:val="auto"/>
              </w:rPr>
            </w:pPr>
          </w:p>
        </w:tc>
        <w:tc>
          <w:tcPr>
            <w:tcW w:w="780" w:type="dxa"/>
            <w:vAlign w:val="bottom"/>
            <w:vMerge w:val="continue"/>
          </w:tcPr>
          <w:p>
            <w:pPr>
              <w:spacing w:after="0"/>
              <w:rPr>
                <w:sz w:val="6"/>
                <w:szCs w:val="6"/>
                <w:color w:val="auto"/>
              </w:rPr>
            </w:pPr>
          </w:p>
        </w:tc>
        <w:tc>
          <w:tcPr>
            <w:tcW w:w="3700" w:type="dxa"/>
            <w:vAlign w:val="bottom"/>
          </w:tcPr>
          <w:p>
            <w:pPr>
              <w:spacing w:after="0"/>
              <w:rPr>
                <w:sz w:val="6"/>
                <w:szCs w:val="6"/>
                <w:color w:val="auto"/>
              </w:rPr>
            </w:pPr>
          </w:p>
        </w:tc>
        <w:tc>
          <w:tcPr>
            <w:tcW w:w="3240" w:type="dxa"/>
            <w:vAlign w:val="bottom"/>
            <w:gridSpan w:val="5"/>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720" w:right="320" w:hanging="639"/>
        <w:spacing w:after="0" w:line="286" w:lineRule="auto"/>
        <w:tabs>
          <w:tab w:leader="none" w:pos="700" w:val="left"/>
        </w:tabs>
        <w:rPr>
          <w:sz w:val="20"/>
          <w:szCs w:val="20"/>
          <w:color w:val="auto"/>
        </w:rPr>
      </w:pPr>
      <w:r>
        <w:rPr>
          <w:rFonts w:ascii="Arial" w:cs="Arial" w:eastAsia="Arial" w:hAnsi="Arial"/>
          <w:sz w:val="17"/>
          <w:szCs w:val="17"/>
          <w:color w:val="auto"/>
        </w:rPr>
        <w:t>(a)(2)</w:t>
        <w:tab/>
        <w:t>Consolidated financial statement schedules have been omitted either because the required information is set forth in the consolidated financial statements or notes thereto, or the information called for is not required.</w:t>
      </w:r>
    </w:p>
    <w:p>
      <w:pPr>
        <w:spacing w:after="0" w:line="161" w:lineRule="exact"/>
        <w:rPr>
          <w:sz w:val="20"/>
          <w:szCs w:val="20"/>
          <w:color w:val="auto"/>
        </w:rPr>
      </w:pPr>
    </w:p>
    <w:p>
      <w:pPr>
        <w:ind w:left="720" w:right="420" w:hanging="639"/>
        <w:spacing w:after="0" w:line="225" w:lineRule="exact"/>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exhibits set forth in the following index of exhibits are filed or incorporated by reference as a part of this 2014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1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7"/>
                <w:szCs w:val="17"/>
                <w:color w:val="auto"/>
              </w:rPr>
              <w:t>3.1</w:t>
            </w:r>
          </w:p>
        </w:tc>
        <w:tc>
          <w:tcPr>
            <w:tcW w:w="9180" w:type="dxa"/>
            <w:vAlign w:val="bottom"/>
          </w:tcPr>
          <w:p>
            <w:pPr>
              <w:ind w:left="280"/>
              <w:spacing w:after="0" w:line="149" w:lineRule="exact"/>
              <w:rPr>
                <w:sz w:val="20"/>
                <w:szCs w:val="20"/>
                <w:color w:val="auto"/>
              </w:rPr>
            </w:pPr>
            <w:r>
              <w:rPr>
                <w:rFonts w:ascii="Arial" w:cs="Arial" w:eastAsia="Arial" w:hAnsi="Arial"/>
                <w:sz w:val="17"/>
                <w:szCs w:val="17"/>
                <w:color w:val="auto"/>
              </w:rPr>
              <w:t>Restated Articles of Incorporation (incorporated by reference herein to Exhibit 99.2 to our Current Report on</w:t>
            </w:r>
          </w:p>
        </w:tc>
        <w:tc>
          <w:tcPr>
            <w:tcW w:w="20" w:type="dxa"/>
            <w:vAlign w:val="bottom"/>
          </w:tcPr>
          <w:p>
            <w:pPr>
              <w:spacing w:after="0"/>
              <w:rPr>
                <w:sz w:val="12"/>
                <w:szCs w:val="12"/>
                <w:color w:val="auto"/>
              </w:rPr>
            </w:pPr>
          </w:p>
        </w:tc>
      </w:tr>
      <w:tr>
        <w:trPr>
          <w:trHeight w:val="271"/>
        </w:trPr>
        <w:tc>
          <w:tcPr>
            <w:tcW w:w="1000" w:type="dxa"/>
            <w:vAlign w:val="bottom"/>
          </w:tcPr>
          <w:p>
            <w:pPr>
              <w:spacing w:after="0"/>
              <w:rPr>
                <w:sz w:val="23"/>
                <w:szCs w:val="23"/>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Form 8</w:t>
            </w:r>
            <w:r>
              <w:rPr>
                <w:rFonts w:ascii="MS PGothic" w:cs="MS PGothic" w:eastAsia="MS PGothic" w:hAnsi="MS PGothic"/>
                <w:sz w:val="17"/>
                <w:szCs w:val="17"/>
                <w:color w:val="auto"/>
              </w:rPr>
              <w:t>‑</w:t>
            </w:r>
            <w:r>
              <w:rPr>
                <w:rFonts w:ascii="Arial" w:cs="Arial" w:eastAsia="Arial" w:hAnsi="Arial"/>
                <w:sz w:val="17"/>
                <w:szCs w:val="17"/>
                <w:color w:val="auto"/>
              </w:rPr>
              <w:t>K filed on February 3, 2005).</w:t>
            </w:r>
          </w:p>
        </w:tc>
        <w:tc>
          <w:tcPr>
            <w:tcW w:w="20" w:type="dxa"/>
            <w:vAlign w:val="bottom"/>
          </w:tcPr>
          <w:p>
            <w:pPr>
              <w:spacing w:after="0"/>
              <w:rPr>
                <w:sz w:val="23"/>
                <w:szCs w:val="23"/>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7"/>
                <w:szCs w:val="17"/>
                <w:color w:val="auto"/>
              </w:rPr>
              <w:t>3.2</w:t>
            </w:r>
          </w:p>
        </w:tc>
        <w:tc>
          <w:tcPr>
            <w:tcW w:w="9180" w:type="dxa"/>
            <w:vAlign w:val="bottom"/>
          </w:tcPr>
          <w:p>
            <w:pPr>
              <w:ind w:left="280"/>
              <w:spacing w:after="0"/>
              <w:rPr>
                <w:sz w:val="20"/>
                <w:szCs w:val="20"/>
                <w:color w:val="auto"/>
              </w:rPr>
            </w:pPr>
            <w:r>
              <w:rPr>
                <w:rFonts w:ascii="Arial" w:cs="Arial" w:eastAsia="Arial" w:hAnsi="Arial"/>
                <w:sz w:val="17"/>
                <w:szCs w:val="17"/>
                <w:color w:val="auto"/>
              </w:rPr>
              <w:t>Articles of Amendment to Restated Articles of Incorporation (incorporated by reference herein to Exhibit 3.1 to our</w:t>
            </w:r>
          </w:p>
        </w:tc>
        <w:tc>
          <w:tcPr>
            <w:tcW w:w="20" w:type="dxa"/>
            <w:vAlign w:val="bottom"/>
          </w:tcPr>
          <w:p>
            <w:pPr>
              <w:spacing w:after="0"/>
              <w:rPr>
                <w:sz w:val="19"/>
                <w:szCs w:val="19"/>
                <w:color w:val="auto"/>
              </w:rPr>
            </w:pPr>
          </w:p>
        </w:tc>
      </w:tr>
      <w:tr>
        <w:trPr>
          <w:trHeight w:val="271"/>
        </w:trPr>
        <w:tc>
          <w:tcPr>
            <w:tcW w:w="1000" w:type="dxa"/>
            <w:vAlign w:val="bottom"/>
          </w:tcPr>
          <w:p>
            <w:pPr>
              <w:spacing w:after="0"/>
              <w:rPr>
                <w:sz w:val="23"/>
                <w:szCs w:val="23"/>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November 23, 2009).</w:t>
            </w:r>
          </w:p>
        </w:tc>
        <w:tc>
          <w:tcPr>
            <w:tcW w:w="20" w:type="dxa"/>
            <w:vAlign w:val="bottom"/>
          </w:tcPr>
          <w:p>
            <w:pPr>
              <w:spacing w:after="0"/>
              <w:rPr>
                <w:sz w:val="23"/>
                <w:szCs w:val="23"/>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7"/>
                <w:szCs w:val="17"/>
                <w:color w:val="auto"/>
              </w:rPr>
              <w:t>3.3</w:t>
            </w: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Laws, amended and restated as of August 26, 2011 (incorporated by reference herein to Exhibit 3.1 to our</w:t>
            </w:r>
          </w:p>
        </w:tc>
        <w:tc>
          <w:tcPr>
            <w:tcW w:w="20" w:type="dxa"/>
            <w:vAlign w:val="bottom"/>
          </w:tcPr>
          <w:p>
            <w:pPr>
              <w:spacing w:after="0"/>
              <w:rPr>
                <w:sz w:val="19"/>
                <w:szCs w:val="19"/>
                <w:color w:val="auto"/>
              </w:rPr>
            </w:pPr>
          </w:p>
        </w:tc>
      </w:tr>
      <w:tr>
        <w:trPr>
          <w:trHeight w:val="271"/>
        </w:trPr>
        <w:tc>
          <w:tcPr>
            <w:tcW w:w="1000" w:type="dxa"/>
            <w:vAlign w:val="bottom"/>
          </w:tcPr>
          <w:p>
            <w:pPr>
              <w:spacing w:after="0"/>
              <w:rPr>
                <w:sz w:val="23"/>
                <w:szCs w:val="23"/>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August 29, 2011).</w:t>
            </w:r>
          </w:p>
        </w:tc>
        <w:tc>
          <w:tcPr>
            <w:tcW w:w="20" w:type="dxa"/>
            <w:vAlign w:val="bottom"/>
          </w:tcPr>
          <w:p>
            <w:pPr>
              <w:spacing w:after="0"/>
              <w:rPr>
                <w:sz w:val="23"/>
                <w:szCs w:val="23"/>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7"/>
                <w:szCs w:val="17"/>
                <w:color w:val="auto"/>
              </w:rPr>
              <w:t>10.1</w:t>
            </w:r>
          </w:p>
        </w:tc>
        <w:tc>
          <w:tcPr>
            <w:tcW w:w="9180" w:type="dxa"/>
            <w:vAlign w:val="bottom"/>
          </w:tcPr>
          <w:p>
            <w:pPr>
              <w:ind w:left="280"/>
              <w:spacing w:after="0"/>
              <w:rPr>
                <w:sz w:val="20"/>
                <w:szCs w:val="20"/>
                <w:color w:val="auto"/>
              </w:rPr>
            </w:pPr>
            <w:r>
              <w:rPr>
                <w:rFonts w:ascii="Arial" w:cs="Arial" w:eastAsia="Arial" w:hAnsi="Arial"/>
                <w:sz w:val="17"/>
                <w:szCs w:val="17"/>
                <w:color w:val="auto"/>
              </w:rPr>
              <w:t>Agreement between World Fuel Services Corporation and Paul H. Stebbins, dated March 14, 2008 (incorporated by</w:t>
            </w:r>
          </w:p>
        </w:tc>
        <w:tc>
          <w:tcPr>
            <w:tcW w:w="20" w:type="dxa"/>
            <w:vAlign w:val="bottom"/>
          </w:tcPr>
          <w:p>
            <w:pPr>
              <w:spacing w:after="0"/>
              <w:rPr>
                <w:sz w:val="19"/>
                <w:szCs w:val="19"/>
                <w:color w:val="auto"/>
              </w:rPr>
            </w:pPr>
          </w:p>
        </w:tc>
      </w:tr>
      <w:tr>
        <w:trPr>
          <w:trHeight w:val="271"/>
        </w:trPr>
        <w:tc>
          <w:tcPr>
            <w:tcW w:w="1000" w:type="dxa"/>
            <w:vAlign w:val="bottom"/>
          </w:tcPr>
          <w:p>
            <w:pPr>
              <w:spacing w:after="0"/>
              <w:rPr>
                <w:sz w:val="23"/>
                <w:szCs w:val="23"/>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reference herein to Exhibit 10.1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March 20, 2008). *</w:t>
            </w:r>
          </w:p>
        </w:tc>
        <w:tc>
          <w:tcPr>
            <w:tcW w:w="20" w:type="dxa"/>
            <w:vAlign w:val="bottom"/>
          </w:tcPr>
          <w:p>
            <w:pPr>
              <w:spacing w:after="0"/>
              <w:rPr>
                <w:sz w:val="23"/>
                <w:szCs w:val="23"/>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7"/>
                <w:szCs w:val="17"/>
                <w:color w:val="auto"/>
              </w:rPr>
              <w:t>10.2</w:t>
            </w:r>
          </w:p>
        </w:tc>
        <w:tc>
          <w:tcPr>
            <w:tcW w:w="9180" w:type="dxa"/>
            <w:vAlign w:val="bottom"/>
          </w:tcPr>
          <w:p>
            <w:pPr>
              <w:ind w:left="280"/>
              <w:spacing w:after="0"/>
              <w:rPr>
                <w:sz w:val="20"/>
                <w:szCs w:val="20"/>
                <w:color w:val="auto"/>
              </w:rPr>
            </w:pPr>
            <w:r>
              <w:rPr>
                <w:rFonts w:ascii="Arial" w:cs="Arial" w:eastAsia="Arial" w:hAnsi="Arial"/>
                <w:sz w:val="17"/>
                <w:szCs w:val="17"/>
                <w:color w:val="auto"/>
              </w:rPr>
              <w:t>Amendment No. 1, dated August 26, 2011, to Agreement between World Fuel Services Corporation and Paul H.</w:t>
            </w:r>
          </w:p>
        </w:tc>
        <w:tc>
          <w:tcPr>
            <w:tcW w:w="20" w:type="dxa"/>
            <w:vAlign w:val="bottom"/>
          </w:tcPr>
          <w:p>
            <w:pPr>
              <w:spacing w:after="0"/>
              <w:rPr>
                <w:sz w:val="19"/>
                <w:szCs w:val="19"/>
                <w:color w:val="auto"/>
              </w:rPr>
            </w:pPr>
          </w:p>
        </w:tc>
      </w:tr>
      <w:tr>
        <w:trPr>
          <w:trHeight w:val="211"/>
        </w:trPr>
        <w:tc>
          <w:tcPr>
            <w:tcW w:w="1000" w:type="dxa"/>
            <w:vAlign w:val="bottom"/>
          </w:tcPr>
          <w:p>
            <w:pPr>
              <w:spacing w:after="0"/>
              <w:rPr>
                <w:sz w:val="18"/>
                <w:szCs w:val="18"/>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Stebbins (incorporated by reference herein to Exhibit 10.2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August 29,</w:t>
            </w:r>
          </w:p>
        </w:tc>
        <w:tc>
          <w:tcPr>
            <w:tcW w:w="20" w:type="dxa"/>
            <w:vAlign w:val="bottom"/>
          </w:tcPr>
          <w:p>
            <w:pPr>
              <w:spacing w:after="0"/>
              <w:rPr>
                <w:sz w:val="18"/>
                <w:szCs w:val="18"/>
                <w:color w:val="auto"/>
              </w:rPr>
            </w:pPr>
          </w:p>
        </w:tc>
      </w:tr>
      <w:tr>
        <w:trPr>
          <w:trHeight w:val="235"/>
        </w:trPr>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2011). *</w:t>
            </w:r>
          </w:p>
        </w:tc>
        <w:tc>
          <w:tcPr>
            <w:tcW w:w="20" w:type="dxa"/>
            <w:vAlign w:val="bottom"/>
          </w:tcPr>
          <w:p>
            <w:pPr>
              <w:spacing w:after="0"/>
              <w:rPr>
                <w:sz w:val="20"/>
                <w:szCs w:val="20"/>
                <w:color w:val="auto"/>
              </w:rPr>
            </w:pP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10.3</w:t>
            </w:r>
          </w:p>
        </w:tc>
        <w:tc>
          <w:tcPr>
            <w:tcW w:w="9180" w:type="dxa"/>
            <w:vAlign w:val="bottom"/>
          </w:tcPr>
          <w:p>
            <w:pPr>
              <w:ind w:left="280"/>
              <w:spacing w:after="0"/>
              <w:rPr>
                <w:sz w:val="20"/>
                <w:szCs w:val="20"/>
                <w:color w:val="auto"/>
              </w:rPr>
            </w:pPr>
            <w:r>
              <w:rPr>
                <w:rFonts w:ascii="Arial" w:cs="Arial" w:eastAsia="Arial" w:hAnsi="Arial"/>
                <w:sz w:val="17"/>
                <w:szCs w:val="17"/>
                <w:color w:val="auto"/>
              </w:rPr>
              <w:t>Agreement between World Fuel Services Corporation and Michael J. Kasbar, dated March 14, 2008 (incorporated</w:t>
            </w:r>
          </w:p>
        </w:tc>
        <w:tc>
          <w:tcPr>
            <w:tcW w:w="20" w:type="dxa"/>
            <w:vAlign w:val="bottom"/>
          </w:tcPr>
          <w:p>
            <w:pPr>
              <w:spacing w:after="0"/>
              <w:rPr>
                <w:sz w:val="21"/>
                <w:szCs w:val="21"/>
                <w:color w:val="auto"/>
              </w:rPr>
            </w:pPr>
          </w:p>
        </w:tc>
      </w:tr>
      <w:tr>
        <w:trPr>
          <w:trHeight w:val="271"/>
        </w:trPr>
        <w:tc>
          <w:tcPr>
            <w:tcW w:w="1000" w:type="dxa"/>
            <w:vAlign w:val="bottom"/>
          </w:tcPr>
          <w:p>
            <w:pPr>
              <w:spacing w:after="0"/>
              <w:rPr>
                <w:sz w:val="23"/>
                <w:szCs w:val="23"/>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by reference herein to Exhibit 10.2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March 20, 2008). *</w:t>
            </w:r>
          </w:p>
        </w:tc>
        <w:tc>
          <w:tcPr>
            <w:tcW w:w="20" w:type="dxa"/>
            <w:vAlign w:val="bottom"/>
          </w:tcPr>
          <w:p>
            <w:pPr>
              <w:spacing w:after="0"/>
              <w:rPr>
                <w:sz w:val="23"/>
                <w:szCs w:val="23"/>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7"/>
                <w:szCs w:val="17"/>
                <w:color w:val="auto"/>
              </w:rPr>
              <w:t>10.4</w:t>
            </w:r>
          </w:p>
        </w:tc>
        <w:tc>
          <w:tcPr>
            <w:tcW w:w="9180" w:type="dxa"/>
            <w:vAlign w:val="bottom"/>
          </w:tcPr>
          <w:p>
            <w:pPr>
              <w:ind w:left="280"/>
              <w:spacing w:after="0"/>
              <w:rPr>
                <w:sz w:val="20"/>
                <w:szCs w:val="20"/>
                <w:color w:val="auto"/>
              </w:rPr>
            </w:pPr>
            <w:r>
              <w:rPr>
                <w:rFonts w:ascii="Arial" w:cs="Arial" w:eastAsia="Arial" w:hAnsi="Arial"/>
                <w:sz w:val="17"/>
                <w:szCs w:val="17"/>
                <w:color w:val="auto"/>
              </w:rPr>
              <w:t>Amendment No. 1, dated August 26, 2011, to Agreement between World Fuel Services Corporation and Michael J.</w:t>
            </w:r>
          </w:p>
        </w:tc>
        <w:tc>
          <w:tcPr>
            <w:tcW w:w="20" w:type="dxa"/>
            <w:vAlign w:val="bottom"/>
          </w:tcPr>
          <w:p>
            <w:pPr>
              <w:spacing w:after="0"/>
              <w:rPr>
                <w:sz w:val="19"/>
                <w:szCs w:val="19"/>
                <w:color w:val="auto"/>
              </w:rPr>
            </w:pPr>
          </w:p>
        </w:tc>
      </w:tr>
      <w:tr>
        <w:trPr>
          <w:trHeight w:val="211"/>
        </w:trPr>
        <w:tc>
          <w:tcPr>
            <w:tcW w:w="1000" w:type="dxa"/>
            <w:vAlign w:val="bottom"/>
          </w:tcPr>
          <w:p>
            <w:pPr>
              <w:spacing w:after="0"/>
              <w:rPr>
                <w:sz w:val="18"/>
                <w:szCs w:val="18"/>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Kasbar (incorporated by reference herein to Exhibit 10.1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August 29,</w:t>
            </w:r>
          </w:p>
        </w:tc>
        <w:tc>
          <w:tcPr>
            <w:tcW w:w="20" w:type="dxa"/>
            <w:vAlign w:val="bottom"/>
          </w:tcPr>
          <w:p>
            <w:pPr>
              <w:spacing w:after="0"/>
              <w:rPr>
                <w:sz w:val="18"/>
                <w:szCs w:val="18"/>
                <w:color w:val="auto"/>
              </w:rPr>
            </w:pPr>
          </w:p>
        </w:tc>
      </w:tr>
      <w:tr>
        <w:trPr>
          <w:trHeight w:val="235"/>
        </w:trPr>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2011). *</w:t>
            </w:r>
          </w:p>
        </w:tc>
        <w:tc>
          <w:tcPr>
            <w:tcW w:w="20" w:type="dxa"/>
            <w:vAlign w:val="bottom"/>
          </w:tcPr>
          <w:p>
            <w:pPr>
              <w:spacing w:after="0"/>
              <w:rPr>
                <w:sz w:val="20"/>
                <w:szCs w:val="20"/>
                <w:color w:val="auto"/>
              </w:rPr>
            </w:pP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10.5</w:t>
            </w:r>
          </w:p>
        </w:tc>
        <w:tc>
          <w:tcPr>
            <w:tcW w:w="9180" w:type="dxa"/>
            <w:vAlign w:val="bottom"/>
          </w:tcPr>
          <w:p>
            <w:pPr>
              <w:ind w:left="280"/>
              <w:spacing w:after="0"/>
              <w:rPr>
                <w:sz w:val="20"/>
                <w:szCs w:val="20"/>
                <w:color w:val="auto"/>
              </w:rPr>
            </w:pPr>
            <w:r>
              <w:rPr>
                <w:rFonts w:ascii="Arial" w:cs="Arial" w:eastAsia="Arial" w:hAnsi="Arial"/>
                <w:sz w:val="17"/>
                <w:szCs w:val="17"/>
                <w:color w:val="auto"/>
              </w:rPr>
              <w:t>Amendment No. 2, dated April 9, 2012, to Agreement between World Fuel Services Corporation and Michael J.</w:t>
            </w:r>
          </w:p>
        </w:tc>
        <w:tc>
          <w:tcPr>
            <w:tcW w:w="20" w:type="dxa"/>
            <w:vAlign w:val="bottom"/>
          </w:tcPr>
          <w:p>
            <w:pPr>
              <w:spacing w:after="0"/>
              <w:rPr>
                <w:sz w:val="21"/>
                <w:szCs w:val="21"/>
                <w:color w:val="auto"/>
              </w:rPr>
            </w:pPr>
          </w:p>
        </w:tc>
      </w:tr>
      <w:tr>
        <w:trPr>
          <w:trHeight w:val="211"/>
        </w:trPr>
        <w:tc>
          <w:tcPr>
            <w:tcW w:w="1000" w:type="dxa"/>
            <w:vAlign w:val="bottom"/>
          </w:tcPr>
          <w:p>
            <w:pPr>
              <w:spacing w:after="0"/>
              <w:rPr>
                <w:sz w:val="18"/>
                <w:szCs w:val="18"/>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Kasbar (incorporated by reference herein to Exhibit 10.1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April 13,</w:t>
            </w:r>
          </w:p>
        </w:tc>
        <w:tc>
          <w:tcPr>
            <w:tcW w:w="20" w:type="dxa"/>
            <w:vAlign w:val="bottom"/>
          </w:tcPr>
          <w:p>
            <w:pPr>
              <w:spacing w:after="0"/>
              <w:rPr>
                <w:sz w:val="18"/>
                <w:szCs w:val="18"/>
                <w:color w:val="auto"/>
              </w:rPr>
            </w:pPr>
          </w:p>
        </w:tc>
      </w:tr>
      <w:tr>
        <w:trPr>
          <w:trHeight w:val="235"/>
        </w:trPr>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2012). *</w:t>
            </w:r>
          </w:p>
        </w:tc>
        <w:tc>
          <w:tcPr>
            <w:tcW w:w="20" w:type="dxa"/>
            <w:vAlign w:val="bottom"/>
          </w:tcPr>
          <w:p>
            <w:pPr>
              <w:spacing w:after="0"/>
              <w:rPr>
                <w:sz w:val="20"/>
                <w:szCs w:val="20"/>
                <w:color w:val="auto"/>
              </w:rPr>
            </w:pP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10.6</w:t>
            </w:r>
          </w:p>
        </w:tc>
        <w:tc>
          <w:tcPr>
            <w:tcW w:w="9180" w:type="dxa"/>
            <w:vAlign w:val="bottom"/>
          </w:tcPr>
          <w:p>
            <w:pPr>
              <w:ind w:left="280"/>
              <w:spacing w:after="0"/>
              <w:rPr>
                <w:sz w:val="20"/>
                <w:szCs w:val="20"/>
                <w:color w:val="auto"/>
              </w:rPr>
            </w:pPr>
            <w:r>
              <w:rPr>
                <w:rFonts w:ascii="Arial" w:cs="Arial" w:eastAsia="Arial" w:hAnsi="Arial"/>
                <w:sz w:val="17"/>
                <w:szCs w:val="17"/>
                <w:color w:val="auto"/>
              </w:rPr>
              <w:t>Executive Severance Agreement between World Fuel Services Corporation and Ira M. Birns, dated April 16, 2007</w:t>
            </w:r>
          </w:p>
        </w:tc>
        <w:tc>
          <w:tcPr>
            <w:tcW w:w="20" w:type="dxa"/>
            <w:vAlign w:val="bottom"/>
          </w:tcPr>
          <w:p>
            <w:pPr>
              <w:spacing w:after="0"/>
              <w:rPr>
                <w:sz w:val="21"/>
                <w:szCs w:val="21"/>
                <w:color w:val="auto"/>
              </w:rPr>
            </w:pPr>
          </w:p>
        </w:tc>
      </w:tr>
      <w:tr>
        <w:trPr>
          <w:trHeight w:val="271"/>
        </w:trPr>
        <w:tc>
          <w:tcPr>
            <w:tcW w:w="1000" w:type="dxa"/>
            <w:vAlign w:val="bottom"/>
          </w:tcPr>
          <w:p>
            <w:pPr>
              <w:spacing w:after="0"/>
              <w:rPr>
                <w:sz w:val="23"/>
                <w:szCs w:val="23"/>
                <w:color w:val="auto"/>
              </w:rPr>
            </w:pP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(incorporated by reference herein to Exhibit 10.2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April 16, 2007). *</w:t>
            </w:r>
          </w:p>
        </w:tc>
        <w:tc>
          <w:tcPr>
            <w:tcW w:w="20" w:type="dxa"/>
            <w:vAlign w:val="bottom"/>
          </w:tcPr>
          <w:p>
            <w:pPr>
              <w:spacing w:after="0"/>
              <w:rPr>
                <w:sz w:val="23"/>
                <w:szCs w:val="23"/>
                <w:color w:val="auto"/>
              </w:rPr>
            </w:pPr>
          </w:p>
        </w:tc>
      </w:tr>
      <w:tr>
        <w:trPr>
          <w:trHeight w:val="395"/>
        </w:trPr>
        <w:tc>
          <w:tcPr>
            <w:tcW w:w="1000" w:type="dxa"/>
            <w:vAlign w:val="bottom"/>
          </w:tcPr>
          <w:p>
            <w:pPr>
              <w:spacing w:after="0"/>
              <w:rPr>
                <w:sz w:val="24"/>
                <w:szCs w:val="24"/>
                <w:color w:val="auto"/>
              </w:rPr>
            </w:pPr>
          </w:p>
        </w:tc>
        <w:tc>
          <w:tcPr>
            <w:tcW w:w="9180" w:type="dxa"/>
            <w:vAlign w:val="bottom"/>
          </w:tcPr>
          <w:p>
            <w:pPr>
              <w:ind w:left="4000"/>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9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1000" w:type="dxa"/>
            <w:vAlign w:val="bottom"/>
            <w:tcBorders>
              <w:bottom w:val="single" w:sz="8" w:color="EEEEEE"/>
            </w:tcBorders>
          </w:tcPr>
          <w:p>
            <w:pPr>
              <w:spacing w:after="0" w:line="20" w:lineRule="exact"/>
              <w:rPr>
                <w:sz w:val="1"/>
                <w:szCs w:val="1"/>
                <w:color w:val="auto"/>
              </w:rPr>
            </w:pPr>
          </w:p>
        </w:tc>
        <w:tc>
          <w:tcPr>
            <w:tcW w:w="9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1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253"/>
        </w:trPr>
        <w:tc>
          <w:tcPr>
            <w:tcW w:w="1000" w:type="dxa"/>
            <w:vAlign w:val="bottom"/>
          </w:tcPr>
          <w:p>
            <w:pPr>
              <w:spacing w:after="0"/>
              <w:rPr>
                <w:sz w:val="20"/>
                <w:szCs w:val="20"/>
                <w:color w:val="auto"/>
              </w:rPr>
            </w:pPr>
            <w:r>
              <w:rPr>
                <w:rFonts w:ascii="Arial" w:cs="Arial" w:eastAsia="Arial" w:hAnsi="Arial"/>
                <w:sz w:val="17"/>
                <w:szCs w:val="17"/>
                <w:color w:val="auto"/>
              </w:rPr>
              <w:t>10.7</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Employment Agreement between World Fuel Services, Inc. and Michael S. Clementi, effective January 1, 2008</w:t>
            </w:r>
          </w:p>
        </w:tc>
      </w:tr>
      <w:tr>
        <w:trPr>
          <w:trHeight w:val="271"/>
        </w:trPr>
        <w:tc>
          <w:tcPr>
            <w:tcW w:w="1000" w:type="dxa"/>
            <w:vAlign w:val="bottom"/>
          </w:tcPr>
          <w:p>
            <w:pPr>
              <w:spacing w:after="0"/>
              <w:rPr>
                <w:sz w:val="23"/>
                <w:szCs w:val="23"/>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(incorporated by reference herein to Exhibit 10.3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March 20, 2008). *</w:t>
            </w:r>
          </w:p>
        </w:tc>
      </w:tr>
      <w:tr>
        <w:trPr>
          <w:trHeight w:val="223"/>
        </w:trPr>
        <w:tc>
          <w:tcPr>
            <w:tcW w:w="1000" w:type="dxa"/>
            <w:vAlign w:val="bottom"/>
          </w:tcPr>
          <w:p>
            <w:pPr>
              <w:spacing w:after="0"/>
              <w:rPr>
                <w:sz w:val="20"/>
                <w:szCs w:val="20"/>
                <w:color w:val="auto"/>
              </w:rPr>
            </w:pPr>
            <w:r>
              <w:rPr>
                <w:rFonts w:ascii="Arial" w:cs="Arial" w:eastAsia="Arial" w:hAnsi="Arial"/>
                <w:sz w:val="17"/>
                <w:szCs w:val="17"/>
                <w:color w:val="auto"/>
              </w:rPr>
              <w:t>10.8</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Amendment to Employment Agreement between World Fuel Services, Inc. and Michael S. Clementi, dated May 20,</w:t>
            </w:r>
          </w:p>
        </w:tc>
      </w:tr>
      <w:tr>
        <w:trPr>
          <w:trHeight w:val="211"/>
        </w:trPr>
        <w:tc>
          <w:tcPr>
            <w:tcW w:w="1000" w:type="dxa"/>
            <w:vAlign w:val="bottom"/>
          </w:tcPr>
          <w:p>
            <w:pPr>
              <w:spacing w:after="0"/>
              <w:rPr>
                <w:sz w:val="18"/>
                <w:szCs w:val="18"/>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2011 (incorporated by reference herein to Exhibit 10.1 to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 ended</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June 30, 2011 filed on August 2, 2011). *</w:t>
            </w: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10.9</w:t>
            </w: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1993 Non</w:t>
            </w:r>
            <w:r>
              <w:rPr>
                <w:rFonts w:ascii="MS PGothic" w:cs="MS PGothic" w:eastAsia="MS PGothic" w:hAnsi="MS PGothic"/>
                <w:sz w:val="17"/>
                <w:szCs w:val="17"/>
                <w:color w:val="auto"/>
              </w:rPr>
              <w:t>‑</w:t>
            </w:r>
            <w:r>
              <w:rPr>
                <w:rFonts w:ascii="Arial" w:cs="Arial" w:eastAsia="Arial" w:hAnsi="Arial"/>
                <w:sz w:val="17"/>
                <w:szCs w:val="17"/>
                <w:color w:val="auto"/>
              </w:rPr>
              <w:t>Employee Directors Stock Option Plan, as amended and restated (incorporated by reference herein to</w:t>
            </w:r>
          </w:p>
        </w:tc>
      </w:tr>
      <w:tr>
        <w:trPr>
          <w:trHeight w:val="271"/>
        </w:trPr>
        <w:tc>
          <w:tcPr>
            <w:tcW w:w="1000" w:type="dxa"/>
            <w:vAlign w:val="bottom"/>
          </w:tcPr>
          <w:p>
            <w:pPr>
              <w:spacing w:after="0"/>
              <w:rPr>
                <w:sz w:val="23"/>
                <w:szCs w:val="23"/>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Exhibit 4.1 to our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8 filed on December 20, 2005). *</w:t>
            </w:r>
          </w:p>
        </w:tc>
      </w:tr>
      <w:tr>
        <w:trPr>
          <w:trHeight w:val="239"/>
        </w:trPr>
        <w:tc>
          <w:tcPr>
            <w:tcW w:w="1000" w:type="dxa"/>
            <w:vAlign w:val="bottom"/>
          </w:tcPr>
          <w:p>
            <w:pPr>
              <w:spacing w:after="0"/>
              <w:rPr>
                <w:sz w:val="20"/>
                <w:szCs w:val="20"/>
                <w:color w:val="auto"/>
              </w:rPr>
            </w:pPr>
            <w:r>
              <w:rPr>
                <w:rFonts w:ascii="Arial" w:cs="Arial" w:eastAsia="Arial" w:hAnsi="Arial"/>
                <w:sz w:val="17"/>
                <w:szCs w:val="17"/>
                <w:color w:val="auto"/>
              </w:rPr>
              <w:t>10.10</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1996 Employee Stock Option Plan (incorporated by reference herein to Exhibit A to our Schedule 14A filed on</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June 25, 1998). *</w:t>
            </w: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10.11</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2001 Omnibus Plan, as amended and restated (incorporated by reference herein to Exhibit 4.2 to our Registration</w:t>
            </w:r>
          </w:p>
        </w:tc>
      </w:tr>
      <w:tr>
        <w:trPr>
          <w:trHeight w:val="271"/>
        </w:trPr>
        <w:tc>
          <w:tcPr>
            <w:tcW w:w="1000" w:type="dxa"/>
            <w:vAlign w:val="bottom"/>
          </w:tcPr>
          <w:p>
            <w:pPr>
              <w:spacing w:after="0"/>
              <w:rPr>
                <w:sz w:val="23"/>
                <w:szCs w:val="23"/>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Statement on Form S</w:t>
            </w:r>
            <w:r>
              <w:rPr>
                <w:rFonts w:ascii="MS PGothic" w:cs="MS PGothic" w:eastAsia="MS PGothic" w:hAnsi="MS PGothic"/>
                <w:sz w:val="17"/>
                <w:szCs w:val="17"/>
                <w:color w:val="auto"/>
              </w:rPr>
              <w:t>‑</w:t>
            </w:r>
            <w:r>
              <w:rPr>
                <w:rFonts w:ascii="Arial" w:cs="Arial" w:eastAsia="Arial" w:hAnsi="Arial"/>
                <w:sz w:val="17"/>
                <w:szCs w:val="17"/>
                <w:color w:val="auto"/>
              </w:rPr>
              <w:t>8 filed on December 20, 2005). *</w:t>
            </w:r>
          </w:p>
        </w:tc>
      </w:tr>
      <w:tr>
        <w:trPr>
          <w:trHeight w:val="239"/>
        </w:trPr>
        <w:tc>
          <w:tcPr>
            <w:tcW w:w="1000" w:type="dxa"/>
            <w:vAlign w:val="bottom"/>
          </w:tcPr>
          <w:p>
            <w:pPr>
              <w:spacing w:after="0"/>
              <w:rPr>
                <w:sz w:val="20"/>
                <w:szCs w:val="20"/>
                <w:color w:val="auto"/>
              </w:rPr>
            </w:pPr>
            <w:r>
              <w:rPr>
                <w:rFonts w:ascii="Arial" w:cs="Arial" w:eastAsia="Arial" w:hAnsi="Arial"/>
                <w:sz w:val="17"/>
                <w:szCs w:val="17"/>
                <w:color w:val="auto"/>
              </w:rPr>
              <w:t>10.12</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2006 Omnibus Plan (incorporated by reference herein to Appendix A to the Company's Definitive Proxy Statement</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on Schedule 14A filed with the SEC on April 27, 2009. *</w:t>
            </w: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10.13</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World Fuel Services Corporation 2013 Executive Incentive Plan (incorporated by reference herein to Exhibit 10.1 to</w:t>
            </w:r>
          </w:p>
        </w:tc>
      </w:tr>
      <w:tr>
        <w:trPr>
          <w:trHeight w:val="271"/>
        </w:trPr>
        <w:tc>
          <w:tcPr>
            <w:tcW w:w="1000" w:type="dxa"/>
            <w:vAlign w:val="bottom"/>
          </w:tcPr>
          <w:p>
            <w:pPr>
              <w:spacing w:after="0"/>
              <w:rPr>
                <w:sz w:val="23"/>
                <w:szCs w:val="23"/>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June 4, 2013). *</w:t>
            </w:r>
          </w:p>
        </w:tc>
      </w:tr>
      <w:tr>
        <w:trPr>
          <w:trHeight w:val="223"/>
        </w:trPr>
        <w:tc>
          <w:tcPr>
            <w:tcW w:w="1000" w:type="dxa"/>
            <w:vAlign w:val="bottom"/>
          </w:tcPr>
          <w:p>
            <w:pPr>
              <w:spacing w:after="0"/>
              <w:rPr>
                <w:sz w:val="20"/>
                <w:szCs w:val="20"/>
                <w:color w:val="auto"/>
              </w:rPr>
            </w:pPr>
            <w:r>
              <w:rPr>
                <w:rFonts w:ascii="Arial" w:cs="Arial" w:eastAsia="Arial" w:hAnsi="Arial"/>
                <w:sz w:val="17"/>
                <w:szCs w:val="17"/>
                <w:color w:val="auto"/>
              </w:rPr>
              <w:t>10.14</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Form  of  Named  Executive  Officer  Restricted  Stock  Unit  Grant  Agreement  under  the  2006  Omnibus  Plan</w:t>
            </w:r>
          </w:p>
        </w:tc>
      </w:tr>
      <w:tr>
        <w:trPr>
          <w:trHeight w:val="211"/>
        </w:trPr>
        <w:tc>
          <w:tcPr>
            <w:tcW w:w="1000" w:type="dxa"/>
            <w:vAlign w:val="bottom"/>
          </w:tcPr>
          <w:p>
            <w:pPr>
              <w:spacing w:after="0"/>
              <w:rPr>
                <w:sz w:val="18"/>
                <w:szCs w:val="18"/>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(incorporated by reference herein to Exhibit 10.4 to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 ended</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June 30, 2011 filed on August 2, 2011). *</w:t>
            </w: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10.15</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Form of Named Executive Officer Restricted Stock Agreement under the 2006 Omnibus Plan (incorporated by</w:t>
            </w:r>
          </w:p>
        </w:tc>
      </w:tr>
      <w:tr>
        <w:trPr>
          <w:trHeight w:val="211"/>
        </w:trPr>
        <w:tc>
          <w:tcPr>
            <w:tcW w:w="1000" w:type="dxa"/>
            <w:vAlign w:val="bottom"/>
          </w:tcPr>
          <w:p>
            <w:pPr>
              <w:spacing w:after="0"/>
              <w:rPr>
                <w:sz w:val="18"/>
                <w:szCs w:val="18"/>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reference herein to Exhibit 10.5 to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 ended June 30, 2011 filed on</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August 2, 2011). *</w:t>
            </w: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10.16</w:t>
            </w: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Form of Stock</w:t>
            </w:r>
            <w:r>
              <w:rPr>
                <w:rFonts w:ascii="MS PGothic" w:cs="MS PGothic" w:eastAsia="MS PGothic" w:hAnsi="MS PGothic"/>
                <w:sz w:val="17"/>
                <w:szCs w:val="17"/>
                <w:color w:val="auto"/>
              </w:rPr>
              <w:t>‑</w:t>
            </w:r>
            <w:r>
              <w:rPr>
                <w:rFonts w:ascii="Arial" w:cs="Arial" w:eastAsia="Arial" w:hAnsi="Arial"/>
                <w:sz w:val="17"/>
                <w:szCs w:val="17"/>
                <w:color w:val="auto"/>
              </w:rPr>
              <w:t>Settled Stock Appreciation Right Agreement in connection with the 2006 Omnibus Plan (incorporated</w:t>
            </w:r>
          </w:p>
        </w:tc>
      </w:tr>
      <w:tr>
        <w:trPr>
          <w:trHeight w:val="271"/>
        </w:trPr>
        <w:tc>
          <w:tcPr>
            <w:tcW w:w="1000" w:type="dxa"/>
            <w:vAlign w:val="bottom"/>
          </w:tcPr>
          <w:p>
            <w:pPr>
              <w:spacing w:after="0"/>
              <w:rPr>
                <w:sz w:val="23"/>
                <w:szCs w:val="23"/>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by reference herein to Exhibit 10.3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November 7, 2006). *</w:t>
            </w:r>
          </w:p>
        </w:tc>
      </w:tr>
      <w:tr>
        <w:trPr>
          <w:trHeight w:val="223"/>
        </w:trPr>
        <w:tc>
          <w:tcPr>
            <w:tcW w:w="1000" w:type="dxa"/>
            <w:vAlign w:val="bottom"/>
          </w:tcPr>
          <w:p>
            <w:pPr>
              <w:spacing w:after="0"/>
              <w:rPr>
                <w:sz w:val="20"/>
                <w:szCs w:val="20"/>
                <w:color w:val="auto"/>
              </w:rPr>
            </w:pPr>
            <w:r>
              <w:rPr>
                <w:rFonts w:ascii="Arial" w:cs="Arial" w:eastAsia="Arial" w:hAnsi="Arial"/>
                <w:sz w:val="17"/>
                <w:szCs w:val="17"/>
                <w:color w:val="auto"/>
              </w:rPr>
              <w:t>10.17</w:t>
            </w: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Form of Named Executive Officer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Stock Grant Agreement under the 2006 Omnibus</w:t>
            </w:r>
          </w:p>
        </w:tc>
      </w:tr>
      <w:tr>
        <w:trPr>
          <w:trHeight w:val="211"/>
        </w:trPr>
        <w:tc>
          <w:tcPr>
            <w:tcW w:w="1000" w:type="dxa"/>
            <w:vAlign w:val="bottom"/>
          </w:tcPr>
          <w:p>
            <w:pPr>
              <w:spacing w:after="0"/>
              <w:rPr>
                <w:sz w:val="18"/>
                <w:szCs w:val="18"/>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Plan (incorporated by reference herein to Exhibit 10.1 to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 ended</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September 30, 2012 filed on November 1, 2012). *</w:t>
            </w:r>
          </w:p>
        </w:tc>
      </w:tr>
      <w:tr>
        <w:trPr>
          <w:trHeight w:val="259"/>
        </w:trPr>
        <w:tc>
          <w:tcPr>
            <w:tcW w:w="1000" w:type="dxa"/>
            <w:vAlign w:val="bottom"/>
          </w:tcPr>
          <w:p>
            <w:pPr>
              <w:spacing w:after="0"/>
              <w:rPr>
                <w:sz w:val="20"/>
                <w:szCs w:val="20"/>
                <w:color w:val="auto"/>
              </w:rPr>
            </w:pPr>
            <w:r>
              <w:rPr>
                <w:rFonts w:ascii="Arial" w:cs="Arial" w:eastAsia="Arial" w:hAnsi="Arial"/>
                <w:sz w:val="17"/>
                <w:szCs w:val="17"/>
                <w:color w:val="auto"/>
              </w:rPr>
              <w:t>10.18</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Ira M. Birns Restricted Stock Unit Grant Agreement, dated March 15, 2010 (incorporated by reference herein to</w:t>
            </w:r>
          </w:p>
        </w:tc>
      </w:tr>
      <w:tr>
        <w:trPr>
          <w:trHeight w:val="195"/>
        </w:trPr>
        <w:tc>
          <w:tcPr>
            <w:tcW w:w="1000" w:type="dxa"/>
            <w:vAlign w:val="bottom"/>
          </w:tcPr>
          <w:p>
            <w:pPr>
              <w:spacing w:after="0"/>
              <w:rPr>
                <w:sz w:val="16"/>
                <w:szCs w:val="16"/>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Exhibit 10.19 to our Annual Report on Form 10 K for the fiscal year ended December 31, 2011 filed on February 23,</w:t>
            </w:r>
          </w:p>
        </w:tc>
      </w:tr>
      <w:tr>
        <w:trPr>
          <w:trHeight w:val="235"/>
        </w:trPr>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2012). *</w:t>
            </w:r>
          </w:p>
        </w:tc>
        <w:tc>
          <w:tcPr>
            <w:tcW w:w="20" w:type="dxa"/>
            <w:vAlign w:val="bottom"/>
          </w:tcPr>
          <w:p>
            <w:pPr>
              <w:spacing w:after="0"/>
              <w:rPr>
                <w:sz w:val="20"/>
                <w:szCs w:val="20"/>
                <w:color w:val="auto"/>
              </w:rPr>
            </w:pP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10.19</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Amendment to March 15, 2010 Ira M. Birns Restricted Stock Unit Grant Agreement, dated February 3, 2011</w:t>
            </w:r>
          </w:p>
        </w:tc>
      </w:tr>
      <w:tr>
        <w:trPr>
          <w:trHeight w:val="211"/>
        </w:trPr>
        <w:tc>
          <w:tcPr>
            <w:tcW w:w="1000" w:type="dxa"/>
            <w:vAlign w:val="bottom"/>
          </w:tcPr>
          <w:p>
            <w:pPr>
              <w:spacing w:after="0"/>
              <w:rPr>
                <w:sz w:val="18"/>
                <w:szCs w:val="18"/>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(incorporated by reference herein to Exhibit 10.20 to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December 31, 2011 filed on February 23, 2012). *</w:t>
            </w: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10.20</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Amendment to 2009, 2010 and 2011 Michael S. Clementi Restricted Stock Unit Grant Agreements, dated May 20,</w:t>
            </w:r>
          </w:p>
        </w:tc>
      </w:tr>
      <w:tr>
        <w:trPr>
          <w:trHeight w:val="211"/>
        </w:trPr>
        <w:tc>
          <w:tcPr>
            <w:tcW w:w="1000" w:type="dxa"/>
            <w:vAlign w:val="bottom"/>
          </w:tcPr>
          <w:p>
            <w:pPr>
              <w:spacing w:after="0"/>
              <w:rPr>
                <w:sz w:val="18"/>
                <w:szCs w:val="18"/>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2011 (incorporated by reference herein to Exhibit 10.2 to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 ended</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June 30, 2011 filed on August 2, 2011). *</w:t>
            </w: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10.21</w:t>
            </w: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Amendment to 2009, 2010 and 2011 Michael S. Clementi Restricted Stock Unit Grant Agreements, dated</w:t>
            </w:r>
          </w:p>
        </w:tc>
      </w:tr>
      <w:tr>
        <w:trPr>
          <w:trHeight w:val="211"/>
        </w:trPr>
        <w:tc>
          <w:tcPr>
            <w:tcW w:w="1000" w:type="dxa"/>
            <w:vAlign w:val="bottom"/>
          </w:tcPr>
          <w:p>
            <w:pPr>
              <w:spacing w:after="0"/>
              <w:rPr>
                <w:sz w:val="18"/>
                <w:szCs w:val="18"/>
                <w:color w:val="auto"/>
              </w:rPr>
            </w:pPr>
          </w:p>
        </w:tc>
        <w:tc>
          <w:tcPr>
            <w:tcW w:w="9200" w:type="dxa"/>
            <w:vAlign w:val="bottom"/>
            <w:gridSpan w:val="2"/>
          </w:tcPr>
          <w:p>
            <w:pPr>
              <w:ind w:left="280"/>
              <w:spacing w:after="0" w:line="196" w:lineRule="exact"/>
              <w:rPr>
                <w:sz w:val="20"/>
                <w:szCs w:val="20"/>
                <w:color w:val="auto"/>
              </w:rPr>
            </w:pPr>
            <w:r>
              <w:rPr>
                <w:rFonts w:ascii="Arial" w:cs="Arial" w:eastAsia="Arial" w:hAnsi="Arial"/>
                <w:sz w:val="17"/>
                <w:szCs w:val="17"/>
                <w:color w:val="auto"/>
              </w:rPr>
              <w:t>October 25, 2011 (incorporated by reference herein to Exhibit 10.1 to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w:t>
            </w:r>
          </w:p>
        </w:tc>
      </w:tr>
      <w:tr>
        <w:trPr>
          <w:trHeight w:val="235"/>
        </w:trPr>
        <w:tc>
          <w:tcPr>
            <w:tcW w:w="1000" w:type="dxa"/>
            <w:vAlign w:val="bottom"/>
          </w:tcPr>
          <w:p>
            <w:pPr>
              <w:spacing w:after="0"/>
              <w:rPr>
                <w:sz w:val="20"/>
                <w:szCs w:val="20"/>
                <w:color w:val="auto"/>
              </w:rPr>
            </w:pPr>
          </w:p>
        </w:tc>
        <w:tc>
          <w:tcPr>
            <w:tcW w:w="9200" w:type="dxa"/>
            <w:vAlign w:val="bottom"/>
            <w:gridSpan w:val="2"/>
          </w:tcPr>
          <w:p>
            <w:pPr>
              <w:ind w:left="280"/>
              <w:spacing w:after="0"/>
              <w:rPr>
                <w:sz w:val="20"/>
                <w:szCs w:val="20"/>
                <w:color w:val="auto"/>
              </w:rPr>
            </w:pPr>
            <w:r>
              <w:rPr>
                <w:rFonts w:ascii="Arial" w:cs="Arial" w:eastAsia="Arial" w:hAnsi="Arial"/>
                <w:sz w:val="17"/>
                <w:szCs w:val="17"/>
                <w:color w:val="auto"/>
              </w:rPr>
              <w:t>quarter ended September 30, 2011 filed on November 1, 2011). *</w:t>
            </w:r>
          </w:p>
        </w:tc>
      </w:tr>
      <w:tr>
        <w:trPr>
          <w:trHeight w:val="415"/>
        </w:trPr>
        <w:tc>
          <w:tcPr>
            <w:tcW w:w="1000" w:type="dxa"/>
            <w:vAlign w:val="bottom"/>
          </w:tcPr>
          <w:p>
            <w:pPr>
              <w:spacing w:after="0"/>
              <w:rPr>
                <w:sz w:val="24"/>
                <w:szCs w:val="24"/>
                <w:color w:val="auto"/>
              </w:rPr>
            </w:pPr>
          </w:p>
        </w:tc>
        <w:tc>
          <w:tcPr>
            <w:tcW w:w="9180" w:type="dxa"/>
            <w:vAlign w:val="bottom"/>
          </w:tcPr>
          <w:p>
            <w:pPr>
              <w:ind w:left="4000"/>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9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1000" w:type="dxa"/>
            <w:vAlign w:val="bottom"/>
            <w:tcBorders>
              <w:bottom w:val="single" w:sz="8" w:color="EEEEEE"/>
            </w:tcBorders>
          </w:tcPr>
          <w:p>
            <w:pPr>
              <w:spacing w:after="0" w:line="20" w:lineRule="exact"/>
              <w:rPr>
                <w:sz w:val="1"/>
                <w:szCs w:val="1"/>
                <w:color w:val="auto"/>
              </w:rPr>
            </w:pPr>
          </w:p>
        </w:tc>
        <w:tc>
          <w:tcPr>
            <w:tcW w:w="9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42" w:name="page43"/>
    <w:bookmarkEnd w:id="42"/>
    <w:p>
      <w:pPr>
        <w:ind w:left="160"/>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5"/>
              </w:rPr>
              <w:t>Exhibit No.</w:t>
            </w:r>
          </w:p>
        </w:tc>
        <w:tc>
          <w:tcPr>
            <w:tcW w:w="91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160" w:type="dxa"/>
            <w:vAlign w:val="bottom"/>
            <w:gridSpan w:val="2"/>
          </w:tcPr>
          <w:p>
            <w:pPr>
              <w:jc w:val="right"/>
              <w:ind w:right="671"/>
              <w:spacing w:after="0"/>
              <w:rPr>
                <w:sz w:val="20"/>
                <w:szCs w:val="20"/>
                <w:color w:val="auto"/>
              </w:rPr>
            </w:pPr>
            <w:r>
              <w:rPr>
                <w:rFonts w:ascii="Arial" w:cs="Arial" w:eastAsia="Arial" w:hAnsi="Arial"/>
                <w:sz w:val="17"/>
                <w:szCs w:val="17"/>
                <w:color w:val="auto"/>
                <w:w w:val="93"/>
              </w:rPr>
              <w:t>10.22</w:t>
            </w:r>
          </w:p>
        </w:tc>
        <w:tc>
          <w:tcPr>
            <w:tcW w:w="9180" w:type="dxa"/>
            <w:vAlign w:val="bottom"/>
          </w:tcPr>
          <w:p>
            <w:pPr>
              <w:ind w:left="280"/>
              <w:spacing w:after="0"/>
              <w:rPr>
                <w:sz w:val="20"/>
                <w:szCs w:val="20"/>
                <w:color w:val="auto"/>
              </w:rPr>
            </w:pPr>
            <w:r>
              <w:rPr>
                <w:rFonts w:ascii="Arial" w:cs="Arial" w:eastAsia="Arial" w:hAnsi="Arial"/>
                <w:sz w:val="17"/>
                <w:szCs w:val="17"/>
                <w:color w:val="auto"/>
              </w:rPr>
              <w:t>Form of Michael S. Clementi Restricted Stock Unit Grant Agreement under the 2006 Omnibus Plan (incorporated by</w:t>
            </w:r>
          </w:p>
        </w:tc>
      </w:tr>
      <w:tr>
        <w:trPr>
          <w:trHeight w:val="195"/>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reference herein to Exhibit 10.3 to our Quarterly Report on Form 10 Q for the quarter ended June 30, 2011 filed on</w:t>
            </w:r>
          </w:p>
        </w:tc>
      </w:tr>
      <w:tr>
        <w:trPr>
          <w:trHeight w:val="235"/>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August 2, 2011).*</w:t>
            </w:r>
          </w:p>
        </w:tc>
      </w:tr>
      <w:tr>
        <w:trPr>
          <w:trHeight w:val="259"/>
        </w:trPr>
        <w:tc>
          <w:tcPr>
            <w:tcW w:w="1160" w:type="dxa"/>
            <w:vAlign w:val="bottom"/>
            <w:gridSpan w:val="2"/>
          </w:tcPr>
          <w:p>
            <w:pPr>
              <w:ind w:left="160"/>
              <w:spacing w:after="0"/>
              <w:rPr>
                <w:sz w:val="20"/>
                <w:szCs w:val="20"/>
                <w:color w:val="auto"/>
              </w:rPr>
            </w:pPr>
            <w:r>
              <w:rPr>
                <w:rFonts w:ascii="Arial" w:cs="Arial" w:eastAsia="Arial" w:hAnsi="Arial"/>
                <w:sz w:val="17"/>
                <w:szCs w:val="17"/>
                <w:color w:val="auto"/>
              </w:rPr>
              <w:t>10.23</w:t>
            </w:r>
          </w:p>
        </w:tc>
        <w:tc>
          <w:tcPr>
            <w:tcW w:w="9180" w:type="dxa"/>
            <w:vAlign w:val="bottom"/>
          </w:tcPr>
          <w:p>
            <w:pPr>
              <w:ind w:left="280"/>
              <w:spacing w:after="0"/>
              <w:rPr>
                <w:sz w:val="20"/>
                <w:szCs w:val="20"/>
                <w:color w:val="auto"/>
              </w:rPr>
            </w:pPr>
            <w:r>
              <w:rPr>
                <w:rFonts w:ascii="Arial" w:cs="Arial" w:eastAsia="Arial" w:hAnsi="Arial"/>
                <w:sz w:val="17"/>
                <w:szCs w:val="17"/>
                <w:color w:val="auto"/>
              </w:rPr>
              <w:t>Form of 2013 Non-Employee Director Restricted Stock Unit Award Agreement under the 2006 Omnibus Plan</w:t>
            </w:r>
          </w:p>
        </w:tc>
      </w:tr>
      <w:tr>
        <w:trPr>
          <w:trHeight w:val="195"/>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(incorporated by reference herein to Exhibit 10.25 to our Annual Report on Form 10 K for the fiscal year ended</w:t>
            </w:r>
          </w:p>
        </w:tc>
      </w:tr>
      <w:tr>
        <w:trPr>
          <w:trHeight w:val="235"/>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December 31, 2013 filed on February 14, 2014). *</w:t>
            </w:r>
          </w:p>
        </w:tc>
      </w:tr>
      <w:tr>
        <w:trPr>
          <w:trHeight w:val="259"/>
        </w:trPr>
        <w:tc>
          <w:tcPr>
            <w:tcW w:w="1160" w:type="dxa"/>
            <w:vAlign w:val="bottom"/>
            <w:gridSpan w:val="2"/>
          </w:tcPr>
          <w:p>
            <w:pPr>
              <w:jc w:val="right"/>
              <w:ind w:right="671"/>
              <w:spacing w:after="0"/>
              <w:rPr>
                <w:sz w:val="20"/>
                <w:szCs w:val="20"/>
                <w:color w:val="auto"/>
              </w:rPr>
            </w:pPr>
            <w:r>
              <w:rPr>
                <w:rFonts w:ascii="Arial" w:cs="Arial" w:eastAsia="Arial" w:hAnsi="Arial"/>
                <w:sz w:val="17"/>
                <w:szCs w:val="17"/>
                <w:color w:val="auto"/>
                <w:w w:val="93"/>
              </w:rPr>
              <w:t>10.24</w:t>
            </w:r>
          </w:p>
        </w:tc>
        <w:tc>
          <w:tcPr>
            <w:tcW w:w="9180" w:type="dxa"/>
            <w:vAlign w:val="bottom"/>
          </w:tcPr>
          <w:p>
            <w:pPr>
              <w:ind w:left="280"/>
              <w:spacing w:after="0"/>
              <w:rPr>
                <w:sz w:val="20"/>
                <w:szCs w:val="20"/>
                <w:color w:val="auto"/>
              </w:rPr>
            </w:pPr>
            <w:r>
              <w:rPr>
                <w:rFonts w:ascii="Arial" w:cs="Arial" w:eastAsia="Arial" w:hAnsi="Arial"/>
                <w:sz w:val="17"/>
                <w:szCs w:val="17"/>
                <w:color w:val="auto"/>
              </w:rPr>
              <w:t>Form of Stock Settled Stock Appreciation Right Agreement (Non-Employee Director) in connection with the 2006</w:t>
            </w:r>
          </w:p>
        </w:tc>
      </w:tr>
      <w:tr>
        <w:trPr>
          <w:trHeight w:val="195"/>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Omnibus Plan (incorporated by reference herein to Exhibit 10.5 to our Current Report on Form 8 K filed on</w:t>
            </w:r>
          </w:p>
        </w:tc>
      </w:tr>
      <w:tr>
        <w:trPr>
          <w:trHeight w:val="235"/>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November 7, 2006). *</w:t>
            </w:r>
          </w:p>
        </w:tc>
      </w:tr>
      <w:tr>
        <w:trPr>
          <w:trHeight w:val="259"/>
        </w:trPr>
        <w:tc>
          <w:tcPr>
            <w:tcW w:w="1160" w:type="dxa"/>
            <w:vAlign w:val="bottom"/>
            <w:gridSpan w:val="2"/>
          </w:tcPr>
          <w:p>
            <w:pPr>
              <w:ind w:left="160"/>
              <w:spacing w:after="0"/>
              <w:rPr>
                <w:sz w:val="20"/>
                <w:szCs w:val="20"/>
                <w:color w:val="auto"/>
              </w:rPr>
            </w:pPr>
            <w:r>
              <w:rPr>
                <w:rFonts w:ascii="Arial" w:cs="Arial" w:eastAsia="Arial" w:hAnsi="Arial"/>
                <w:sz w:val="17"/>
                <w:szCs w:val="17"/>
                <w:color w:val="auto"/>
              </w:rPr>
              <w:t>10.25</w:t>
            </w:r>
          </w:p>
        </w:tc>
        <w:tc>
          <w:tcPr>
            <w:tcW w:w="9180" w:type="dxa"/>
            <w:vAlign w:val="bottom"/>
          </w:tcPr>
          <w:p>
            <w:pPr>
              <w:ind w:left="280"/>
              <w:spacing w:after="0"/>
              <w:rPr>
                <w:sz w:val="20"/>
                <w:szCs w:val="20"/>
                <w:color w:val="auto"/>
              </w:rPr>
            </w:pPr>
            <w:r>
              <w:rPr>
                <w:rFonts w:ascii="Arial" w:cs="Arial" w:eastAsia="Arial" w:hAnsi="Arial"/>
                <w:sz w:val="17"/>
                <w:szCs w:val="17"/>
                <w:color w:val="auto"/>
              </w:rPr>
              <w:t>Fourth Amended and Restated Credit Agreement, dated as of October 10, 2013, among World Fuel Services</w:t>
            </w:r>
          </w:p>
        </w:tc>
      </w:tr>
      <w:tr>
        <w:trPr>
          <w:trHeight w:val="195"/>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Corporation, World Fuel Services Europe, Ltd. and World Fuel Services (Singapore) Pte Ltd, as borrowers, Bank of</w:t>
            </w:r>
          </w:p>
        </w:tc>
      </w:tr>
      <w:tr>
        <w:trPr>
          <w:trHeight w:val="195"/>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America, N.A., as administrative agent, and the financial institutions named therein as lenders (incorporated herein</w:t>
            </w:r>
          </w:p>
        </w:tc>
      </w:tr>
      <w:tr>
        <w:trPr>
          <w:trHeight w:val="235"/>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by reference to Exhibit 10.1 to our Current Report on Form 8 K filed on October 11, 2013).*</w:t>
            </w:r>
          </w:p>
        </w:tc>
      </w:tr>
      <w:tr>
        <w:trPr>
          <w:trHeight w:val="259"/>
        </w:trPr>
        <w:tc>
          <w:tcPr>
            <w:tcW w:w="1160" w:type="dxa"/>
            <w:vAlign w:val="bottom"/>
            <w:gridSpan w:val="2"/>
          </w:tcPr>
          <w:p>
            <w:pPr>
              <w:ind w:left="160"/>
              <w:spacing w:after="0"/>
              <w:rPr>
                <w:sz w:val="20"/>
                <w:szCs w:val="20"/>
                <w:color w:val="auto"/>
              </w:rPr>
            </w:pPr>
            <w:r>
              <w:rPr>
                <w:rFonts w:ascii="Arial" w:cs="Arial" w:eastAsia="Arial" w:hAnsi="Arial"/>
                <w:sz w:val="17"/>
                <w:szCs w:val="17"/>
                <w:color w:val="auto"/>
              </w:rPr>
              <w:t>10.26</w:t>
            </w:r>
          </w:p>
        </w:tc>
        <w:tc>
          <w:tcPr>
            <w:tcW w:w="9180" w:type="dxa"/>
            <w:vAlign w:val="bottom"/>
          </w:tcPr>
          <w:p>
            <w:pPr>
              <w:ind w:left="280"/>
              <w:spacing w:after="0"/>
              <w:rPr>
                <w:sz w:val="20"/>
                <w:szCs w:val="20"/>
                <w:color w:val="auto"/>
              </w:rPr>
            </w:pPr>
            <w:r>
              <w:rPr>
                <w:rFonts w:ascii="Arial" w:cs="Arial" w:eastAsia="Arial" w:hAnsi="Arial"/>
                <w:sz w:val="17"/>
                <w:szCs w:val="17"/>
                <w:color w:val="auto"/>
              </w:rPr>
              <w:t>First Amendment to the Fourth Amended and Restated Credit Agreement, dated as of January 30, 2015, among</w:t>
            </w:r>
          </w:p>
        </w:tc>
      </w:tr>
      <w:tr>
        <w:trPr>
          <w:trHeight w:val="195"/>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World Fuel Services Corporation, World Fuel Services Europe, Ltd. and World Fuel Services (Singapore) Pte Ltd, as</w:t>
            </w:r>
          </w:p>
        </w:tc>
      </w:tr>
      <w:tr>
        <w:trPr>
          <w:trHeight w:val="195"/>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borrowers, Bank of America, N.A., as administrative agent, and the financial institutions named therein as lenders</w:t>
            </w:r>
          </w:p>
        </w:tc>
      </w:tr>
      <w:tr>
        <w:trPr>
          <w:trHeight w:val="235"/>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(incorporated herein by reference to Exhibit 10.1 to our Current Report on Form 8 K filed on February 5, 2015).*</w:t>
            </w:r>
          </w:p>
        </w:tc>
      </w:tr>
      <w:tr>
        <w:trPr>
          <w:trHeight w:val="298"/>
        </w:trPr>
        <w:tc>
          <w:tcPr>
            <w:tcW w:w="1160" w:type="dxa"/>
            <w:vAlign w:val="bottom"/>
            <w:gridSpan w:val="2"/>
          </w:tcPr>
          <w:p>
            <w:pPr>
              <w:ind w:left="160"/>
              <w:spacing w:after="0"/>
              <w:rPr>
                <w:sz w:val="20"/>
                <w:szCs w:val="20"/>
                <w:color w:val="auto"/>
              </w:rPr>
            </w:pPr>
            <w:r>
              <w:rPr>
                <w:rFonts w:ascii="Arial" w:cs="Arial" w:eastAsia="Arial" w:hAnsi="Arial"/>
                <w:sz w:val="17"/>
                <w:szCs w:val="17"/>
                <w:color w:val="auto"/>
              </w:rPr>
              <w:t>21.1</w:t>
            </w:r>
          </w:p>
        </w:tc>
        <w:tc>
          <w:tcPr>
            <w:tcW w:w="9180" w:type="dxa"/>
            <w:vAlign w:val="bottom"/>
          </w:tcPr>
          <w:p>
            <w:pPr>
              <w:ind w:left="280"/>
              <w:spacing w:after="0"/>
              <w:rPr>
                <w:sz w:val="20"/>
                <w:szCs w:val="20"/>
                <w:color w:val="auto"/>
              </w:rPr>
            </w:pPr>
            <w:r>
              <w:rPr>
                <w:rFonts w:ascii="Arial" w:cs="Arial" w:eastAsia="Arial" w:hAnsi="Arial"/>
                <w:sz w:val="17"/>
                <w:szCs w:val="17"/>
                <w:color w:val="auto"/>
              </w:rPr>
              <w:t>Subsidiaries of the Registrant.</w:t>
            </w:r>
          </w:p>
        </w:tc>
      </w:tr>
      <w:tr>
        <w:trPr>
          <w:trHeight w:val="298"/>
        </w:trPr>
        <w:tc>
          <w:tcPr>
            <w:tcW w:w="1160" w:type="dxa"/>
            <w:vAlign w:val="bottom"/>
            <w:gridSpan w:val="2"/>
          </w:tcPr>
          <w:p>
            <w:pPr>
              <w:ind w:left="160"/>
              <w:spacing w:after="0"/>
              <w:rPr>
                <w:sz w:val="20"/>
                <w:szCs w:val="20"/>
                <w:color w:val="auto"/>
              </w:rPr>
            </w:pPr>
            <w:r>
              <w:rPr>
                <w:rFonts w:ascii="Arial" w:cs="Arial" w:eastAsia="Arial" w:hAnsi="Arial"/>
                <w:sz w:val="17"/>
                <w:szCs w:val="17"/>
                <w:color w:val="auto"/>
              </w:rPr>
              <w:t>23.1</w:t>
            </w:r>
          </w:p>
        </w:tc>
        <w:tc>
          <w:tcPr>
            <w:tcW w:w="9180" w:type="dxa"/>
            <w:vAlign w:val="bottom"/>
          </w:tcPr>
          <w:p>
            <w:pPr>
              <w:ind w:left="280"/>
              <w:spacing w:after="0"/>
              <w:rPr>
                <w:sz w:val="20"/>
                <w:szCs w:val="20"/>
                <w:color w:val="auto"/>
              </w:rPr>
            </w:pPr>
            <w:r>
              <w:rPr>
                <w:rFonts w:ascii="Arial" w:cs="Arial" w:eastAsia="Arial" w:hAnsi="Arial"/>
                <w:sz w:val="17"/>
                <w:szCs w:val="17"/>
                <w:color w:val="auto"/>
              </w:rPr>
              <w:t>Consent of Independent Registered Certified Public Accounting Firm.</w:t>
            </w:r>
          </w:p>
        </w:tc>
      </w:tr>
      <w:tr>
        <w:trPr>
          <w:trHeight w:val="312"/>
        </w:trPr>
        <w:tc>
          <w:tcPr>
            <w:tcW w:w="1160" w:type="dxa"/>
            <w:vAlign w:val="bottom"/>
            <w:gridSpan w:val="2"/>
          </w:tcPr>
          <w:p>
            <w:pPr>
              <w:ind w:left="160"/>
              <w:spacing w:after="0"/>
              <w:rPr>
                <w:sz w:val="20"/>
                <w:szCs w:val="20"/>
                <w:color w:val="auto"/>
              </w:rPr>
            </w:pPr>
            <w:r>
              <w:rPr>
                <w:rFonts w:ascii="Arial" w:cs="Arial" w:eastAsia="Arial" w:hAnsi="Arial"/>
                <w:sz w:val="17"/>
                <w:szCs w:val="17"/>
                <w:color w:val="auto"/>
              </w:rPr>
              <w:t>31.1</w:t>
            </w: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Certification of the Chief Executive Officer 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Rule 15d</w:t>
            </w:r>
            <w:r>
              <w:rPr>
                <w:rFonts w:ascii="MS PGothic" w:cs="MS PGothic" w:eastAsia="MS PGothic" w:hAnsi="MS PGothic"/>
                <w:sz w:val="17"/>
                <w:szCs w:val="17"/>
                <w:color w:val="auto"/>
              </w:rPr>
              <w:t>‑</w:t>
            </w:r>
            <w:r>
              <w:rPr>
                <w:rFonts w:ascii="Arial" w:cs="Arial" w:eastAsia="Arial" w:hAnsi="Arial"/>
                <w:sz w:val="17"/>
                <w:szCs w:val="17"/>
                <w:color w:val="auto"/>
              </w:rPr>
              <w:t>14(a).</w:t>
            </w:r>
          </w:p>
        </w:tc>
      </w:tr>
      <w:tr>
        <w:trPr>
          <w:trHeight w:val="298"/>
        </w:trPr>
        <w:tc>
          <w:tcPr>
            <w:tcW w:w="1160" w:type="dxa"/>
            <w:vAlign w:val="bottom"/>
            <w:gridSpan w:val="2"/>
          </w:tcPr>
          <w:p>
            <w:pPr>
              <w:ind w:left="160"/>
              <w:spacing w:after="0"/>
              <w:rPr>
                <w:sz w:val="20"/>
                <w:szCs w:val="20"/>
                <w:color w:val="auto"/>
              </w:rPr>
            </w:pPr>
            <w:r>
              <w:rPr>
                <w:rFonts w:ascii="Arial" w:cs="Arial" w:eastAsia="Arial" w:hAnsi="Arial"/>
                <w:sz w:val="17"/>
                <w:szCs w:val="17"/>
                <w:color w:val="auto"/>
              </w:rPr>
              <w:t>31.2</w:t>
            </w: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Certification of the Chief Financial Officer 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Rule 15d</w:t>
            </w:r>
            <w:r>
              <w:rPr>
                <w:rFonts w:ascii="MS PGothic" w:cs="MS PGothic" w:eastAsia="MS PGothic" w:hAnsi="MS PGothic"/>
                <w:sz w:val="17"/>
                <w:szCs w:val="17"/>
                <w:color w:val="auto"/>
              </w:rPr>
              <w:t>‑</w:t>
            </w:r>
            <w:r>
              <w:rPr>
                <w:rFonts w:ascii="Arial" w:cs="Arial" w:eastAsia="Arial" w:hAnsi="Arial"/>
                <w:sz w:val="17"/>
                <w:szCs w:val="17"/>
                <w:color w:val="auto"/>
              </w:rPr>
              <w:t>14(a).</w:t>
            </w:r>
          </w:p>
        </w:tc>
      </w:tr>
      <w:tr>
        <w:trPr>
          <w:trHeight w:val="245"/>
        </w:trPr>
        <w:tc>
          <w:tcPr>
            <w:tcW w:w="1160" w:type="dxa"/>
            <w:vAlign w:val="bottom"/>
            <w:gridSpan w:val="2"/>
          </w:tcPr>
          <w:p>
            <w:pPr>
              <w:ind w:left="160"/>
              <w:spacing w:after="0"/>
              <w:rPr>
                <w:sz w:val="20"/>
                <w:szCs w:val="20"/>
                <w:color w:val="auto"/>
              </w:rPr>
            </w:pPr>
            <w:r>
              <w:rPr>
                <w:rFonts w:ascii="Arial" w:cs="Arial" w:eastAsia="Arial" w:hAnsi="Arial"/>
                <w:sz w:val="17"/>
                <w:szCs w:val="17"/>
                <w:color w:val="auto"/>
              </w:rPr>
              <w:t>32.1</w:t>
            </w:r>
          </w:p>
        </w:tc>
        <w:tc>
          <w:tcPr>
            <w:tcW w:w="9180" w:type="dxa"/>
            <w:vAlign w:val="bottom"/>
          </w:tcPr>
          <w:p>
            <w:pPr>
              <w:ind w:left="280"/>
              <w:spacing w:after="0" w:line="196" w:lineRule="exact"/>
              <w:rPr>
                <w:sz w:val="20"/>
                <w:szCs w:val="20"/>
                <w:color w:val="auto"/>
              </w:rPr>
            </w:pPr>
            <w:r>
              <w:rPr>
                <w:rFonts w:ascii="Arial" w:cs="Arial" w:eastAsia="Arial" w:hAnsi="Arial"/>
                <w:sz w:val="17"/>
                <w:szCs w:val="17"/>
                <w:color w:val="auto"/>
              </w:rPr>
              <w:t>Statement of Chief Executive Officer and Chief Financial Officer under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w:t>
            </w:r>
          </w:p>
        </w:tc>
      </w:tr>
      <w:tr>
        <w:trPr>
          <w:trHeight w:val="235"/>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17"/>
                <w:szCs w:val="17"/>
                <w:color w:val="auto"/>
              </w:rPr>
              <w:t>2002 (18 U.S.C. Section 1350).</w:t>
            </w:r>
          </w:p>
        </w:tc>
      </w:tr>
    </w:tbl>
    <w:p>
      <w:pPr>
        <w:spacing w:after="0" w:line="42" w:lineRule="exact"/>
        <w:rPr>
          <w:sz w:val="20"/>
          <w:szCs w:val="20"/>
          <w:color w:val="auto"/>
        </w:rPr>
      </w:pPr>
    </w:p>
    <w:p>
      <w:pPr>
        <w:jc w:val="both"/>
        <w:ind w:left="1440" w:hanging="1273"/>
        <w:spacing w:after="0" w:line="211" w:lineRule="exact"/>
        <w:tabs>
          <w:tab w:leader="none" w:pos="1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following materials from World Fuel Services Corporation’s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2014,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62" w:lineRule="exact"/>
        <w:rPr>
          <w:sz w:val="20"/>
          <w:szCs w:val="20"/>
          <w:color w:val="auto"/>
        </w:rPr>
      </w:pPr>
    </w:p>
    <w:p>
      <w:pPr>
        <w:ind w:left="360" w:hanging="193"/>
        <w:spacing w:after="0" w:line="263" w:lineRule="auto"/>
        <w:tabs>
          <w:tab w:leader="none" w:pos="305"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67310</wp:posOffset>
            </wp:positionV>
            <wp:extent cx="6502400" cy="5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340"/>
          </w:cols>
          <w:pgMar w:left="700" w:top="121" w:right="859"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ind w:right="4860"/>
        <w:spacing w:after="0" w:line="282" w:lineRule="auto"/>
        <w:rPr>
          <w:sz w:val="20"/>
          <w:szCs w:val="20"/>
          <w:color w:val="auto"/>
        </w:rPr>
      </w:pPr>
      <w:r>
        <w:rPr>
          <w:rFonts w:ascii="Arial" w:cs="Arial" w:eastAsia="Arial" w:hAnsi="Arial"/>
          <w:sz w:val="21"/>
          <w:szCs w:val="21"/>
          <w:b w:val="1"/>
          <w:bCs w:val="1"/>
          <w:color w:val="auto"/>
        </w:rPr>
        <w:t>REPORT OF INDEPENDENT REGISTERED CERTIFIED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 World Fuel Services Corporation:</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 xml:space="preserve">In our opinion, the accompanying consolidated balance sheets and the related consolidated statements of income and comprehensive income, shareholders’ equity, and cash flows present fairly, in all material respects, the financial position of World Fuel Services Corporation and its subsidiaries (the “Company”) at December 31, 2014 and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As described in Management's Report on Internal Control over Financial Reporting appearing in Item 9A of the Company’s 2014 Annual Report on Form 10-K, management has excluded Watson Petroleum and Colt from its assessment of internal control over financial reporting as of December 31, 2014 because these businesses were acquired in purchase business combinations during the year ended December 31, 2014. We have also excluded Watson Petroleum Limited (now known as WFL (UK) Limited) and Colt International, L.L.C. from our audit of internal control over financial reporting. Watson Petroleum Limited (now known as WFL (UK) Limited) and Colt International, L.L.C. are both wholly-owned subsidiaries whose total assets and revenues represent approximately 10.4% and 4.6%, respectively, of the related consolidated financial statement amounts as of and for the year ended December 31, 2014.</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Miami, Florida</w:t>
      </w:r>
    </w:p>
    <w:p>
      <w:pPr>
        <w:spacing w:after="0"/>
        <w:rPr>
          <w:sz w:val="20"/>
          <w:szCs w:val="20"/>
          <w:color w:val="auto"/>
        </w:rPr>
      </w:pPr>
      <w:r>
        <w:rPr>
          <w:rFonts w:ascii="Arial" w:cs="Arial" w:eastAsia="Arial" w:hAnsi="Arial"/>
          <w:sz w:val="17"/>
          <w:szCs w:val="17"/>
          <w:color w:val="auto"/>
        </w:rPr>
        <w:t>February 12,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ind w:right="4040"/>
        <w:spacing w:after="0" w:line="248" w:lineRule="auto"/>
        <w:rPr>
          <w:sz w:val="20"/>
          <w:szCs w:val="20"/>
          <w:color w:val="auto"/>
        </w:rPr>
      </w:pPr>
      <w:r>
        <w:rPr>
          <w:rFonts w:ascii="Arial" w:cs="Arial" w:eastAsia="Arial" w:hAnsi="Arial"/>
          <w:sz w:val="21"/>
          <w:szCs w:val="21"/>
          <w:b w:val="1"/>
          <w:bCs w:val="1"/>
          <w:color w:val="auto"/>
        </w:rPr>
        <w:t>WORLD FUEL SERVICES CORPORATION AND SUBSIDIARIES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 thousands, except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7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88"/>
        </w:trPr>
        <w:tc>
          <w:tcPr>
            <w:tcW w:w="71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Assets:</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Current assets: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302,264</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292,061</w:t>
            </w: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2,307,852</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2,538,642</w:t>
            </w: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437,566</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655,046</w:t>
            </w: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Prepaid expenses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76,936</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120,205</w:t>
            </w: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Short-term derivative assets, net</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303,599</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16,879</w:t>
            </w:r>
          </w:p>
        </w:tc>
      </w:tr>
      <w:tr>
        <w:trPr>
          <w:trHeight w:val="195"/>
        </w:trPr>
        <w:tc>
          <w:tcPr>
            <w:tcW w:w="7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current assets</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246,626</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192,668</w:t>
            </w:r>
          </w:p>
        </w:tc>
      </w:tr>
      <w:tr>
        <w:trPr>
          <w:trHeight w:val="188"/>
        </w:trPr>
        <w:tc>
          <w:tcPr>
            <w:tcW w:w="71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Total current assets</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3,674,843</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3,815,501</w:t>
            </w: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202,716</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129,685</w:t>
            </w: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656,078</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483,591</w:t>
            </w:r>
          </w:p>
        </w:tc>
      </w:tr>
      <w:tr>
        <w:trPr>
          <w:trHeight w:val="195"/>
        </w:trPr>
        <w:tc>
          <w:tcPr>
            <w:tcW w:w="7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Identifiable intangible and other non-current assets</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346,343</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310,500</w:t>
            </w:r>
          </w:p>
        </w:tc>
      </w:tr>
      <w:tr>
        <w:trPr>
          <w:trHeight w:val="194"/>
        </w:trPr>
        <w:tc>
          <w:tcPr>
            <w:tcW w:w="712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Total assets</w:t>
            </w:r>
          </w:p>
        </w:tc>
        <w:tc>
          <w:tcPr>
            <w:tcW w:w="640" w:type="dxa"/>
            <w:vAlign w:val="bottom"/>
            <w:tcBorders>
              <w:bottom w:val="single" w:sz="8" w:color="auto"/>
            </w:tcBorders>
            <w:gridSpan w:val="2"/>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4,879,980</w:t>
            </w:r>
          </w:p>
        </w:tc>
        <w:tc>
          <w:tcPr>
            <w:tcW w:w="460" w:type="dxa"/>
            <w:vAlign w:val="bottom"/>
            <w:tcBorders>
              <w:bottom w:val="single" w:sz="8" w:color="auto"/>
            </w:tcBorders>
            <w:shd w:val="clear" w:color="auto" w:fill="CCEEFF"/>
          </w:tcPr>
          <w:p>
            <w:pPr>
              <w:jc w:val="right"/>
              <w:ind w:right="37"/>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4,739,277</w:t>
            </w: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Liabilities: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Short-term debt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17,914</w:t>
            </w:r>
          </w:p>
        </w:tc>
        <w:tc>
          <w:tcPr>
            <w:tcW w:w="4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14,647</w:t>
            </w: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1,850,134</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2,210,427</w:t>
            </w: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Customer deposits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138,803</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111,068</w:t>
            </w:r>
          </w:p>
        </w:tc>
      </w:tr>
      <w:tr>
        <w:trPr>
          <w:trHeight w:val="195"/>
        </w:trPr>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4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234,503</w:t>
            </w: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178,373</w:t>
            </w:r>
          </w:p>
        </w:tc>
      </w:tr>
      <w:tr>
        <w:trPr>
          <w:trHeight w:val="188"/>
        </w:trPr>
        <w:tc>
          <w:tcPr>
            <w:tcW w:w="7120" w:type="dxa"/>
            <w:vAlign w:val="bottom"/>
          </w:tcPr>
          <w:p>
            <w:pPr>
              <w:spacing w:after="0" w:line="188" w:lineRule="exact"/>
              <w:rPr>
                <w:sz w:val="20"/>
                <w:szCs w:val="20"/>
                <w:color w:val="auto"/>
              </w:rPr>
            </w:pPr>
            <w:r>
              <w:rPr>
                <w:rFonts w:ascii="Arial" w:cs="Arial" w:eastAsia="Arial" w:hAnsi="Arial"/>
                <w:sz w:val="17"/>
                <w:szCs w:val="17"/>
                <w:color w:val="auto"/>
              </w:rPr>
              <w:t>Total current liabilities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4"/>
              <w:spacing w:after="0" w:line="188" w:lineRule="exact"/>
              <w:rPr>
                <w:sz w:val="20"/>
                <w:szCs w:val="20"/>
                <w:color w:val="auto"/>
              </w:rPr>
            </w:pPr>
            <w:r>
              <w:rPr>
                <w:rFonts w:ascii="Arial" w:cs="Arial" w:eastAsia="Arial" w:hAnsi="Arial"/>
                <w:sz w:val="17"/>
                <w:szCs w:val="17"/>
                <w:color w:val="auto"/>
              </w:rPr>
              <w:t>2,241,354</w:t>
            </w:r>
          </w:p>
        </w:tc>
        <w:tc>
          <w:tcPr>
            <w:tcW w:w="46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Arial" w:cs="Arial" w:eastAsia="Arial" w:hAnsi="Arial"/>
                <w:sz w:val="17"/>
                <w:szCs w:val="17"/>
                <w:color w:val="auto"/>
              </w:rPr>
              <w:t>2,514,515</w:t>
            </w: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671,954</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449,064</w:t>
            </w: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Non-current income tax liabilities, net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82,454</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82,532</w:t>
            </w:r>
          </w:p>
        </w:tc>
      </w:tr>
      <w:tr>
        <w:trPr>
          <w:trHeight w:val="195"/>
        </w:trPr>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4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19,337</w:t>
            </w: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14,272</w:t>
            </w:r>
          </w:p>
        </w:tc>
      </w:tr>
      <w:tr>
        <w:trPr>
          <w:trHeight w:val="188"/>
        </w:trPr>
        <w:tc>
          <w:tcPr>
            <w:tcW w:w="71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 liabilities</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4"/>
              <w:spacing w:after="0" w:line="188" w:lineRule="exact"/>
              <w:rPr>
                <w:sz w:val="20"/>
                <w:szCs w:val="20"/>
                <w:color w:val="auto"/>
              </w:rPr>
            </w:pPr>
            <w:r>
              <w:rPr>
                <w:rFonts w:ascii="Arial" w:cs="Arial" w:eastAsia="Arial" w:hAnsi="Arial"/>
                <w:sz w:val="17"/>
                <w:szCs w:val="17"/>
                <w:color w:val="auto"/>
              </w:rPr>
              <w:t>3,015,099</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3,060,383</w:t>
            </w:r>
          </w:p>
        </w:tc>
      </w:tr>
      <w:tr>
        <w:trPr>
          <w:trHeight w:val="188"/>
        </w:trPr>
        <w:tc>
          <w:tcPr>
            <w:tcW w:w="71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Commitments and contingencies</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Equity:</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World Fuel shareholders’ equity:</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Preferred stock, $1.00 par value; 100 shares authorized, none issued</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2"/>
        </w:trPr>
        <w:tc>
          <w:tcPr>
            <w:tcW w:w="712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Common stock, $0.01 par value; 100,000 shares authorized, 72,082 and 71,883 shares</w:t>
            </w: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issued and outstanding as of December 31, 2014 and 2013, respectively</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721</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r>
      <w:tr>
        <w:trPr>
          <w:trHeight w:val="195"/>
        </w:trPr>
        <w:tc>
          <w:tcPr>
            <w:tcW w:w="7120" w:type="dxa"/>
            <w:vAlign w:val="bottom"/>
          </w:tcPr>
          <w:p>
            <w:pPr>
              <w:spacing w:after="0"/>
              <w:rPr>
                <w:sz w:val="20"/>
                <w:szCs w:val="20"/>
                <w:color w:val="auto"/>
              </w:rPr>
            </w:pPr>
            <w:r>
              <w:rPr>
                <w:rFonts w:ascii="Arial" w:cs="Arial" w:eastAsia="Arial" w:hAnsi="Arial"/>
                <w:sz w:val="17"/>
                <w:szCs w:val="17"/>
                <w:color w:val="auto"/>
              </w:rPr>
              <w:t>Capital in excess of par value</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496,402</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495,199</w:t>
            </w: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1,418,450</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1,207,299</w:t>
            </w:r>
          </w:p>
        </w:tc>
      </w:tr>
      <w:tr>
        <w:trPr>
          <w:trHeight w:val="195"/>
        </w:trPr>
        <w:tc>
          <w:tcPr>
            <w:tcW w:w="7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Accumulated other comprehensive loss</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(60,215)</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(29,319)</w:t>
            </w:r>
          </w:p>
        </w:tc>
      </w:tr>
      <w:tr>
        <w:trPr>
          <w:trHeight w:val="188"/>
        </w:trPr>
        <w:tc>
          <w:tcPr>
            <w:tcW w:w="71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Total World Fuel shareholders’ equity</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1,855,358</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1,673,898</w:t>
            </w:r>
          </w:p>
        </w:tc>
      </w:tr>
      <w:tr>
        <w:trPr>
          <w:trHeight w:val="195"/>
        </w:trPr>
        <w:tc>
          <w:tcPr>
            <w:tcW w:w="7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Noncontrolling interest equity</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9,523</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4,996</w:t>
            </w:r>
          </w:p>
        </w:tc>
      </w:tr>
      <w:tr>
        <w:trPr>
          <w:trHeight w:val="188"/>
        </w:trPr>
        <w:tc>
          <w:tcPr>
            <w:tcW w:w="712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Total equity</w:t>
            </w:r>
          </w:p>
        </w:tc>
        <w:tc>
          <w:tcPr>
            <w:tcW w:w="4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1,864,881</w:t>
            </w: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1,678,894</w:t>
            </w:r>
          </w:p>
        </w:tc>
      </w:tr>
      <w:tr>
        <w:trPr>
          <w:trHeight w:val="194"/>
        </w:trPr>
        <w:tc>
          <w:tcPr>
            <w:tcW w:w="71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 liabilities and equity</w:t>
            </w:r>
          </w:p>
        </w:tc>
        <w:tc>
          <w:tcPr>
            <w:tcW w:w="640" w:type="dxa"/>
            <w:vAlign w:val="bottom"/>
            <w:tcBorders>
              <w:bottom w:val="single" w:sz="8" w:color="auto"/>
            </w:tcBorders>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74"/>
              <w:spacing w:after="0" w:line="188" w:lineRule="exact"/>
              <w:rPr>
                <w:sz w:val="20"/>
                <w:szCs w:val="20"/>
                <w:color w:val="auto"/>
              </w:rPr>
            </w:pPr>
            <w:r>
              <w:rPr>
                <w:rFonts w:ascii="Arial" w:cs="Arial" w:eastAsia="Arial" w:hAnsi="Arial"/>
                <w:sz w:val="17"/>
                <w:szCs w:val="17"/>
                <w:color w:val="auto"/>
              </w:rPr>
              <w:t>4,879,980</w:t>
            </w:r>
          </w:p>
        </w:tc>
        <w:tc>
          <w:tcPr>
            <w:tcW w:w="460" w:type="dxa"/>
            <w:vAlign w:val="bottom"/>
            <w:tcBorders>
              <w:bottom w:val="single" w:sz="8" w:color="auto"/>
            </w:tcBorders>
          </w:tcPr>
          <w:p>
            <w:pPr>
              <w:jc w:val="right"/>
              <w:ind w:right="37"/>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4,739,277</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ind w:right="4040"/>
        <w:spacing w:after="0" w:line="243" w:lineRule="auto"/>
        <w:rPr>
          <w:sz w:val="20"/>
          <w:szCs w:val="20"/>
          <w:color w:val="auto"/>
        </w:rPr>
      </w:pPr>
      <w:r>
        <w:rPr>
          <w:rFonts w:ascii="Arial" w:cs="Arial" w:eastAsia="Arial" w:hAnsi="Arial"/>
          <w:sz w:val="21"/>
          <w:szCs w:val="21"/>
          <w:b w:val="1"/>
          <w:bCs w:val="1"/>
          <w:color w:val="auto"/>
        </w:rPr>
        <w:t>WORLD FUEL SERVICES CORPORATION AND SUBSIDIARIES CONSOLIDATED STATEMENTS OF INCOME AND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thousands, except earnings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88"/>
        </w:trPr>
        <w:tc>
          <w:tcPr>
            <w:tcW w:w="6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61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Revenue</w:t>
            </w:r>
          </w:p>
        </w:tc>
        <w:tc>
          <w:tcPr>
            <w:tcW w:w="2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43,386,389</w:t>
            </w:r>
          </w:p>
        </w:tc>
        <w:tc>
          <w:tcPr>
            <w:tcW w:w="300" w:type="dxa"/>
            <w:vAlign w:val="bottom"/>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line="188" w:lineRule="exact"/>
              <w:rPr>
                <w:sz w:val="20"/>
                <w:szCs w:val="20"/>
                <w:color w:val="auto"/>
              </w:rPr>
            </w:pPr>
            <w:r>
              <w:rPr>
                <w:rFonts w:ascii="Arial" w:cs="Arial" w:eastAsia="Arial" w:hAnsi="Arial"/>
                <w:sz w:val="17"/>
                <w:szCs w:val="17"/>
                <w:color w:val="auto"/>
              </w:rPr>
              <w:t>41,561,947</w:t>
            </w:r>
          </w:p>
        </w:tc>
        <w:tc>
          <w:tcPr>
            <w:tcW w:w="320" w:type="dxa"/>
            <w:vAlign w:val="bottom"/>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38,945,338</w:t>
            </w:r>
          </w:p>
        </w:tc>
      </w:tr>
      <w:tr>
        <w:trPr>
          <w:trHeight w:val="195"/>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Cost of revenue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42,572,767</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40,809,189</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38,271,891</w:t>
            </w:r>
          </w:p>
        </w:tc>
      </w:tr>
      <w:tr>
        <w:trPr>
          <w:trHeight w:val="188"/>
        </w:trPr>
        <w:tc>
          <w:tcPr>
            <w:tcW w:w="61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Gross profit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813,622</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line="188" w:lineRule="exact"/>
              <w:rPr>
                <w:sz w:val="20"/>
                <w:szCs w:val="20"/>
                <w:color w:val="auto"/>
              </w:rPr>
            </w:pPr>
            <w:r>
              <w:rPr>
                <w:rFonts w:ascii="Arial" w:cs="Arial" w:eastAsia="Arial" w:hAnsi="Arial"/>
                <w:sz w:val="17"/>
                <w:szCs w:val="17"/>
                <w:color w:val="auto"/>
              </w:rPr>
              <w:t>752,758</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673,447</w:t>
            </w:r>
          </w:p>
        </w:tc>
      </w:tr>
      <w:tr>
        <w:trPr>
          <w:trHeight w:val="188"/>
        </w:trPr>
        <w:tc>
          <w:tcPr>
            <w:tcW w:w="6100" w:type="dxa"/>
            <w:vAlign w:val="bottom"/>
          </w:tcPr>
          <w:p>
            <w:pPr>
              <w:spacing w:after="0" w:line="188" w:lineRule="exact"/>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5"/>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employee benefits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319,842</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288,021</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237,362</w:t>
            </w:r>
          </w:p>
        </w:tc>
      </w:tr>
      <w:tr>
        <w:trPr>
          <w:trHeight w:val="195"/>
        </w:trPr>
        <w:tc>
          <w:tcPr>
            <w:tcW w:w="6100" w:type="dxa"/>
            <w:vAlign w:val="bottom"/>
          </w:tcPr>
          <w:p>
            <w:pPr>
              <w:spacing w:after="0"/>
              <w:rPr>
                <w:sz w:val="20"/>
                <w:szCs w:val="20"/>
                <w:color w:val="auto"/>
              </w:rPr>
            </w:pPr>
            <w:r>
              <w:rPr>
                <w:rFonts w:ascii="Arial" w:cs="Arial" w:eastAsia="Arial" w:hAnsi="Arial"/>
                <w:sz w:val="17"/>
                <w:szCs w:val="17"/>
                <w:color w:val="auto"/>
              </w:rPr>
              <w:t>Provision for bad debt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3,757</w:t>
            </w:r>
          </w:p>
        </w:tc>
        <w:tc>
          <w:tcPr>
            <w:tcW w:w="300" w:type="dxa"/>
            <w:vAlign w:val="bottom"/>
          </w:tcPr>
          <w:p>
            <w:pPr>
              <w:spacing w:after="0"/>
              <w:rPr>
                <w:sz w:val="16"/>
                <w:szCs w:val="16"/>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11,745</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4,790</w:t>
            </w:r>
          </w:p>
        </w:tc>
      </w:tr>
      <w:tr>
        <w:trPr>
          <w:trHeight w:val="195"/>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220,875</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188,634</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174,272</w:t>
            </w:r>
          </w:p>
        </w:tc>
      </w:tr>
      <w:tr>
        <w:trPr>
          <w:trHeight w:val="188"/>
        </w:trPr>
        <w:tc>
          <w:tcPr>
            <w:tcW w:w="6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4"/>
              <w:spacing w:after="0" w:line="188" w:lineRule="exact"/>
              <w:rPr>
                <w:sz w:val="20"/>
                <w:szCs w:val="20"/>
                <w:color w:val="auto"/>
              </w:rPr>
            </w:pPr>
            <w:r>
              <w:rPr>
                <w:rFonts w:ascii="Arial" w:cs="Arial" w:eastAsia="Arial" w:hAnsi="Arial"/>
                <w:sz w:val="17"/>
                <w:szCs w:val="17"/>
                <w:color w:val="auto"/>
              </w:rPr>
              <w:t>544,474</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8" w:lineRule="exact"/>
              <w:rPr>
                <w:sz w:val="20"/>
                <w:szCs w:val="20"/>
                <w:color w:val="auto"/>
              </w:rPr>
            </w:pPr>
            <w:r>
              <w:rPr>
                <w:rFonts w:ascii="Arial" w:cs="Arial" w:eastAsia="Arial" w:hAnsi="Arial"/>
                <w:sz w:val="17"/>
                <w:szCs w:val="17"/>
                <w:color w:val="auto"/>
              </w:rPr>
              <w:t>488,400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416,424</w:t>
            </w:r>
          </w:p>
        </w:tc>
      </w:tr>
      <w:tr>
        <w:trPr>
          <w:trHeight w:val="188"/>
        </w:trPr>
        <w:tc>
          <w:tcPr>
            <w:tcW w:w="61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Income from operations</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269,148</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line="188" w:lineRule="exact"/>
              <w:rPr>
                <w:sz w:val="20"/>
                <w:szCs w:val="20"/>
                <w:color w:val="auto"/>
              </w:rPr>
            </w:pPr>
            <w:r>
              <w:rPr>
                <w:rFonts w:ascii="Arial" w:cs="Arial" w:eastAsia="Arial" w:hAnsi="Arial"/>
                <w:sz w:val="17"/>
                <w:szCs w:val="17"/>
                <w:color w:val="auto"/>
              </w:rPr>
              <w:t>264,358</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257,023</w:t>
            </w:r>
          </w:p>
        </w:tc>
      </w:tr>
      <w:tr>
        <w:trPr>
          <w:trHeight w:val="188"/>
        </w:trPr>
        <w:tc>
          <w:tcPr>
            <w:tcW w:w="6100" w:type="dxa"/>
            <w:vAlign w:val="bottom"/>
          </w:tcPr>
          <w:p>
            <w:pPr>
              <w:spacing w:after="0" w:line="188" w:lineRule="exact"/>
              <w:rPr>
                <w:sz w:val="20"/>
                <w:szCs w:val="20"/>
                <w:color w:val="auto"/>
              </w:rPr>
            </w:pPr>
            <w:r>
              <w:rPr>
                <w:rFonts w:ascii="Arial" w:cs="Arial" w:eastAsia="Arial" w:hAnsi="Arial"/>
                <w:sz w:val="17"/>
                <w:szCs w:val="17"/>
                <w:color w:val="auto"/>
              </w:rPr>
              <w:t>Non-operating income (expenses), net: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5"/>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and other financing costs, net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(25,237)</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(17,287)</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(19,097)</w:t>
            </w:r>
          </w:p>
        </w:tc>
      </w:tr>
      <w:tr>
        <w:trPr>
          <w:trHeight w:val="195"/>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 (expense), net</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25,640</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(406)</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w:t>
            </w:r>
          </w:p>
        </w:tc>
      </w:tr>
      <w:tr>
        <w:trPr>
          <w:trHeight w:val="188"/>
        </w:trPr>
        <w:tc>
          <w:tcPr>
            <w:tcW w:w="6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403</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5"/>
              <w:spacing w:after="0" w:line="188" w:lineRule="exact"/>
              <w:rPr>
                <w:sz w:val="20"/>
                <w:szCs w:val="20"/>
                <w:color w:val="auto"/>
              </w:rPr>
            </w:pPr>
            <w:r>
              <w:rPr>
                <w:rFonts w:ascii="Arial" w:cs="Arial" w:eastAsia="Arial" w:hAnsi="Arial"/>
                <w:sz w:val="17"/>
                <w:szCs w:val="17"/>
                <w:color w:val="auto"/>
              </w:rPr>
              <w:t>(17,693)</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(17,428)</w:t>
            </w:r>
          </w:p>
        </w:tc>
      </w:tr>
      <w:tr>
        <w:trPr>
          <w:trHeight w:val="188"/>
        </w:trPr>
        <w:tc>
          <w:tcPr>
            <w:tcW w:w="6100" w:type="dxa"/>
            <w:vAlign w:val="bottom"/>
          </w:tcPr>
          <w:p>
            <w:pPr>
              <w:spacing w:after="0" w:line="188" w:lineRule="exact"/>
              <w:rPr>
                <w:sz w:val="20"/>
                <w:szCs w:val="20"/>
                <w:color w:val="auto"/>
              </w:rPr>
            </w:pPr>
            <w:r>
              <w:rPr>
                <w:rFonts w:ascii="Arial" w:cs="Arial" w:eastAsia="Arial" w:hAnsi="Arial"/>
                <w:sz w:val="17"/>
                <w:szCs w:val="17"/>
                <w:color w:val="auto"/>
              </w:rPr>
              <w:t>Income before income taxes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4"/>
              <w:spacing w:after="0" w:line="188" w:lineRule="exact"/>
              <w:rPr>
                <w:sz w:val="20"/>
                <w:szCs w:val="20"/>
                <w:color w:val="auto"/>
              </w:rPr>
            </w:pPr>
            <w:r>
              <w:rPr>
                <w:rFonts w:ascii="Arial" w:cs="Arial" w:eastAsia="Arial" w:hAnsi="Arial"/>
                <w:sz w:val="17"/>
                <w:szCs w:val="17"/>
                <w:color w:val="auto"/>
              </w:rPr>
              <w:t>269,551</w:t>
            </w:r>
          </w:p>
        </w:tc>
        <w:tc>
          <w:tcPr>
            <w:tcW w:w="300" w:type="dxa"/>
            <w:vAlign w:val="bottom"/>
          </w:tcPr>
          <w:p>
            <w:pPr>
              <w:spacing w:after="0"/>
              <w:rPr>
                <w:sz w:val="16"/>
                <w:szCs w:val="16"/>
                <w:color w:val="auto"/>
              </w:rPr>
            </w:pPr>
          </w:p>
        </w:tc>
        <w:tc>
          <w:tcPr>
            <w:tcW w:w="1140" w:type="dxa"/>
            <w:vAlign w:val="bottom"/>
          </w:tcPr>
          <w:p>
            <w:pPr>
              <w:jc w:val="right"/>
              <w:ind w:right="75"/>
              <w:spacing w:after="0" w:line="188" w:lineRule="exact"/>
              <w:rPr>
                <w:sz w:val="20"/>
                <w:szCs w:val="20"/>
                <w:color w:val="auto"/>
              </w:rPr>
            </w:pPr>
            <w:r>
              <w:rPr>
                <w:rFonts w:ascii="Arial" w:cs="Arial" w:eastAsia="Arial" w:hAnsi="Arial"/>
                <w:sz w:val="17"/>
                <w:szCs w:val="17"/>
                <w:color w:val="auto"/>
              </w:rPr>
              <w:t>246,665</w:t>
            </w:r>
          </w:p>
        </w:tc>
        <w:tc>
          <w:tcPr>
            <w:tcW w:w="32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7"/>
                <w:szCs w:val="17"/>
                <w:color w:val="auto"/>
              </w:rPr>
              <w:t>239,595</w:t>
            </w:r>
          </w:p>
        </w:tc>
      </w:tr>
      <w:tr>
        <w:trPr>
          <w:trHeight w:val="195"/>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51,144</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39,505</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38,244</w:t>
            </w:r>
          </w:p>
        </w:tc>
      </w:tr>
      <w:tr>
        <w:trPr>
          <w:trHeight w:val="188"/>
        </w:trPr>
        <w:tc>
          <w:tcPr>
            <w:tcW w:w="6100" w:type="dxa"/>
            <w:vAlign w:val="bottom"/>
          </w:tcPr>
          <w:p>
            <w:pPr>
              <w:spacing w:after="0" w:line="188" w:lineRule="exact"/>
              <w:rPr>
                <w:sz w:val="20"/>
                <w:szCs w:val="20"/>
                <w:color w:val="auto"/>
              </w:rPr>
            </w:pPr>
            <w:r>
              <w:rPr>
                <w:rFonts w:ascii="Arial" w:cs="Arial" w:eastAsia="Arial" w:hAnsi="Arial"/>
                <w:sz w:val="17"/>
                <w:szCs w:val="17"/>
                <w:color w:val="auto"/>
              </w:rPr>
              <w:t>Net income including noncontrolling interest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4"/>
              <w:spacing w:after="0" w:line="188" w:lineRule="exact"/>
              <w:rPr>
                <w:sz w:val="20"/>
                <w:szCs w:val="20"/>
                <w:color w:val="auto"/>
              </w:rPr>
            </w:pPr>
            <w:r>
              <w:rPr>
                <w:rFonts w:ascii="Arial" w:cs="Arial" w:eastAsia="Arial" w:hAnsi="Arial"/>
                <w:sz w:val="17"/>
                <w:szCs w:val="17"/>
                <w:color w:val="auto"/>
              </w:rPr>
              <w:t>218,407</w:t>
            </w:r>
          </w:p>
        </w:tc>
        <w:tc>
          <w:tcPr>
            <w:tcW w:w="300" w:type="dxa"/>
            <w:vAlign w:val="bottom"/>
          </w:tcPr>
          <w:p>
            <w:pPr>
              <w:spacing w:after="0"/>
              <w:rPr>
                <w:sz w:val="16"/>
                <w:szCs w:val="16"/>
                <w:color w:val="auto"/>
              </w:rPr>
            </w:pPr>
          </w:p>
        </w:tc>
        <w:tc>
          <w:tcPr>
            <w:tcW w:w="1140" w:type="dxa"/>
            <w:vAlign w:val="bottom"/>
          </w:tcPr>
          <w:p>
            <w:pPr>
              <w:jc w:val="right"/>
              <w:ind w:right="75"/>
              <w:spacing w:after="0" w:line="188" w:lineRule="exact"/>
              <w:rPr>
                <w:sz w:val="20"/>
                <w:szCs w:val="20"/>
                <w:color w:val="auto"/>
              </w:rPr>
            </w:pPr>
            <w:r>
              <w:rPr>
                <w:rFonts w:ascii="Arial" w:cs="Arial" w:eastAsia="Arial" w:hAnsi="Arial"/>
                <w:sz w:val="17"/>
                <w:szCs w:val="17"/>
                <w:color w:val="auto"/>
              </w:rPr>
              <w:t>207,160</w:t>
            </w:r>
          </w:p>
        </w:tc>
        <w:tc>
          <w:tcPr>
            <w:tcW w:w="32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7"/>
                <w:szCs w:val="17"/>
                <w:color w:val="auto"/>
              </w:rPr>
              <w:t>201,351</w:t>
            </w:r>
          </w:p>
        </w:tc>
      </w:tr>
      <w:tr>
        <w:trPr>
          <w:trHeight w:val="195"/>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(loss) income attributable to noncontrolling interest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(3,340)</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4,085</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12,006</w:t>
            </w:r>
          </w:p>
        </w:tc>
      </w:tr>
      <w:tr>
        <w:trPr>
          <w:trHeight w:val="194"/>
        </w:trPr>
        <w:tc>
          <w:tcPr>
            <w:tcW w:w="610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Net income attributable to World Fuel</w:t>
            </w:r>
          </w:p>
        </w:tc>
        <w:tc>
          <w:tcPr>
            <w:tcW w:w="240" w:type="dxa"/>
            <w:vAlign w:val="bottom"/>
            <w:tcBorders>
              <w:bottom w:val="single" w:sz="8" w:color="auto"/>
            </w:tcBorders>
            <w:gridSpan w:val="2"/>
          </w:tcPr>
          <w:p>
            <w:pPr>
              <w:jc w:val="right"/>
              <w:spacing w:after="0" w:line="188"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94"/>
              <w:spacing w:after="0" w:line="188" w:lineRule="exact"/>
              <w:rPr>
                <w:sz w:val="20"/>
                <w:szCs w:val="20"/>
                <w:color w:val="auto"/>
              </w:rPr>
            </w:pPr>
            <w:r>
              <w:rPr>
                <w:rFonts w:ascii="Arial" w:cs="Arial" w:eastAsia="Arial" w:hAnsi="Arial"/>
                <w:sz w:val="17"/>
                <w:szCs w:val="17"/>
                <w:color w:val="auto"/>
              </w:rPr>
              <w:t>221,747</w:t>
            </w:r>
          </w:p>
        </w:tc>
        <w:tc>
          <w:tcPr>
            <w:tcW w:w="300" w:type="dxa"/>
            <w:vAlign w:val="bottom"/>
            <w:tcBorders>
              <w:bottom w:val="single" w:sz="8" w:color="auto"/>
            </w:tcBorders>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75"/>
              <w:spacing w:after="0" w:line="188" w:lineRule="exact"/>
              <w:rPr>
                <w:sz w:val="20"/>
                <w:szCs w:val="20"/>
                <w:color w:val="auto"/>
              </w:rPr>
            </w:pPr>
            <w:r>
              <w:rPr>
                <w:rFonts w:ascii="Arial" w:cs="Arial" w:eastAsia="Arial" w:hAnsi="Arial"/>
                <w:sz w:val="17"/>
                <w:szCs w:val="17"/>
                <w:color w:val="auto"/>
              </w:rPr>
              <w:t>203,075</w:t>
            </w:r>
          </w:p>
        </w:tc>
        <w:tc>
          <w:tcPr>
            <w:tcW w:w="320" w:type="dxa"/>
            <w:vAlign w:val="bottom"/>
            <w:tcBorders>
              <w:bottom w:val="single" w:sz="8" w:color="auto"/>
            </w:tcBorders>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189,345</w:t>
            </w:r>
          </w:p>
        </w:tc>
      </w:tr>
      <w:tr>
        <w:trPr>
          <w:trHeight w:val="201"/>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Basic earnings per common share</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3.13</w:t>
            </w: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2.85</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r>
      <w:tr>
        <w:trPr>
          <w:trHeight w:val="201"/>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Basic weighted average common shares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70,750</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71,224</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71,154</w:t>
            </w:r>
          </w:p>
        </w:tc>
      </w:tr>
      <w:tr>
        <w:trPr>
          <w:trHeight w:val="201"/>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Diluted earnings per common share</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3.11</w:t>
            </w: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2.83</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w:t>
            </w:r>
          </w:p>
        </w:tc>
      </w:tr>
      <w:tr>
        <w:trPr>
          <w:trHeight w:val="201"/>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Diluted weighted average common shares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71,323</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71,800</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71,817</w:t>
            </w:r>
          </w:p>
        </w:tc>
      </w:tr>
      <w:tr>
        <w:trPr>
          <w:trHeight w:val="195"/>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6100" w:type="dxa"/>
            <w:vAlign w:val="bottom"/>
          </w:tcPr>
          <w:p>
            <w:pPr>
              <w:spacing w:after="0"/>
              <w:rPr>
                <w:sz w:val="20"/>
                <w:szCs w:val="20"/>
                <w:color w:val="auto"/>
              </w:rPr>
            </w:pPr>
            <w:r>
              <w:rPr>
                <w:rFonts w:ascii="Arial" w:cs="Arial" w:eastAsia="Arial" w:hAnsi="Arial"/>
                <w:sz w:val="17"/>
                <w:szCs w:val="17"/>
                <w:color w:val="auto"/>
              </w:rPr>
              <w:t>Net income including noncontrolling interest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218,407</w:t>
            </w:r>
          </w:p>
        </w:tc>
        <w:tc>
          <w:tcPr>
            <w:tcW w:w="3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207,160</w:t>
            </w:r>
          </w:p>
        </w:tc>
        <w:tc>
          <w:tcPr>
            <w:tcW w:w="3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201,351</w:t>
            </w:r>
          </w:p>
        </w:tc>
      </w:tr>
      <w:tr>
        <w:trPr>
          <w:trHeight w:val="195"/>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income: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6100" w:type="dxa"/>
            <w:vAlign w:val="bottom"/>
          </w:tcPr>
          <w:p>
            <w:pPr>
              <w:spacing w:after="0"/>
              <w:rPr>
                <w:sz w:val="20"/>
                <w:szCs w:val="20"/>
                <w:color w:val="auto"/>
              </w:rPr>
            </w:pPr>
            <w:r>
              <w:rPr>
                <w:rFonts w:ascii="Arial" w:cs="Arial" w:eastAsia="Arial" w:hAnsi="Arial"/>
                <w:sz w:val="17"/>
                <w:szCs w:val="17"/>
                <w:color w:val="auto"/>
              </w:rPr>
              <w:t>Foreign currency translation adjustments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(30,896)</w:t>
            </w:r>
          </w:p>
        </w:tc>
        <w:tc>
          <w:tcPr>
            <w:tcW w:w="30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(13,189)</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(9,606)</w:t>
            </w:r>
          </w:p>
        </w:tc>
      </w:tr>
      <w:tr>
        <w:trPr>
          <w:trHeight w:val="195"/>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flow hedges, net of income taxes of $36 for 2013 and 2012, respectively</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(112)</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188"/>
        </w:trPr>
        <w:tc>
          <w:tcPr>
            <w:tcW w:w="6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line="188" w:lineRule="exact"/>
              <w:rPr>
                <w:sz w:val="20"/>
                <w:szCs w:val="20"/>
                <w:color w:val="auto"/>
              </w:rPr>
            </w:pPr>
            <w:r>
              <w:rPr>
                <w:rFonts w:ascii="Arial" w:cs="Arial" w:eastAsia="Arial" w:hAnsi="Arial"/>
                <w:sz w:val="17"/>
                <w:szCs w:val="17"/>
                <w:color w:val="auto"/>
              </w:rPr>
              <w:t>(30,896)</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line="188" w:lineRule="exact"/>
              <w:rPr>
                <w:sz w:val="20"/>
                <w:szCs w:val="20"/>
                <w:color w:val="auto"/>
              </w:rPr>
            </w:pPr>
            <w:r>
              <w:rPr>
                <w:rFonts w:ascii="Arial" w:cs="Arial" w:eastAsia="Arial" w:hAnsi="Arial"/>
                <w:sz w:val="17"/>
                <w:szCs w:val="17"/>
                <w:color w:val="auto"/>
              </w:rPr>
              <w:t>(13,301)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(9,494)</w:t>
            </w:r>
          </w:p>
        </w:tc>
      </w:tr>
      <w:tr>
        <w:trPr>
          <w:trHeight w:val="188"/>
        </w:trPr>
        <w:tc>
          <w:tcPr>
            <w:tcW w:w="61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Comprehensive income including noncontrolling interest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187,511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line="188" w:lineRule="exact"/>
              <w:rPr>
                <w:sz w:val="20"/>
                <w:szCs w:val="20"/>
                <w:color w:val="auto"/>
              </w:rPr>
            </w:pPr>
            <w:r>
              <w:rPr>
                <w:rFonts w:ascii="Arial" w:cs="Arial" w:eastAsia="Arial" w:hAnsi="Arial"/>
                <w:sz w:val="17"/>
                <w:szCs w:val="17"/>
                <w:color w:val="auto"/>
              </w:rPr>
              <w:t>193,859</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191,857</w:t>
            </w:r>
          </w:p>
        </w:tc>
      </w:tr>
      <w:tr>
        <w:trPr>
          <w:trHeight w:val="195"/>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Comprehensive (loss) income attributable to noncontrolling interest</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(3,340)</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4,085</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12,006</w:t>
            </w:r>
          </w:p>
        </w:tc>
      </w:tr>
      <w:tr>
        <w:trPr>
          <w:trHeight w:val="194"/>
        </w:trPr>
        <w:tc>
          <w:tcPr>
            <w:tcW w:w="61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Comprehensive income attributable to World Fuel</w:t>
            </w:r>
          </w:p>
        </w:tc>
        <w:tc>
          <w:tcPr>
            <w:tcW w:w="240" w:type="dxa"/>
            <w:vAlign w:val="bottom"/>
            <w:tcBorders>
              <w:bottom w:val="single" w:sz="8" w:color="auto"/>
            </w:tcBorders>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190,851</w:t>
            </w:r>
          </w:p>
        </w:tc>
        <w:tc>
          <w:tcPr>
            <w:tcW w:w="30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5"/>
              <w:spacing w:after="0" w:line="188" w:lineRule="exact"/>
              <w:rPr>
                <w:sz w:val="20"/>
                <w:szCs w:val="20"/>
                <w:color w:val="auto"/>
              </w:rPr>
            </w:pPr>
            <w:r>
              <w:rPr>
                <w:rFonts w:ascii="Arial" w:cs="Arial" w:eastAsia="Arial" w:hAnsi="Arial"/>
                <w:sz w:val="17"/>
                <w:szCs w:val="17"/>
                <w:color w:val="auto"/>
              </w:rPr>
              <w:t>189,774</w:t>
            </w:r>
          </w:p>
        </w:tc>
        <w:tc>
          <w:tcPr>
            <w:tcW w:w="32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179,851</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46" w:name="page47"/>
    <w:bookmarkEnd w:id="46"/>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WORLD FUEL SERVICES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SHAREHOLDERS’ EQUITY</w:t>
      </w:r>
    </w:p>
    <w:p>
      <w:pPr>
        <w:spacing w:after="0"/>
        <w:rPr>
          <w:sz w:val="20"/>
          <w:szCs w:val="20"/>
          <w:color w:val="auto"/>
        </w:rPr>
      </w:pPr>
      <w:r>
        <w:rPr>
          <w:rFonts w:ascii="Arial" w:cs="Arial" w:eastAsia="Arial" w:hAnsi="Arial"/>
          <w:sz w:val="17"/>
          <w:szCs w:val="17"/>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Capital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w w:val="98"/>
              </w:rPr>
              <w:t>Accumulated</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5"/>
        </w:trPr>
        <w:tc>
          <w:tcPr>
            <w:tcW w:w="3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in</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Other</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World Fuel</w:t>
            </w: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7"/>
        </w:trPr>
        <w:tc>
          <w:tcPr>
            <w:tcW w:w="3360" w:type="dxa"/>
            <w:vAlign w:val="bottom"/>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Excess of</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10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Comprehensive</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auto"/>
              </w:rPr>
              <w:t>Shareholders’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Interest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r>
      <w:tr>
        <w:trPr>
          <w:trHeight w:val="123"/>
        </w:trPr>
        <w:tc>
          <w:tcPr>
            <w:tcW w:w="3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Shares</w:t>
            </w:r>
          </w:p>
        </w:tc>
        <w:tc>
          <w:tcPr>
            <w:tcW w:w="520" w:type="dxa"/>
            <w:vAlign w:val="bottom"/>
            <w:tcBorders>
              <w:bottom w:val="single" w:sz="8" w:color="auto"/>
            </w:tcBorders>
            <w:gridSpan w:val="2"/>
          </w:tcPr>
          <w:p>
            <w:pPr>
              <w:jc w:val="right"/>
              <w:spacing w:after="0" w:line="123" w:lineRule="exact"/>
              <w:rPr>
                <w:sz w:val="20"/>
                <w:szCs w:val="20"/>
                <w:color w:val="auto"/>
              </w:rPr>
            </w:pPr>
            <w:r>
              <w:rPr>
                <w:rFonts w:ascii="Arial" w:cs="Arial" w:eastAsia="Arial" w:hAnsi="Arial"/>
                <w:sz w:val="12"/>
                <w:szCs w:val="12"/>
                <w:b w:val="1"/>
                <w:bCs w:val="1"/>
                <w:color w:val="auto"/>
              </w:rPr>
              <w:t>Amount</w:t>
            </w:r>
          </w:p>
        </w:tc>
        <w:tc>
          <w:tcPr>
            <w:tcW w:w="8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Par Value</w:t>
            </w: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Earnings</w:t>
            </w: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Loss</w:t>
            </w: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Equity</w:t>
            </w: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Equity</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Equity</w:t>
            </w:r>
          </w:p>
        </w:tc>
      </w:tr>
      <w:tr>
        <w:trPr>
          <w:trHeight w:val="188"/>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2011</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71,154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$ 502,551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836,222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1,332,961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13,757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1,346,718</w:t>
            </w:r>
          </w:p>
        </w:tc>
      </w:tr>
      <w:tr>
        <w:trPr>
          <w:trHeight w:val="195"/>
        </w:trPr>
        <w:tc>
          <w:tcPr>
            <w:tcW w:w="3360" w:type="dxa"/>
            <w:vAlign w:val="bottom"/>
          </w:tcPr>
          <w:p>
            <w:pPr>
              <w:spacing w:after="0"/>
              <w:rPr>
                <w:sz w:val="20"/>
                <w:szCs w:val="20"/>
                <w:color w:val="auto"/>
              </w:rPr>
            </w:pPr>
            <w:r>
              <w:rPr>
                <w:rFonts w:ascii="Arial" w:cs="Arial" w:eastAsia="Arial" w:hAnsi="Arial"/>
                <w:sz w:val="14"/>
                <w:szCs w:val="14"/>
                <w:color w:val="auto"/>
              </w:rPr>
              <w:t>Net income</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189,345</w:t>
            </w:r>
          </w:p>
        </w:tc>
        <w:tc>
          <w:tcPr>
            <w:tcW w:w="2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189,345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12,006</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201,351</w:t>
            </w:r>
          </w:p>
        </w:tc>
      </w:t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(10,685)</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(10,685)</w:t>
            </w:r>
          </w:p>
        </w:tc>
      </w:tr>
      <w:tr>
        <w:trPr>
          <w:trHeight w:val="195"/>
        </w:trPr>
        <w:tc>
          <w:tcPr>
            <w:tcW w:w="3360" w:type="dxa"/>
            <w:vAlign w:val="bottom"/>
          </w:tcPr>
          <w:p>
            <w:pPr>
              <w:spacing w:after="0"/>
              <w:rPr>
                <w:sz w:val="20"/>
                <w:szCs w:val="20"/>
                <w:color w:val="auto"/>
              </w:rPr>
            </w:pPr>
            <w:r>
              <w:rPr>
                <w:rFonts w:ascii="Arial" w:cs="Arial" w:eastAsia="Arial" w:hAnsi="Arial"/>
                <w:sz w:val="14"/>
                <w:szCs w:val="14"/>
                <w:color w:val="auto"/>
              </w:rPr>
              <w:t>Distribution of noncontrolling interest</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(1,313)</w:t>
            </w:r>
          </w:p>
        </w:tc>
      </w:t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share-based payment awards</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13,610</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13,610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13,610</w:t>
            </w:r>
          </w:p>
        </w:tc>
      </w:tr>
      <w:tr>
        <w:trPr>
          <w:trHeight w:val="142"/>
        </w:trPr>
        <w:tc>
          <w:tcPr>
            <w:tcW w:w="3360" w:type="dxa"/>
            <w:vAlign w:val="bottom"/>
          </w:tcPr>
          <w:p>
            <w:pPr>
              <w:spacing w:after="0" w:line="143" w:lineRule="exact"/>
              <w:rPr>
                <w:sz w:val="20"/>
                <w:szCs w:val="20"/>
                <w:color w:val="auto"/>
              </w:rPr>
            </w:pPr>
            <w:r>
              <w:rPr>
                <w:rFonts w:ascii="Arial" w:cs="Arial" w:eastAsia="Arial" w:hAnsi="Arial"/>
                <w:sz w:val="14"/>
                <w:szCs w:val="14"/>
                <w:color w:val="auto"/>
              </w:rPr>
              <w:t>Issuance of common stock related to share-based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6"/>
        </w:trPr>
        <w:tc>
          <w:tcPr>
            <w:tcW w:w="3360" w:type="dxa"/>
            <w:vAlign w:val="bottom"/>
          </w:tcPr>
          <w:p>
            <w:pPr>
              <w:ind w:left="140"/>
              <w:spacing w:after="0" w:line="156" w:lineRule="exact"/>
              <w:rPr>
                <w:sz w:val="20"/>
                <w:szCs w:val="20"/>
                <w:color w:val="auto"/>
              </w:rPr>
            </w:pPr>
            <w:r>
              <w:rPr>
                <w:rFonts w:ascii="Arial" w:cs="Arial" w:eastAsia="Arial" w:hAnsi="Arial"/>
                <w:sz w:val="14"/>
                <w:szCs w:val="14"/>
                <w:color w:val="auto"/>
              </w:rPr>
              <w:t>payment awards including income tax benefit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9"/>
        </w:trPr>
        <w:tc>
          <w:tcPr>
            <w:tcW w:w="3360" w:type="dxa"/>
            <w:vAlign w:val="bottom"/>
          </w:tcPr>
          <w:p>
            <w:pPr>
              <w:ind w:left="140"/>
              <w:spacing w:after="0"/>
              <w:rPr>
                <w:sz w:val="20"/>
                <w:szCs w:val="20"/>
                <w:color w:val="auto"/>
              </w:rPr>
            </w:pPr>
            <w:r>
              <w:rPr>
                <w:rFonts w:ascii="Arial" w:cs="Arial" w:eastAsia="Arial" w:hAnsi="Arial"/>
                <w:sz w:val="14"/>
                <w:szCs w:val="14"/>
                <w:color w:val="auto"/>
              </w:rPr>
              <w:t>$3,681</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1,028</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6,401</w:t>
            </w:r>
          </w:p>
        </w:tc>
        <w:tc>
          <w:tcPr>
            <w:tcW w:w="160" w:type="dxa"/>
            <w:vAlign w:val="bottom"/>
          </w:tcPr>
          <w:p>
            <w:pPr>
              <w:spacing w:after="0"/>
              <w:rPr>
                <w:sz w:val="14"/>
                <w:szCs w:val="14"/>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6,410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6,410</w:t>
            </w:r>
          </w:p>
        </w:tc>
      </w:tr>
      <w:tr>
        <w:trPr>
          <w:trHeight w:val="142"/>
        </w:trPr>
        <w:tc>
          <w:tcPr>
            <w:tcW w:w="3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Purchases of common stock tendered by employees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6"/>
        </w:trPr>
        <w:tc>
          <w:tcPr>
            <w:tcW w:w="33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to satisfy the required withholding taxes related to</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payment awards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w:t>
            </w:r>
          </w:p>
        </w:tc>
      </w:tr>
      <w:tr>
        <w:trPr>
          <w:trHeight w:val="195"/>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comprehensive loss</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(9,494)</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(9,494)</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(9,494)</w:t>
            </w:r>
          </w:p>
        </w:tc>
      </w:tr>
      <w:tr>
        <w:trPr>
          <w:trHeight w:val="188"/>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December 31, 2012</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72,147</w:t>
            </w:r>
          </w:p>
        </w:tc>
        <w:tc>
          <w:tcPr>
            <w:tcW w:w="1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517,589</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1,014,882</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(16,018)</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1,517,174</w:t>
            </w:r>
          </w:p>
        </w:tc>
        <w:tc>
          <w:tcPr>
            <w:tcW w:w="1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24,450</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1,541,624</w:t>
            </w:r>
          </w:p>
        </w:tc>
      </w:tr>
      <w:tr>
        <w:trPr>
          <w:trHeight w:val="188"/>
        </w:trPr>
        <w:tc>
          <w:tcPr>
            <w:tcW w:w="3360" w:type="dxa"/>
            <w:vAlign w:val="bottom"/>
          </w:tcPr>
          <w:p>
            <w:pPr>
              <w:spacing w:after="0"/>
              <w:rPr>
                <w:sz w:val="20"/>
                <w:szCs w:val="20"/>
                <w:color w:val="auto"/>
              </w:rPr>
            </w:pPr>
            <w:r>
              <w:rPr>
                <w:rFonts w:ascii="Arial" w:cs="Arial" w:eastAsia="Arial" w:hAnsi="Arial"/>
                <w:sz w:val="14"/>
                <w:szCs w:val="14"/>
                <w:color w:val="auto"/>
              </w:rPr>
              <w:t>Net income</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203,075</w:t>
            </w:r>
          </w:p>
        </w:tc>
        <w:tc>
          <w:tcPr>
            <w:tcW w:w="2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203,075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4,085</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207,160</w:t>
            </w:r>
          </w:p>
        </w:tc>
      </w:t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(10,658)</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(10,658)</w:t>
            </w:r>
          </w:p>
        </w:tc>
      </w:tr>
      <w:tr>
        <w:trPr>
          <w:trHeight w:val="195"/>
        </w:trPr>
        <w:tc>
          <w:tcPr>
            <w:tcW w:w="3360" w:type="dxa"/>
            <w:vAlign w:val="bottom"/>
          </w:tcPr>
          <w:p>
            <w:pPr>
              <w:spacing w:after="0"/>
              <w:rPr>
                <w:sz w:val="20"/>
                <w:szCs w:val="20"/>
                <w:color w:val="auto"/>
              </w:rPr>
            </w:pPr>
            <w:r>
              <w:rPr>
                <w:rFonts w:ascii="Arial" w:cs="Arial" w:eastAsia="Arial" w:hAnsi="Arial"/>
                <w:sz w:val="14"/>
                <w:szCs w:val="14"/>
                <w:color w:val="auto"/>
              </w:rPr>
              <w:t>Investment by noncontrolling interest</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17,524</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17,524</w:t>
            </w:r>
          </w:p>
        </w:tc>
      </w:t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Distribution of noncontrolling interest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(15,489)</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(15,489)</w:t>
            </w:r>
          </w:p>
        </w:tc>
      </w:tr>
      <w:tr>
        <w:trPr>
          <w:trHeight w:val="142"/>
        </w:trPr>
        <w:tc>
          <w:tcPr>
            <w:tcW w:w="3360" w:type="dxa"/>
            <w:vAlign w:val="bottom"/>
          </w:tcPr>
          <w:p>
            <w:pPr>
              <w:spacing w:after="0" w:line="143" w:lineRule="exact"/>
              <w:rPr>
                <w:sz w:val="20"/>
                <w:szCs w:val="20"/>
                <w:color w:val="auto"/>
              </w:rPr>
            </w:pPr>
            <w:r>
              <w:rPr>
                <w:rFonts w:ascii="Arial" w:cs="Arial" w:eastAsia="Arial" w:hAnsi="Arial"/>
                <w:sz w:val="14"/>
                <w:szCs w:val="14"/>
                <w:color w:val="auto"/>
              </w:rPr>
              <w:t>Deconsolidation of crude oil transloading joint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3360" w:type="dxa"/>
            <w:vAlign w:val="bottom"/>
          </w:tcPr>
          <w:p>
            <w:pPr>
              <w:ind w:left="140"/>
              <w:spacing w:after="0"/>
              <w:rPr>
                <w:sz w:val="20"/>
                <w:szCs w:val="20"/>
                <w:color w:val="auto"/>
              </w:rPr>
            </w:pPr>
            <w:r>
              <w:rPr>
                <w:rFonts w:ascii="Arial" w:cs="Arial" w:eastAsia="Arial" w:hAnsi="Arial"/>
                <w:sz w:val="14"/>
                <w:szCs w:val="14"/>
                <w:color w:val="auto"/>
              </w:rPr>
              <w:t>venture</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(25,574)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(25,574)</w:t>
            </w:r>
          </w:p>
        </w:tc>
      </w:t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share-based payment awards</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16,075</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16,075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16,075</w:t>
            </w:r>
          </w:p>
        </w:tc>
      </w:tr>
      <w:tr>
        <w:trPr>
          <w:trHeight w:val="142"/>
        </w:trPr>
        <w:tc>
          <w:tcPr>
            <w:tcW w:w="3360" w:type="dxa"/>
            <w:vAlign w:val="bottom"/>
          </w:tcPr>
          <w:p>
            <w:pPr>
              <w:spacing w:after="0" w:line="143" w:lineRule="exact"/>
              <w:rPr>
                <w:sz w:val="20"/>
                <w:szCs w:val="20"/>
                <w:color w:val="auto"/>
              </w:rPr>
            </w:pPr>
            <w:r>
              <w:rPr>
                <w:rFonts w:ascii="Arial" w:cs="Arial" w:eastAsia="Arial" w:hAnsi="Arial"/>
                <w:sz w:val="14"/>
                <w:szCs w:val="14"/>
                <w:color w:val="auto"/>
              </w:rPr>
              <w:t>Issuance of common stock related to share-based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6"/>
        </w:trPr>
        <w:tc>
          <w:tcPr>
            <w:tcW w:w="3360" w:type="dxa"/>
            <w:vAlign w:val="bottom"/>
          </w:tcPr>
          <w:p>
            <w:pPr>
              <w:ind w:left="140"/>
              <w:spacing w:after="0" w:line="156" w:lineRule="exact"/>
              <w:rPr>
                <w:sz w:val="20"/>
                <w:szCs w:val="20"/>
                <w:color w:val="auto"/>
              </w:rPr>
            </w:pPr>
            <w:r>
              <w:rPr>
                <w:rFonts w:ascii="Arial" w:cs="Arial" w:eastAsia="Arial" w:hAnsi="Arial"/>
                <w:sz w:val="14"/>
                <w:szCs w:val="14"/>
                <w:color w:val="auto"/>
              </w:rPr>
              <w:t>payment awards including income tax benefit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9"/>
        </w:trPr>
        <w:tc>
          <w:tcPr>
            <w:tcW w:w="3360" w:type="dxa"/>
            <w:vAlign w:val="bottom"/>
          </w:tcPr>
          <w:p>
            <w:pPr>
              <w:ind w:left="140"/>
              <w:spacing w:after="0"/>
              <w:rPr>
                <w:sz w:val="20"/>
                <w:szCs w:val="20"/>
                <w:color w:val="auto"/>
              </w:rPr>
            </w:pPr>
            <w:r>
              <w:rPr>
                <w:rFonts w:ascii="Arial" w:cs="Arial" w:eastAsia="Arial" w:hAnsi="Arial"/>
                <w:sz w:val="14"/>
                <w:szCs w:val="14"/>
                <w:color w:val="auto"/>
              </w:rPr>
              <w:t>$3,301</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678</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3,294</w:t>
            </w:r>
          </w:p>
        </w:tc>
        <w:tc>
          <w:tcPr>
            <w:tcW w:w="160" w:type="dxa"/>
            <w:vAlign w:val="bottom"/>
          </w:tcPr>
          <w:p>
            <w:pPr>
              <w:spacing w:after="0"/>
              <w:rPr>
                <w:sz w:val="14"/>
                <w:szCs w:val="14"/>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3,301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3,301</w:t>
            </w:r>
          </w:p>
        </w:tc>
      </w:tr>
      <w:tr>
        <w:trPr>
          <w:trHeight w:val="142"/>
        </w:trPr>
        <w:tc>
          <w:tcPr>
            <w:tcW w:w="3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Purchases of common stock tendered by employees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6"/>
        </w:trPr>
        <w:tc>
          <w:tcPr>
            <w:tcW w:w="33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to satisfy the required withholding taxes related to</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payment awards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(6,768)</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(6,768)</w:t>
            </w:r>
          </w:p>
        </w:tc>
      </w:tr>
      <w:tr>
        <w:trPr>
          <w:trHeight w:val="195"/>
        </w:trPr>
        <w:tc>
          <w:tcPr>
            <w:tcW w:w="3360" w:type="dxa"/>
            <w:vAlign w:val="bottom"/>
          </w:tcPr>
          <w:p>
            <w:pPr>
              <w:spacing w:after="0"/>
              <w:rPr>
                <w:sz w:val="20"/>
                <w:szCs w:val="20"/>
                <w:color w:val="auto"/>
              </w:rPr>
            </w:pPr>
            <w:r>
              <w:rPr>
                <w:rFonts w:ascii="Arial" w:cs="Arial" w:eastAsia="Arial" w:hAnsi="Arial"/>
                <w:sz w:val="14"/>
                <w:szCs w:val="14"/>
                <w:color w:val="auto"/>
              </w:rPr>
              <w:t>Purchases of common stock</w:t>
            </w:r>
          </w:p>
        </w:tc>
        <w:tc>
          <w:tcPr>
            <w:tcW w:w="560" w:type="dxa"/>
            <w:vAlign w:val="bottom"/>
          </w:tcPr>
          <w:p>
            <w:pPr>
              <w:jc w:val="right"/>
              <w:spacing w:after="0"/>
              <w:rPr>
                <w:sz w:val="20"/>
                <w:szCs w:val="20"/>
                <w:color w:val="auto"/>
              </w:rPr>
            </w:pPr>
            <w:r>
              <w:rPr>
                <w:rFonts w:ascii="Arial" w:cs="Arial" w:eastAsia="Arial" w:hAnsi="Arial"/>
                <w:sz w:val="14"/>
                <w:szCs w:val="14"/>
                <w:color w:val="auto"/>
              </w:rPr>
              <w:t>(926)</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w:t>
            </w:r>
          </w:p>
        </w:tc>
        <w:tc>
          <w:tcPr>
            <w:tcW w:w="820" w:type="dxa"/>
            <w:vAlign w:val="bottom"/>
          </w:tcPr>
          <w:p>
            <w:pPr>
              <w:jc w:val="right"/>
              <w:spacing w:after="0"/>
              <w:rPr>
                <w:sz w:val="20"/>
                <w:szCs w:val="20"/>
                <w:color w:val="auto"/>
              </w:rPr>
            </w:pPr>
            <w:r>
              <w:rPr>
                <w:rFonts w:ascii="Arial" w:cs="Arial" w:eastAsia="Arial" w:hAnsi="Arial"/>
                <w:sz w:val="14"/>
                <w:szCs w:val="14"/>
                <w:color w:val="auto"/>
              </w:rPr>
              <w:t>(34,991)</w:t>
            </w:r>
          </w:p>
        </w:tc>
        <w:tc>
          <w:tcPr>
            <w:tcW w:w="1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(35,000)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195"/>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(13,301)</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(13,301)</w:t>
            </w:r>
          </w:p>
        </w:tc>
        <w:tc>
          <w:tcPr>
            <w:tcW w:w="1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(13,301)</w:t>
            </w:r>
          </w:p>
        </w:tc>
      </w:tr>
      <w:tr>
        <w:trPr>
          <w:trHeight w:val="188"/>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December 31, 2013</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71,883</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495,199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9"/>
              </w:rPr>
              <w:t>1,207,299</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(29,319)</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1,673,898</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4,996</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1,678,894</w:t>
            </w:r>
          </w:p>
        </w:tc>
      </w:tr>
      <w:tr>
        <w:trPr>
          <w:trHeight w:val="188"/>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221,747</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221,747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218,407</w:t>
            </w:r>
          </w:p>
        </w:tc>
      </w:tr>
      <w:tr>
        <w:trPr>
          <w:trHeight w:val="195"/>
        </w:trPr>
        <w:tc>
          <w:tcPr>
            <w:tcW w:w="3360" w:type="dxa"/>
            <w:vAlign w:val="bottom"/>
          </w:tcPr>
          <w:p>
            <w:pPr>
              <w:spacing w:after="0"/>
              <w:rPr>
                <w:sz w:val="20"/>
                <w:szCs w:val="20"/>
                <w:color w:val="auto"/>
              </w:rPr>
            </w:pPr>
            <w:r>
              <w:rPr>
                <w:rFonts w:ascii="Arial" w:cs="Arial" w:eastAsia="Arial" w:hAnsi="Arial"/>
                <w:sz w:val="14"/>
                <w:szCs w:val="14"/>
                <w:color w:val="auto"/>
              </w:rPr>
              <w:t>Cash dividends declared</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(10,596)</w:t>
            </w:r>
          </w:p>
        </w:tc>
        <w:tc>
          <w:tcPr>
            <w:tcW w:w="2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(10,596)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(10,596)</w:t>
            </w:r>
          </w:p>
        </w:tc>
      </w:tr>
      <w:tr>
        <w:trPr>
          <w:trHeight w:val="142"/>
        </w:trPr>
        <w:tc>
          <w:tcPr>
            <w:tcW w:w="3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Initial noncontrolling interest upon acquisition of</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businesses</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19,448</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19,448</w:t>
            </w:r>
          </w:p>
        </w:tc>
      </w:tr>
      <w:tr>
        <w:trPr>
          <w:trHeight w:val="195"/>
        </w:trPr>
        <w:tc>
          <w:tcPr>
            <w:tcW w:w="3360" w:type="dxa"/>
            <w:vAlign w:val="bottom"/>
          </w:tcPr>
          <w:p>
            <w:pPr>
              <w:spacing w:after="0"/>
              <w:rPr>
                <w:sz w:val="20"/>
                <w:szCs w:val="20"/>
                <w:color w:val="auto"/>
              </w:rPr>
            </w:pPr>
            <w:r>
              <w:rPr>
                <w:rFonts w:ascii="Arial" w:cs="Arial" w:eastAsia="Arial" w:hAnsi="Arial"/>
                <w:sz w:val="14"/>
                <w:szCs w:val="14"/>
                <w:color w:val="auto"/>
              </w:rPr>
              <w:t>Distribution of noncontrolling interest</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(11,581)</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(11,581)</w:t>
            </w:r>
          </w:p>
        </w:tc>
      </w:t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share-based payment awards</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15,260</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15,260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15,260</w:t>
            </w:r>
          </w:p>
        </w:tc>
      </w:tr>
      <w:tr>
        <w:trPr>
          <w:trHeight w:val="142"/>
        </w:trPr>
        <w:tc>
          <w:tcPr>
            <w:tcW w:w="3360" w:type="dxa"/>
            <w:vAlign w:val="bottom"/>
          </w:tcPr>
          <w:p>
            <w:pPr>
              <w:spacing w:after="0" w:line="143" w:lineRule="exact"/>
              <w:rPr>
                <w:sz w:val="20"/>
                <w:szCs w:val="20"/>
                <w:color w:val="auto"/>
              </w:rPr>
            </w:pPr>
            <w:r>
              <w:rPr>
                <w:rFonts w:ascii="Arial" w:cs="Arial" w:eastAsia="Arial" w:hAnsi="Arial"/>
                <w:sz w:val="14"/>
                <w:szCs w:val="14"/>
                <w:color w:val="auto"/>
              </w:rPr>
              <w:t>Issuance of common stock related to share-based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6"/>
        </w:trPr>
        <w:tc>
          <w:tcPr>
            <w:tcW w:w="3360" w:type="dxa"/>
            <w:vAlign w:val="bottom"/>
          </w:tcPr>
          <w:p>
            <w:pPr>
              <w:ind w:left="140"/>
              <w:spacing w:after="0" w:line="156" w:lineRule="exact"/>
              <w:rPr>
                <w:sz w:val="20"/>
                <w:szCs w:val="20"/>
                <w:color w:val="auto"/>
              </w:rPr>
            </w:pPr>
            <w:r>
              <w:rPr>
                <w:rFonts w:ascii="Arial" w:cs="Arial" w:eastAsia="Arial" w:hAnsi="Arial"/>
                <w:sz w:val="14"/>
                <w:szCs w:val="14"/>
                <w:color w:val="auto"/>
              </w:rPr>
              <w:t>payment awards including income tax benefit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9"/>
        </w:trPr>
        <w:tc>
          <w:tcPr>
            <w:tcW w:w="3360" w:type="dxa"/>
            <w:vAlign w:val="bottom"/>
          </w:tcPr>
          <w:p>
            <w:pPr>
              <w:ind w:left="140"/>
              <w:spacing w:after="0"/>
              <w:rPr>
                <w:sz w:val="20"/>
                <w:szCs w:val="20"/>
                <w:color w:val="auto"/>
              </w:rPr>
            </w:pPr>
            <w:r>
              <w:rPr>
                <w:rFonts w:ascii="Arial" w:cs="Arial" w:eastAsia="Arial" w:hAnsi="Arial"/>
                <w:sz w:val="14"/>
                <w:szCs w:val="14"/>
                <w:color w:val="auto"/>
              </w:rPr>
              <w:t>$1,028</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477</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1,023</w:t>
            </w:r>
          </w:p>
        </w:tc>
        <w:tc>
          <w:tcPr>
            <w:tcW w:w="160" w:type="dxa"/>
            <w:vAlign w:val="bottom"/>
          </w:tcPr>
          <w:p>
            <w:pPr>
              <w:spacing w:after="0"/>
              <w:rPr>
                <w:sz w:val="14"/>
                <w:szCs w:val="14"/>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1,028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1,028</w:t>
            </w:r>
          </w:p>
        </w:tc>
      </w:tr>
      <w:tr>
        <w:trPr>
          <w:trHeight w:val="142"/>
        </w:trPr>
        <w:tc>
          <w:tcPr>
            <w:tcW w:w="3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Purchases of common stock tendered by employees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6"/>
        </w:trPr>
        <w:tc>
          <w:tcPr>
            <w:tcW w:w="33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to satisfy the required withholding taxes related to</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payment awards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(5,083)</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(5,084)</w:t>
            </w:r>
          </w:p>
        </w:tc>
      </w:tr>
      <w:tr>
        <w:trPr>
          <w:trHeight w:val="195"/>
        </w:trPr>
        <w:tc>
          <w:tcPr>
            <w:tcW w:w="3360" w:type="dxa"/>
            <w:vAlign w:val="bottom"/>
          </w:tcPr>
          <w:p>
            <w:pPr>
              <w:spacing w:after="0"/>
              <w:rPr>
                <w:sz w:val="20"/>
                <w:szCs w:val="20"/>
                <w:color w:val="auto"/>
              </w:rPr>
            </w:pPr>
            <w:r>
              <w:rPr>
                <w:rFonts w:ascii="Arial" w:cs="Arial" w:eastAsia="Arial" w:hAnsi="Arial"/>
                <w:sz w:val="14"/>
                <w:szCs w:val="14"/>
                <w:color w:val="auto"/>
              </w:rPr>
              <w:t>Purchases of common stock</w:t>
            </w:r>
          </w:p>
        </w:tc>
        <w:tc>
          <w:tcPr>
            <w:tcW w:w="560" w:type="dxa"/>
            <w:vAlign w:val="bottom"/>
          </w:tcPr>
          <w:p>
            <w:pPr>
              <w:jc w:val="right"/>
              <w:spacing w:after="0"/>
              <w:rPr>
                <w:sz w:val="20"/>
                <w:szCs w:val="20"/>
                <w:color w:val="auto"/>
              </w:rPr>
            </w:pPr>
            <w:r>
              <w:rPr>
                <w:rFonts w:ascii="Arial" w:cs="Arial" w:eastAsia="Arial" w:hAnsi="Arial"/>
                <w:sz w:val="14"/>
                <w:szCs w:val="14"/>
                <w:color w:val="auto"/>
              </w:rPr>
              <w:t>(227)</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820" w:type="dxa"/>
            <w:vAlign w:val="bottom"/>
          </w:tcPr>
          <w:p>
            <w:pPr>
              <w:jc w:val="right"/>
              <w:spacing w:after="0"/>
              <w:rPr>
                <w:sz w:val="20"/>
                <w:szCs w:val="20"/>
                <w:color w:val="auto"/>
              </w:rPr>
            </w:pPr>
            <w:r>
              <w:rPr>
                <w:rFonts w:ascii="Arial" w:cs="Arial" w:eastAsia="Arial" w:hAnsi="Arial"/>
                <w:sz w:val="14"/>
                <w:szCs w:val="14"/>
                <w:color w:val="auto"/>
              </w:rPr>
              <w:t>(9,997)</w:t>
            </w:r>
          </w:p>
        </w:tc>
        <w:tc>
          <w:tcPr>
            <w:tcW w:w="1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(9,999)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(9,999)</w:t>
            </w:r>
          </w:p>
        </w:tc>
      </w:tr>
      <w:tr>
        <w:trPr>
          <w:trHeight w:val="195"/>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(30,896)</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(30,896)</w:t>
            </w:r>
          </w:p>
        </w:tc>
        <w:tc>
          <w:tcPr>
            <w:tcW w:w="1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(30,896)</w:t>
            </w:r>
          </w:p>
        </w:tc>
      </w:tr>
      <w:tr>
        <w:trPr>
          <w:trHeight w:val="194"/>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December 31, 2014</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72,082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$ 496,402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9"/>
              </w:rPr>
              <w:t>1,418,450</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(60,215)</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1,855,358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9,523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1,864,881</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47" w:name="page48"/>
    <w:bookmarkEnd w:id="47"/>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ind w:right="4040"/>
        <w:spacing w:after="0" w:line="261" w:lineRule="auto"/>
        <w:rPr>
          <w:sz w:val="20"/>
          <w:szCs w:val="20"/>
          <w:color w:val="auto"/>
        </w:rPr>
      </w:pPr>
      <w:r>
        <w:rPr>
          <w:rFonts w:ascii="Arial" w:cs="Arial" w:eastAsia="Arial" w:hAnsi="Arial"/>
          <w:sz w:val="20"/>
          <w:szCs w:val="20"/>
          <w:b w:val="1"/>
          <w:bCs w:val="1"/>
          <w:color w:val="auto"/>
        </w:rPr>
        <w:t>WORLD FUEL SERVICES CORPORATION AND SUBSIDIARIES CONSOLIDATED STATEMENTS OF CASH FLOWS</w:t>
      </w:r>
    </w:p>
    <w:p>
      <w:pPr>
        <w:spacing w:after="0"/>
        <w:rPr>
          <w:sz w:val="20"/>
          <w:szCs w:val="20"/>
          <w:color w:val="auto"/>
        </w:rPr>
      </w:pPr>
      <w:r>
        <w:rPr>
          <w:rFonts w:ascii="Arial" w:cs="Arial" w:eastAsia="Arial" w:hAnsi="Arial"/>
          <w:sz w:val="17"/>
          <w:szCs w:val="17"/>
          <w:color w:val="auto"/>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For the Year ended December 31,</w:t>
            </w:r>
          </w:p>
        </w:tc>
      </w:tr>
      <w:tr>
        <w:trPr>
          <w:trHeight w:val="188"/>
        </w:trPr>
        <w:tc>
          <w:tcPr>
            <w:tcW w:w="6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including noncontrolling interest</w:t>
            </w: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218,407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207,160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201,351</w:t>
            </w:r>
          </w:p>
        </w:tc>
      </w:tr>
      <w:tr>
        <w:trPr>
          <w:trHeight w:val="156"/>
        </w:trPr>
        <w:tc>
          <w:tcPr>
            <w:tcW w:w="642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Adjustments to reconcile net income including noncontrolling interest to net cash provided</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00"/>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by operating activities: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59,399</w:t>
            </w:r>
          </w:p>
        </w:tc>
        <w:tc>
          <w:tcPr>
            <w:tcW w:w="24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44,710</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36,714</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bad debt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3,757</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11,745</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Gain on the sale of crude oil joint venture interests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(18,082)</w:t>
            </w:r>
          </w:p>
        </w:tc>
        <w:tc>
          <w:tcPr>
            <w:tcW w:w="24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 award compensation costs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15,755</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16,716</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14,079</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Deferred tax provision (benefit)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10,351</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(8,243)</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9,665</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Extinguishment of liabilities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(5,250)</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(8,538)</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(11,199)</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(12,322)</w:t>
            </w:r>
          </w:p>
        </w:tc>
        <w:tc>
          <w:tcPr>
            <w:tcW w:w="24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2,065</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(5,659)</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Changes in assets and liabilities, net of acquisitions: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462,517</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(328,969)</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97,297</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232,258</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(77,754)</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(90,847)</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46,479</w:t>
            </w:r>
          </w:p>
        </w:tc>
        <w:tc>
          <w:tcPr>
            <w:tcW w:w="24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30,755</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(51,155)</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Short-term derivative assets, net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(265,779)</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3,534</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(30,200)</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(22,591)</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(3,517)</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collateral with financial counterparties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(288,049)</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9,920</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(11,059)</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2,877</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(19,638)</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4,793</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(585,674)</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385,482</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(45,179)</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Customer deposits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12,816</w:t>
            </w:r>
          </w:p>
        </w:tc>
        <w:tc>
          <w:tcPr>
            <w:tcW w:w="24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13,874</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(6,513)</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266,534</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(3,549)</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r>
      <w:tr>
        <w:trPr>
          <w:trHeight w:val="195"/>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Non-current income tax, net and other long-term liabilities</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15,366</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7,623</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w:t>
            </w:r>
          </w:p>
        </w:tc>
      </w:tr>
      <w:tr>
        <w:trPr>
          <w:trHeight w:val="188"/>
        </w:trPr>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adjustments</w:t>
            </w: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(77,247)</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57,142</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(55,560)</w:t>
            </w:r>
          </w:p>
        </w:tc>
      </w:tr>
      <w:tr>
        <w:trPr>
          <w:trHeight w:val="188"/>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141,160</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264,302</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145,791</w:t>
            </w:r>
          </w:p>
        </w:tc>
      </w:tr>
      <w:tr>
        <w:trPr>
          <w:trHeight w:val="188"/>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Acquisitions of businesses, net of cash acquired and other investments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(273,649)</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(76,954)</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(217,782)</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(50,153)</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(82,716)</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(28,454)</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Escrow payment related to an assumed obligation of an acquired business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(21,724)</w:t>
            </w:r>
          </w:p>
        </w:tc>
        <w:tc>
          <w:tcPr>
            <w:tcW w:w="24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sale of crude oil joint venture interests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43,000</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Purchase of investments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(2,104)</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(21,588)</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sale of short-term investments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21,588</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Issuances of notes receivable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(7,969)</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Repayment of notes receivable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7,543</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195"/>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Decrease in cash due to deconsolidation of crude oil transloading joint venture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(6,921)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(297,087)</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(174,560)</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(246,622)</w:t>
            </w:r>
          </w:p>
        </w:tc>
      </w:tr>
      <w:tr>
        <w:trPr>
          <w:trHeight w:val="188"/>
        </w:trPr>
        <w:tc>
          <w:tcPr>
            <w:tcW w:w="64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Borrowings of debt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5,757,254</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4,556,618</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4,050,500</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Repayments of debt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(5,551,509)</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(4,476,304)</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(3,965,960)</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Dividends paid on common stock</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(10,595)</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(10,679)</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(10,685)</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Investment by noncontrolling interest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17,519</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Distribution of noncontrolling interest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(11,581)</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(15,489)</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Purchases of common stock</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(9,999)</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(35,000)</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4"/>
        </w:trPr>
        <w:tc>
          <w:tcPr>
            <w:tcW w:w="642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Federal and state tax benefits resulting from tax deductions in excess of the compensation</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0"/>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cost recognized for share-based payment awards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1,028</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3,301</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w:t>
            </w:r>
          </w:p>
        </w:tc>
      </w:tr>
      <w:tr>
        <w:trPr>
          <w:trHeight w:val="164"/>
        </w:trPr>
        <w:tc>
          <w:tcPr>
            <w:tcW w:w="6420" w:type="dxa"/>
            <w:vAlign w:val="bottom"/>
          </w:tcPr>
          <w:p>
            <w:pPr>
              <w:spacing w:after="0" w:line="164" w:lineRule="exact"/>
              <w:rPr>
                <w:sz w:val="20"/>
                <w:szCs w:val="20"/>
                <w:color w:val="auto"/>
              </w:rPr>
            </w:pPr>
            <w:r>
              <w:rPr>
                <w:rFonts w:ascii="Arial" w:cs="Arial" w:eastAsia="Arial" w:hAnsi="Arial"/>
                <w:sz w:val="16"/>
                <w:szCs w:val="16"/>
                <w:color w:val="auto"/>
              </w:rPr>
              <w:t>Purchases of common stock tendered by employees to satisfy the required withholding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0"/>
        </w:trPr>
        <w:tc>
          <w:tcPr>
            <w:tcW w:w="6420" w:type="dxa"/>
            <w:vAlign w:val="bottom"/>
          </w:tcPr>
          <w:p>
            <w:pPr>
              <w:spacing w:after="0"/>
              <w:rPr>
                <w:sz w:val="20"/>
                <w:szCs w:val="20"/>
                <w:color w:val="auto"/>
              </w:rPr>
            </w:pPr>
            <w:r>
              <w:rPr>
                <w:rFonts w:ascii="Arial" w:cs="Arial" w:eastAsia="Arial" w:hAnsi="Arial"/>
                <w:sz w:val="16"/>
                <w:szCs w:val="16"/>
                <w:color w:val="auto"/>
              </w:rPr>
              <w:t>taxes related to share-based payment awards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(5,083)</w:t>
            </w:r>
          </w:p>
        </w:tc>
        <w:tc>
          <w:tcPr>
            <w:tcW w:w="24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(6,768)</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(4,973)</w:t>
            </w:r>
          </w:p>
        </w:tc>
      </w:tr>
      <w:tr>
        <w:trPr>
          <w:trHeight w:val="195"/>
        </w:trPr>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payments</w:t>
            </w: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(3,689)</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r>
      <w:tr>
        <w:trPr>
          <w:trHeight w:val="188"/>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169,515</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29,509</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66,858</w:t>
            </w:r>
          </w:p>
        </w:tc>
      </w:tr>
      <w:tr>
        <w:trPr>
          <w:trHeight w:val="188"/>
        </w:trPr>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(3,385)</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70</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r>
      <w:tr>
        <w:trPr>
          <w:trHeight w:val="188"/>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10,203</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119,321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(32,675)</w:t>
            </w:r>
          </w:p>
        </w:tc>
      </w:tr>
      <w:tr>
        <w:trPr>
          <w:trHeight w:val="188"/>
        </w:trPr>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Cash and cash equivalents, as of beginning of year</w:t>
            </w: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292,061</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172,740</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205,415</w:t>
            </w:r>
          </w:p>
        </w:tc>
      </w:tr>
      <w:tr>
        <w:trPr>
          <w:trHeight w:val="188"/>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as of end of year</w:t>
            </w: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302,264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292,061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172,740</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4" w:lineRule="exact"/>
        <w:rPr>
          <w:sz w:val="20"/>
          <w:szCs w:val="20"/>
          <w:color w:val="auto"/>
        </w:rPr>
      </w:pPr>
    </w:p>
    <w:p>
      <w:pPr>
        <w:ind w:right="3700"/>
        <w:spacing w:after="0" w:line="295" w:lineRule="auto"/>
        <w:rPr>
          <w:sz w:val="20"/>
          <w:szCs w:val="20"/>
          <w:color w:val="auto"/>
        </w:rPr>
      </w:pPr>
      <w:r>
        <w:rPr>
          <w:rFonts w:ascii="Arial" w:cs="Arial" w:eastAsia="Arial" w:hAnsi="Arial"/>
          <w:sz w:val="20"/>
          <w:szCs w:val="20"/>
          <w:b w:val="1"/>
          <w:bCs w:val="1"/>
          <w:color w:val="auto"/>
        </w:rPr>
        <w:t>WORLD FUEL SERVICES CORPORATION AND SUBSIDIARIES CONSOLIDATED STATEMENTS OF CASH FLOWS – (CONTINUED)</w:t>
      </w:r>
    </w:p>
    <w:p>
      <w:pPr>
        <w:spacing w:after="0"/>
        <w:rPr>
          <w:sz w:val="20"/>
          <w:szCs w:val="20"/>
          <w:color w:val="auto"/>
        </w:rPr>
      </w:pPr>
      <w:r>
        <w:rPr>
          <w:rFonts w:ascii="Arial" w:cs="Arial" w:eastAsia="Arial" w:hAnsi="Arial"/>
          <w:sz w:val="17"/>
          <w:szCs w:val="17"/>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For the Year ended December 31,</w:t>
            </w:r>
          </w:p>
        </w:tc>
      </w:tr>
      <w:tr>
        <w:trPr>
          <w:trHeight w:val="188"/>
        </w:trPr>
        <w:tc>
          <w:tcPr>
            <w:tcW w:w="5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5420" w:type="dxa"/>
            <w:vAlign w:val="bottom"/>
          </w:tcPr>
          <w:p>
            <w:pPr>
              <w:spacing w:after="0" w:line="188" w:lineRule="exact"/>
              <w:rPr>
                <w:sz w:val="20"/>
                <w:szCs w:val="20"/>
                <w:color w:val="auto"/>
              </w:rPr>
            </w:pPr>
            <w:r>
              <w:rPr>
                <w:rFonts w:ascii="Arial" w:cs="Arial" w:eastAsia="Arial" w:hAnsi="Arial"/>
                <w:sz w:val="17"/>
                <w:szCs w:val="17"/>
                <w:b w:val="1"/>
                <w:bCs w:val="1"/>
                <w:color w:val="auto"/>
              </w:rPr>
              <w:t>Supplemental Disclosures of Cash Flow Information</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year for:</w:t>
            </w: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1"/>
        </w:trPr>
        <w:tc>
          <w:tcPr>
            <w:tcW w:w="5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net of capitalized interest</w:t>
            </w: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29,151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color w:val="auto"/>
              </w:rPr>
              <w:t>19,131</w:t>
            </w: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17,227</w:t>
            </w:r>
          </w:p>
        </w:tc>
      </w:tr>
      <w:tr>
        <w:trPr>
          <w:trHeight w:val="201"/>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taxes</w:t>
            </w:r>
          </w:p>
        </w:tc>
        <w:tc>
          <w:tcPr>
            <w:tcW w:w="14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40,785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rPr>
              <w:t>34,557</w:t>
            </w:r>
          </w:p>
        </w:tc>
        <w:tc>
          <w:tcPr>
            <w:tcW w:w="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26,529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Cash dividends declared, but not yet paid, were $2.6 million as of December 31, 2014 and December 31, 2013.</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had accrued capital expenditures totaling $3.4 million and $1.8 million as of December 31, 2014 and December 31, 2013, respectively, which were recorded in accounts payable.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November 2014, we utilized £8.8 million ($13.8 million) of the £13.0 million ($21.7 million) escrow account balance for payment of assumed pension exit obligations. The escrow account balance will be used to pay the remaining assumed pension exit obligations and amounts due to the sellers.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2013, due to a change in the operational control of our crude oil transloading joint venture from us to our joint venture partner, we recorded a reduction of $ 44.2 million and $25.6 million in net assets and noncontrolling interest equity, respectively, and an increase of $25.6 million in other investments. The aforementioned joint venture was subsequently sold in December 2014. For more information on the sale, see “Other Investments” in Note 1.</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2012, we granted equity awards to certain employees of which $2.7 million was previously recorded in accrued expenses and other current liabilities.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an equity investment, we recorded a current liability and other investment of £ 10.0 million ($16.3 million) in 2012 and £2.0 million ($2.8 million) in 2013 related to contingent consideration. The aggregate amount of £12.0 million ($19.1 million) was paid in 2013.</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our acquisitions for the years presented, the following table presents the assets acquired, net of cash and liabilities assumed: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For the Year ended December 31,</w:t>
            </w:r>
          </w:p>
        </w:tc>
      </w:tr>
      <w:tr>
        <w:trPr>
          <w:trHeight w:val="188"/>
        </w:trPr>
        <w:tc>
          <w:tcPr>
            <w:tcW w:w="43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94"/>
        </w:trPr>
        <w:tc>
          <w:tcPr>
            <w:tcW w:w="43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Assets acquired, net of cash</w:t>
            </w:r>
          </w:p>
        </w:tc>
        <w:tc>
          <w:tcPr>
            <w:tcW w:w="2400" w:type="dxa"/>
            <w:vAlign w:val="bottom"/>
            <w:tcBorders>
              <w:bottom w:val="single" w:sz="8" w:color="auto"/>
            </w:tcBorders>
            <w:gridSpan w:val="2"/>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19"/>
              <w:spacing w:after="0" w:line="188" w:lineRule="exact"/>
              <w:rPr>
                <w:sz w:val="20"/>
                <w:szCs w:val="20"/>
                <w:color w:val="auto"/>
              </w:rPr>
            </w:pPr>
            <w:r>
              <w:rPr>
                <w:rFonts w:ascii="Arial" w:cs="Arial" w:eastAsia="Arial" w:hAnsi="Arial"/>
                <w:sz w:val="17"/>
                <w:szCs w:val="17"/>
                <w:color w:val="auto"/>
              </w:rPr>
              <w:t>610,963</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02"/>
              <w:spacing w:after="0" w:line="188" w:lineRule="exact"/>
              <w:rPr>
                <w:sz w:val="20"/>
                <w:szCs w:val="20"/>
                <w:color w:val="auto"/>
              </w:rPr>
            </w:pPr>
            <w:r>
              <w:rPr>
                <w:rFonts w:ascii="Arial" w:cs="Arial" w:eastAsia="Arial" w:hAnsi="Arial"/>
                <w:sz w:val="17"/>
                <w:szCs w:val="17"/>
                <w:color w:val="auto"/>
              </w:rPr>
              <w:t>77,164</w:t>
            </w:r>
          </w:p>
        </w:tc>
        <w:tc>
          <w:tcPr>
            <w:tcW w:w="38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366,230</w:t>
            </w:r>
          </w:p>
        </w:tc>
      </w:tr>
      <w:tr>
        <w:trPr>
          <w:trHeight w:val="201"/>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Liabilities assumed</w:t>
            </w:r>
          </w:p>
        </w:tc>
        <w:tc>
          <w:tcPr>
            <w:tcW w:w="2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314,785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color w:val="auto"/>
              </w:rPr>
              <w:t>36,765</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151,816</w:t>
            </w:r>
          </w:p>
        </w:tc>
      </w:tr>
    </w:tbl>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our acquisitions, we issued promissory notes totaling $9.0 million, $3.0 million and $7.2 million in 2014, 2013 and 2012,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38" w:lineRule="exact"/>
        <w:rPr>
          <w:sz w:val="20"/>
          <w:szCs w:val="20"/>
          <w:color w:val="auto"/>
        </w:rPr>
      </w:pPr>
    </w:p>
    <w:p>
      <w:pPr>
        <w:ind w:right="780"/>
        <w:spacing w:after="0" w:line="282" w:lineRule="auto"/>
        <w:rPr>
          <w:sz w:val="20"/>
          <w:szCs w:val="20"/>
          <w:color w:val="auto"/>
        </w:rPr>
      </w:pPr>
      <w:r>
        <w:rPr>
          <w:rFonts w:ascii="Arial" w:cs="Arial" w:eastAsia="Arial" w:hAnsi="Arial"/>
          <w:sz w:val="21"/>
          <w:szCs w:val="21"/>
          <w:b w:val="1"/>
          <w:bCs w:val="1"/>
          <w:color w:val="auto"/>
        </w:rPr>
        <w:t>WORLD FUEL SERVICES CORPORATION AND SUBSIDIARIES 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Acquisitions, Significant Accounting Policies and 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Business</w:t>
      </w:r>
    </w:p>
    <w:p>
      <w:pPr>
        <w:spacing w:after="0" w:line="23"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World Fuel Services Corporation (the “Company”) was incorporated in Florida in July 1984 and along with its consolidated subsidiaries is referred to collectively as “World Fuel,” “we,” “our” and “us.”</w:t>
      </w:r>
    </w:p>
    <w:p>
      <w:pPr>
        <w:spacing w:after="0" w:line="153" w:lineRule="exact"/>
        <w:rPr>
          <w:sz w:val="20"/>
          <w:szCs w:val="20"/>
          <w:color w:val="auto"/>
        </w:rPr>
      </w:pPr>
    </w:p>
    <w:p>
      <w:pPr>
        <w:jc w:val="both"/>
        <w:ind w:right="20"/>
        <w:spacing w:after="0" w:line="198" w:lineRule="exact"/>
        <w:rPr>
          <w:sz w:val="20"/>
          <w:szCs w:val="20"/>
          <w:color w:val="auto"/>
        </w:rPr>
      </w:pPr>
      <w:r>
        <w:rPr>
          <w:rFonts w:ascii="Arial" w:cs="Arial" w:eastAsia="Arial" w:hAnsi="Arial"/>
          <w:sz w:val="17"/>
          <w:szCs w:val="17"/>
          <w:color w:val="auto"/>
        </w:rPr>
        <w:t>We are a global fuel logistics, transaction management and payment processing company, principally engaged in the distribution of fuel and related products and services in the aviation, marine and land transportation industries. We compete by providing our customers with value-added benefits, including single 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In our aviation segment, we offer fuel and related products and services to major commercial airlines, second and third</w:t>
      </w:r>
      <w:r>
        <w:rPr>
          <w:rFonts w:ascii="MS PGothic" w:cs="MS PGothic" w:eastAsia="MS PGothic" w:hAnsi="MS PGothic"/>
          <w:sz w:val="17"/>
          <w:szCs w:val="17"/>
          <w:color w:val="auto"/>
        </w:rPr>
        <w:t>‑</w:t>
      </w:r>
      <w:r>
        <w:rPr>
          <w:rFonts w:ascii="Arial" w:cs="Arial" w:eastAsia="Arial" w:hAnsi="Arial"/>
          <w:sz w:val="17"/>
          <w:szCs w:val="17"/>
          <w:color w:val="auto"/>
        </w:rPr>
        <w:t>tier airlines, cargo carriers, regional and low cost carriers, airports, fixed based operators, corporate fleets, fractional operators, private aircraft, military fleets and to the United States (“U.S.”) and foreign governments. In our marine segment, we offer fuel, lubricants and related products and services to a broad base of marine customers, including international container and tanker fleets, commercial cruise lines, yachts and time</w:t>
      </w:r>
      <w:r>
        <w:rPr>
          <w:rFonts w:ascii="MS PGothic" w:cs="MS PGothic" w:eastAsia="MS PGothic" w:hAnsi="MS PGothic"/>
          <w:sz w:val="17"/>
          <w:szCs w:val="17"/>
          <w:color w:val="auto"/>
        </w:rPr>
        <w:t>‑</w:t>
      </w:r>
      <w:r>
        <w:rPr>
          <w:rFonts w:ascii="Arial" w:cs="Arial" w:eastAsia="Arial" w:hAnsi="Arial"/>
          <w:sz w:val="17"/>
          <w:szCs w:val="17"/>
          <w:color w:val="auto"/>
        </w:rPr>
        <w:t>charter operators, the U.S. and foreign governments, as well as other fuel suppliers. In our land segment, we offer fuel, lubricants and related products and services to petroleum distributors operating in the land transportation market, retail petroleum operators, and industrial, commercial, residential and government customers. Additionally, we engage in crude oil marketing activities. In addition, we offer transaction management services, which consist of card payment solutions and merchant processing services to customers in the aviation, marine and land transportation industries.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Acquisitions</w:t>
      </w:r>
    </w:p>
    <w:p>
      <w:pPr>
        <w:spacing w:after="0" w:line="196"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On March 7, 2014, we completed the acquisition of all of the outstanding stock of Watson Petroleum Limited (now known as WFL (UK) Limited) (“Watson Petroleum”) a leading distributor of gasoline, diesel, heating oil, lubricants and other products and related services. Watson Petroleum is headquartered in Brinkworth, England and is one of the largest fuel distributors in the United Kingdom. The estimated purchase price of Watson Petroleum was $173.9 million.</w:t>
      </w:r>
    </w:p>
    <w:p>
      <w:pPr>
        <w:spacing w:after="0" w:line="156"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On July 29, 2014, we completed the acquisition of all of the outstanding stock of Colt International, L.L.C. (“Colt”) a leading provider of contract fuel and international trip planning services in the general aviation marketplace. Colt is headquartered in Houston, Texas and offers services at more than 3,000 locations. The estimated purchase price of Colt was $72.9 million.</w:t>
      </w:r>
    </w:p>
    <w:p>
      <w:pPr>
        <w:spacing w:after="0" w:line="136"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In addition to the above acquisitions, in 2014, we completed two acquisitions in our aviation segment and one acquisition in our marine segment, which were not material individually or in the aggregate.</w:t>
      </w:r>
    </w:p>
    <w:p>
      <w:pPr>
        <w:spacing w:after="0" w:line="91"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The financial position, results of operations and cash flows of the 2014 acquisitions have been included in our consolidated financial statements since their respective acquisition dates.</w:t>
      </w:r>
    </w:p>
    <w:p>
      <w:pPr>
        <w:spacing w:after="0" w:line="91"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The following reconciles the estimated aggregate purchase price for the 2014 acquisitions to the cash paid for the acquisitions, net of cash acquired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Estimated purchase price</w:t>
            </w:r>
          </w:p>
        </w:tc>
        <w:tc>
          <w:tcPr>
            <w:tcW w:w="49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296,962</w:t>
            </w:r>
          </w:p>
        </w:tc>
        <w:tc>
          <w:tcPr>
            <w:tcW w:w="20" w:type="dxa"/>
            <w:vAlign w:val="bottom"/>
          </w:tcPr>
          <w:p>
            <w:pPr>
              <w:spacing w:after="0"/>
              <w:rPr>
                <w:sz w:val="17"/>
                <w:szCs w:val="17"/>
                <w:color w:val="auto"/>
              </w:rPr>
            </w:pPr>
          </w:p>
        </w:tc>
      </w:tr>
      <w:tr>
        <w:trPr>
          <w:trHeight w:val="195"/>
        </w:trPr>
        <w:tc>
          <w:tcPr>
            <w:tcW w:w="4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Cash acquired</w:t>
            </w:r>
          </w:p>
        </w:tc>
        <w:tc>
          <w:tcPr>
            <w:tcW w:w="49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20,232</w:t>
            </w:r>
          </w:p>
        </w:tc>
        <w:tc>
          <w:tcPr>
            <w:tcW w:w="20" w:type="dxa"/>
            <w:vAlign w:val="bottom"/>
          </w:tcPr>
          <w:p>
            <w:pPr>
              <w:spacing w:after="0"/>
              <w:rPr>
                <w:sz w:val="16"/>
                <w:szCs w:val="16"/>
                <w:color w:val="auto"/>
              </w:rPr>
            </w:pPr>
          </w:p>
        </w:tc>
      </w:tr>
      <w:tr>
        <w:trPr>
          <w:trHeight w:val="188"/>
        </w:trPr>
        <w:tc>
          <w:tcPr>
            <w:tcW w:w="43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Estimated purchase price, net of cash acquired</w:t>
            </w:r>
          </w:p>
        </w:tc>
        <w:tc>
          <w:tcPr>
            <w:tcW w:w="49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276,730</w:t>
            </w:r>
          </w:p>
        </w:tc>
        <w:tc>
          <w:tcPr>
            <w:tcW w:w="20" w:type="dxa"/>
            <w:vAlign w:val="bottom"/>
          </w:tcPr>
          <w:p>
            <w:pPr>
              <w:spacing w:after="0"/>
              <w:rPr>
                <w:sz w:val="16"/>
                <w:szCs w:val="16"/>
                <w:color w:val="auto"/>
              </w:rPr>
            </w:pPr>
          </w:p>
        </w:tc>
      </w:tr>
      <w:tr>
        <w:trPr>
          <w:trHeight w:val="195"/>
        </w:trPr>
        <w:tc>
          <w:tcPr>
            <w:tcW w:w="4300" w:type="dxa"/>
            <w:vAlign w:val="bottom"/>
          </w:tcPr>
          <w:p>
            <w:pPr>
              <w:spacing w:after="0"/>
              <w:rPr>
                <w:sz w:val="20"/>
                <w:szCs w:val="20"/>
                <w:color w:val="auto"/>
              </w:rPr>
            </w:pPr>
            <w:r>
              <w:rPr>
                <w:rFonts w:ascii="Arial" w:cs="Arial" w:eastAsia="Arial" w:hAnsi="Arial"/>
                <w:sz w:val="17"/>
                <w:szCs w:val="17"/>
                <w:color w:val="auto"/>
              </w:rPr>
              <w:t>Less: Promissory notes issued</w:t>
            </w:r>
          </w:p>
        </w:tc>
        <w:tc>
          <w:tcPr>
            <w:tcW w:w="49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9,000</w:t>
            </w:r>
          </w:p>
        </w:tc>
        <w:tc>
          <w:tcPr>
            <w:tcW w:w="20" w:type="dxa"/>
            <w:vAlign w:val="bottom"/>
          </w:tcPr>
          <w:p>
            <w:pPr>
              <w:spacing w:after="0"/>
              <w:rPr>
                <w:sz w:val="16"/>
                <w:szCs w:val="16"/>
                <w:color w:val="auto"/>
              </w:rPr>
            </w:pPr>
          </w:p>
        </w:tc>
      </w:tr>
      <w:tr>
        <w:trPr>
          <w:trHeight w:val="195"/>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Less: Amounts due to sellers</w:t>
            </w:r>
          </w:p>
        </w:tc>
        <w:tc>
          <w:tcPr>
            <w:tcW w:w="49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12,228</w:t>
            </w:r>
          </w:p>
        </w:tc>
        <w:tc>
          <w:tcPr>
            <w:tcW w:w="20" w:type="dxa"/>
            <w:vAlign w:val="bottom"/>
          </w:tcPr>
          <w:p>
            <w:pPr>
              <w:spacing w:after="0"/>
              <w:rPr>
                <w:sz w:val="16"/>
                <w:szCs w:val="16"/>
                <w:color w:val="auto"/>
              </w:rPr>
            </w:pPr>
          </w:p>
        </w:tc>
      </w:tr>
      <w:tr>
        <w:trPr>
          <w:trHeight w:val="194"/>
        </w:trPr>
        <w:tc>
          <w:tcPr>
            <w:tcW w:w="430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Cash paid for acquisition of businesses</w:t>
            </w:r>
          </w:p>
        </w:tc>
        <w:tc>
          <w:tcPr>
            <w:tcW w:w="4920" w:type="dxa"/>
            <w:vAlign w:val="bottom"/>
            <w:tcBorders>
              <w:bottom w:val="single" w:sz="8" w:color="auto"/>
            </w:tcBorders>
          </w:tcPr>
          <w:p>
            <w:pPr>
              <w:jc w:val="right"/>
              <w:ind w:right="19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255,502</w:t>
            </w:r>
          </w:p>
        </w:tc>
        <w:tc>
          <w:tcPr>
            <w:tcW w:w="20" w:type="dxa"/>
            <w:vAlign w:val="bottom"/>
          </w:tcPr>
          <w:p>
            <w:pPr>
              <w:spacing w:after="0"/>
              <w:rPr>
                <w:sz w:val="16"/>
                <w:szCs w:val="16"/>
                <w:color w:val="auto"/>
              </w:rPr>
            </w:pPr>
          </w:p>
        </w:tc>
      </w:tr>
      <w:tr>
        <w:trPr>
          <w:trHeight w:val="809"/>
        </w:trPr>
        <w:tc>
          <w:tcPr>
            <w:tcW w:w="4300" w:type="dxa"/>
            <w:vAlign w:val="bottom"/>
          </w:tcPr>
          <w:p>
            <w:pPr>
              <w:spacing w:after="0"/>
              <w:rPr>
                <w:sz w:val="24"/>
                <w:szCs w:val="24"/>
                <w:color w:val="auto"/>
              </w:rPr>
            </w:pPr>
          </w:p>
        </w:tc>
        <w:tc>
          <w:tcPr>
            <w:tcW w:w="4920" w:type="dxa"/>
            <w:vAlign w:val="bottom"/>
          </w:tcPr>
          <w:p>
            <w:pPr>
              <w:jc w:val="right"/>
              <w:ind w:right="3934"/>
              <w:spacing w:after="0"/>
              <w:rPr>
                <w:sz w:val="20"/>
                <w:szCs w:val="20"/>
                <w:color w:val="auto"/>
              </w:rPr>
            </w:pPr>
            <w:r>
              <w:rPr>
                <w:rFonts w:ascii="Arial" w:cs="Arial" w:eastAsia="Arial" w:hAnsi="Arial"/>
                <w:sz w:val="17"/>
                <w:szCs w:val="17"/>
                <w:color w:val="auto"/>
              </w:rPr>
              <w:t>48</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300" w:type="dxa"/>
            <w:vAlign w:val="bottom"/>
            <w:tcBorders>
              <w:bottom w:val="single" w:sz="8" w:color="9A9A9A"/>
            </w:tcBorders>
          </w:tcPr>
          <w:p>
            <w:pPr>
              <w:spacing w:after="0"/>
              <w:rPr>
                <w:sz w:val="7"/>
                <w:szCs w:val="7"/>
                <w:color w:val="auto"/>
              </w:rPr>
            </w:pPr>
          </w:p>
        </w:tc>
        <w:tc>
          <w:tcPr>
            <w:tcW w:w="49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300" w:type="dxa"/>
            <w:vAlign w:val="bottom"/>
            <w:tcBorders>
              <w:bottom w:val="single" w:sz="8" w:color="EEEEEE"/>
            </w:tcBorders>
          </w:tcPr>
          <w:p>
            <w:pPr>
              <w:spacing w:after="0" w:line="20" w:lineRule="exact"/>
              <w:rPr>
                <w:sz w:val="1"/>
                <w:szCs w:val="1"/>
                <w:color w:val="auto"/>
              </w:rPr>
            </w:pPr>
          </w:p>
        </w:tc>
        <w:tc>
          <w:tcPr>
            <w:tcW w:w="49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50" w:name="page51"/>
    <w:bookmarkEnd w:id="5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estimated purchase price for each of the 2014 acquisitions is subject to change based on the final value of the net assets acquired and was allocated to the assets acquired and liabilities assumed based on their estimated fair value as of the acquisition date. Since the valuations of the assets acquired and liabilities assumed in connection with the 2014 acquisitions have not been finalized, the allocation of the purchase price of these acquisitions may change. On an aggregate basis, the estimated purchase price allocation for the 2014 acquisitions is as follows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2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5"/>
        </w:trPr>
        <w:tc>
          <w:tcPr>
            <w:tcW w:w="67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50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20,232</w:t>
            </w: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259,475</w:t>
            </w:r>
          </w:p>
        </w:tc>
      </w:tr>
      <w:tr>
        <w:trPr>
          <w:trHeight w:val="195"/>
        </w:trPr>
        <w:tc>
          <w:tcPr>
            <w:tcW w:w="6700" w:type="dxa"/>
            <w:vAlign w:val="bottom"/>
          </w:tcPr>
          <w:p>
            <w:pPr>
              <w:spacing w:after="0"/>
              <w:rPr>
                <w:sz w:val="20"/>
                <w:szCs w:val="20"/>
                <w:color w:val="auto"/>
              </w:rPr>
            </w:pPr>
            <w:r>
              <w:rPr>
                <w:rFonts w:ascii="Arial" w:cs="Arial" w:eastAsia="Arial" w:hAnsi="Arial"/>
                <w:sz w:val="17"/>
                <w:szCs w:val="17"/>
                <w:color w:val="auto"/>
              </w:rPr>
              <w:t>Inventories</w:t>
            </w:r>
          </w:p>
        </w:tc>
        <w:tc>
          <w:tcPr>
            <w:tcW w:w="2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14,412</w:t>
            </w: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55,172</w:t>
            </w:r>
          </w:p>
        </w:tc>
      </w:tr>
      <w:tr>
        <w:trPr>
          <w:trHeight w:val="195"/>
        </w:trPr>
        <w:tc>
          <w:tcPr>
            <w:tcW w:w="670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2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78,889</w:t>
            </w: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180,683</w:t>
            </w:r>
          </w:p>
        </w:tc>
      </w:tr>
      <w:tr>
        <w:trPr>
          <w:trHeight w:val="195"/>
        </w:trPr>
        <w:tc>
          <w:tcPr>
            <w:tcW w:w="6700" w:type="dxa"/>
            <w:vAlign w:val="bottom"/>
          </w:tcPr>
          <w:p>
            <w:pPr>
              <w:spacing w:after="0"/>
              <w:rPr>
                <w:sz w:val="20"/>
                <w:szCs w:val="20"/>
                <w:color w:val="auto"/>
              </w:rPr>
            </w:pPr>
            <w:r>
              <w:rPr>
                <w:rFonts w:ascii="Arial" w:cs="Arial" w:eastAsia="Arial" w:hAnsi="Arial"/>
                <w:sz w:val="17"/>
                <w:szCs w:val="17"/>
                <w:color w:val="auto"/>
              </w:rPr>
              <w:t>Other current and long-term assets</w:t>
            </w:r>
          </w:p>
        </w:tc>
        <w:tc>
          <w:tcPr>
            <w:tcW w:w="2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22,456</w:t>
            </w: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Liabilities assumed:</w:t>
            </w:r>
          </w:p>
        </w:tc>
        <w:tc>
          <w:tcPr>
            <w:tcW w:w="2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6700" w:type="dxa"/>
            <w:vAlign w:val="bottom"/>
          </w:tcPr>
          <w:p>
            <w:pPr>
              <w:spacing w:after="0"/>
              <w:rPr>
                <w:sz w:val="20"/>
                <w:szCs w:val="20"/>
                <w:color w:val="auto"/>
              </w:rPr>
            </w:pPr>
            <w:r>
              <w:rPr>
                <w:rFonts w:ascii="Arial" w:cs="Arial" w:eastAsia="Arial" w:hAnsi="Arial"/>
                <w:sz w:val="17"/>
                <w:szCs w:val="17"/>
                <w:color w:val="auto"/>
              </w:rPr>
              <w:t>Accounts payable</w:t>
            </w:r>
          </w:p>
        </w:tc>
        <w:tc>
          <w:tcPr>
            <w:tcW w:w="2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(247,579)</w:t>
            </w: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2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(51,579)</w:t>
            </w:r>
          </w:p>
        </w:tc>
      </w:tr>
      <w:tr>
        <w:trPr>
          <w:trHeight w:val="195"/>
        </w:trPr>
        <w:tc>
          <w:tcPr>
            <w:tcW w:w="670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2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(15,751)</w:t>
            </w:r>
          </w:p>
        </w:tc>
      </w:tr>
      <w:tr>
        <w:trPr>
          <w:trHeight w:val="195"/>
        </w:trPr>
        <w:tc>
          <w:tcPr>
            <w:tcW w:w="670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6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Initial noncontrolling interest upon acquisition of businesses</w:t>
            </w:r>
          </w:p>
        </w:tc>
        <w:tc>
          <w:tcPr>
            <w:tcW w:w="2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(19,448)</w:t>
            </w:r>
          </w:p>
        </w:tc>
      </w:tr>
      <w:tr>
        <w:trPr>
          <w:trHeight w:val="194"/>
        </w:trPr>
        <w:tc>
          <w:tcPr>
            <w:tcW w:w="67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Estimated purchase price</w:t>
            </w:r>
          </w:p>
        </w:tc>
        <w:tc>
          <w:tcPr>
            <w:tcW w:w="2500" w:type="dxa"/>
            <w:vAlign w:val="bottom"/>
            <w:tcBorders>
              <w:bottom w:val="single" w:sz="8" w:color="auto"/>
            </w:tcBorders>
            <w:shd w:val="clear" w:color="auto" w:fill="CCEEFF"/>
          </w:tcPr>
          <w:p>
            <w:pPr>
              <w:jc w:val="right"/>
              <w:ind w:right="174"/>
              <w:spacing w:after="0" w:line="188"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296,962</w:t>
            </w:r>
          </w:p>
        </w:tc>
      </w:tr>
    </w:tbl>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connection with the acquisition of Watson Petroleum, we made a payment of £13.0 million ($21.7 million) to an escrow account related to an estimated assumed pension exit obligation and amounts due to sellers. In addition to the estimated amount of £3.2 million ($5.4 million) to be paid to the sellers from the escrow account, we have recorded additional estimated amounts due to sellers of £2.1 million ($3.5 million). The aggregate estimated amounts due to sellers as of December 31, 2014 were £5.3 million ($8.3 million). The escrow account balance is included in other current assets and the remaining assumed pension exit obligation is included in accrued expenses and other current liabilities in the accompanying consolidated balance sheets.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our 2014 acquisitions, we recorded goodwill of $180.7 million, of which $ 21.2 million is anticipated to be deductible for tax purposes. The aggregate identifiable intangible assets consisted of $54.0 million of customer relationships and $14.0 million of other identifiable intangible assets with weighted average lives of 4.9 years and 5.6 years, respectively, as well as $10.9 million of indefinite-lived trademark/trade name rights.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the unaudited pro forma results for 2014 and 2013, as if the 2014 acquisitions had been completed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January 1, 2013 (in thousands, except per share data):</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75"/>
        </w:trPr>
        <w:tc>
          <w:tcPr>
            <w:tcW w:w="7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(pro forma)</w:t>
            </w:r>
          </w:p>
        </w:tc>
      </w:tr>
      <w:tr>
        <w:trPr>
          <w:trHeight w:val="195"/>
        </w:trPr>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44,071,793</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44,098,881</w:t>
            </w:r>
          </w:p>
        </w:tc>
      </w:tr>
      <w:tr>
        <w:trPr>
          <w:trHeight w:val="195"/>
        </w:trPr>
        <w:tc>
          <w:tcPr>
            <w:tcW w:w="7420" w:type="dxa"/>
            <w:vAlign w:val="bottom"/>
          </w:tcPr>
          <w:p>
            <w:pPr>
              <w:spacing w:after="0"/>
              <w:rPr>
                <w:sz w:val="20"/>
                <w:szCs w:val="20"/>
                <w:color w:val="auto"/>
              </w:rPr>
            </w:pPr>
            <w:r>
              <w:rPr>
                <w:rFonts w:ascii="Arial" w:cs="Arial" w:eastAsia="Arial" w:hAnsi="Arial"/>
                <w:sz w:val="17"/>
                <w:szCs w:val="17"/>
                <w:color w:val="auto"/>
              </w:rPr>
              <w:t>Net income attributable to World Fuel</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226,608</w:t>
            </w:r>
          </w:p>
        </w:tc>
        <w:tc>
          <w:tcPr>
            <w:tcW w:w="260" w:type="dxa"/>
            <w:vAlign w:val="bottom"/>
          </w:tcPr>
          <w:p>
            <w:pPr>
              <w:spacing w:after="0"/>
              <w:rPr>
                <w:sz w:val="16"/>
                <w:szCs w:val="16"/>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216,429</w:t>
            </w:r>
          </w:p>
        </w:tc>
      </w:tr>
      <w:tr>
        <w:trPr>
          <w:trHeight w:val="195"/>
        </w:trPr>
        <w:tc>
          <w:tcPr>
            <w:tcW w:w="7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7420" w:type="dxa"/>
            <w:vAlign w:val="bottom"/>
          </w:tcPr>
          <w:p>
            <w:pPr>
              <w:spacing w:after="0"/>
              <w:rPr>
                <w:sz w:val="20"/>
                <w:szCs w:val="20"/>
                <w:color w:val="auto"/>
              </w:rPr>
            </w:pPr>
            <w:r>
              <w:rPr>
                <w:rFonts w:ascii="Arial" w:cs="Arial" w:eastAsia="Arial" w:hAnsi="Arial"/>
                <w:sz w:val="17"/>
                <w:szCs w:val="17"/>
                <w:color w:val="auto"/>
              </w:rPr>
              <w:t>Earnings per common share: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7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r>
      <w:tr>
        <w:trPr>
          <w:trHeight w:val="235"/>
        </w:trPr>
        <w:tc>
          <w:tcPr>
            <w:tcW w:w="7420" w:type="dxa"/>
            <w:vAlign w:val="bottom"/>
          </w:tcPr>
          <w:p>
            <w:pPr>
              <w:ind w:left="120"/>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3.18</w:t>
            </w:r>
          </w:p>
        </w:tc>
        <w:tc>
          <w:tcPr>
            <w:tcW w:w="26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3.01</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In the aggregate, the 2014 acquisitions did not have a significant impact on our revenue and net income for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1" w:name="page52"/>
    <w:bookmarkEnd w:id="5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Acquisitions</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2013, we completed three acquisitions in our land segment, which were not material individually or in the aggregate. The financial position, results of operations and cash flows of the 2013 acquisitions have been included in our consolidated financial statements since their respective acquisition dates.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reconciles the aggregate purchase price for the 2013 acquisitions to the cash paid for the acquisitions, net of cash acquired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Purchase price</w:t>
            </w:r>
          </w:p>
        </w:tc>
        <w:tc>
          <w:tcPr>
            <w:tcW w:w="33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43,792</w:t>
            </w:r>
          </w:p>
        </w:tc>
      </w:tr>
      <w:tr>
        <w:trPr>
          <w:trHeight w:val="195"/>
        </w:trPr>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Cash acquired</w:t>
            </w:r>
          </w:p>
        </w:tc>
        <w:tc>
          <w:tcPr>
            <w:tcW w:w="3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3,335</w:t>
            </w:r>
          </w:p>
        </w:tc>
      </w:tr>
      <w:tr>
        <w:trPr>
          <w:trHeight w:val="188"/>
        </w:trPr>
        <w:tc>
          <w:tcPr>
            <w:tcW w:w="59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Purchase price, net of cash acquired</w:t>
            </w:r>
          </w:p>
        </w:tc>
        <w:tc>
          <w:tcPr>
            <w:tcW w:w="3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40,457</w:t>
            </w:r>
          </w:p>
        </w:tc>
      </w:tr>
      <w:tr>
        <w:trPr>
          <w:trHeight w:val="195"/>
        </w:trPr>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Promissory notes issued</w:t>
            </w:r>
          </w:p>
        </w:tc>
        <w:tc>
          <w:tcPr>
            <w:tcW w:w="3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r>
      <w:tr>
        <w:trPr>
          <w:trHeight w:val="194"/>
        </w:trPr>
        <w:tc>
          <w:tcPr>
            <w:tcW w:w="592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Cash paid for acquisition of businesses</w:t>
            </w:r>
          </w:p>
        </w:tc>
        <w:tc>
          <w:tcPr>
            <w:tcW w:w="3360" w:type="dxa"/>
            <w:vAlign w:val="bottom"/>
            <w:tcBorders>
              <w:bottom w:val="single" w:sz="8" w:color="auto"/>
            </w:tcBorders>
            <w:shd w:val="clear" w:color="auto" w:fill="CCEEFF"/>
          </w:tcPr>
          <w:p>
            <w:pPr>
              <w:jc w:val="right"/>
              <w:ind w:right="2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37,457</w:t>
            </w:r>
          </w:p>
        </w:tc>
      </w:tr>
    </w:tbl>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During 2014, we completed the valuation of the assets acquired and liabilities assumed for the 2013 acquisitions. As a result, during 2014, we completed the purchase price allocation which primarily resulted in a $ 0.4 million increase to goodwill and a $ 0.5 million reduction in identifiable intangible assets. Additionally, in 2014, we paid $0.1 million of the amounts due to sellers that were outstanding as of December 31, 2013.</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purchase price for each of the 2013 acquisitions was allocated to the assets acquired and liabilities assumed based on their estimated fair value at the acquisition date. On an aggregate basis, the purchase price allocation for the 2013 acquisitions is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3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06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3,335</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30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31,287</w:t>
            </w: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Inventories</w:t>
            </w:r>
          </w:p>
        </w:tc>
        <w:tc>
          <w:tcPr>
            <w:tcW w:w="3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8,839</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30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3,901</w:t>
            </w: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3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13,548</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0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16,489</w:t>
            </w: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Other current and long-term assets</w:t>
            </w:r>
          </w:p>
        </w:tc>
        <w:tc>
          <w:tcPr>
            <w:tcW w:w="3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2,717</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Liabilities assumed:</w:t>
            </w:r>
          </w:p>
        </w:tc>
        <w:tc>
          <w:tcPr>
            <w:tcW w:w="3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Accounts payable</w:t>
            </w:r>
          </w:p>
        </w:tc>
        <w:tc>
          <w:tcPr>
            <w:tcW w:w="3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(29,631)</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30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(3,582)</w:t>
            </w:r>
          </w:p>
        </w:tc>
      </w:tr>
      <w:tr>
        <w:trPr>
          <w:trHeight w:val="195"/>
        </w:trPr>
        <w:tc>
          <w:tcPr>
            <w:tcW w:w="6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long-term liabilities</w:t>
            </w:r>
          </w:p>
        </w:tc>
        <w:tc>
          <w:tcPr>
            <w:tcW w:w="30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w:t>
            </w:r>
          </w:p>
        </w:tc>
      </w:tr>
      <w:tr>
        <w:trPr>
          <w:trHeight w:val="194"/>
        </w:trPr>
        <w:tc>
          <w:tcPr>
            <w:tcW w:w="61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Purchase price</w:t>
            </w:r>
          </w:p>
        </w:tc>
        <w:tc>
          <w:tcPr>
            <w:tcW w:w="3060" w:type="dxa"/>
            <w:vAlign w:val="bottom"/>
            <w:tcBorders>
              <w:bottom w:val="single" w:sz="8" w:color="auto"/>
            </w:tcBorders>
            <w:shd w:val="clear" w:color="auto" w:fill="CCEEFF"/>
          </w:tcPr>
          <w:p>
            <w:pPr>
              <w:jc w:val="right"/>
              <w:ind w:right="214"/>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43,792</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Acquisitions</w:t>
      </w:r>
    </w:p>
    <w:p>
      <w:pPr>
        <w:spacing w:after="0" w:line="2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On December 31, 2012, we acquired certain assets of Multi Service Corporation, including the assets comprising its transaction management business, and all of the outstanding stock of its foreign subsidiaries (the “Multi Service business”), a global transaction management company based in Overland Park, Kansas specializing in fleet, government, and commercial payment programs to expand our service offering within the transportation industry. The Multi Service product offering includes the Multi Service Fuel Card, accepted at more than 3,500 truck stops in the United States and Canada, payment solutions for tolls, bridges and tunnels across Europe, government payment systems for global fuel procurement, and commercial payment programs in the transportation industry. The purchase price of the Multi Service business was $155.3 million.</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September 1, 2012, we acquired certain assets of CarterEnergy Corporation, including the assets comprising its wholesale motor fuel distribution business (the “CarterEnergy business”). We acquired the CarterEnergy business, based in Overland Park, Kansas, a distributor of branded gasoline and diesel fuel to more than 700 retail operators and a supplier to industrial, commercial and government customers, to expand our wholesale branded gasoline and diesel fuel business. The purchase price of the CarterEnergy business was $45.1 million.</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above acquisitions, we completed three acquisitions, which were not material individually or in the aggregate. Of these acquisitions, two were in our aviation segment and the other was in our aviation and land segments.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position, results of operations and cash flows of the 2012 acquisitions have been included in our consolidated financial statements since their respective acquisition dates.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reconciles the aggregate purchase price for the 2012 acquisitions to the cash paid for the acquisitions, net of cash acquired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Purchase price</w:t>
            </w:r>
          </w:p>
        </w:tc>
        <w:tc>
          <w:tcPr>
            <w:tcW w:w="33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226,449</w:t>
            </w:r>
          </w:p>
        </w:tc>
      </w:tr>
      <w:tr>
        <w:trPr>
          <w:trHeight w:val="195"/>
        </w:trPr>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Cash acquired</w:t>
            </w:r>
          </w:p>
        </w:tc>
        <w:tc>
          <w:tcPr>
            <w:tcW w:w="3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12,793</w:t>
            </w:r>
          </w:p>
        </w:tc>
      </w:tr>
      <w:tr>
        <w:trPr>
          <w:trHeight w:val="188"/>
        </w:trPr>
        <w:tc>
          <w:tcPr>
            <w:tcW w:w="59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Purchase price, net of cash acquired</w:t>
            </w:r>
          </w:p>
        </w:tc>
        <w:tc>
          <w:tcPr>
            <w:tcW w:w="3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213,656</w:t>
            </w:r>
          </w:p>
        </w:tc>
      </w:tr>
      <w:tr>
        <w:trPr>
          <w:trHeight w:val="195"/>
        </w:trPr>
        <w:tc>
          <w:tcPr>
            <w:tcW w:w="5920" w:type="dxa"/>
            <w:vAlign w:val="bottom"/>
          </w:tcPr>
          <w:p>
            <w:pPr>
              <w:spacing w:after="0"/>
              <w:rPr>
                <w:sz w:val="20"/>
                <w:szCs w:val="20"/>
                <w:color w:val="auto"/>
              </w:rPr>
            </w:pPr>
            <w:r>
              <w:rPr>
                <w:rFonts w:ascii="Arial" w:cs="Arial" w:eastAsia="Arial" w:hAnsi="Arial"/>
                <w:sz w:val="17"/>
                <w:szCs w:val="17"/>
                <w:color w:val="auto"/>
              </w:rPr>
              <w:t>Less: Promissory notes issued</w:t>
            </w:r>
          </w:p>
        </w:tc>
        <w:tc>
          <w:tcPr>
            <w:tcW w:w="3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7,214</w:t>
            </w:r>
          </w:p>
        </w:tc>
      </w:tr>
      <w:tr>
        <w:trPr>
          <w:trHeight w:val="195"/>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Less: Amounts due to sellers</w:t>
            </w:r>
          </w:p>
        </w:tc>
        <w:tc>
          <w:tcPr>
            <w:tcW w:w="3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194"/>
        </w:trPr>
        <w:tc>
          <w:tcPr>
            <w:tcW w:w="59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Cash paid for acquisition of businesses</w:t>
            </w:r>
          </w:p>
        </w:tc>
        <w:tc>
          <w:tcPr>
            <w:tcW w:w="3300" w:type="dxa"/>
            <w:vAlign w:val="bottom"/>
            <w:tcBorders>
              <w:bottom w:val="single" w:sz="8" w:color="auto"/>
            </w:tcBorders>
          </w:tcPr>
          <w:p>
            <w:pPr>
              <w:jc w:val="right"/>
              <w:ind w:right="19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206,367</w:t>
            </w:r>
          </w:p>
        </w:tc>
      </w:tr>
    </w:tbl>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During 2013, we completed the valuation of the assets acquired and liabilities assumed for the 2012 acquisitions. As a result, during 2013, we completed the purchase price allocation which primarily resulted in a $2.0 million reduction in goodwill, a $3.3 million increase in identifiable intangible assets, partially offset by a $0.9 million decrease in other acquired assets and a $0.4 million increase in assumed liabilities. Additionally, in 2013, we paid $17.5 million of the amounts due to sellers that were outstanding as of December 31, 2012.</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purchase price for each of the 2012 acquisitions was allocated to the assets acquired and liabilities assumed based on their estimated fair value at the acquisition date. On an aggregate basis, the purchase price allocation for the 2012 acquisitions is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3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0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12,793</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30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134,966</w:t>
            </w: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Inventories</w:t>
            </w:r>
          </w:p>
        </w:tc>
        <w:tc>
          <w:tcPr>
            <w:tcW w:w="3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7,311</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30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10,323</w:t>
            </w: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3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87,150</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0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121,188</w:t>
            </w: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Other current and long-term assets</w:t>
            </w:r>
          </w:p>
        </w:tc>
        <w:tc>
          <w:tcPr>
            <w:tcW w:w="3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4,851</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Liabilities assumed:</w:t>
            </w:r>
          </w:p>
        </w:tc>
        <w:tc>
          <w:tcPr>
            <w:tcW w:w="3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6180" w:type="dxa"/>
            <w:vAlign w:val="bottom"/>
          </w:tcPr>
          <w:p>
            <w:pPr>
              <w:spacing w:after="0"/>
              <w:rPr>
                <w:sz w:val="20"/>
                <w:szCs w:val="20"/>
                <w:color w:val="auto"/>
              </w:rPr>
            </w:pPr>
            <w:r>
              <w:rPr>
                <w:rFonts w:ascii="Arial" w:cs="Arial" w:eastAsia="Arial" w:hAnsi="Arial"/>
                <w:sz w:val="17"/>
                <w:szCs w:val="17"/>
                <w:color w:val="auto"/>
              </w:rPr>
              <w:t>Accounts payable</w:t>
            </w:r>
          </w:p>
        </w:tc>
        <w:tc>
          <w:tcPr>
            <w:tcW w:w="3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(130,297)</w:t>
            </w:r>
          </w:p>
        </w:tc>
      </w:tr>
      <w:tr>
        <w:trPr>
          <w:trHeight w:val="19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30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(18,321)</w:t>
            </w:r>
          </w:p>
        </w:tc>
      </w:tr>
      <w:tr>
        <w:trPr>
          <w:trHeight w:val="195"/>
        </w:trPr>
        <w:tc>
          <w:tcPr>
            <w:tcW w:w="6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long-term liabilities</w:t>
            </w:r>
          </w:p>
        </w:tc>
        <w:tc>
          <w:tcPr>
            <w:tcW w:w="30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(3,515)</w:t>
            </w:r>
          </w:p>
        </w:tc>
      </w:tr>
      <w:tr>
        <w:trPr>
          <w:trHeight w:val="194"/>
        </w:trPr>
        <w:tc>
          <w:tcPr>
            <w:tcW w:w="61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Purchase price</w:t>
            </w:r>
          </w:p>
        </w:tc>
        <w:tc>
          <w:tcPr>
            <w:tcW w:w="3020" w:type="dxa"/>
            <w:vAlign w:val="bottom"/>
            <w:tcBorders>
              <w:bottom w:val="single" w:sz="8" w:color="auto"/>
            </w:tcBorders>
            <w:shd w:val="clear" w:color="auto" w:fill="CCEEFF"/>
          </w:tcPr>
          <w:p>
            <w:pPr>
              <w:jc w:val="right"/>
              <w:ind w:right="174"/>
              <w:spacing w:after="0" w:line="188"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226,449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19" w:lineRule="exact"/>
        <w:rPr>
          <w:sz w:val="20"/>
          <w:szCs w:val="20"/>
          <w:color w:val="auto"/>
        </w:rPr>
      </w:pPr>
    </w:p>
    <w:p>
      <w:pPr>
        <w:jc w:val="both"/>
        <w:spacing w:after="0" w:line="202" w:lineRule="exact"/>
        <w:rPr>
          <w:sz w:val="20"/>
          <w:szCs w:val="20"/>
          <w:color w:val="auto"/>
        </w:rPr>
      </w:pPr>
      <w:r>
        <w:rPr>
          <w:rFonts w:ascii="Arial" w:cs="Arial" w:eastAsia="Arial" w:hAnsi="Arial"/>
          <w:sz w:val="17"/>
          <w:szCs w:val="17"/>
          <w:color w:val="auto"/>
        </w:rPr>
        <w:t>The accompanying consolidated financial statements and related notes include the accounts of our wholly</w:t>
      </w:r>
      <w:r>
        <w:rPr>
          <w:rFonts w:ascii="MS PGothic" w:cs="MS PGothic" w:eastAsia="MS PGothic" w:hAnsi="MS PGothic"/>
          <w:sz w:val="17"/>
          <w:szCs w:val="17"/>
          <w:color w:val="auto"/>
        </w:rPr>
        <w:t>‑</w:t>
      </w:r>
      <w:r>
        <w:rPr>
          <w:rFonts w:ascii="Arial" w:cs="Arial" w:eastAsia="Arial" w:hAnsi="Arial"/>
          <w:sz w:val="17"/>
          <w:szCs w:val="17"/>
          <w:color w:val="auto"/>
        </w:rPr>
        <w:t>owned and majority</w:t>
      </w:r>
      <w:r>
        <w:rPr>
          <w:rFonts w:ascii="MS PGothic" w:cs="MS PGothic" w:eastAsia="MS PGothic" w:hAnsi="MS PGothic"/>
          <w:sz w:val="17"/>
          <w:szCs w:val="17"/>
          <w:color w:val="auto"/>
        </w:rPr>
        <w:t>‑</w:t>
      </w:r>
      <w:r>
        <w:rPr>
          <w:rFonts w:ascii="Arial" w:cs="Arial" w:eastAsia="Arial" w:hAnsi="Arial"/>
          <w:sz w:val="17"/>
          <w:szCs w:val="17"/>
          <w:color w:val="auto"/>
        </w:rPr>
        <w:t>owned subsidiaries and joint ventures where we exercise operational control or have a primary benefit of its profits. All significant intercompany accounts, transactions and profits are eliminated upon consolidation.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carrying amounts of cash, cash equivalents, accounts receivable, accounts payable and accrued expenses approximate fair value based on the short maturities of these instruments.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measure our cash surrender value of life insurance contracts, derivative contracts and related hedged items at their fair value in accordance with accounting guidance for fair value measurement. We believe the carrying value of our debt approximates fair value since these obligations bear interest at variable rates or fixed rates which are not significantly different than market rates.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accounting guidance on fair value measurements and disclosures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us. Unobservable inputs are inputs that reflect our assumptions about the assumptions market participants would use in pricing the asset or liability developed based on the best information available under the circumstances. The hierarchy is broken down into three levels based on the reliability of the inputs as follows:</w:t>
      </w:r>
    </w:p>
    <w:p>
      <w:pPr>
        <w:spacing w:after="0" w:line="324" w:lineRule="exact"/>
        <w:rPr>
          <w:sz w:val="20"/>
          <w:szCs w:val="20"/>
          <w:color w:val="auto"/>
        </w:rPr>
      </w:pPr>
    </w:p>
    <w:p>
      <w:pPr>
        <w:ind w:left="160" w:hanging="153"/>
        <w:spacing w:after="0"/>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1 Inputs – Quoted prices (unadjusted) in active markets for identical assets or liabilities that we have the ability to access.</w:t>
      </w:r>
    </w:p>
    <w:p>
      <w:pPr>
        <w:spacing w:after="0" w:line="167" w:lineRule="exact"/>
        <w:rPr>
          <w:rFonts w:ascii="Arial" w:cs="Arial" w:eastAsia="Arial" w:hAnsi="Arial"/>
          <w:sz w:val="17"/>
          <w:szCs w:val="17"/>
          <w:color w:val="auto"/>
        </w:rPr>
      </w:pPr>
    </w:p>
    <w:p>
      <w:pPr>
        <w:jc w:val="both"/>
        <w:ind w:left="160" w:hanging="153"/>
        <w:spacing w:after="0" w:line="208" w:lineRule="exact"/>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2 Inputs – Inputs other than quoted prices included within Level 1 that are observable for the asset or liability, either directly or indirectly. We perform annual back</w:t>
      </w:r>
      <w:r>
        <w:rPr>
          <w:rFonts w:ascii="MS PGothic" w:cs="MS PGothic" w:eastAsia="MS PGothic" w:hAnsi="MS PGothic"/>
          <w:sz w:val="17"/>
          <w:szCs w:val="17"/>
          <w:color w:val="auto"/>
        </w:rPr>
        <w:t>‑</w:t>
      </w:r>
      <w:r>
        <w:rPr>
          <w:rFonts w:ascii="Arial" w:cs="Arial" w:eastAsia="Arial" w:hAnsi="Arial"/>
          <w:sz w:val="17"/>
          <w:szCs w:val="17"/>
          <w:color w:val="auto"/>
        </w:rPr>
        <w:t>testing to validate that these inputs represent observable inputs that market participants use in pricing an asset or liability.</w:t>
      </w:r>
    </w:p>
    <w:p>
      <w:pPr>
        <w:spacing w:after="0" w:line="129" w:lineRule="exact"/>
        <w:rPr>
          <w:rFonts w:ascii="Arial" w:cs="Arial" w:eastAsia="Arial" w:hAnsi="Arial"/>
          <w:sz w:val="17"/>
          <w:szCs w:val="17"/>
          <w:color w:val="auto"/>
        </w:rPr>
      </w:pPr>
    </w:p>
    <w:p>
      <w:pPr>
        <w:ind w:left="300" w:hanging="293"/>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3 Inputs – Inputs that are unobservable for the asset or liability.</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availability of observable inputs can vary and is affected by a wide variety of factors. To the extent that valuation is based on inputs that are less observable or unobservable in the market, the determination of fair value requires more judgment. Accordingly, the degree of judgment exercised by us in determining fair value is greatest for instruments categorized in Level 3. In certain cases, the inputs used to measure fair value of a specific asset or liability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 in its entirety.</w:t>
      </w:r>
    </w:p>
    <w:p>
      <w:pPr>
        <w:spacing w:after="0" w:line="116"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Fair value is a market</w:t>
      </w:r>
      <w:r>
        <w:rPr>
          <w:rFonts w:ascii="MS PGothic" w:cs="MS PGothic" w:eastAsia="MS PGothic" w:hAnsi="MS PGothic"/>
          <w:sz w:val="17"/>
          <w:szCs w:val="17"/>
          <w:color w:val="auto"/>
        </w:rPr>
        <w:t>‑</w:t>
      </w:r>
      <w:r>
        <w:rPr>
          <w:rFonts w:ascii="Arial" w:cs="Arial" w:eastAsia="Arial" w:hAnsi="Arial"/>
          <w:sz w:val="17"/>
          <w:szCs w:val="17"/>
          <w:color w:val="auto"/>
        </w:rPr>
        <w:t xml:space="preserve"> based measure considered from the perspective of a market participant who holds the asset or owes the liability rather than an entity</w:t>
      </w:r>
      <w:r>
        <w:rPr>
          <w:rFonts w:ascii="MS PGothic" w:cs="MS PGothic" w:eastAsia="MS PGothic" w:hAnsi="MS PGothic"/>
          <w:sz w:val="17"/>
          <w:szCs w:val="17"/>
          <w:color w:val="auto"/>
        </w:rPr>
        <w:t>‑</w:t>
      </w:r>
      <w:r>
        <w:rPr>
          <w:rFonts w:ascii="Arial" w:cs="Arial" w:eastAsia="Arial" w:hAnsi="Arial"/>
          <w:sz w:val="17"/>
          <w:szCs w:val="17"/>
          <w:color w:val="auto"/>
        </w:rPr>
        <w:t xml:space="preserve"> specific measure. Therefore, even when market assumptions are not readily available, our own assumptions are set to reflect those that we feel market participants would use in pricing the asset or liability at the measurement date.</w:t>
      </w:r>
    </w:p>
    <w:p>
      <w:pPr>
        <w:spacing w:after="0" w:line="319"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Assets and liabilities that are recorded at fair value have been categorized based upon the fair value hierarchy. Our Level 1 items consist of exchange traded futures. Our Level 2 items consist of commodity swaps, commodity collars, non</w:t>
      </w:r>
      <w:r>
        <w:rPr>
          <w:rFonts w:ascii="MS PGothic" w:cs="MS PGothic" w:eastAsia="MS PGothic" w:hAnsi="MS PGothic"/>
          <w:sz w:val="17"/>
          <w:szCs w:val="17"/>
          <w:color w:val="auto"/>
        </w:rPr>
        <w:t>‑</w:t>
      </w:r>
      <w:r>
        <w:rPr>
          <w:rFonts w:ascii="Arial" w:cs="Arial" w:eastAsia="Arial" w:hAnsi="Arial"/>
          <w:sz w:val="17"/>
          <w:szCs w:val="17"/>
          <w:color w:val="auto"/>
        </w:rPr>
        <w:t>designated derivatives in the form of physical forward purchase or sales commitments, hedged inventories and hedged physical forward purchase or sales commitments. Our Level 3 items consist of physical forward purchase or sales commitments, foreign currency forward contracts and the Earn</w:t>
      </w:r>
      <w:r>
        <w:rPr>
          <w:rFonts w:ascii="MS PGothic" w:cs="MS PGothic" w:eastAsia="MS PGothic" w:hAnsi="MS PGothic"/>
          <w:sz w:val="17"/>
          <w:szCs w:val="17"/>
          <w:color w:val="auto"/>
        </w:rPr>
        <w:t>‑</w:t>
      </w:r>
      <w:r>
        <w:rPr>
          <w:rFonts w:ascii="Arial" w:cs="Arial" w:eastAsia="Arial" w:hAnsi="Arial"/>
          <w:sz w:val="17"/>
          <w:szCs w:val="17"/>
          <w:color w:val="auto"/>
        </w:rPr>
        <w:t xml:space="preserve"> out liability. Realized and unrealized gains and losses of our physical forward purchase or sales commitments measured at fair value on a recurring basis that utilized Level 3 inputs are recognized as a component of either revenue or cost of revenue (based on the underlying transaction type). Realized and unrealized gains and losses of our foreign currency forward contracts which were not treated as cash flow hedges, measured at fair value on a recurring basis that utilized Level 3 inputs are recognized as other expense/income. Realized and unrealized gains and losses of our short</w:t>
      </w:r>
      <w:r>
        <w:rPr>
          <w:rFonts w:ascii="MS PGothic" w:cs="MS PGothic" w:eastAsia="MS PGothic" w:hAnsi="MS PGothic"/>
          <w:sz w:val="17"/>
          <w:szCs w:val="17"/>
          <w:color w:val="auto"/>
        </w:rPr>
        <w:t>‑</w:t>
      </w:r>
      <w:r>
        <w:rPr>
          <w:rFonts w:ascii="Arial" w:cs="Arial" w:eastAsia="Arial" w:hAnsi="Arial"/>
          <w:sz w:val="17"/>
          <w:szCs w:val="17"/>
          <w:color w:val="auto"/>
        </w:rPr>
        <w:t>term investments measured at fair value on a recurring basis that utilized Level 3 inputs are recognized as other expense/income.</w:t>
      </w:r>
    </w:p>
    <w:p>
      <w:pPr>
        <w:spacing w:after="0" w:line="136" w:lineRule="exact"/>
        <w:rPr>
          <w:sz w:val="20"/>
          <w:szCs w:val="20"/>
          <w:color w:val="auto"/>
        </w:rPr>
      </w:pPr>
    </w:p>
    <w:p>
      <w:pPr>
        <w:jc w:val="both"/>
        <w:spacing w:after="0" w:line="213" w:lineRule="exact"/>
        <w:rPr>
          <w:sz w:val="20"/>
          <w:szCs w:val="20"/>
          <w:color w:val="auto"/>
        </w:rPr>
      </w:pPr>
      <w:r>
        <w:rPr>
          <w:rFonts w:ascii="Arial" w:cs="Arial" w:eastAsia="Arial" w:hAnsi="Arial"/>
          <w:sz w:val="17"/>
          <w:szCs w:val="17"/>
          <w:color w:val="auto"/>
        </w:rPr>
        <w:t>Derivative instruments can have bid and ask prices that may be observed in the marketplace. Bid prices reflect the highest price that a market participant is willing to pay and ask prices reflect the lowest price that a market participant is willing to accept. Our policy is to consistently apply mid</w:t>
      </w:r>
      <w:r>
        <w:rPr>
          <w:rFonts w:ascii="MS PGothic" w:cs="MS PGothic" w:eastAsia="MS PGothic" w:hAnsi="MS PGothic"/>
          <w:sz w:val="17"/>
          <w:szCs w:val="17"/>
          <w:color w:val="auto"/>
        </w:rPr>
        <w:t>‑</w:t>
      </w:r>
      <w:r>
        <w:rPr>
          <w:rFonts w:ascii="Arial" w:cs="Arial" w:eastAsia="Arial" w:hAnsi="Arial"/>
          <w:sz w:val="17"/>
          <w:szCs w:val="17"/>
          <w:color w:val="auto"/>
        </w:rPr>
        <w:t xml:space="preserve"> market pricing for valuation of our derivative instruments.</w:t>
      </w:r>
    </w:p>
    <w:p>
      <w:pPr>
        <w:spacing w:after="0" w:line="89"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Fair value of derivative commodity contracts and hedged item commitments is derived using forward prices that take into account commodity prices, interest rates, credit risk ratings, option volatility and currency rates. In accordance with the guidance on fair value measurements and disclosures, the impact of our credit risk rating is also considered when measuring the fair value of liabilities. The fair value of derivative instruments may be based on a combination of valuation inputs that are on different hierarchy levels. The fair value disclosures are determined based on the lowest level input that is significant to the fair value measurement in its entirety. The nature of inputs that are considered Level 3 are model inputs. Commodity contracts categorized in Level 3 are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risks related to non-performance. The effect on our income before income taxes of a 10% change in the model input for non-performance risk would not be significant. Fair value of hedged item inventories is derived using spot commodity prices and basis differentials. Fair value of foreign currency contracts is derived using forward prices that take into account interest rates, credit risk ratings and currency rates. Factors that could warrant a Level 2 input to move to a Level 3 input may include lack of observable market data because of a decrease in market activity, a degradation of a short</w:t>
      </w:r>
      <w:r>
        <w:rPr>
          <w:rFonts w:ascii="MS PGothic" w:cs="MS PGothic" w:eastAsia="MS PGothic" w:hAnsi="MS PGothic"/>
          <w:sz w:val="17"/>
          <w:szCs w:val="17"/>
          <w:color w:val="auto"/>
        </w:rPr>
        <w:t>‑</w:t>
      </w:r>
      <w:r>
        <w:rPr>
          <w:rFonts w:ascii="Arial" w:cs="Arial" w:eastAsia="Arial" w:hAnsi="Arial"/>
          <w:sz w:val="17"/>
          <w:szCs w:val="17"/>
          <w:color w:val="auto"/>
        </w:rPr>
        <w:t>term investment which requires us to value the investment based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a Level 3 input, or a change in significance of a Level 3 input to the fair value measurement in its entirety. Our policy is to recognize transfers between Level 1, 2 or 3 as of the beginning of the reporting period in which the event or change in circumstances caused the transfer to occur.</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significant changes to our valuation techniques during 2014 and 2013.</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and Allowance for Bad Debt</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be a useful indicator of current or future credit worthiness of our customers, particularly in these difficult economic and financial markets. Accounts receivable are reduced by an allowance for bad debt.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3"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Inventories are valued using the average cost methodology and are stated at the lower of average cost or market. Components of inventory include fuel purchase costs, the related transportation costs and changes in the estimated fair market values for inventories included in a fair value hedge relationship.</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hedge is recognized as a component of other comprehensive income in the shareholders’ equity section of the consolidated balance sheets and subsequently reclassified into the same line item as the forecasted transaction when both are settled, while the ineffective portion of the changes in the estimated fair market value of the hedge is recognized as a component of other income (expense), net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our derivatives, see Note 3.</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3"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Property and equipment are carried at cost less accumulated depreciation and amortization. Depreciation and amortization are calculated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w:t>
      </w:r>
      <w:r>
        <w:rPr>
          <w:rFonts w:ascii="MS PGothic" w:cs="MS PGothic" w:eastAsia="MS PGothic" w:hAnsi="MS PGothic"/>
          <w:sz w:val="17"/>
          <w:szCs w:val="17"/>
          <w:color w:val="auto"/>
        </w:rPr>
        <w:t>‑</w:t>
      </w:r>
      <w:r>
        <w:rPr>
          <w:rFonts w:ascii="Arial" w:cs="Arial" w:eastAsia="Arial" w:hAnsi="Arial"/>
          <w:sz w:val="17"/>
          <w:szCs w:val="17"/>
          <w:color w:val="auto"/>
        </w:rPr>
        <w:t>lived assets held and used by us are reviewed based on market factors and operational considerations for impairment whenever events or changes in circumstances indicate that the carrying amount of an asset may not be recoverable.</w:t>
      </w:r>
    </w:p>
    <w:p>
      <w:pPr>
        <w:spacing w:after="0" w:line="147"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Purchases of computer software are capitalized. External costs and certain internal costs (including payroll and payroll</w:t>
      </w:r>
      <w:r>
        <w:rPr>
          <w:rFonts w:ascii="MS PGothic" w:cs="MS PGothic" w:eastAsia="MS PGothic" w:hAnsi="MS PGothic"/>
          <w:sz w:val="17"/>
          <w:szCs w:val="17"/>
          <w:color w:val="auto"/>
        </w:rPr>
        <w:t>‑</w:t>
      </w:r>
      <w:r>
        <w:rPr>
          <w:rFonts w:ascii="Arial" w:cs="Arial" w:eastAsia="Arial" w:hAnsi="Arial"/>
          <w:sz w:val="17"/>
          <w:szCs w:val="17"/>
          <w:color w:val="auto"/>
        </w:rPr>
        <w:t>related costs of employees) directly associated with developing significant computer software applications for internal use are capitalized. Training and data conversion costs are expensed as incurred. Computer software costs are amortized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 useful life of the software.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Identifiable Intangible Assets</w:t>
      </w:r>
    </w:p>
    <w:p>
      <w:pPr>
        <w:spacing w:after="0" w:line="23" w:lineRule="exact"/>
        <w:rPr>
          <w:sz w:val="20"/>
          <w:szCs w:val="20"/>
          <w:color w:val="auto"/>
        </w:rPr>
      </w:pPr>
    </w:p>
    <w:p>
      <w:pPr>
        <w:jc w:val="both"/>
        <w:spacing w:after="0" w:line="195" w:lineRule="exact"/>
        <w:rPr>
          <w:sz w:val="20"/>
          <w:szCs w:val="20"/>
          <w:color w:val="auto"/>
        </w:rPr>
      </w:pPr>
      <w:r>
        <w:rPr>
          <w:rFonts w:ascii="Arial" w:cs="Arial" w:eastAsia="Arial" w:hAnsi="Arial"/>
          <w:sz w:val="17"/>
          <w:szCs w:val="17"/>
          <w:color w:val="auto"/>
        </w:rPr>
        <w:t>Goodwill represents the future earnings and cash flow potential of acquired businesses in excess of the fair values that are assigned to all other identifiable assets and liabilities. Goodwill arises because the purchase price paid reflects numerous factors, including the strategic fit and expected synergies these acquisitions bring to existing operations and the prevailing market value for comparable companies. Goodwill is not subject to periodic amortization; instead, it is reviewed annually at year</w:t>
      </w:r>
      <w:r>
        <w:rPr>
          <w:rFonts w:ascii="MS PGothic" w:cs="MS PGothic" w:eastAsia="MS PGothic" w:hAnsi="MS PGothic"/>
          <w:sz w:val="17"/>
          <w:szCs w:val="17"/>
          <w:color w:val="auto"/>
        </w:rPr>
        <w:t>‑</w:t>
      </w:r>
      <w:r>
        <w:rPr>
          <w:rFonts w:ascii="Arial" w:cs="Arial" w:eastAsia="Arial" w:hAnsi="Arial"/>
          <w:sz w:val="17"/>
          <w:szCs w:val="17"/>
          <w:color w:val="auto"/>
        </w:rPr>
        <w:t>end (or more frequently under certain circumstances) for impairment. We assess qualitative factors to determine whether it is more likely than not that the fair value of any individual reporting unit is less than its carrying amount. In performing the qualitative assessment, we assess relevant events and circumstances that may impact the fair value of our reporting units, including the following: (i) macroeconomic conditions,</w:t>
      </w:r>
    </w:p>
    <w:p>
      <w:pPr>
        <w:jc w:val="both"/>
        <w:ind w:firstLine="7"/>
        <w:spacing w:after="0" w:line="244" w:lineRule="auto"/>
        <w:tabs>
          <w:tab w:leader="none" w:pos="2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industry and market considerations, (iii) earnings quality/sustainability, (iv) overall financial performance, (v) events affecting a reporting unit, (vi) share price and (vii) recent fair value calculation for our reporting units, if available. After assessing the above described events and circumstances, if we determine that it is more likely than not that the fair value of a reporting unit is greater than its carrying value, then no further testing is required. Otherwise, we would perform the first step of quantitative testing for goodwill impairment.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Periodically, we will perform the first step of quantitative testing for goodwill impairment in lieu of performing a qualitative assessment. The first step of the goodwill impairment test compares the estimated fair value of a reporting unit with its carrying value. We estimate the fair value of a reporting unit using a discounted cash flow valuation methodology.</w:t>
      </w:r>
    </w:p>
    <w:p>
      <w:pPr>
        <w:spacing w:after="0" w:line="149" w:lineRule="exact"/>
        <w:rPr>
          <w:sz w:val="20"/>
          <w:szCs w:val="20"/>
          <w:color w:val="auto"/>
        </w:rPr>
      </w:pPr>
    </w:p>
    <w:p>
      <w:pPr>
        <w:jc w:val="both"/>
        <w:spacing w:after="0" w:line="199" w:lineRule="exact"/>
        <w:rPr>
          <w:sz w:val="20"/>
          <w:szCs w:val="20"/>
          <w:color w:val="auto"/>
        </w:rPr>
      </w:pPr>
      <w:r>
        <w:rPr>
          <w:rFonts w:ascii="Arial" w:cs="Arial" w:eastAsia="Arial" w:hAnsi="Arial"/>
          <w:sz w:val="17"/>
          <w:szCs w:val="17"/>
          <w:color w:val="auto"/>
        </w:rPr>
        <w:t>In connection with our acquisitions, we record identifiable intangible assets existing at the date of the acquisitions for customer relationships, supplier and non</w:t>
      </w:r>
      <w:r>
        <w:rPr>
          <w:rFonts w:ascii="MS PGothic" w:cs="MS PGothic" w:eastAsia="MS PGothic" w:hAnsi="MS PGothic"/>
          <w:sz w:val="17"/>
          <w:szCs w:val="17"/>
          <w:color w:val="auto"/>
        </w:rPr>
        <w:t>‑</w:t>
      </w:r>
      <w:r>
        <w:rPr>
          <w:rFonts w:ascii="Arial" w:cs="Arial" w:eastAsia="Arial" w:hAnsi="Arial"/>
          <w:sz w:val="17"/>
          <w:szCs w:val="17"/>
          <w:color w:val="auto"/>
        </w:rPr>
        <w:t>compete agreements, developed technology and trademark/trade name rights. Identifiable intangible assets subject to amortization are amortized over their estimated useful lives and are reviewed for impairment and appropriate remaining useful lives whenever events or changes in circumstances indicate that the carrying amount of an asset may not be recoverable based on market factors and operational considerations. For identifiable intangible assets not subject to amortization, we first assess qualitative factors to determine whether it is more likely than not that an asset has been impaired. After assessing qualitative factors, if we determine that it is more likely than not that the fair value of an asset is greater than its carrying value, then no further testing is required. Otherwise, we would review for impairment by comparing the fair value of the intangible asset to its carrying value.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Investments</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other investments consist primarily of equity investments, net of basis adjustments. These investments are accounted for under the equity method as we own less than 50 percent of the entities and exercise significant influence over the investee, but do not have operational or financial control.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During 2014, we made other investments, aggregating to $18.0 million. Additionally, in December 2014, we sold our crude oil joint venture interests for $ 43.0 million in cash and future contingent payments (“operational overrides”) equal to 22.5 cents per barrel of crude oil received at the Pioneer Terminal in New Town, North Dakota, up to a maximum of 80,000 barrels per day through December 2026. At the sale closing date, the present value, based on a 9% discount rate, of the maximum operational overrides was $49.2 million. We have elected to record the operational overrides in the periods in which they are realized (when the crude oil is received at the Pioneer Terminal), and for 2014, the amount of operation overrides recorded was not significant. The purchaser has the option to pay at any time the then-present value, using a 9% discount rate, of the maximum remaining future contingent payments. For 2014, we recorded a gain on the sale of such investments of $18.1 million, which is included in other income, net in the consolidated statements of income and comprehensive income. The after-tax gain, net of certain related operating expenses was $9.9 million, or $0.14 per basic and diluted share.</w:t>
      </w:r>
    </w:p>
    <w:p>
      <w:pPr>
        <w:spacing w:after="0" w:line="167" w:lineRule="exact"/>
        <w:rPr>
          <w:sz w:val="20"/>
          <w:szCs w:val="20"/>
          <w:color w:val="auto"/>
        </w:rPr>
      </w:pPr>
    </w:p>
    <w:p>
      <w:pPr>
        <w:jc w:val="both"/>
        <w:ind w:right="20"/>
        <w:spacing w:after="0" w:line="222" w:lineRule="exact"/>
        <w:rPr>
          <w:sz w:val="20"/>
          <w:szCs w:val="20"/>
          <w:color w:val="auto"/>
        </w:rPr>
      </w:pPr>
      <w:r>
        <w:rPr>
          <w:rFonts w:ascii="Arial" w:cs="Arial" w:eastAsia="Arial" w:hAnsi="Arial"/>
          <w:sz w:val="17"/>
          <w:szCs w:val="17"/>
          <w:color w:val="auto"/>
        </w:rPr>
        <w:t>As of December 31, 2014 and 2013, we had other investments of $69.5 million and $83.8 million, respectively, which are included within identifiable intangible and other non</w:t>
      </w:r>
      <w:r>
        <w:rPr>
          <w:rFonts w:ascii="MS PGothic" w:cs="MS PGothic" w:eastAsia="MS PGothic" w:hAnsi="MS PGothic"/>
          <w:sz w:val="17"/>
          <w:szCs w:val="17"/>
          <w:color w:val="auto"/>
        </w:rPr>
        <w:t>‑</w:t>
      </w:r>
      <w:r>
        <w:rPr>
          <w:rFonts w:ascii="Arial" w:cs="Arial" w:eastAsia="Arial" w:hAnsi="Arial"/>
          <w:sz w:val="17"/>
          <w:szCs w:val="17"/>
          <w:color w:val="auto"/>
        </w:rPr>
        <w:t>current assets.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Extinguishment of Liabilities</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the normal course of business, we accrue liabilities for fuel and services received for which invoices have not yet been received. These liabilities are derecognized, or extinguished, if either (i) payment is made to relieve our obligation for the liability or (ii) we are legally released from our obligation for the liability, such as when our legal obligations with respect to such liabilities lapse or otherwise no longer exist. We derecognized vendor liability accruals due to the legal release of our obligations in the amount of $5.3 million, $ 8.5 million and $11.2 million during 2014, 2013 and 2012, respectively, which is reflected as a reduction of cost of revenue in the accompanying consolidated statements of income and comprehensive income.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3"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w:t>
      </w:r>
      <w:r>
        <w:rPr>
          <w:rFonts w:ascii="MS PGothic" w:cs="MS PGothic" w:eastAsia="MS PGothic" w:hAnsi="MS PGothic"/>
          <w:sz w:val="17"/>
          <w:szCs w:val="17"/>
          <w:color w:val="auto"/>
        </w:rPr>
        <w:t>‑</w:t>
      </w:r>
      <w:r>
        <w:rPr>
          <w:rFonts w:ascii="Arial" w:cs="Arial" w:eastAsia="Arial" w:hAnsi="Arial"/>
          <w:sz w:val="17"/>
          <w:szCs w:val="17"/>
          <w:color w:val="auto"/>
        </w:rPr>
        <w:t>party subcontractor. Our fuel sales are generated as a fuel reseller as well as from on</w:t>
      </w:r>
      <w:r>
        <w:rPr>
          <w:rFonts w:ascii="MS PGothic" w:cs="MS PGothic" w:eastAsia="MS PGothic" w:hAnsi="MS PGothic"/>
          <w:sz w:val="17"/>
          <w:szCs w:val="17"/>
          <w:color w:val="auto"/>
        </w:rPr>
        <w:t>‑</w:t>
      </w:r>
      <w:r>
        <w:rPr>
          <w:rFonts w:ascii="Arial" w:cs="Arial" w:eastAsia="Arial" w:hAnsi="Arial"/>
          <w:sz w:val="17"/>
          <w:szCs w:val="17"/>
          <w:color w:val="auto"/>
        </w:rPr>
        <w:t>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147"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Revenue from fuel</w:t>
      </w:r>
      <w:r>
        <w:rPr>
          <w:rFonts w:ascii="MS PGothic" w:cs="MS PGothic" w:eastAsia="MS PGothic" w:hAnsi="MS PGothic"/>
          <w:sz w:val="17"/>
          <w:szCs w:val="17"/>
          <w:color w:val="auto"/>
        </w:rPr>
        <w:t>‑</w:t>
      </w:r>
      <w:r>
        <w:rPr>
          <w:rFonts w:ascii="Arial" w:cs="Arial" w:eastAsia="Arial" w:hAnsi="Arial"/>
          <w:sz w:val="17"/>
          <w:szCs w:val="17"/>
          <w:color w:val="auto"/>
        </w:rPr>
        <w:t>related services is recognized when services are performed, the sales price is fixed or determinable and collectability is reasonably assured. We record the sale of fuel</w:t>
      </w:r>
      <w:r>
        <w:rPr>
          <w:rFonts w:ascii="MS PGothic" w:cs="MS PGothic" w:eastAsia="MS PGothic" w:hAnsi="MS PGothic"/>
          <w:sz w:val="17"/>
          <w:szCs w:val="17"/>
          <w:color w:val="auto"/>
        </w:rPr>
        <w:t>‑</w:t>
      </w:r>
      <w:r>
        <w:rPr>
          <w:rFonts w:ascii="Arial" w:cs="Arial" w:eastAsia="Arial" w:hAnsi="Arial"/>
          <w:sz w:val="17"/>
          <w:szCs w:val="17"/>
          <w:color w:val="auto"/>
        </w:rPr>
        <w:t>related services on a gross basis as we generally have latitude in establishing the sales price, have discretion in supplier selection, maintain credit risk and are the primary obligor in the sales arrangement.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Commission from fuel broker services is recognized when services are performed and collectability is reasonably assured. When acting as a fuel broker, we are paid a commission by the supplier.</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card payment and processing transactions is recognized at the time the purchase is made by the customer using the charge card. Revenue from charge card transactions is generated from processing fees.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Vendor and Customer Rebates and Branding Allowances</w:t>
      </w:r>
    </w:p>
    <w:p>
      <w:pPr>
        <w:spacing w:after="0" w:line="23"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We receive vendor rebates and branding allowances from a number of our fuel suppliers. Typically, a portion of the rebates and allowances is passed on to our customers under the same terms as required by our fuel suppliers. Generally, volume rebates are received from vendors under structured programs based on the level of fuel purchased or sold as specified in the applicable vendor agreements. Many of the vendor agreements require repayment of all or a portion of the amount received if we (or our customers, typically branded dealers) elect to discontinue selling the specified brand of fuel at certain locations. As of December 31, 2014, the estimated amount of fuel rebates and branding allowances that would have to be repaid upon de</w:t>
      </w:r>
      <w:r>
        <w:rPr>
          <w:rFonts w:ascii="MS PGothic" w:cs="MS PGothic" w:eastAsia="MS PGothic" w:hAnsi="MS PGothic"/>
          <w:sz w:val="17"/>
          <w:szCs w:val="17"/>
          <w:color w:val="auto"/>
        </w:rPr>
        <w:t>‑</w:t>
      </w:r>
      <w:r>
        <w:rPr>
          <w:rFonts w:ascii="Arial" w:cs="Arial" w:eastAsia="Arial" w:hAnsi="Arial"/>
          <w:sz w:val="17"/>
          <w:szCs w:val="17"/>
          <w:color w:val="auto"/>
        </w:rPr>
        <w:t>branding at these locations, net of the amount due to us from the branded dealers under similar agreements between us and such dealers were not significant. No liability is recorded for the amount of obligations which would become payable upon de</w:t>
      </w:r>
      <w:r>
        <w:rPr>
          <w:rFonts w:ascii="MS PGothic" w:cs="MS PGothic" w:eastAsia="MS PGothic" w:hAnsi="MS PGothic"/>
          <w:sz w:val="17"/>
          <w:szCs w:val="17"/>
          <w:color w:val="auto"/>
        </w:rPr>
        <w:t>‑</w:t>
      </w:r>
      <w:r>
        <w:rPr>
          <w:rFonts w:ascii="Arial" w:cs="Arial" w:eastAsia="Arial" w:hAnsi="Arial"/>
          <w:sz w:val="17"/>
          <w:szCs w:val="17"/>
          <w:color w:val="auto"/>
        </w:rPr>
        <w:t>branding.</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Some of these vendor rebate and branding allowance arrangements require that we make assumptions and judgments regarding, for example, the likelihood of attaining specified levels of purchases or selling specified volume of products. We routinely review the relevant, significant factors and make adjustments when the facts and circumstances dictate that an adjustment is warranted.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7" w:name="page58"/>
    <w:bookmarkEnd w:id="57"/>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Vendor volume rebates are recognized as a reduction of cost of revenue in the period earned when realization is probable and estimatable and when certain other conditions are met. The rebates passed on to our customers are recognized as a reduction of revenue in the period earned in accordance with the applicable customer agreements. The rebate terms of the customer agreements are generally similar to those of the vendor agreements. We also receive branding allowances from fuel suppliers to defray the costs of branding and enhancing certain of our customer locations. The branding allowances received are recorded as a reduction of cost of revenue. The amounts recorded as a reduction of revenue related to volume rebates and branding allowance arrangements paid to our customers and the amounts recorded as a reduction to cost of revenue related to volume rebates received from vendors were not significant during each of the years presented on the consolidated statements of income and comprehensive income.</w:t>
      </w:r>
    </w:p>
    <w:p>
      <w:pPr>
        <w:spacing w:after="0" w:line="82"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Share</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Based Payment Awards</w:t>
      </w:r>
    </w:p>
    <w:p>
      <w:pPr>
        <w:spacing w:after="0" w:line="39" w:lineRule="exact"/>
        <w:rPr>
          <w:sz w:val="20"/>
          <w:szCs w:val="20"/>
          <w:color w:val="auto"/>
        </w:rPr>
      </w:pPr>
    </w:p>
    <w:p>
      <w:pPr>
        <w:jc w:val="both"/>
        <w:spacing w:after="0" w:line="204" w:lineRule="exact"/>
        <w:rPr>
          <w:sz w:val="20"/>
          <w:szCs w:val="20"/>
          <w:color w:val="auto"/>
        </w:rPr>
      </w:pPr>
      <w:r>
        <w:rPr>
          <w:rFonts w:ascii="Arial" w:cs="Arial" w:eastAsia="Arial" w:hAnsi="Arial"/>
          <w:sz w:val="17"/>
          <w:szCs w:val="17"/>
          <w:color w:val="auto"/>
        </w:rPr>
        <w:t>We account for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on a fair value basis. Under fair value accounting, the grant</w:t>
      </w:r>
      <w:r>
        <w:rPr>
          <w:rFonts w:ascii="MS PGothic" w:cs="MS PGothic" w:eastAsia="MS PGothic" w:hAnsi="MS PGothic"/>
          <w:sz w:val="17"/>
          <w:szCs w:val="17"/>
          <w:color w:val="auto"/>
        </w:rPr>
        <w:t>‑</w:t>
      </w:r>
      <w:r>
        <w:rPr>
          <w:rFonts w:ascii="Arial" w:cs="Arial" w:eastAsia="Arial" w:hAnsi="Arial"/>
          <w:sz w:val="17"/>
          <w:szCs w:val="17"/>
          <w:color w:val="auto"/>
        </w:rPr>
        <w:t>date fair value of the share</w:t>
      </w:r>
      <w:r>
        <w:rPr>
          <w:rFonts w:ascii="MS PGothic" w:cs="MS PGothic" w:eastAsia="MS PGothic" w:hAnsi="MS PGothic"/>
          <w:sz w:val="17"/>
          <w:szCs w:val="17"/>
          <w:color w:val="auto"/>
        </w:rPr>
        <w:t>‑</w:t>
      </w:r>
      <w:r>
        <w:rPr>
          <w:rFonts w:ascii="Arial" w:cs="Arial" w:eastAsia="Arial" w:hAnsi="Arial"/>
          <w:sz w:val="17"/>
          <w:szCs w:val="17"/>
          <w:color w:val="auto"/>
        </w:rPr>
        <w:t>based payment award is amortized as compensation expense,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vesting period for both graded and cliff vesting awards. Annual compensation expense for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is reduced by an expected forfeiture amount on outstanding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w:t>
      </w:r>
    </w:p>
    <w:p>
      <w:pPr>
        <w:spacing w:after="0" w:line="54" w:lineRule="exact"/>
        <w:rPr>
          <w:sz w:val="20"/>
          <w:szCs w:val="20"/>
          <w:color w:val="auto"/>
        </w:rPr>
      </w:pPr>
    </w:p>
    <w:p>
      <w:pPr>
        <w:jc w:val="both"/>
        <w:spacing w:after="0" w:line="199" w:lineRule="exact"/>
        <w:rPr>
          <w:sz w:val="20"/>
          <w:szCs w:val="20"/>
          <w:color w:val="auto"/>
        </w:rPr>
      </w:pPr>
      <w:r>
        <w:rPr>
          <w:rFonts w:ascii="Arial" w:cs="Arial" w:eastAsia="Arial" w:hAnsi="Arial"/>
          <w:sz w:val="17"/>
          <w:szCs w:val="17"/>
          <w:color w:val="auto"/>
        </w:rPr>
        <w:t>The estimated fair value of stock awards, such as restricted stock and restricted stock units (“RSUs”) is based on the grant</w:t>
      </w:r>
      <w:r>
        <w:rPr>
          <w:rFonts w:ascii="MS PGothic" w:cs="MS PGothic" w:eastAsia="MS PGothic" w:hAnsi="MS PGothic"/>
          <w:sz w:val="17"/>
          <w:szCs w:val="17"/>
          <w:color w:val="auto"/>
        </w:rPr>
        <w:t>‑</w:t>
      </w:r>
      <w:r>
        <w:rPr>
          <w:rFonts w:ascii="Arial" w:cs="Arial" w:eastAsia="Arial" w:hAnsi="Arial"/>
          <w:sz w:val="17"/>
          <w:szCs w:val="17"/>
          <w:color w:val="auto"/>
        </w:rPr>
        <w:t>date market value of our common stock, as defined in the respective plans under which the awards were granted. To determine the estimated fair value of stock</w:t>
      </w:r>
      <w:r>
        <w:rPr>
          <w:rFonts w:ascii="MS PGothic" w:cs="MS PGothic" w:eastAsia="MS PGothic" w:hAnsi="MS PGothic"/>
          <w:sz w:val="17"/>
          <w:szCs w:val="17"/>
          <w:color w:val="auto"/>
        </w:rPr>
        <w:t>‑</w:t>
      </w:r>
      <w:r>
        <w:rPr>
          <w:rFonts w:ascii="Arial" w:cs="Arial" w:eastAsia="Arial" w:hAnsi="Arial"/>
          <w:sz w:val="17"/>
          <w:szCs w:val="17"/>
          <w:color w:val="auto"/>
        </w:rPr>
        <w:t>settled stock appreciation rights (“SSAR Awards”), we use the Black</w:t>
      </w:r>
      <w:r>
        <w:rPr>
          <w:rFonts w:ascii="MS PGothic" w:cs="MS PGothic" w:eastAsia="MS PGothic" w:hAnsi="MS PGothic"/>
          <w:sz w:val="17"/>
          <w:szCs w:val="17"/>
          <w:color w:val="auto"/>
        </w:rPr>
        <w:t>‑</w:t>
      </w:r>
      <w:r>
        <w:rPr>
          <w:rFonts w:ascii="Arial" w:cs="Arial" w:eastAsia="Arial" w:hAnsi="Arial"/>
          <w:sz w:val="17"/>
          <w:szCs w:val="17"/>
          <w:color w:val="auto"/>
        </w:rPr>
        <w:t xml:space="preserve"> Scholes option pricing model. The estimation of the fair value of SSAR Awards on the date of grant using an option</w:t>
      </w:r>
      <w:r>
        <w:rPr>
          <w:rFonts w:ascii="MS PGothic" w:cs="MS PGothic" w:eastAsia="MS PGothic" w:hAnsi="MS PGothic"/>
          <w:sz w:val="17"/>
          <w:szCs w:val="17"/>
          <w:color w:val="auto"/>
        </w:rPr>
        <w:t>‑</w:t>
      </w:r>
      <w:r>
        <w:rPr>
          <w:rFonts w:ascii="Arial" w:cs="Arial" w:eastAsia="Arial" w:hAnsi="Arial"/>
          <w:sz w:val="17"/>
          <w:szCs w:val="17"/>
          <w:color w:val="auto"/>
        </w:rPr>
        <w:t>pricing model is affected by our stock price as well as assumptions regarding a number of complex and subjective variables. These variables include our expected stock price volatility over the term of the awards, actual and projected employee stock option exercise behaviors, risk</w:t>
      </w:r>
      <w:r>
        <w:rPr>
          <w:rFonts w:ascii="MS PGothic" w:cs="MS PGothic" w:eastAsia="MS PGothic" w:hAnsi="MS PGothic"/>
          <w:sz w:val="17"/>
          <w:szCs w:val="17"/>
          <w:color w:val="auto"/>
        </w:rPr>
        <w:t>‑</w:t>
      </w:r>
      <w:r>
        <w:rPr>
          <w:rFonts w:ascii="Arial" w:cs="Arial" w:eastAsia="Arial" w:hAnsi="Arial"/>
          <w:sz w:val="17"/>
          <w:szCs w:val="17"/>
          <w:color w:val="auto"/>
        </w:rPr>
        <w:t xml:space="preserve"> free interest rates and expected dividends. The expected term of SSAR Awards represents the estimated period of time from grant until exercise or conversion and is based on vesting schedules and expected post</w:t>
      </w:r>
      <w:r>
        <w:rPr>
          <w:rFonts w:ascii="MS PGothic" w:cs="MS PGothic" w:eastAsia="MS PGothic" w:hAnsi="MS PGothic"/>
          <w:sz w:val="17"/>
          <w:szCs w:val="17"/>
          <w:color w:val="auto"/>
        </w:rPr>
        <w:t>‑</w:t>
      </w:r>
      <w:r>
        <w:rPr>
          <w:rFonts w:ascii="Arial" w:cs="Arial" w:eastAsia="Arial" w:hAnsi="Arial"/>
          <w:sz w:val="17"/>
          <w:szCs w:val="17"/>
          <w:color w:val="auto"/>
        </w:rPr>
        <w: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w:t>
      </w:r>
      <w:r>
        <w:rPr>
          <w:rFonts w:ascii="MS PGothic" w:cs="MS PGothic" w:eastAsia="MS PGothic" w:hAnsi="MS PGothic"/>
          <w:sz w:val="17"/>
          <w:szCs w:val="17"/>
          <w:color w:val="auto"/>
        </w:rPr>
        <w:t>‑</w:t>
      </w:r>
      <w:r>
        <w:rPr>
          <w:rFonts w:ascii="Arial" w:cs="Arial" w:eastAsia="Arial" w:hAnsi="Arial"/>
          <w:sz w:val="17"/>
          <w:szCs w:val="17"/>
          <w:color w:val="auto"/>
        </w:rPr>
        <w:t>recurring events that would not be expected in the future. Risk</w:t>
      </w:r>
      <w:r>
        <w:rPr>
          <w:rFonts w:ascii="MS PGothic" w:cs="MS PGothic" w:eastAsia="MS PGothic" w:hAnsi="MS PGothic"/>
          <w:sz w:val="17"/>
          <w:szCs w:val="17"/>
          <w:color w:val="auto"/>
        </w:rPr>
        <w:t>‑</w:t>
      </w:r>
      <w:r>
        <w:rPr>
          <w:rFonts w:ascii="Arial" w:cs="Arial" w:eastAsia="Arial" w:hAnsi="Arial"/>
          <w:sz w:val="17"/>
          <w:szCs w:val="17"/>
          <w:color w:val="auto"/>
        </w:rPr>
        <w:t>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112"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color w:val="auto"/>
        </w:rPr>
        <w:t>Cash flows from income tax benefits resulting from income tax deductions in excess of the compensation cost recognized for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(excess income tax benefits) are classified as financing cash flows. These excess income tax benefits are credited to capital in excess of par value.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23"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translation gains and losses are recognized for changes between the transaction exchange rates and month</w:t>
      </w:r>
      <w:r>
        <w:rPr>
          <w:rFonts w:ascii="MS PGothic" w:cs="MS PGothic" w:eastAsia="MS PGothic" w:hAnsi="MS PGothic"/>
          <w:sz w:val="17"/>
          <w:szCs w:val="17"/>
          <w:color w:val="auto"/>
        </w:rPr>
        <w:t>‑</w:t>
      </w:r>
      <w:r>
        <w:rPr>
          <w:rFonts w:ascii="Arial" w:cs="Arial" w:eastAsia="Arial" w:hAnsi="Arial"/>
          <w:sz w:val="17"/>
          <w:szCs w:val="17"/>
          <w:color w:val="auto"/>
        </w:rPr>
        <w:t>end exchange rates. Foreign currency transaction gains and losses are included in other income (expense), net, in the accompanying consolidated statements of income and comprehensive income in the period incurred. We recorded net foreign currency transaction losses of $1.0 million and $2.8 million in 2014 and 2013, respectively, and a gain of $0.1 million in 2012.</w:t>
      </w:r>
    </w:p>
    <w:p>
      <w:pPr>
        <w:spacing w:after="0" w:line="9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 We recorded net foreign currency translation adjustment losses of $30.8 million, $13.2 million and $9.6 million in 2014, 2013 and 2012, respectively. Cumulative foreign currency translation adjustments included in accumulated other comprehensive income amounted to losses of $60.1 million and $29.3 million as of December 31, 2014 and 2013,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recognized in the income tax provision in the period that includes the enactment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8" w:name="page59"/>
    <w:bookmarkEnd w:id="58"/>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must assess the likelihood that our deferred tax assets will be recovered from our future taxable income, and to the extent we believe that recovery is not likely, we must establish a valuation allowance against those deferred tax assets. Deferred tax liabilities generally represent items for which we have already taken a deduction in our income tax return, but we have not yet recognized the items as expenses in our results of operations.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104" w:lineRule="exact"/>
        <w:rPr>
          <w:sz w:val="20"/>
          <w:szCs w:val="20"/>
          <w:color w:val="auto"/>
        </w:rPr>
      </w:pPr>
    </w:p>
    <w:p>
      <w:pPr>
        <w:jc w:val="both"/>
        <w:spacing w:after="0" w:line="205" w:lineRule="exact"/>
        <w:rPr>
          <w:sz w:val="20"/>
          <w:szCs w:val="20"/>
          <w:color w:val="auto"/>
        </w:rPr>
      </w:pPr>
      <w:r>
        <w:rPr>
          <w:rFonts w:ascii="Arial" w:cs="Arial" w:eastAsia="Arial" w:hAnsi="Arial"/>
          <w:sz w:val="17"/>
          <w:szCs w:val="17"/>
          <w:color w:val="auto"/>
        </w:rPr>
        <w:t>U.S. income taxes have not been recognized on undistributed earnings of foreign subsidiaries. Our intention is to reinvest these earnings permanently in active non</w:t>
      </w:r>
      <w:r>
        <w:rPr>
          <w:rFonts w:ascii="MS PGothic" w:cs="MS PGothic" w:eastAsia="MS PGothic" w:hAnsi="MS PGothic"/>
          <w:sz w:val="17"/>
          <w:szCs w:val="17"/>
          <w:color w:val="auto"/>
        </w:rPr>
        <w:t>‑</w:t>
      </w:r>
      <w:r>
        <w:rPr>
          <w:rFonts w:ascii="Arial" w:cs="Arial" w:eastAsia="Arial" w:hAnsi="Arial"/>
          <w:sz w:val="17"/>
          <w:szCs w:val="17"/>
          <w:color w:val="auto"/>
        </w:rPr>
        <w:t>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Common Share</w:t>
      </w:r>
    </w:p>
    <w:p>
      <w:pPr>
        <w:spacing w:after="0" w:line="23" w:lineRule="exact"/>
        <w:rPr>
          <w:sz w:val="20"/>
          <w:szCs w:val="20"/>
          <w:color w:val="auto"/>
        </w:rPr>
      </w:pPr>
    </w:p>
    <w:p>
      <w:pPr>
        <w:jc w:val="both"/>
        <w:spacing w:after="0" w:line="197" w:lineRule="exact"/>
        <w:rPr>
          <w:sz w:val="20"/>
          <w:szCs w:val="20"/>
          <w:color w:val="auto"/>
        </w:rPr>
      </w:pPr>
      <w:r>
        <w:rPr>
          <w:rFonts w:ascii="Arial" w:cs="Arial" w:eastAsia="Arial" w:hAnsi="Arial"/>
          <w:sz w:val="17"/>
          <w:szCs w:val="17"/>
          <w:color w:val="auto"/>
        </w:rPr>
        <w:t>Basic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Diluted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Potentially dilutive securities include restricted stock subject to forfeitable dividends, non</w:t>
      </w:r>
      <w:r>
        <w:rPr>
          <w:rFonts w:ascii="MS PGothic" w:cs="MS PGothic" w:eastAsia="MS PGothic" w:hAnsi="MS PGothic"/>
          <w:sz w:val="17"/>
          <w:szCs w:val="17"/>
          <w:color w:val="auto"/>
        </w:rPr>
        <w:t>‑</w:t>
      </w:r>
      <w:r>
        <w:rPr>
          <w:rFonts w:ascii="Arial" w:cs="Arial" w:eastAsia="Arial" w:hAnsi="Arial"/>
          <w:sz w:val="17"/>
          <w:szCs w:val="17"/>
          <w:color w:val="auto"/>
        </w:rPr>
        <w:t>vested RSUs and SSAR Awards. The dilutive effect of potentially dilutive securities is reflected in diluted earnings per common share by application of the treasury stock method. Under the treasury stock method, an increase in the fair market value of our common stock can result in a greater dilutive effect from potentially dilutive securities.</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sets forth the computation of basic and diluted earnings per common share for the periods presented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63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Numerator:</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5"/>
        </w:trPr>
        <w:tc>
          <w:tcPr>
            <w:tcW w:w="6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 attributable to World Fuel</w:t>
            </w: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221,747</w:t>
            </w: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203,075</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189,345</w:t>
            </w:r>
          </w:p>
        </w:tc>
      </w:tr>
      <w:tr>
        <w:trPr>
          <w:trHeight w:val="188"/>
        </w:trPr>
        <w:tc>
          <w:tcPr>
            <w:tcW w:w="63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Denominator:</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5"/>
        </w:trPr>
        <w:tc>
          <w:tcPr>
            <w:tcW w:w="6340" w:type="dxa"/>
            <w:vAlign w:val="bottom"/>
          </w:tcPr>
          <w:p>
            <w:pPr>
              <w:spacing w:after="0"/>
              <w:rPr>
                <w:sz w:val="20"/>
                <w:szCs w:val="20"/>
                <w:color w:val="auto"/>
              </w:rPr>
            </w:pPr>
            <w:r>
              <w:rPr>
                <w:rFonts w:ascii="Arial" w:cs="Arial" w:eastAsia="Arial" w:hAnsi="Arial"/>
                <w:sz w:val="17"/>
                <w:szCs w:val="17"/>
                <w:color w:val="auto"/>
              </w:rPr>
              <w:t>Weighted average common shares for basic earnings per common share</w:t>
            </w:r>
          </w:p>
        </w:tc>
        <w:tc>
          <w:tcPr>
            <w:tcW w:w="52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70,750</w:t>
            </w:r>
          </w:p>
        </w:tc>
        <w:tc>
          <w:tcPr>
            <w:tcW w:w="360" w:type="dxa"/>
            <w:vAlign w:val="bottom"/>
          </w:tcPr>
          <w:p>
            <w:pPr>
              <w:spacing w:after="0"/>
              <w:rPr>
                <w:sz w:val="16"/>
                <w:szCs w:val="16"/>
                <w:color w:val="auto"/>
              </w:rPr>
            </w:pP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71,224</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71,154</w:t>
            </w:r>
          </w:p>
        </w:tc>
      </w:tr>
      <w:tr>
        <w:trPr>
          <w:trHeight w:val="195"/>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5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573</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576</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w:t>
            </w:r>
          </w:p>
        </w:tc>
      </w:tr>
      <w:tr>
        <w:trPr>
          <w:trHeight w:val="194"/>
        </w:trPr>
        <w:tc>
          <w:tcPr>
            <w:tcW w:w="634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Weighted average common shares for diluted earnings per common share</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6"/>
              <w:spacing w:after="0" w:line="188" w:lineRule="exact"/>
              <w:rPr>
                <w:sz w:val="20"/>
                <w:szCs w:val="20"/>
                <w:color w:val="auto"/>
              </w:rPr>
            </w:pPr>
            <w:r>
              <w:rPr>
                <w:rFonts w:ascii="Arial" w:cs="Arial" w:eastAsia="Arial" w:hAnsi="Arial"/>
                <w:sz w:val="17"/>
                <w:szCs w:val="17"/>
                <w:color w:val="auto"/>
              </w:rPr>
              <w:t>71,323</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6"/>
              <w:spacing w:after="0" w:line="188" w:lineRule="exact"/>
              <w:rPr>
                <w:sz w:val="20"/>
                <w:szCs w:val="20"/>
                <w:color w:val="auto"/>
              </w:rPr>
            </w:pPr>
            <w:r>
              <w:rPr>
                <w:rFonts w:ascii="Arial" w:cs="Arial" w:eastAsia="Arial" w:hAnsi="Arial"/>
                <w:sz w:val="17"/>
                <w:szCs w:val="17"/>
                <w:color w:val="auto"/>
              </w:rPr>
              <w:t>71,800</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71,817</w:t>
            </w:r>
          </w:p>
        </w:tc>
      </w:tr>
      <w:tr>
        <w:trPr>
          <w:trHeight w:val="172"/>
        </w:trPr>
        <w:tc>
          <w:tcPr>
            <w:tcW w:w="634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Weighted average securities which are not included in the calculation of diluted</w:t>
            </w: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5"/>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per common share because their impact is anti-dilutive or their</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3"/>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performance conditions have not been met</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881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594</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r>
      <w:tr>
        <w:trPr>
          <w:trHeight w:val="201"/>
        </w:trPr>
        <w:tc>
          <w:tcPr>
            <w:tcW w:w="6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Basic earnings per common share</w:t>
            </w: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3.13</w:t>
            </w: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2.85</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r>
      <w:tr>
        <w:trPr>
          <w:trHeight w:val="201"/>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Diluted earnings per common share</w:t>
            </w: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3.11</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2.83</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in prior years have been reclassified to conform to current year’s presentation.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i w:val="1"/>
          <w:iCs w:val="1"/>
          <w:color w:val="auto"/>
        </w:rPr>
        <w:t xml:space="preserve">Income Statement-Extraordinary and Unusual Items: Simplifying Income Statement Presentation by Eliminating the Concept of Extraordinary Items. </w:t>
      </w:r>
      <w:r>
        <w:rPr>
          <w:rFonts w:ascii="Arial" w:cs="Arial" w:eastAsia="Arial" w:hAnsi="Arial"/>
          <w:sz w:val="17"/>
          <w:szCs w:val="17"/>
          <w:color w:val="auto"/>
        </w:rPr>
        <w:t>In January 2015, the Financial Accounting Standards Board (“FASB”) issued an Accounting Standards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(“ASU”) which eliminates from generally accepted accounting principles in the United States the concept of extraordinary items. This update is effective at the beginning of our 2016 fiscal year. We do not believe the adoption of this new guidance will have a significant impact on our consolidated financial statements and disclosures.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Business Combinations: Pushdown Accounting. </w:t>
      </w:r>
      <w:r>
        <w:rPr>
          <w:rFonts w:ascii="Arial" w:cs="Arial" w:eastAsia="Arial" w:hAnsi="Arial"/>
          <w:sz w:val="17"/>
          <w:szCs w:val="17"/>
          <w:color w:val="auto"/>
        </w:rPr>
        <w:t>In November 2014, the FASB issued an ASU which provides guidance for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whether and at what threshold an acquired entity can apply pushdown accounting in its separate financial statements. This update became effective on November 18, 2014. The adoption of this ASU did not have a significant impact on our consolidated financial statements and disclosures.</w:t>
      </w:r>
    </w:p>
    <w:p>
      <w:pPr>
        <w:spacing w:after="0" w:line="14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 xml:space="preserve">Derivatives and Hedging: Determining Whether the Host Contract in a Hybrid Financial Instrument Issued in the Form of a Share Is More Akin to Debt or to Equity. </w:t>
      </w:r>
      <w:r>
        <w:rPr>
          <w:rFonts w:ascii="Arial" w:cs="Arial" w:eastAsia="Arial" w:hAnsi="Arial"/>
          <w:sz w:val="17"/>
          <w:szCs w:val="17"/>
          <w:color w:val="auto"/>
        </w:rPr>
        <w:t>In November 2014, the FASB issued an ASU which clarifies how current generally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59" w:name="page60"/>
    <w:bookmarkEnd w:id="59"/>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accepted accounting principles in the United States should be interpreted in evaluating the economic characteristics and risks of a host contract in a hybrid financial instrument that is issued in the form of a share. This update is effective at the beginning of our 2016 fiscal year. We do not believe the adoption of this new guidance will have a significant impact on our consolidated financial statements and disclosures.</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Presentation of Financial Statements-Going Concern: Disclosure of Uncertainties about an Entity’s Ability to Continue as a Going Concern. </w:t>
      </w:r>
      <w:r>
        <w:rPr>
          <w:rFonts w:ascii="Arial" w:cs="Arial" w:eastAsia="Arial" w:hAnsi="Arial"/>
          <w:sz w:val="17"/>
          <w:szCs w:val="17"/>
          <w:color w:val="auto"/>
        </w:rPr>
        <w:t>In August 2014, the FASB issued an ASU which requires management of the Company to evaluate whether there is</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 doubt about the Company’s ability to continue as a going concern. This update is effective at the beginning of our 2017 fiscal year. We do not expect the adoption of this new guidance to have an impact on our financial statement disclosures.</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 xml:space="preserve">Compensation-Stock Compensation. Accounting for Share-Based Payments When the Terms of an Award Provide That a Performance Target Could Be Achieved after the Requisite Service Period. </w:t>
      </w:r>
      <w:r>
        <w:rPr>
          <w:rFonts w:ascii="Arial" w:cs="Arial" w:eastAsia="Arial" w:hAnsi="Arial"/>
          <w:sz w:val="17"/>
          <w:szCs w:val="17"/>
          <w:color w:val="auto"/>
        </w:rPr>
        <w:t>In June 2014, the FASB issued an ASU which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that requires a performance target that affects vesting and that could be achieved after the requisite service period to be treated as a performance condition. This update is effective at the beginning of our 2016 fiscal year. We do not believe the adoption of this new guidance will have a significant impact on our consolidated financial statements and disclosures.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Transfers and Servicing: Repurchase-to-Maturity Transactions, Repurchase Financings, and Disclosures. </w:t>
      </w:r>
      <w:r>
        <w:rPr>
          <w:rFonts w:ascii="Arial" w:cs="Arial" w:eastAsia="Arial" w:hAnsi="Arial"/>
          <w:sz w:val="17"/>
          <w:szCs w:val="17"/>
          <w:color w:val="auto"/>
        </w:rPr>
        <w:t>In June 2014,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an ASU which changes the accounting for repurchase-to-maturity transactions and repurchase financing arrangements. It also requires additional disclosures about repurchase agreements and other similar transactions. This update is effective at the beginning of our 2015 fiscal year. We do not believe the adoption of this new guidance will have a significant impact on our consolidated financial statements and disclosures.</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FASB issued an ASU which provides guidance for 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any entity that either enters into contracts with customers to transfer goods or services or enters into contracts for the transfer of non-financial assets. The ASU will replace most existing revenue recognition guidance in generally accepted accounting principles in the United States when it becomes effective. This update is effective at the beginning of our 2017 fiscal year. We are currently evaluating whether the adoption of this new guidance will have a significant impact on our consolidated financial statements and disclosures.</w:t>
      </w: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 xml:space="preserve">Presentation of Financial Statements and Property, Plant, and Equipment: Reporting Discontinued Operations and Disclosures of Disposals of Components of an Entity. </w:t>
      </w:r>
      <w:r>
        <w:rPr>
          <w:rFonts w:ascii="Arial" w:cs="Arial" w:eastAsia="Arial" w:hAnsi="Arial"/>
          <w:sz w:val="17"/>
          <w:szCs w:val="17"/>
          <w:color w:val="auto"/>
        </w:rPr>
        <w:t>In April 2014, the FASB issued an ASU which changes the criteria for reporting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enhances disclosures in this area. It also addresses sources of confusion and inconsistent application related to financial reporting of discontinued operations guidance. This update is effective at the beginning of our 2015 fiscal year. We do not believe the adoption of this new guidance will have a significant impact on our consolidated financial statements and disclosures.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color w:val="auto"/>
        </w:rPr>
        <w:t xml:space="preserve">Presentation of an Unrecognized Tax Benefit When a Net Loss Carryforward, a Similar Tax Loss, or a Tax Credit Carryforward Exists. </w:t>
      </w:r>
      <w:r>
        <w:rPr>
          <w:rFonts w:ascii="Arial" w:cs="Arial" w:eastAsia="Arial" w:hAnsi="Arial"/>
          <w:sz w:val="17"/>
          <w:szCs w:val="17"/>
          <w:color w:val="auto"/>
        </w:rPr>
        <w:t>In July 2013, the FASB issued an ASU on the presentation of an unrecognized tax benefit when a net operating loss</w:t>
      </w:r>
      <w:r>
        <w:rPr>
          <w:rFonts w:ascii="Arial" w:cs="Arial" w:eastAsia="Arial" w:hAnsi="Arial"/>
          <w:sz w:val="17"/>
          <w:szCs w:val="17"/>
          <w:i w:val="1"/>
          <w:iCs w:val="1"/>
          <w:color w:val="auto"/>
        </w:rPr>
        <w:t xml:space="preserve"> </w:t>
      </w:r>
      <w:r>
        <w:rPr>
          <w:rFonts w:ascii="Arial" w:cs="Arial" w:eastAsia="Arial" w:hAnsi="Arial"/>
          <w:sz w:val="17"/>
          <w:szCs w:val="17"/>
          <w:color w:val="auto"/>
        </w:rPr>
        <w:t>carryforward exists. Under this guidance, an unrecognized tax benefit, or a portion of an unrecognized tax benefit, should be presented in the financial statements as a reduction to a deferred tax asset for a net operating loss carryforward. This update became effective at the beginning of our 2014 fiscal year. The adoption of this ASU did not have a significant impact on our consolidated financial statements and disclosures.</w:t>
      </w:r>
    </w:p>
    <w:p>
      <w:pPr>
        <w:spacing w:after="0" w:line="15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i w:val="1"/>
          <w:iCs w:val="1"/>
          <w:color w:val="auto"/>
        </w:rPr>
        <w:t>Foreign Currency Matters Parent’s Accounting for the Cumulative Translation Adjustment upon Derecognition of Certain Foreign Subsidiaries</w:t>
      </w:r>
      <w:r>
        <w:rPr>
          <w:rFonts w:ascii="Arial" w:cs="Arial" w:eastAsia="Arial" w:hAnsi="Arial"/>
          <w:sz w:val="17"/>
          <w:szCs w:val="17"/>
          <w:color w:val="auto"/>
        </w:rPr>
        <w:t>. In March 2013, the FASB issued an ASU aimed at resolving the diversity in practice of accounting for the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In addition, the amendments in this ASU resolve the diversity in practice for the treatment of business combinations achieved in stages (sometimes also referred to as step acquisitions) involving a foreign entity. This update became effective at the beginning of our 2014 fiscal year. The adoption of this ASU did not have a significant impact on our consolidated financial statements and disclosures.</w:t>
      </w:r>
    </w:p>
    <w:p>
      <w:pPr>
        <w:spacing w:after="0" w:line="35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Disclosure Obligations Resulting from Joint and Several Liability Arrangements. </w:t>
      </w:r>
      <w:r>
        <w:rPr>
          <w:rFonts w:ascii="Arial" w:cs="Arial" w:eastAsia="Arial" w:hAnsi="Arial"/>
          <w:sz w:val="17"/>
          <w:szCs w:val="17"/>
          <w:color w:val="auto"/>
        </w:rPr>
        <w:t>In February 2013, the FASB issued an ASU</w:t>
      </w:r>
      <w:r>
        <w:rPr>
          <w:rFonts w:ascii="Arial" w:cs="Arial" w:eastAsia="Arial" w:hAnsi="Arial"/>
          <w:sz w:val="17"/>
          <w:szCs w:val="17"/>
          <w:i w:val="1"/>
          <w:iCs w:val="1"/>
          <w:color w:val="auto"/>
        </w:rPr>
        <w:t xml:space="preserve"> </w:t>
      </w:r>
      <w:r>
        <w:rPr>
          <w:rFonts w:ascii="Arial" w:cs="Arial" w:eastAsia="Arial" w:hAnsi="Arial"/>
          <w:sz w:val="17"/>
          <w:szCs w:val="17"/>
          <w:color w:val="auto"/>
        </w:rPr>
        <w:t>clarifying the guidance for the recognition, measurement and disclosure of obligations resulting from joint and several liability arrangements for which the total amount of the obligation within the scope of this ASU is fixed at the reporting date, except for obligations addressed within existing guidance in U.S. GAAP. This update became effective at the beginning of our 2014 fiscal year. The adoption of this ASU did not have a significant impact on our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0" w:name="page61"/>
    <w:bookmarkEnd w:id="6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and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Accounts Receivable</w:t>
      </w:r>
    </w:p>
    <w:p>
      <w:pPr>
        <w:spacing w:after="0" w:line="157"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color w:val="auto"/>
        </w:rPr>
        <w:t>We had accounts receivable of $2.3 billion and $2.5 billion, net of an allowance for bad debt of $25.7 million and $29.2 million, as of December 31, 2014 and 2013, respectively. Accounts receivable are written</w:t>
      </w:r>
      <w:r>
        <w:rPr>
          <w:rFonts w:ascii="MS PGothic" w:cs="MS PGothic" w:eastAsia="MS PGothic" w:hAnsi="MS PGothic"/>
          <w:sz w:val="17"/>
          <w:szCs w:val="17"/>
          <w:color w:val="auto"/>
        </w:rPr>
        <w:t>‑</w:t>
      </w:r>
      <w:r>
        <w:rPr>
          <w:rFonts w:ascii="Arial" w:cs="Arial" w:eastAsia="Arial" w:hAnsi="Arial"/>
          <w:sz w:val="17"/>
          <w:szCs w:val="17"/>
          <w:color w:val="auto"/>
        </w:rPr>
        <w:t>off when it becomes apparent based upon age or customer circumstances that such amounts will not be collected.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activities in our allowance for bad debt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50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Balance as of beginning of period</w:t>
            </w:r>
          </w:p>
        </w:tc>
        <w:tc>
          <w:tcPr>
            <w:tcW w:w="1880" w:type="dxa"/>
            <w:vAlign w:val="bottom"/>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96"/>
              <w:spacing w:after="0" w:line="188" w:lineRule="exact"/>
              <w:rPr>
                <w:sz w:val="20"/>
                <w:szCs w:val="20"/>
                <w:color w:val="auto"/>
              </w:rPr>
            </w:pPr>
            <w:r>
              <w:rPr>
                <w:rFonts w:ascii="Arial" w:cs="Arial" w:eastAsia="Arial" w:hAnsi="Arial"/>
                <w:sz w:val="17"/>
                <w:szCs w:val="17"/>
                <w:color w:val="auto"/>
              </w:rPr>
              <w:t>29,188</w:t>
            </w:r>
          </w:p>
        </w:tc>
        <w:tc>
          <w:tcPr>
            <w:tcW w:w="380" w:type="dxa"/>
            <w:vAlign w:val="bottom"/>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96"/>
              <w:spacing w:after="0" w:line="188" w:lineRule="exact"/>
              <w:rPr>
                <w:sz w:val="20"/>
                <w:szCs w:val="20"/>
                <w:color w:val="auto"/>
              </w:rPr>
            </w:pPr>
            <w:r>
              <w:rPr>
                <w:rFonts w:ascii="Arial" w:cs="Arial" w:eastAsia="Arial" w:hAnsi="Arial"/>
                <w:sz w:val="17"/>
                <w:szCs w:val="17"/>
                <w:color w:val="auto"/>
              </w:rPr>
              <w:t>23,719</w:t>
            </w:r>
          </w:p>
        </w:tc>
        <w:tc>
          <w:tcPr>
            <w:tcW w:w="380" w:type="dxa"/>
            <w:vAlign w:val="bottom"/>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24,301</w:t>
            </w:r>
          </w:p>
        </w:tc>
      </w:tr>
      <w:tr>
        <w:trPr>
          <w:trHeight w:val="195"/>
        </w:trPr>
        <w:tc>
          <w:tcPr>
            <w:tcW w:w="5040" w:type="dxa"/>
            <w:vAlign w:val="bottom"/>
          </w:tcPr>
          <w:p>
            <w:pPr>
              <w:spacing w:after="0"/>
              <w:rPr>
                <w:sz w:val="20"/>
                <w:szCs w:val="20"/>
                <w:color w:val="auto"/>
              </w:rPr>
            </w:pPr>
            <w:r>
              <w:rPr>
                <w:rFonts w:ascii="Arial" w:cs="Arial" w:eastAsia="Arial" w:hAnsi="Arial"/>
                <w:sz w:val="17"/>
                <w:szCs w:val="17"/>
                <w:color w:val="auto"/>
              </w:rPr>
              <w:t>Charges to provision for bad debt</w:t>
            </w:r>
          </w:p>
        </w:tc>
        <w:tc>
          <w:tcPr>
            <w:tcW w:w="1880" w:type="dxa"/>
            <w:vAlign w:val="bottom"/>
          </w:tcPr>
          <w:p>
            <w:pPr>
              <w:spacing w:after="0"/>
              <w:rPr>
                <w:sz w:val="16"/>
                <w:szCs w:val="16"/>
                <w:color w:val="auto"/>
              </w:rPr>
            </w:pPr>
          </w:p>
        </w:tc>
        <w:tc>
          <w:tcPr>
            <w:tcW w:w="880" w:type="dxa"/>
            <w:vAlign w:val="bottom"/>
          </w:tcPr>
          <w:p>
            <w:pPr>
              <w:jc w:val="right"/>
              <w:ind w:right="96"/>
              <w:spacing w:after="0"/>
              <w:rPr>
                <w:sz w:val="20"/>
                <w:szCs w:val="20"/>
                <w:color w:val="auto"/>
              </w:rPr>
            </w:pPr>
            <w:r>
              <w:rPr>
                <w:rFonts w:ascii="Arial" w:cs="Arial" w:eastAsia="Arial" w:hAnsi="Arial"/>
                <w:sz w:val="17"/>
                <w:szCs w:val="17"/>
                <w:color w:val="auto"/>
              </w:rPr>
              <w:t>3,757</w:t>
            </w:r>
          </w:p>
        </w:tc>
        <w:tc>
          <w:tcPr>
            <w:tcW w:w="380" w:type="dxa"/>
            <w:vAlign w:val="bottom"/>
          </w:tcPr>
          <w:p>
            <w:pPr>
              <w:spacing w:after="0"/>
              <w:rPr>
                <w:sz w:val="16"/>
                <w:szCs w:val="16"/>
                <w:color w:val="auto"/>
              </w:rPr>
            </w:pPr>
          </w:p>
        </w:tc>
        <w:tc>
          <w:tcPr>
            <w:tcW w:w="880" w:type="dxa"/>
            <w:vAlign w:val="bottom"/>
          </w:tcPr>
          <w:p>
            <w:pPr>
              <w:jc w:val="right"/>
              <w:ind w:right="96"/>
              <w:spacing w:after="0"/>
              <w:rPr>
                <w:sz w:val="20"/>
                <w:szCs w:val="20"/>
                <w:color w:val="auto"/>
              </w:rPr>
            </w:pPr>
            <w:r>
              <w:rPr>
                <w:rFonts w:ascii="Arial" w:cs="Arial" w:eastAsia="Arial" w:hAnsi="Arial"/>
                <w:sz w:val="17"/>
                <w:szCs w:val="17"/>
                <w:color w:val="auto"/>
              </w:rPr>
              <w:t>11,745</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4,790</w:t>
            </w:r>
          </w:p>
        </w:tc>
      </w:tr>
      <w:tr>
        <w:trPr>
          <w:trHeight w:val="19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Write-off of uncollectible accounts receivable</w:t>
            </w:r>
          </w:p>
        </w:tc>
        <w:tc>
          <w:tcPr>
            <w:tcW w:w="18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(8,074)</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(6,940)</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(6,025)</w:t>
            </w:r>
          </w:p>
        </w:tc>
      </w:tr>
      <w:tr>
        <w:trPr>
          <w:trHeight w:val="195"/>
        </w:trPr>
        <w:tc>
          <w:tcPr>
            <w:tcW w:w="5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Recoveries of bad debt</w:t>
            </w:r>
          </w:p>
        </w:tc>
        <w:tc>
          <w:tcPr>
            <w:tcW w:w="1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821</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664</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w:t>
            </w:r>
          </w:p>
        </w:tc>
      </w:tr>
      <w:tr>
        <w:trPr>
          <w:trHeight w:val="194"/>
        </w:trPr>
        <w:tc>
          <w:tcPr>
            <w:tcW w:w="504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Balance as of end of period</w:t>
            </w:r>
          </w:p>
        </w:tc>
        <w:tc>
          <w:tcPr>
            <w:tcW w:w="1880" w:type="dxa"/>
            <w:vAlign w:val="bottom"/>
            <w:tcBorders>
              <w:bottom w:val="single" w:sz="8" w:color="auto"/>
            </w:tcBorders>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96"/>
              <w:spacing w:after="0" w:line="188" w:lineRule="exact"/>
              <w:rPr>
                <w:sz w:val="20"/>
                <w:szCs w:val="20"/>
                <w:color w:val="auto"/>
              </w:rPr>
            </w:pPr>
            <w:r>
              <w:rPr>
                <w:rFonts w:ascii="Arial" w:cs="Arial" w:eastAsia="Arial" w:hAnsi="Arial"/>
                <w:sz w:val="17"/>
                <w:szCs w:val="17"/>
                <w:color w:val="auto"/>
              </w:rPr>
              <w:t>25,692</w:t>
            </w:r>
          </w:p>
        </w:tc>
        <w:tc>
          <w:tcPr>
            <w:tcW w:w="380" w:type="dxa"/>
            <w:vAlign w:val="bottom"/>
            <w:tcBorders>
              <w:bottom w:val="single" w:sz="8" w:color="auto"/>
            </w:tcBorders>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96"/>
              <w:spacing w:after="0" w:line="188" w:lineRule="exact"/>
              <w:rPr>
                <w:sz w:val="20"/>
                <w:szCs w:val="20"/>
                <w:color w:val="auto"/>
              </w:rPr>
            </w:pPr>
            <w:r>
              <w:rPr>
                <w:rFonts w:ascii="Arial" w:cs="Arial" w:eastAsia="Arial" w:hAnsi="Arial"/>
                <w:sz w:val="17"/>
                <w:szCs w:val="17"/>
                <w:color w:val="auto"/>
              </w:rPr>
              <w:t>29,188</w:t>
            </w:r>
          </w:p>
        </w:tc>
        <w:tc>
          <w:tcPr>
            <w:tcW w:w="380" w:type="dxa"/>
            <w:vAlign w:val="bottom"/>
            <w:tcBorders>
              <w:bottom w:val="single" w:sz="8" w:color="auto"/>
            </w:tcBorders>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23,719</w:t>
            </w:r>
          </w:p>
        </w:tc>
      </w:tr>
    </w:tbl>
    <w:p>
      <w:pPr>
        <w:spacing w:after="0" w:line="17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Included in accounts receivable is a retained beneficial interest related to accounts receivable sold under our receivables purchase agreements. The retained beneficial interest was not significant as of December 31, 2014 and 2013.</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Derivatives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describes our derivative classifications:</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Includes certain of our foreign currency forward contracts we enter into in order to mitigate the risk of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 fluctuations.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Fair Value Hedges. </w:t>
      </w:r>
      <w:r>
        <w:rPr>
          <w:rFonts w:ascii="Arial" w:cs="Arial" w:eastAsia="Arial" w:hAnsi="Arial"/>
          <w:sz w:val="17"/>
          <w:szCs w:val="17"/>
          <w:color w:val="auto"/>
        </w:rPr>
        <w:t>Includes derivatives we enter into in order to hedge price risk associated with our inventory and certain firm</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relating to fixed price purchase and sale contracts.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Non-designated Derivatives. </w:t>
      </w:r>
      <w:r>
        <w:rPr>
          <w:rFonts w:ascii="Arial" w:cs="Arial" w:eastAsia="Arial" w:hAnsi="Arial"/>
          <w:sz w:val="17"/>
          <w:szCs w:val="17"/>
          <w:color w:val="auto"/>
        </w:rPr>
        <w:t>Includes derivatives we primarily enter into in order to mitigate the risk of market price fluctuations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on our derivatives accounting policy, see Note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1" w:name="page62"/>
    <w:bookmarkEnd w:id="6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ind w:right="20"/>
        <w:spacing w:after="0" w:line="222" w:lineRule="exact"/>
        <w:rPr>
          <w:sz w:val="20"/>
          <w:szCs w:val="20"/>
          <w:color w:val="auto"/>
        </w:rPr>
      </w:pPr>
      <w:r>
        <w:rPr>
          <w:rFonts w:ascii="Arial" w:cs="Arial" w:eastAsia="Arial" w:hAnsi="Arial"/>
          <w:sz w:val="17"/>
          <w:szCs w:val="17"/>
          <w:color w:val="auto"/>
        </w:rPr>
        <w:t>As of December 31, 2014, our derivative instruments, at their respective fair value positions were as follows (in thousands, except weighted average fixed price and weighted average mark</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amount):</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Arial" w:cs="Arial" w:eastAsia="Arial" w:hAnsi="Arial"/>
                <w:sz w:val="12"/>
                <w:szCs w:val="12"/>
                <w:b w:val="1"/>
                <w:bCs w:val="1"/>
                <w:color w:val="auto"/>
              </w:rPr>
              <w:t>Weighted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5"/>
        </w:trPr>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Weighted</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2"/>
                <w:szCs w:val="12"/>
                <w:b w:val="1"/>
                <w:bCs w:val="1"/>
                <w:color w:val="auto"/>
              </w:rPr>
              <w:t>Mark-to-</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Fair</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Settlement</w:t>
            </w: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Fixed</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Value</w:t>
            </w:r>
          </w:p>
        </w:tc>
      </w:tr>
      <w:tr>
        <w:trPr>
          <w:trHeight w:val="177"/>
        </w:trPr>
        <w:tc>
          <w:tcPr>
            <w:tcW w:w="1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Hedge Strategy</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Period</w:t>
            </w: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Derivative Instrument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Notional</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Unit</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r>
      <w:tr>
        <w:trPr>
          <w:trHeight w:val="18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Fair Value Hedge</w:t>
            </w: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for inventory hedging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305</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74.110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195"/>
        </w:trPr>
        <w:tc>
          <w:tcPr>
            <w:tcW w:w="12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Commodity contracts for inventory hedging (short)</w:t>
            </w:r>
          </w:p>
        </w:tc>
        <w:tc>
          <w:tcPr>
            <w:tcW w:w="126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rPr>
              <w:t>4,977</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jc w:val="right"/>
              <w:ind w:right="32"/>
              <w:spacing w:after="0"/>
              <w:rPr>
                <w:sz w:val="20"/>
                <w:szCs w:val="20"/>
                <w:color w:val="auto"/>
              </w:rPr>
            </w:pPr>
            <w:r>
              <w:rPr>
                <w:rFonts w:ascii="Arial" w:cs="Arial" w:eastAsia="Arial" w:hAnsi="Arial"/>
                <w:sz w:val="14"/>
                <w:szCs w:val="14"/>
                <w:color w:val="auto"/>
              </w:rPr>
              <w:t>77.510</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ind w:right="52"/>
              <w:spacing w:after="0"/>
              <w:rPr>
                <w:sz w:val="20"/>
                <w:szCs w:val="20"/>
                <w:color w:val="auto"/>
              </w:rPr>
            </w:pPr>
            <w:r>
              <w:rPr>
                <w:rFonts w:ascii="Arial" w:cs="Arial" w:eastAsia="Arial" w:hAnsi="Arial"/>
                <w:sz w:val="14"/>
                <w:szCs w:val="14"/>
                <w:color w:val="auto"/>
              </w:rPr>
              <w:t>4.599</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22,889</w:t>
            </w:r>
          </w:p>
        </w:tc>
      </w:tr>
      <w:tr>
        <w:trPr>
          <w:trHeight w:val="168"/>
        </w:trPr>
        <w:tc>
          <w:tcPr>
            <w:tcW w:w="1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36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21,912</w:t>
            </w:r>
          </w:p>
        </w:tc>
      </w:tr>
      <w:tr>
        <w:trPr>
          <w:trHeight w:val="195"/>
        </w:trPr>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Non-Designated</w:t>
            </w: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34,192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62.693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(15.594)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(533,192)</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Commodity contracts (short)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27,013</w:t>
            </w:r>
          </w:p>
        </w:tc>
        <w:tc>
          <w:tcPr>
            <w:tcW w:w="460" w:type="dxa"/>
            <w:vAlign w:val="bottom"/>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83.370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20.735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560,114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2016</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1,131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89.989</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(23.195)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(26,234)</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2016</w:t>
            </w:r>
          </w:p>
        </w:tc>
        <w:tc>
          <w:tcPr>
            <w:tcW w:w="3640" w:type="dxa"/>
            <w:vAlign w:val="bottom"/>
          </w:tcPr>
          <w:p>
            <w:pPr>
              <w:ind w:left="120"/>
              <w:spacing w:after="0"/>
              <w:rPr>
                <w:sz w:val="20"/>
                <w:szCs w:val="20"/>
                <w:color w:val="auto"/>
              </w:rPr>
            </w:pPr>
            <w:r>
              <w:rPr>
                <w:rFonts w:ascii="Arial" w:cs="Arial" w:eastAsia="Arial" w:hAnsi="Arial"/>
                <w:sz w:val="14"/>
                <w:szCs w:val="14"/>
                <w:color w:val="auto"/>
              </w:rPr>
              <w:t>Commodity contracts (short)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722</w:t>
            </w:r>
          </w:p>
        </w:tc>
        <w:tc>
          <w:tcPr>
            <w:tcW w:w="460" w:type="dxa"/>
            <w:vAlign w:val="bottom"/>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85.497</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17.734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12,804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2017</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46.463</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(6.696)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2017</w:t>
            </w:r>
          </w:p>
        </w:tc>
        <w:tc>
          <w:tcPr>
            <w:tcW w:w="3640" w:type="dxa"/>
            <w:vAlign w:val="bottom"/>
          </w:tcPr>
          <w:p>
            <w:pPr>
              <w:ind w:left="120"/>
              <w:spacing w:after="0"/>
              <w:rPr>
                <w:sz w:val="20"/>
                <w:szCs w:val="20"/>
                <w:color w:val="auto"/>
              </w:rPr>
            </w:pPr>
            <w:r>
              <w:rPr>
                <w:rFonts w:ascii="Arial" w:cs="Arial" w:eastAsia="Arial" w:hAnsi="Arial"/>
                <w:sz w:val="14"/>
                <w:szCs w:val="14"/>
                <w:color w:val="auto"/>
              </w:rPr>
              <w:t>Commodity contracts (short)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109</w:t>
            </w:r>
          </w:p>
        </w:tc>
        <w:tc>
          <w:tcPr>
            <w:tcW w:w="460" w:type="dxa"/>
            <w:vAlign w:val="bottom"/>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54.430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7.743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2018</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25.922</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2018</w:t>
            </w:r>
          </w:p>
        </w:tc>
        <w:tc>
          <w:tcPr>
            <w:tcW w:w="3640" w:type="dxa"/>
            <w:vAlign w:val="bottom"/>
          </w:tcPr>
          <w:p>
            <w:pPr>
              <w:ind w:left="120"/>
              <w:spacing w:after="0"/>
              <w:rPr>
                <w:sz w:val="20"/>
                <w:szCs w:val="20"/>
                <w:color w:val="auto"/>
              </w:rPr>
            </w:pPr>
            <w:r>
              <w:rPr>
                <w:rFonts w:ascii="Arial" w:cs="Arial" w:eastAsia="Arial" w:hAnsi="Arial"/>
                <w:sz w:val="14"/>
                <w:szCs w:val="14"/>
                <w:color w:val="auto"/>
              </w:rPr>
              <w:t>Commodity contracts (short)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11</w:t>
            </w:r>
          </w:p>
        </w:tc>
        <w:tc>
          <w:tcPr>
            <w:tcW w:w="460" w:type="dxa"/>
            <w:vAlign w:val="bottom"/>
          </w:tcPr>
          <w:p>
            <w:pPr>
              <w:jc w:val="right"/>
              <w:spacing w:after="0"/>
              <w:rPr>
                <w:sz w:val="20"/>
                <w:szCs w:val="20"/>
                <w:color w:val="auto"/>
              </w:rPr>
            </w:pPr>
            <w:r>
              <w:rPr>
                <w:rFonts w:ascii="Arial" w:cs="Arial" w:eastAsia="Arial" w:hAnsi="Arial"/>
                <w:sz w:val="14"/>
                <w:szCs w:val="14"/>
                <w:color w:val="auto"/>
              </w:rPr>
              <w:t>BBL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83.997</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21.636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28,783</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0.850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471</w:t>
            </w:r>
          </w:p>
        </w:tc>
        <w:tc>
          <w:tcPr>
            <w:tcW w:w="460" w:type="dxa"/>
            <w:vAlign w:val="bottom"/>
          </w:tcPr>
          <w:p>
            <w:pPr>
              <w:jc w:val="right"/>
              <w:spacing w:after="0"/>
              <w:rPr>
                <w:sz w:val="20"/>
                <w:szCs w:val="20"/>
                <w:color w:val="auto"/>
              </w:rPr>
            </w:pPr>
            <w:r>
              <w:rPr>
                <w:rFonts w:ascii="Arial" w:cs="Arial" w:eastAsia="Arial" w:hAnsi="Arial"/>
                <w:sz w:val="14"/>
                <w:szCs w:val="14"/>
                <w:color w:val="auto"/>
              </w:rPr>
              <w:t>BRL</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2.580</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(0.013)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61,577</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CAD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1.140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0.020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112</w:t>
            </w:r>
          </w:p>
        </w:tc>
        <w:tc>
          <w:tcPr>
            <w:tcW w:w="460" w:type="dxa"/>
            <w:vAlign w:val="bottom"/>
          </w:tcPr>
          <w:p>
            <w:pPr>
              <w:jc w:val="right"/>
              <w:spacing w:after="0"/>
              <w:rPr>
                <w:sz w:val="20"/>
                <w:szCs w:val="20"/>
                <w:color w:val="auto"/>
              </w:rPr>
            </w:pPr>
            <w:r>
              <w:rPr>
                <w:rFonts w:ascii="Arial" w:cs="Arial" w:eastAsia="Arial" w:hAnsi="Arial"/>
                <w:sz w:val="14"/>
                <w:szCs w:val="14"/>
                <w:color w:val="auto"/>
              </w:rPr>
              <w:t>CHF</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0.960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4,764,256</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CLP</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602.490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31,884,747</w:t>
            </w:r>
          </w:p>
        </w:tc>
        <w:tc>
          <w:tcPr>
            <w:tcW w:w="460" w:type="dxa"/>
            <w:vAlign w:val="bottom"/>
          </w:tcPr>
          <w:p>
            <w:pPr>
              <w:jc w:val="right"/>
              <w:spacing w:after="0"/>
              <w:rPr>
                <w:sz w:val="20"/>
                <w:szCs w:val="20"/>
                <w:color w:val="auto"/>
              </w:rPr>
            </w:pPr>
            <w:r>
              <w:rPr>
                <w:rFonts w:ascii="Arial" w:cs="Arial" w:eastAsia="Arial" w:hAnsi="Arial"/>
                <w:sz w:val="14"/>
                <w:szCs w:val="14"/>
                <w:color w:val="auto"/>
              </w:rPr>
              <w:t>COP</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2,174.000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126,778</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DKK</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5.950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77,278</w:t>
            </w:r>
          </w:p>
        </w:tc>
        <w:tc>
          <w:tcPr>
            <w:tcW w:w="460" w:type="dxa"/>
            <w:vAlign w:val="bottom"/>
          </w:tcPr>
          <w:p>
            <w:pPr>
              <w:jc w:val="right"/>
              <w:spacing w:after="0"/>
              <w:rPr>
                <w:sz w:val="20"/>
                <w:szCs w:val="20"/>
                <w:color w:val="auto"/>
              </w:rPr>
            </w:pPr>
            <w:r>
              <w:rPr>
                <w:rFonts w:ascii="Arial" w:cs="Arial" w:eastAsia="Arial" w:hAnsi="Arial"/>
                <w:sz w:val="14"/>
                <w:szCs w:val="14"/>
                <w:color w:val="auto"/>
              </w:rPr>
              <w:t>EUR</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1.250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208,786</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GBP</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1.610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0.023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135,879</w:t>
            </w:r>
          </w:p>
        </w:tc>
        <w:tc>
          <w:tcPr>
            <w:tcW w:w="460" w:type="dxa"/>
            <w:vAlign w:val="bottom"/>
          </w:tcPr>
          <w:p>
            <w:pPr>
              <w:jc w:val="right"/>
              <w:spacing w:after="0"/>
              <w:rPr>
                <w:sz w:val="20"/>
                <w:szCs w:val="20"/>
                <w:color w:val="auto"/>
              </w:rPr>
            </w:pPr>
            <w:r>
              <w:rPr>
                <w:rFonts w:ascii="Arial" w:cs="Arial" w:eastAsia="Arial" w:hAnsi="Arial"/>
                <w:sz w:val="14"/>
                <w:szCs w:val="14"/>
                <w:color w:val="auto"/>
              </w:rPr>
              <w:t>INR</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63.040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1,390,740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JPY</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113.080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2,382,533</w:t>
            </w:r>
          </w:p>
        </w:tc>
        <w:tc>
          <w:tcPr>
            <w:tcW w:w="460" w:type="dxa"/>
            <w:vAlign w:val="bottom"/>
          </w:tcPr>
          <w:p>
            <w:pPr>
              <w:jc w:val="right"/>
              <w:spacing w:after="0"/>
              <w:rPr>
                <w:sz w:val="20"/>
                <w:szCs w:val="20"/>
                <w:color w:val="auto"/>
              </w:rPr>
            </w:pPr>
            <w:r>
              <w:rPr>
                <w:rFonts w:ascii="Arial" w:cs="Arial" w:eastAsia="Arial" w:hAnsi="Arial"/>
                <w:sz w:val="14"/>
                <w:szCs w:val="14"/>
                <w:color w:val="auto"/>
              </w:rPr>
              <w:t>MXN</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13.920</w:t>
            </w:r>
          </w:p>
        </w:tc>
        <w:tc>
          <w:tcPr>
            <w:tcW w:w="20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214,957</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NOK</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6.720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7,912</w:t>
            </w:r>
          </w:p>
        </w:tc>
        <w:tc>
          <w:tcPr>
            <w:tcW w:w="460" w:type="dxa"/>
            <w:vAlign w:val="bottom"/>
          </w:tcPr>
          <w:p>
            <w:pPr>
              <w:jc w:val="right"/>
              <w:spacing w:after="0"/>
              <w:rPr>
                <w:sz w:val="20"/>
                <w:szCs w:val="20"/>
                <w:color w:val="auto"/>
              </w:rPr>
            </w:pPr>
            <w:r>
              <w:rPr>
                <w:rFonts w:ascii="Arial" w:cs="Arial" w:eastAsia="Arial" w:hAnsi="Arial"/>
                <w:sz w:val="14"/>
                <w:szCs w:val="14"/>
                <w:color w:val="auto"/>
              </w:rPr>
              <w:t>PLN</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3.400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32,891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3.570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0.014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46,921</w:t>
            </w:r>
          </w:p>
        </w:tc>
        <w:tc>
          <w:tcPr>
            <w:tcW w:w="460" w:type="dxa"/>
            <w:vAlign w:val="bottom"/>
          </w:tcPr>
          <w:p>
            <w:pPr>
              <w:jc w:val="right"/>
              <w:spacing w:after="0"/>
              <w:rPr>
                <w:sz w:val="20"/>
                <w:szCs w:val="20"/>
                <w:color w:val="auto"/>
              </w:rPr>
            </w:pPr>
            <w:r>
              <w:rPr>
                <w:rFonts w:ascii="Arial" w:cs="Arial" w:eastAsia="Arial" w:hAnsi="Arial"/>
                <w:sz w:val="14"/>
                <w:szCs w:val="14"/>
                <w:color w:val="auto"/>
              </w:rPr>
              <w:t>SGD</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1.300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0.004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78,298</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ZAR</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11.310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95"/>
        </w:trPr>
        <w:tc>
          <w:tcPr>
            <w:tcW w:w="12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2016</w:t>
            </w:r>
          </w:p>
        </w:tc>
        <w:tc>
          <w:tcPr>
            <w:tcW w:w="364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8,325</w:t>
            </w:r>
          </w:p>
        </w:tc>
        <w:tc>
          <w:tcPr>
            <w:tcW w:w="460" w:type="dxa"/>
            <w:vAlign w:val="bottom"/>
          </w:tcPr>
          <w:p>
            <w:pPr>
              <w:jc w:val="right"/>
              <w:spacing w:after="0"/>
              <w:rPr>
                <w:sz w:val="20"/>
                <w:szCs w:val="20"/>
                <w:color w:val="auto"/>
              </w:rPr>
            </w:pPr>
            <w:r>
              <w:rPr>
                <w:rFonts w:ascii="Arial" w:cs="Arial" w:eastAsia="Arial" w:hAnsi="Arial"/>
                <w:sz w:val="14"/>
                <w:szCs w:val="14"/>
                <w:color w:val="auto"/>
              </w:rPr>
              <w:t>GBP</w:t>
            </w:r>
          </w:p>
        </w:tc>
        <w:tc>
          <w:tcPr>
            <w:tcW w:w="2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1.620</w:t>
            </w:r>
          </w:p>
        </w:tc>
        <w:tc>
          <w:tcPr>
            <w:tcW w:w="20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0.055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459</w:t>
            </w:r>
          </w:p>
        </w:tc>
      </w:tr>
      <w:tr>
        <w:trPr>
          <w:trHeight w:val="195"/>
        </w:trPr>
        <w:tc>
          <w:tcPr>
            <w:tcW w:w="1220" w:type="dxa"/>
            <w:vAlign w:val="bottom"/>
            <w:shd w:val="clear" w:color="auto" w:fill="CCEEFF"/>
          </w:tcPr>
          <w:p>
            <w:pPr>
              <w:spacing w:after="0"/>
              <w:rPr>
                <w:sz w:val="16"/>
                <w:szCs w:val="16"/>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2017</w:t>
            </w: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1,400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GBP</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1.610</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0.033</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1"/>
        </w:trPr>
        <w:tc>
          <w:tcPr>
            <w:tcW w:w="1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23,741</w:t>
            </w: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2" w:name="page63"/>
    <w:bookmarkEnd w:id="62"/>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following table presents information about our derivative instruments measured at fair value at their gross amounts and their locations on the consolidated balance sheets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As of December 31,</w:t>
            </w:r>
          </w:p>
        </w:tc>
      </w:tr>
      <w:tr>
        <w:trPr>
          <w:trHeight w:val="188"/>
        </w:trPr>
        <w:tc>
          <w:tcPr>
            <w:tcW w:w="27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88"/>
        </w:trPr>
        <w:tc>
          <w:tcPr>
            <w:tcW w:w="276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Derivative assets:</w:t>
            </w:r>
          </w:p>
        </w:tc>
        <w:tc>
          <w:tcPr>
            <w:tcW w:w="498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8"/>
        </w:trPr>
        <w:tc>
          <w:tcPr>
            <w:tcW w:w="7740" w:type="dxa"/>
            <w:vAlign w:val="bottom"/>
            <w:gridSpan w:val="2"/>
          </w:tcPr>
          <w:p>
            <w:pPr>
              <w:spacing w:after="0" w:line="188" w:lineRule="exact"/>
              <w:rPr>
                <w:sz w:val="20"/>
                <w:szCs w:val="20"/>
                <w:color w:val="auto"/>
              </w:rPr>
            </w:pPr>
            <w:r>
              <w:rPr>
                <w:rFonts w:ascii="Arial" w:cs="Arial" w:eastAsia="Arial" w:hAnsi="Arial"/>
                <w:sz w:val="17"/>
                <w:szCs w:val="17"/>
                <w:color w:val="auto"/>
              </w:rPr>
              <w:t>Derivatives designated as hedging instruments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Short-term derivative assets, net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18,844</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r>
      <w:tr>
        <w:trPr>
          <w:trHeight w:val="195"/>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4,709</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88"/>
        </w:trPr>
        <w:tc>
          <w:tcPr>
            <w:tcW w:w="2760" w:type="dxa"/>
            <w:vAlign w:val="bottom"/>
            <w:tcBorders>
              <w:bottom w:val="single" w:sz="8" w:color="auto"/>
            </w:tcBorders>
            <w:shd w:val="clear" w:color="auto" w:fill="CCEEFF"/>
          </w:tcPr>
          <w:p>
            <w:pPr>
              <w:spacing w:after="0"/>
              <w:rPr>
                <w:sz w:val="16"/>
                <w:szCs w:val="16"/>
                <w:color w:val="auto"/>
              </w:rPr>
            </w:pPr>
          </w:p>
        </w:tc>
        <w:tc>
          <w:tcPr>
            <w:tcW w:w="49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23,553</w:t>
            </w:r>
          </w:p>
        </w:tc>
        <w:tc>
          <w:tcPr>
            <w:tcW w:w="5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735</w:t>
            </w:r>
          </w:p>
        </w:tc>
      </w:tr>
      <w:tr>
        <w:trPr>
          <w:trHeight w:val="188"/>
        </w:trPr>
        <w:tc>
          <w:tcPr>
            <w:tcW w:w="7740" w:type="dxa"/>
            <w:vAlign w:val="bottom"/>
            <w:gridSpan w:val="2"/>
          </w:tcPr>
          <w:p>
            <w:pPr>
              <w:spacing w:after="0" w:line="188" w:lineRule="exact"/>
              <w:rPr>
                <w:sz w:val="20"/>
                <w:szCs w:val="20"/>
                <w:color w:val="auto"/>
              </w:rPr>
            </w:pPr>
            <w:r>
              <w:rPr>
                <w:rFonts w:ascii="Arial" w:cs="Arial" w:eastAsia="Arial" w:hAnsi="Arial"/>
                <w:sz w:val="17"/>
                <w:szCs w:val="17"/>
                <w:color w:val="auto"/>
              </w:rPr>
              <w:t>Derivatives not designated as hedging instruments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Short-term derivative assets, net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398,924</w:t>
            </w: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47,062</w:t>
            </w: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tcPr>
          <w:p>
            <w:pPr>
              <w:ind w:left="700"/>
              <w:spacing w:after="0"/>
              <w:rPr>
                <w:sz w:val="20"/>
                <w:szCs w:val="20"/>
                <w:color w:val="auto"/>
              </w:rPr>
            </w:pPr>
            <w:r>
              <w:rPr>
                <w:rFonts w:ascii="Arial" w:cs="Arial" w:eastAsia="Arial" w:hAnsi="Arial"/>
                <w:sz w:val="17"/>
                <w:szCs w:val="17"/>
                <w:color w:val="auto"/>
              </w:rPr>
              <w:t>Identifiable intangible and other non-current assets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12,063</w:t>
            </w: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1,642</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234,077</w:t>
            </w: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tcPr>
          <w:p>
            <w:pPr>
              <w:ind w:left="70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4,849</w:t>
            </w: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874</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49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Short-term derivative assets, net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21,244</w:t>
            </w: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5,003</w:t>
            </w: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Foreign currency contracts</w:t>
            </w:r>
          </w:p>
        </w:tc>
        <w:tc>
          <w:tcPr>
            <w:tcW w:w="4980" w:type="dxa"/>
            <w:vAlign w:val="bottom"/>
          </w:tcPr>
          <w:p>
            <w:pPr>
              <w:ind w:left="700"/>
              <w:spacing w:after="0"/>
              <w:rPr>
                <w:sz w:val="20"/>
                <w:szCs w:val="20"/>
                <w:color w:val="auto"/>
              </w:rPr>
            </w:pPr>
            <w:r>
              <w:rPr>
                <w:rFonts w:ascii="Arial" w:cs="Arial" w:eastAsia="Arial" w:hAnsi="Arial"/>
                <w:sz w:val="17"/>
                <w:szCs w:val="17"/>
                <w:color w:val="auto"/>
              </w:rPr>
              <w:t>Identifiable intangible and other non-current assets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513</w:t>
            </w: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4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3,483</w:t>
            </w:r>
          </w:p>
        </w:tc>
      </w:tr>
      <w:tr>
        <w:trPr>
          <w:trHeight w:val="188"/>
        </w:trPr>
        <w:tc>
          <w:tcPr>
            <w:tcW w:w="27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671,670</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59,205</w:t>
            </w:r>
          </w:p>
        </w:tc>
      </w:tr>
      <w:tr>
        <w:trPr>
          <w:trHeight w:val="194"/>
        </w:trPr>
        <w:tc>
          <w:tcPr>
            <w:tcW w:w="2760" w:type="dxa"/>
            <w:vAlign w:val="bottom"/>
            <w:tcBorders>
              <w:bottom w:val="single" w:sz="8" w:color="auto"/>
            </w:tcBorders>
            <w:shd w:val="clear" w:color="auto" w:fill="CCEEFF"/>
          </w:tcPr>
          <w:p>
            <w:pPr>
              <w:spacing w:after="0"/>
              <w:rPr>
                <w:sz w:val="16"/>
                <w:szCs w:val="16"/>
                <w:color w:val="auto"/>
              </w:rPr>
            </w:pPr>
          </w:p>
        </w:tc>
        <w:tc>
          <w:tcPr>
            <w:tcW w:w="49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695,223</w:t>
            </w:r>
          </w:p>
        </w:tc>
        <w:tc>
          <w:tcPr>
            <w:tcW w:w="560" w:type="dxa"/>
            <w:vAlign w:val="bottom"/>
            <w:tcBorders>
              <w:bottom w:val="single" w:sz="8" w:color="auto"/>
            </w:tcBorders>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59,940</w:t>
            </w:r>
          </w:p>
        </w:tc>
      </w:tr>
      <w:tr>
        <w:trPr>
          <w:trHeight w:val="195"/>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Derivative liabilities:</w:t>
            </w:r>
          </w:p>
        </w:tc>
        <w:tc>
          <w:tcPr>
            <w:tcW w:w="49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r>
      <w:tr>
        <w:trPr>
          <w:trHeight w:val="188"/>
        </w:trPr>
        <w:tc>
          <w:tcPr>
            <w:tcW w:w="77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Derivatives designated as hedging instruments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tcPr>
          <w:p>
            <w:pPr>
              <w:ind w:left="700"/>
              <w:spacing w:after="0"/>
              <w:rPr>
                <w:sz w:val="20"/>
                <w:szCs w:val="20"/>
                <w:color w:val="auto"/>
              </w:rPr>
            </w:pPr>
            <w:r>
              <w:rPr>
                <w:rFonts w:ascii="Arial" w:cs="Arial" w:eastAsia="Arial" w:hAnsi="Arial"/>
                <w:sz w:val="17"/>
                <w:szCs w:val="17"/>
                <w:color w:val="auto"/>
              </w:rPr>
              <w:t>Short-term derivative assets, net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978</w:t>
            </w:r>
          </w:p>
        </w:tc>
        <w:tc>
          <w:tcPr>
            <w:tcW w:w="5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1,544</w:t>
            </w:r>
          </w:p>
        </w:tc>
      </w:tr>
      <w:tr>
        <w:trPr>
          <w:trHeight w:val="195"/>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5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88"/>
        </w:trPr>
        <w:tc>
          <w:tcPr>
            <w:tcW w:w="27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1,641</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1,544</w:t>
            </w:r>
          </w:p>
        </w:tc>
      </w:tr>
      <w:tr>
        <w:trPr>
          <w:trHeight w:val="188"/>
        </w:trPr>
        <w:tc>
          <w:tcPr>
            <w:tcW w:w="77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Derivatives not designated as hedging instruments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tcPr>
          <w:p>
            <w:pPr>
              <w:ind w:left="700"/>
              <w:spacing w:after="0"/>
              <w:rPr>
                <w:sz w:val="20"/>
                <w:szCs w:val="20"/>
                <w:color w:val="auto"/>
              </w:rPr>
            </w:pPr>
            <w:r>
              <w:rPr>
                <w:rFonts w:ascii="Arial" w:cs="Arial" w:eastAsia="Arial" w:hAnsi="Arial"/>
                <w:sz w:val="17"/>
                <w:szCs w:val="17"/>
                <w:color w:val="auto"/>
              </w:rPr>
              <w:t>Short-term derivative assets, net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76,103</w:t>
            </w: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26,876</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Identifiable intangible and other non-current assets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tcPr>
          <w:p>
            <w:pPr>
              <w:ind w:left="70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529,976</w:t>
            </w: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15,473</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49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Other long-term liabilities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29,286</w:t>
            </w: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Foreign currency contracts</w:t>
            </w:r>
          </w:p>
        </w:tc>
        <w:tc>
          <w:tcPr>
            <w:tcW w:w="4980" w:type="dxa"/>
            <w:vAlign w:val="bottom"/>
          </w:tcPr>
          <w:p>
            <w:pPr>
              <w:ind w:left="700"/>
              <w:spacing w:after="0"/>
              <w:rPr>
                <w:sz w:val="20"/>
                <w:szCs w:val="20"/>
                <w:color w:val="auto"/>
              </w:rPr>
            </w:pPr>
            <w:r>
              <w:rPr>
                <w:rFonts w:ascii="Arial" w:cs="Arial" w:eastAsia="Arial" w:hAnsi="Arial"/>
                <w:sz w:val="17"/>
                <w:szCs w:val="17"/>
                <w:color w:val="auto"/>
              </w:rPr>
              <w:t>Short-term derivative assets, net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11,961</w:t>
            </w: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2,867</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49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Identifiable intangible and other non-current assets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Foreign currency contracts</w:t>
            </w:r>
          </w:p>
        </w:tc>
        <w:tc>
          <w:tcPr>
            <w:tcW w:w="4980" w:type="dxa"/>
            <w:vAlign w:val="bottom"/>
          </w:tcPr>
          <w:p>
            <w:pPr>
              <w:ind w:left="70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8,789</w:t>
            </w:r>
          </w:p>
        </w:tc>
      </w:tr>
      <w:tr>
        <w:trPr>
          <w:trHeight w:val="195"/>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4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188"/>
        </w:trPr>
        <w:tc>
          <w:tcPr>
            <w:tcW w:w="27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647,929</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56,274</w:t>
            </w:r>
          </w:p>
        </w:tc>
      </w:tr>
      <w:tr>
        <w:trPr>
          <w:trHeight w:val="194"/>
        </w:trPr>
        <w:tc>
          <w:tcPr>
            <w:tcW w:w="2760" w:type="dxa"/>
            <w:vAlign w:val="bottom"/>
            <w:tcBorders>
              <w:bottom w:val="single" w:sz="8" w:color="auto"/>
            </w:tcBorders>
            <w:shd w:val="clear" w:color="auto" w:fill="CCEEFF"/>
          </w:tcPr>
          <w:p>
            <w:pPr>
              <w:spacing w:after="0"/>
              <w:rPr>
                <w:sz w:val="16"/>
                <w:szCs w:val="16"/>
                <w:color w:val="auto"/>
              </w:rPr>
            </w:pPr>
          </w:p>
        </w:tc>
        <w:tc>
          <w:tcPr>
            <w:tcW w:w="49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649,570</w:t>
            </w:r>
          </w:p>
        </w:tc>
        <w:tc>
          <w:tcPr>
            <w:tcW w:w="560" w:type="dxa"/>
            <w:vAlign w:val="bottom"/>
            <w:tcBorders>
              <w:bottom w:val="single" w:sz="8" w:color="auto"/>
            </w:tcBorders>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57,818</w:t>
            </w:r>
          </w:p>
        </w:tc>
      </w:tr>
    </w:tbl>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information regarding our derivative instruments measured at fair value after netting and collateral and their locations on the consolidated balance sheets, see Note 10.</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tables present the effect of and financial statement location of our derivative instruments and related hedged items in fair value hedging relationships on our consolidated statements of income and comprehensive income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20"/>
                <w:szCs w:val="20"/>
                <w:color w:val="auto"/>
              </w:rPr>
            </w:pPr>
            <w:r>
              <w:rPr>
                <w:rFonts w:ascii="Arial" w:cs="Arial" w:eastAsia="Arial" w:hAnsi="Arial"/>
                <w:sz w:val="14"/>
                <w:szCs w:val="14"/>
                <w:b w:val="1"/>
                <w:bCs w:val="1"/>
                <w:color w:val="auto"/>
              </w:rPr>
              <w:t>Derivative</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9"/>
              </w:rPr>
              <w:t>Realized and Unrealized</w:t>
            </w: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rPr>
              <w:t>Realized and Unrealized</w:t>
            </w:r>
          </w:p>
        </w:tc>
      </w:tr>
      <w:tr>
        <w:trPr>
          <w:trHeight w:val="171"/>
        </w:trPr>
        <w:tc>
          <w:tcPr>
            <w:tcW w:w="154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Gain (Loss)</w:t>
            </w:r>
          </w:p>
        </w:tc>
        <w:tc>
          <w:tcPr>
            <w:tcW w:w="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Hedged Items</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Gain (Loss)</w:t>
            </w:r>
          </w:p>
        </w:tc>
      </w:tr>
      <w:tr>
        <w:trPr>
          <w:trHeight w:val="212"/>
        </w:trPr>
        <w:tc>
          <w:tcPr>
            <w:tcW w:w="15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For the year ended December 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71"/>
        </w:trPr>
        <w:tc>
          <w:tcPr>
            <w:tcW w:w="154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Commodity contracts</w:t>
            </w:r>
          </w:p>
        </w:tc>
        <w:tc>
          <w:tcPr>
            <w:tcW w:w="1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Firm commitments</w:t>
            </w:r>
          </w:p>
        </w:tc>
        <w:tc>
          <w:tcPr>
            <w:tcW w:w="1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r>
      <w:tr>
        <w:trPr>
          <w:trHeight w:val="195"/>
        </w:trPr>
        <w:tc>
          <w:tcPr>
            <w:tcW w:w="1540" w:type="dxa"/>
            <w:vAlign w:val="bottom"/>
          </w:tcPr>
          <w:p>
            <w:pPr>
              <w:spacing w:after="0"/>
              <w:rPr>
                <w:sz w:val="20"/>
                <w:szCs w:val="20"/>
                <w:color w:val="auto"/>
              </w:rPr>
            </w:pPr>
            <w:r>
              <w:rPr>
                <w:rFonts w:ascii="Arial" w:cs="Arial" w:eastAsia="Arial" w:hAnsi="Arial"/>
                <w:sz w:val="14"/>
                <w:szCs w:val="14"/>
                <w:color w:val="auto"/>
              </w:rPr>
              <w:t>Commodity contracts</w:t>
            </w:r>
          </w:p>
        </w:tc>
        <w:tc>
          <w:tcPr>
            <w:tcW w:w="132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(1,417)</w:t>
            </w: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Firm commitments</w:t>
            </w:r>
          </w:p>
        </w:tc>
        <w:tc>
          <w:tcPr>
            <w:tcW w:w="1220" w:type="dxa"/>
            <w:vAlign w:val="bottom"/>
          </w:tcPr>
          <w:p>
            <w:pPr>
              <w:ind w:left="160"/>
              <w:spacing w:after="0"/>
              <w:rPr>
                <w:sz w:val="20"/>
                <w:szCs w:val="20"/>
                <w:color w:val="auto"/>
              </w:rPr>
            </w:pPr>
            <w:r>
              <w:rPr>
                <w:rFonts w:ascii="Arial" w:cs="Arial" w:eastAsia="Arial" w:hAnsi="Arial"/>
                <w:sz w:val="14"/>
                <w:szCs w:val="14"/>
                <w:color w:val="auto"/>
              </w:rPr>
              <w:t>Cost of revenue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739</w:t>
            </w:r>
          </w:p>
        </w:tc>
      </w:tr>
      <w:tr>
        <w:trPr>
          <w:trHeight w:val="195"/>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1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132,199</w:t>
            </w: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2,685</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(19,717)</w:t>
            </w:r>
          </w:p>
        </w:tc>
        <w:tc>
          <w:tcPr>
            <w:tcW w:w="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Inventories</w:t>
            </w:r>
          </w:p>
        </w:tc>
        <w:tc>
          <w:tcPr>
            <w:tcW w:w="1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revenue</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(150,943)</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3,059</w:t>
            </w: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23,972</w:t>
            </w:r>
          </w:p>
        </w:tc>
      </w:tr>
      <w:tr>
        <w:trPr>
          <w:trHeight w:val="194"/>
        </w:trPr>
        <w:tc>
          <w:tcPr>
            <w:tcW w:w="15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132,199</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2,685</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(20,869)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(150,943)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3,059</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24,510</w:t>
            </w:r>
          </w:p>
        </w:tc>
      </w:tr>
    </w:tbl>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no gains or losses for the year ended December 31, 2014, 2013 and 2012 that were excluded from the assessment of the effectiveness of our fair value hedges.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cash flow hedging activities during 2014 and the cash flow hedging activities during 2013 were not significant.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3" w:name="page64"/>
    <w:bookmarkEnd w:id="6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the effect and financial statement location of our derivative instruments not designated as hedging instruments on our consolidated statements of income and comprehensive income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Derivatives</w:t>
            </w:r>
          </w:p>
        </w:tc>
        <w:tc>
          <w:tcPr>
            <w:tcW w:w="32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Realized and Unrealized Gain (Loss)</w:t>
            </w:r>
          </w:p>
        </w:tc>
      </w:tr>
      <w:tr>
        <w:trPr>
          <w:trHeight w:val="188"/>
        </w:trPr>
        <w:tc>
          <w:tcPr>
            <w:tcW w:w="25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88"/>
        </w:trPr>
        <w:tc>
          <w:tcPr>
            <w:tcW w:w="256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25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Commodity contracts</w:t>
            </w:r>
          </w:p>
        </w:tc>
        <w:tc>
          <w:tcPr>
            <w:tcW w:w="3220" w:type="dxa"/>
            <w:vAlign w:val="bottom"/>
            <w:shd w:val="clear" w:color="auto" w:fill="CCEEFF"/>
          </w:tcPr>
          <w:p>
            <w:pPr>
              <w:ind w:left="500"/>
              <w:spacing w:after="0" w:line="188" w:lineRule="exact"/>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64,485</w:t>
            </w:r>
          </w:p>
        </w:tc>
        <w:tc>
          <w:tcPr>
            <w:tcW w:w="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25,420</w:t>
            </w:r>
          </w:p>
        </w:tc>
        <w:tc>
          <w:tcPr>
            <w:tcW w:w="480" w:type="dxa"/>
            <w:vAlign w:val="bottom"/>
            <w:shd w:val="clear" w:color="auto" w:fill="CCEEFF"/>
          </w:tcPr>
          <w:p>
            <w:pPr>
              <w:jc w:val="right"/>
              <w:ind w:right="134"/>
              <w:spacing w:after="0" w:line="188"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14,967</w:t>
            </w:r>
          </w:p>
        </w:tc>
      </w:tr>
      <w:tr>
        <w:trPr>
          <w:trHeight w:val="195"/>
        </w:trPr>
        <w:tc>
          <w:tcPr>
            <w:tcW w:w="2560" w:type="dxa"/>
            <w:vAlign w:val="bottom"/>
          </w:tcPr>
          <w:p>
            <w:pPr>
              <w:spacing w:after="0"/>
              <w:rPr>
                <w:sz w:val="20"/>
                <w:szCs w:val="20"/>
                <w:color w:val="auto"/>
              </w:rPr>
            </w:pPr>
            <w:r>
              <w:rPr>
                <w:rFonts w:ascii="Arial" w:cs="Arial" w:eastAsia="Arial" w:hAnsi="Arial"/>
                <w:sz w:val="17"/>
                <w:szCs w:val="17"/>
                <w:color w:val="auto"/>
              </w:rPr>
              <w:t>Commodity contracts</w:t>
            </w:r>
          </w:p>
        </w:tc>
        <w:tc>
          <w:tcPr>
            <w:tcW w:w="3220" w:type="dxa"/>
            <w:vAlign w:val="bottom"/>
          </w:tcPr>
          <w:p>
            <w:pPr>
              <w:ind w:left="500"/>
              <w:spacing w:after="0"/>
              <w:rPr>
                <w:sz w:val="20"/>
                <w:szCs w:val="20"/>
                <w:color w:val="auto"/>
              </w:rPr>
            </w:pPr>
            <w:r>
              <w:rPr>
                <w:rFonts w:ascii="Arial" w:cs="Arial" w:eastAsia="Arial" w:hAnsi="Arial"/>
                <w:sz w:val="17"/>
                <w:szCs w:val="17"/>
                <w:color w:val="auto"/>
              </w:rPr>
              <w:t>Cost of revenue</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Arial" w:cs="Arial" w:eastAsia="Arial" w:hAnsi="Arial"/>
                <w:sz w:val="17"/>
                <w:szCs w:val="17"/>
                <w:color w:val="auto"/>
              </w:rPr>
              <w:t>2,239</w:t>
            </w:r>
          </w:p>
        </w:tc>
        <w:tc>
          <w:tcPr>
            <w:tcW w:w="3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Arial" w:cs="Arial" w:eastAsia="Arial" w:hAnsi="Arial"/>
                <w:sz w:val="17"/>
                <w:szCs w:val="17"/>
                <w:color w:val="auto"/>
              </w:rPr>
              <w:t>(5,391)</w:t>
            </w:r>
          </w:p>
        </w:tc>
        <w:tc>
          <w:tcPr>
            <w:tcW w:w="4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3,333</w:t>
            </w:r>
          </w:p>
        </w:tc>
      </w:tr>
      <w:tr>
        <w:trPr>
          <w:trHeight w:val="19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32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4,286</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w:t>
            </w:r>
          </w:p>
        </w:tc>
      </w:tr>
      <w:tr>
        <w:trPr>
          <w:trHeight w:val="195"/>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contracts</w:t>
            </w:r>
          </w:p>
        </w:tc>
        <w:tc>
          <w:tcPr>
            <w:tcW w:w="32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Other income (expense), net</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12,631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(3,998)</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(2,271)</w:t>
            </w:r>
          </w:p>
        </w:tc>
      </w:tr>
      <w:tr>
        <w:trPr>
          <w:trHeight w:val="194"/>
        </w:trPr>
        <w:tc>
          <w:tcPr>
            <w:tcW w:w="2560" w:type="dxa"/>
            <w:vAlign w:val="bottom"/>
            <w:tcBorders>
              <w:bottom w:val="single" w:sz="8" w:color="auto"/>
            </w:tcBorders>
            <w:shd w:val="clear" w:color="auto" w:fill="CCEEFF"/>
          </w:tcPr>
          <w:p>
            <w:pPr>
              <w:spacing w:after="0"/>
              <w:rPr>
                <w:sz w:val="16"/>
                <w:szCs w:val="16"/>
                <w:color w:val="auto"/>
              </w:rPr>
            </w:pPr>
          </w:p>
        </w:tc>
        <w:tc>
          <w:tcPr>
            <w:tcW w:w="3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ind w:right="16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83,641</w:t>
            </w:r>
          </w:p>
        </w:tc>
        <w:tc>
          <w:tcPr>
            <w:tcW w:w="3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15,976</w:t>
            </w:r>
          </w:p>
        </w:tc>
        <w:tc>
          <w:tcPr>
            <w:tcW w:w="480" w:type="dxa"/>
            <w:vAlign w:val="bottom"/>
            <w:tcBorders>
              <w:bottom w:val="single" w:sz="8" w:color="auto"/>
            </w:tcBorders>
            <w:shd w:val="clear" w:color="auto" w:fill="CCEEFF"/>
          </w:tcPr>
          <w:p>
            <w:pPr>
              <w:jc w:val="right"/>
              <w:ind w:right="134"/>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13,645</w:t>
            </w:r>
          </w:p>
        </w:tc>
      </w:tr>
    </w:tbl>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As of December 31, 2014, the net liability position for such contracts is $111.7 million, the collateral posted is $89.4 million and the amount of assets required to be posted and/or to settle the positions should a credit-risk contingent feature be triggered is $22.3 million. As of December 31, 2013, the net liability position for derivative instrument contracts that contain credit-risk contingent features was not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 of property and equipment and their respective estimated useful lives are as follows (in thousands, except estimated useful lives):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66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Useful Lives</w:t>
            </w:r>
          </w:p>
        </w:tc>
      </w:tr>
      <w:tr>
        <w:trPr>
          <w:trHeight w:val="188"/>
        </w:trPr>
        <w:tc>
          <w:tcPr>
            <w:tcW w:w="66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Land</w:t>
            </w:r>
          </w:p>
        </w:tc>
        <w:tc>
          <w:tcPr>
            <w:tcW w:w="200" w:type="dxa"/>
            <w:vAlign w:val="bottom"/>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17,333</w:t>
            </w:r>
          </w:p>
        </w:tc>
        <w:tc>
          <w:tcPr>
            <w:tcW w:w="520" w:type="dxa"/>
            <w:vAlign w:val="bottom"/>
            <w:shd w:val="clear" w:color="auto" w:fill="CCEEFF"/>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4,653</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Indefinite</w:t>
            </w:r>
          </w:p>
        </w:tc>
      </w:tr>
      <w:tr>
        <w:trPr>
          <w:trHeight w:val="195"/>
        </w:trPr>
        <w:tc>
          <w:tcPr>
            <w:tcW w:w="6620" w:type="dxa"/>
            <w:vAlign w:val="bottom"/>
          </w:tcPr>
          <w:p>
            <w:pPr>
              <w:spacing w:after="0"/>
              <w:rPr>
                <w:sz w:val="20"/>
                <w:szCs w:val="20"/>
                <w:color w:val="auto"/>
              </w:rPr>
            </w:pPr>
            <w:r>
              <w:rPr>
                <w:rFonts w:ascii="Arial" w:cs="Arial" w:eastAsia="Arial" w:hAnsi="Arial"/>
                <w:sz w:val="17"/>
                <w:szCs w:val="17"/>
                <w:color w:val="auto"/>
              </w:rPr>
              <w:t>Buildings and leasehold improvements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43,356</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20,299</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3 - 40 years</w:t>
            </w:r>
          </w:p>
        </w:tc>
      </w:tr>
      <w:tr>
        <w:trPr>
          <w:trHeight w:val="195"/>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Office equipment, furniture and fixtures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13,636</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8,629</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3 - 10 years</w:t>
            </w:r>
          </w:p>
        </w:tc>
      </w:tr>
      <w:tr>
        <w:trPr>
          <w:trHeight w:val="195"/>
        </w:trPr>
        <w:tc>
          <w:tcPr>
            <w:tcW w:w="6620" w:type="dxa"/>
            <w:vAlign w:val="bottom"/>
          </w:tcPr>
          <w:p>
            <w:pPr>
              <w:spacing w:after="0"/>
              <w:rPr>
                <w:sz w:val="20"/>
                <w:szCs w:val="20"/>
                <w:color w:val="auto"/>
              </w:rPr>
            </w:pPr>
            <w:r>
              <w:rPr>
                <w:rFonts w:ascii="Arial" w:cs="Arial" w:eastAsia="Arial" w:hAnsi="Arial"/>
                <w:sz w:val="17"/>
                <w:szCs w:val="17"/>
                <w:color w:val="auto"/>
              </w:rPr>
              <w:t>Computer equipment and software costs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102,713</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88,077</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3 - 10 years</w:t>
            </w:r>
          </w:p>
        </w:tc>
      </w:tr>
      <w:tr>
        <w:trPr>
          <w:trHeight w:val="195"/>
        </w:trPr>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Machinery, equipment and vehicles</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132,469</w:t>
            </w:r>
          </w:p>
        </w:tc>
        <w:tc>
          <w:tcPr>
            <w:tcW w:w="5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92,364</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3 - 40 years</w:t>
            </w:r>
          </w:p>
        </w:tc>
      </w:tr>
      <w:tr>
        <w:trPr>
          <w:trHeight w:val="188"/>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7"/>
                <w:szCs w:val="17"/>
                <w:color w:val="auto"/>
              </w:rPr>
              <w:t>309,507</w:t>
            </w:r>
          </w:p>
        </w:tc>
        <w:tc>
          <w:tcPr>
            <w:tcW w:w="52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7"/>
                <w:szCs w:val="17"/>
                <w:color w:val="auto"/>
              </w:rPr>
              <w:t>214,022</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5"/>
        </w:trPr>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Accumulated depreciation and amortization</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106,791</w:t>
            </w:r>
          </w:p>
        </w:tc>
        <w:tc>
          <w:tcPr>
            <w:tcW w:w="5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84,337</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4"/>
        </w:trPr>
        <w:tc>
          <w:tcPr>
            <w:tcW w:w="6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14"/>
              <w:spacing w:after="0" w:line="188"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202,716</w:t>
            </w:r>
          </w:p>
        </w:tc>
        <w:tc>
          <w:tcPr>
            <w:tcW w:w="520" w:type="dxa"/>
            <w:vAlign w:val="bottom"/>
            <w:tcBorders>
              <w:bottom w:val="single" w:sz="8" w:color="auto"/>
            </w:tcBorders>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129,685</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For 2014, 2013 and 2012, we recorded depreciation expense of $30.3 million, $22.0 million and $18.6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amount of computer software costs, including capitalized internally developed software costs are as follows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49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88"/>
        </w:trPr>
        <w:tc>
          <w:tcPr>
            <w:tcW w:w="49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Computer software costs</w:t>
            </w:r>
          </w:p>
        </w:tc>
        <w:tc>
          <w:tcPr>
            <w:tcW w:w="2980" w:type="dxa"/>
            <w:vAlign w:val="bottom"/>
            <w:gridSpan w:val="2"/>
            <w:shd w:val="clear" w:color="auto" w:fill="CCEEFF"/>
          </w:tcPr>
          <w:p>
            <w:pPr>
              <w:jc w:val="right"/>
              <w:ind w:right="240"/>
              <w:spacing w:after="0" w:line="188"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8"/>
              <w:spacing w:after="0" w:line="188" w:lineRule="exact"/>
              <w:rPr>
                <w:sz w:val="20"/>
                <w:szCs w:val="20"/>
                <w:color w:val="auto"/>
              </w:rPr>
            </w:pPr>
            <w:r>
              <w:rPr>
                <w:rFonts w:ascii="Arial" w:cs="Arial" w:eastAsia="Arial" w:hAnsi="Arial"/>
                <w:sz w:val="17"/>
                <w:szCs w:val="17"/>
                <w:color w:val="auto"/>
              </w:rPr>
              <w:t>76,870</w:t>
            </w:r>
          </w:p>
        </w:tc>
        <w:tc>
          <w:tcPr>
            <w:tcW w:w="600" w:type="dxa"/>
            <w:vAlign w:val="bottom"/>
            <w:shd w:val="clear" w:color="auto" w:fill="CCEEFF"/>
          </w:tcPr>
          <w:p>
            <w:pPr>
              <w:jc w:val="right"/>
              <w:ind w:right="159"/>
              <w:spacing w:after="0" w:line="188"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67,366</w:t>
            </w:r>
          </w:p>
        </w:tc>
      </w:tr>
      <w:tr>
        <w:trPr>
          <w:trHeight w:val="195"/>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Accumulated amortization</w:t>
            </w:r>
          </w:p>
        </w:tc>
        <w:tc>
          <w:tcPr>
            <w:tcW w:w="2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45,234</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35,499</w:t>
            </w:r>
          </w:p>
        </w:tc>
      </w:tr>
      <w:tr>
        <w:trPr>
          <w:trHeight w:val="194"/>
        </w:trPr>
        <w:tc>
          <w:tcPr>
            <w:tcW w:w="49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Computer software costs, net</w:t>
            </w:r>
          </w:p>
        </w:tc>
        <w:tc>
          <w:tcPr>
            <w:tcW w:w="2980" w:type="dxa"/>
            <w:vAlign w:val="bottom"/>
            <w:tcBorders>
              <w:bottom w:val="single" w:sz="8" w:color="auto"/>
            </w:tcBorders>
            <w:gridSpan w:val="2"/>
            <w:shd w:val="clear" w:color="auto" w:fill="CCEEFF"/>
          </w:tcPr>
          <w:p>
            <w:pPr>
              <w:jc w:val="right"/>
              <w:ind w:right="240"/>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8"/>
              <w:spacing w:after="0" w:line="188" w:lineRule="exact"/>
              <w:rPr>
                <w:sz w:val="20"/>
                <w:szCs w:val="20"/>
                <w:color w:val="auto"/>
              </w:rPr>
            </w:pPr>
            <w:r>
              <w:rPr>
                <w:rFonts w:ascii="Arial" w:cs="Arial" w:eastAsia="Arial" w:hAnsi="Arial"/>
                <w:sz w:val="17"/>
                <w:szCs w:val="17"/>
                <w:color w:val="auto"/>
              </w:rPr>
              <w:t>31,636</w:t>
            </w:r>
          </w:p>
        </w:tc>
        <w:tc>
          <w:tcPr>
            <w:tcW w:w="600" w:type="dxa"/>
            <w:vAlign w:val="bottom"/>
            <w:tcBorders>
              <w:bottom w:val="single" w:sz="8" w:color="auto"/>
            </w:tcBorders>
            <w:shd w:val="clear" w:color="auto" w:fill="CCEEFF"/>
          </w:tcPr>
          <w:p>
            <w:pPr>
              <w:jc w:val="right"/>
              <w:ind w:right="159"/>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31,867</w:t>
            </w:r>
          </w:p>
        </w:tc>
      </w:tr>
    </w:tbl>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Included in capitalized computer software costs are costs incurred in connection with software development in progress of $4.7 million and $6.0 million as of December 31, 2014 and 2013, respectively. For 2014, 2013 and 2012, we recorded amortization expense related to computer software costs of $9.8 million, $7.8 million and $7.2 million,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4" w:name="page65"/>
    <w:bookmarkEnd w:id="64"/>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assets and accumulated amortization recorded under capital leases are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47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88"/>
        </w:trPr>
        <w:tc>
          <w:tcPr>
            <w:tcW w:w="47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Capital leases</w:t>
            </w:r>
          </w:p>
        </w:tc>
        <w:tc>
          <w:tcPr>
            <w:tcW w:w="3120" w:type="dxa"/>
            <w:vAlign w:val="bottom"/>
            <w:gridSpan w:val="2"/>
            <w:shd w:val="clear" w:color="auto" w:fill="CCEEFF"/>
          </w:tcPr>
          <w:p>
            <w:pPr>
              <w:jc w:val="right"/>
              <w:ind w:right="240"/>
              <w:spacing w:after="0" w:line="188"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8"/>
              <w:spacing w:after="0" w:line="188" w:lineRule="exact"/>
              <w:rPr>
                <w:sz w:val="20"/>
                <w:szCs w:val="20"/>
                <w:color w:val="auto"/>
              </w:rPr>
            </w:pPr>
            <w:r>
              <w:rPr>
                <w:rFonts w:ascii="Arial" w:cs="Arial" w:eastAsia="Arial" w:hAnsi="Arial"/>
                <w:sz w:val="17"/>
                <w:szCs w:val="17"/>
                <w:color w:val="auto"/>
              </w:rPr>
              <w:t>17,658</w:t>
            </w:r>
          </w:p>
        </w:tc>
        <w:tc>
          <w:tcPr>
            <w:tcW w:w="640" w:type="dxa"/>
            <w:vAlign w:val="bottom"/>
            <w:shd w:val="clear" w:color="auto" w:fill="CCEEFF"/>
          </w:tcPr>
          <w:p>
            <w:pPr>
              <w:jc w:val="right"/>
              <w:ind w:right="199"/>
              <w:spacing w:after="0" w:line="188"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5,268</w:t>
            </w:r>
          </w:p>
        </w:tc>
      </w:tr>
      <w:tr>
        <w:trPr>
          <w:trHeight w:val="195"/>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Accumulated amortization</w:t>
            </w:r>
          </w:p>
        </w:tc>
        <w:tc>
          <w:tcPr>
            <w:tcW w:w="2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5,484</w:t>
            </w: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1,869</w:t>
            </w:r>
          </w:p>
        </w:tc>
      </w:tr>
      <w:tr>
        <w:trPr>
          <w:trHeight w:val="194"/>
        </w:trPr>
        <w:tc>
          <w:tcPr>
            <w:tcW w:w="476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Capital leases, net</w:t>
            </w:r>
          </w:p>
        </w:tc>
        <w:tc>
          <w:tcPr>
            <w:tcW w:w="3120" w:type="dxa"/>
            <w:vAlign w:val="bottom"/>
            <w:tcBorders>
              <w:bottom w:val="single" w:sz="8" w:color="auto"/>
            </w:tcBorders>
            <w:gridSpan w:val="2"/>
            <w:shd w:val="clear" w:color="auto" w:fill="CCEEFF"/>
          </w:tcPr>
          <w:p>
            <w:pPr>
              <w:jc w:val="right"/>
              <w:ind w:right="240"/>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8"/>
              <w:spacing w:after="0" w:line="188" w:lineRule="exact"/>
              <w:rPr>
                <w:sz w:val="20"/>
                <w:szCs w:val="20"/>
                <w:color w:val="auto"/>
              </w:rPr>
            </w:pPr>
            <w:r>
              <w:rPr>
                <w:rFonts w:ascii="Arial" w:cs="Arial" w:eastAsia="Arial" w:hAnsi="Arial"/>
                <w:sz w:val="17"/>
                <w:szCs w:val="17"/>
                <w:color w:val="auto"/>
              </w:rPr>
              <w:t>12,174</w:t>
            </w:r>
          </w:p>
        </w:tc>
        <w:tc>
          <w:tcPr>
            <w:tcW w:w="640" w:type="dxa"/>
            <w:vAlign w:val="bottom"/>
            <w:tcBorders>
              <w:bottom w:val="single" w:sz="8" w:color="auto"/>
            </w:tcBorders>
            <w:shd w:val="clear" w:color="auto" w:fill="CCEEFF"/>
          </w:tcPr>
          <w:p>
            <w:pPr>
              <w:jc w:val="right"/>
              <w:ind w:right="199"/>
              <w:spacing w:after="0" w:line="188"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3,399</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Identifiable Intangible Assets</w:t>
      </w:r>
    </w:p>
    <w:p>
      <w:pPr>
        <w:spacing w:after="0" w:line="209" w:lineRule="exact"/>
        <w:rPr>
          <w:sz w:val="20"/>
          <w:szCs w:val="20"/>
          <w:color w:val="auto"/>
        </w:rPr>
      </w:pPr>
    </w:p>
    <w:p>
      <w:pPr>
        <w:jc w:val="both"/>
        <w:spacing w:after="0" w:line="202" w:lineRule="exact"/>
        <w:rPr>
          <w:sz w:val="20"/>
          <w:szCs w:val="20"/>
          <w:color w:val="auto"/>
        </w:rPr>
      </w:pPr>
      <w:r>
        <w:rPr>
          <w:rFonts w:ascii="Arial" w:cs="Arial" w:eastAsia="Arial" w:hAnsi="Arial"/>
          <w:sz w:val="17"/>
          <w:szCs w:val="17"/>
          <w:color w:val="auto"/>
        </w:rPr>
        <w:t>In 2014, we performed the first step of quantitative testing for goodwill impairment for all of our reporting units and we assessed qualitative factors to review our identifiable intangible assets not subject to amortization to determine whether it was more likely than not that an asset has been impaired. As a result of performing the aforementioned assessments, we determined that no impairment existed as of December 31, 2014 and, therefore, there were no write</w:t>
      </w:r>
      <w:r>
        <w:rPr>
          <w:rFonts w:ascii="MS PGothic" w:cs="MS PGothic" w:eastAsia="MS PGothic" w:hAnsi="MS PGothic"/>
          <w:sz w:val="17"/>
          <w:szCs w:val="17"/>
          <w:color w:val="auto"/>
        </w:rPr>
        <w:t>‑</w:t>
      </w:r>
      <w:r>
        <w:rPr>
          <w:rFonts w:ascii="Arial" w:cs="Arial" w:eastAsia="Arial" w:hAnsi="Arial"/>
          <w:sz w:val="17"/>
          <w:szCs w:val="17"/>
          <w:color w:val="auto"/>
        </w:rPr>
        <w:t>downs to any of our goodwill or identifiable intangible assets not subject to amortization.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changes in goodwill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Aviation</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Marine</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1"/>
        </w:trPr>
        <w:tc>
          <w:tcPr>
            <w:tcW w:w="2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Segment</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8"/>
        </w:trPr>
        <w:tc>
          <w:tcPr>
            <w:tcW w:w="27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2012</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109,332</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69,931</w:t>
            </w:r>
          </w:p>
        </w:tc>
        <w:tc>
          <w:tcPr>
            <w:tcW w:w="1180" w:type="dxa"/>
            <w:vAlign w:val="bottom"/>
            <w:gridSpan w:val="2"/>
            <w:shd w:val="clear" w:color="auto" w:fill="CCEEFF"/>
          </w:tcPr>
          <w:p>
            <w:pPr>
              <w:jc w:val="right"/>
              <w:ind w:right="37"/>
              <w:spacing w:after="0" w:line="188" w:lineRule="exact"/>
              <w:rPr>
                <w:sz w:val="20"/>
                <w:szCs w:val="20"/>
                <w:color w:val="auto"/>
              </w:rPr>
            </w:pPr>
            <w:r>
              <w:rPr>
                <w:rFonts w:ascii="Arial" w:cs="Arial" w:eastAsia="Arial" w:hAnsi="Arial"/>
                <w:sz w:val="17"/>
                <w:szCs w:val="17"/>
                <w:color w:val="auto"/>
              </w:rPr>
              <w:t>$ 291,243</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470,506</w:t>
            </w:r>
          </w:p>
        </w:tc>
      </w:tr>
      <w:tr>
        <w:trPr>
          <w:trHeight w:val="195"/>
        </w:trPr>
        <w:tc>
          <w:tcPr>
            <w:tcW w:w="2780" w:type="dxa"/>
            <w:vAlign w:val="bottom"/>
          </w:tcPr>
          <w:p>
            <w:pPr>
              <w:spacing w:after="0"/>
              <w:rPr>
                <w:sz w:val="20"/>
                <w:szCs w:val="20"/>
                <w:color w:val="auto"/>
              </w:rPr>
            </w:pPr>
            <w:r>
              <w:rPr>
                <w:rFonts w:ascii="Arial" w:cs="Arial" w:eastAsia="Arial" w:hAnsi="Arial"/>
                <w:sz w:val="17"/>
                <w:szCs w:val="17"/>
                <w:color w:val="auto"/>
              </w:rPr>
              <w:t>2013 acquisitions</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16,077</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16,077</w:t>
            </w:r>
          </w:p>
        </w:tc>
      </w:tr>
      <w:tr>
        <w:trPr>
          <w:trHeight w:val="195"/>
        </w:trPr>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Adjustment of purchase price allocations – 2012 acquisitions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left="57"/>
              <w:spacing w:after="0"/>
              <w:rPr>
                <w:sz w:val="20"/>
                <w:szCs w:val="20"/>
                <w:color w:val="auto"/>
              </w:rPr>
            </w:pPr>
            <w:r>
              <w:rPr>
                <w:rFonts w:ascii="Arial" w:cs="Arial" w:eastAsia="Arial" w:hAnsi="Arial"/>
                <w:sz w:val="17"/>
                <w:szCs w:val="17"/>
                <w:color w:val="auto"/>
              </w:rPr>
              <w:t>(8,506)</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(2,006)</w:t>
            </w:r>
          </w:p>
        </w:tc>
      </w:tr>
      <w:tr>
        <w:trPr>
          <w:trHeight w:val="172"/>
        </w:trPr>
        <w:tc>
          <w:tcPr>
            <w:tcW w:w="5500" w:type="dxa"/>
            <w:vAlign w:val="bottom"/>
            <w:gridSpan w:val="5"/>
          </w:tcPr>
          <w:p>
            <w:pPr>
              <w:spacing w:after="0" w:line="172" w:lineRule="exact"/>
              <w:rPr>
                <w:sz w:val="20"/>
                <w:szCs w:val="20"/>
                <w:color w:val="auto"/>
              </w:rPr>
            </w:pPr>
            <w:r>
              <w:rPr>
                <w:rFonts w:ascii="Arial" w:cs="Arial" w:eastAsia="Arial" w:hAnsi="Arial"/>
                <w:sz w:val="17"/>
                <w:szCs w:val="17"/>
                <w:color w:val="auto"/>
              </w:rPr>
              <w:t>Foreign currency translation of non-USD functional currency subsidiary</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7"/>
        </w:trPr>
        <w:tc>
          <w:tcPr>
            <w:tcW w:w="2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goodwill</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rPr>
              <w:t>(325)</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182</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w:t>
            </w:r>
          </w:p>
        </w:tc>
      </w:tr>
      <w:tr>
        <w:trPr>
          <w:trHeight w:val="188"/>
        </w:trPr>
        <w:tc>
          <w:tcPr>
            <w:tcW w:w="27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2013</w:t>
            </w: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115,507</w:t>
            </w:r>
          </w:p>
        </w:tc>
        <w:tc>
          <w:tcPr>
            <w:tcW w:w="1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69,088</w:t>
            </w:r>
          </w:p>
        </w:tc>
        <w:tc>
          <w:tcPr>
            <w:tcW w:w="3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37"/>
              <w:spacing w:after="0" w:line="188" w:lineRule="exact"/>
              <w:rPr>
                <w:sz w:val="20"/>
                <w:szCs w:val="20"/>
                <w:color w:val="auto"/>
              </w:rPr>
            </w:pPr>
            <w:r>
              <w:rPr>
                <w:rFonts w:ascii="Arial" w:cs="Arial" w:eastAsia="Arial" w:hAnsi="Arial"/>
                <w:sz w:val="17"/>
                <w:szCs w:val="17"/>
                <w:color w:val="auto"/>
              </w:rPr>
              <w:t>298,996</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483,591</w:t>
            </w:r>
          </w:p>
        </w:tc>
      </w:tr>
      <w:tr>
        <w:trPr>
          <w:trHeight w:val="188"/>
        </w:trPr>
        <w:tc>
          <w:tcPr>
            <w:tcW w:w="2780" w:type="dxa"/>
            <w:vAlign w:val="bottom"/>
          </w:tcPr>
          <w:p>
            <w:pPr>
              <w:spacing w:after="0" w:line="188" w:lineRule="exact"/>
              <w:rPr>
                <w:sz w:val="20"/>
                <w:szCs w:val="20"/>
                <w:color w:val="auto"/>
              </w:rPr>
            </w:pPr>
            <w:r>
              <w:rPr>
                <w:rFonts w:ascii="Arial" w:cs="Arial" w:eastAsia="Arial" w:hAnsi="Arial"/>
                <w:sz w:val="17"/>
                <w:szCs w:val="17"/>
                <w:color w:val="auto"/>
              </w:rPr>
              <w:t>2014 acquisitions</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Arial" w:cs="Arial" w:eastAsia="Arial" w:hAnsi="Arial"/>
                <w:sz w:val="17"/>
                <w:szCs w:val="17"/>
                <w:color w:val="auto"/>
              </w:rPr>
              <w:t>62,770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line="188" w:lineRule="exact"/>
              <w:rPr>
                <w:sz w:val="20"/>
                <w:szCs w:val="20"/>
                <w:color w:val="auto"/>
              </w:rPr>
            </w:pPr>
            <w:r>
              <w:rPr>
                <w:rFonts w:ascii="Arial" w:cs="Arial" w:eastAsia="Arial" w:hAnsi="Arial"/>
                <w:sz w:val="17"/>
                <w:szCs w:val="17"/>
                <w:color w:val="auto"/>
              </w:rPr>
              <w:t>4,660</w:t>
            </w:r>
          </w:p>
        </w:tc>
        <w:tc>
          <w:tcPr>
            <w:tcW w:w="340" w:type="dxa"/>
            <w:vAlign w:val="bottom"/>
          </w:tcPr>
          <w:p>
            <w:pPr>
              <w:spacing w:after="0"/>
              <w:rPr>
                <w:sz w:val="16"/>
                <w:szCs w:val="16"/>
                <w:color w:val="auto"/>
              </w:rPr>
            </w:pPr>
          </w:p>
        </w:tc>
        <w:tc>
          <w:tcPr>
            <w:tcW w:w="840" w:type="dxa"/>
            <w:vAlign w:val="bottom"/>
          </w:tcPr>
          <w:p>
            <w:pPr>
              <w:jc w:val="right"/>
              <w:ind w:right="37"/>
              <w:spacing w:after="0" w:line="188" w:lineRule="exact"/>
              <w:rPr>
                <w:sz w:val="20"/>
                <w:szCs w:val="20"/>
                <w:color w:val="auto"/>
              </w:rPr>
            </w:pPr>
            <w:r>
              <w:rPr>
                <w:rFonts w:ascii="Arial" w:cs="Arial" w:eastAsia="Arial" w:hAnsi="Arial"/>
                <w:sz w:val="17"/>
                <w:szCs w:val="17"/>
                <w:color w:val="auto"/>
              </w:rPr>
              <w:t>113,253</w:t>
            </w:r>
          </w:p>
        </w:tc>
        <w:tc>
          <w:tcPr>
            <w:tcW w:w="28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7"/>
                <w:szCs w:val="17"/>
                <w:color w:val="auto"/>
              </w:rPr>
              <w:t>180,683</w:t>
            </w:r>
          </w:p>
        </w:tc>
      </w:tr>
      <w:tr>
        <w:trPr>
          <w:trHeight w:val="195"/>
        </w:trPr>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Adjustment of purchase price allocations – 2013 acquisitions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411</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r>
      <w:tr>
        <w:trPr>
          <w:trHeight w:val="172"/>
        </w:trPr>
        <w:tc>
          <w:tcPr>
            <w:tcW w:w="5500" w:type="dxa"/>
            <w:vAlign w:val="bottom"/>
            <w:gridSpan w:val="5"/>
          </w:tcPr>
          <w:p>
            <w:pPr>
              <w:spacing w:after="0" w:line="172" w:lineRule="exact"/>
              <w:rPr>
                <w:sz w:val="20"/>
                <w:szCs w:val="20"/>
                <w:color w:val="auto"/>
              </w:rPr>
            </w:pPr>
            <w:r>
              <w:rPr>
                <w:rFonts w:ascii="Arial" w:cs="Arial" w:eastAsia="Arial" w:hAnsi="Arial"/>
                <w:sz w:val="17"/>
                <w:szCs w:val="17"/>
                <w:color w:val="auto"/>
              </w:rPr>
              <w:t>Foreign currency translation of non-USD functional currency subsidiary</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7"/>
        </w:trPr>
        <w:tc>
          <w:tcPr>
            <w:tcW w:w="2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goodwill</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rPr>
              <w:t>(134)</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57"/>
              <w:spacing w:after="0"/>
              <w:rPr>
                <w:sz w:val="20"/>
                <w:szCs w:val="20"/>
                <w:color w:val="auto"/>
              </w:rPr>
            </w:pPr>
            <w:r>
              <w:rPr>
                <w:rFonts w:ascii="Arial" w:cs="Arial" w:eastAsia="Arial" w:hAnsi="Arial"/>
                <w:sz w:val="17"/>
                <w:szCs w:val="17"/>
                <w:color w:val="auto"/>
              </w:rPr>
              <w:t>(7,793)</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(8,607)</w:t>
            </w:r>
          </w:p>
        </w:tc>
      </w:tr>
      <w:tr>
        <w:trPr>
          <w:trHeight w:val="194"/>
        </w:trPr>
        <w:tc>
          <w:tcPr>
            <w:tcW w:w="27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2014</w:t>
            </w: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178,143</w:t>
            </w:r>
          </w:p>
        </w:tc>
        <w:tc>
          <w:tcPr>
            <w:tcW w:w="1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57"/>
              <w:spacing w:after="0" w:line="188"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73,068</w:t>
            </w:r>
          </w:p>
        </w:tc>
        <w:tc>
          <w:tcPr>
            <w:tcW w:w="3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37"/>
              <w:spacing w:after="0" w:line="188" w:lineRule="exact"/>
              <w:rPr>
                <w:sz w:val="20"/>
                <w:szCs w:val="20"/>
                <w:color w:val="auto"/>
              </w:rPr>
            </w:pPr>
            <w:r>
              <w:rPr>
                <w:rFonts w:ascii="Arial" w:cs="Arial" w:eastAsia="Arial" w:hAnsi="Arial"/>
                <w:sz w:val="17"/>
                <w:szCs w:val="17"/>
                <w:color w:val="auto"/>
              </w:rPr>
              <w:t>404,867</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656,078</w:t>
            </w:r>
          </w:p>
        </w:tc>
      </w:tr>
      <w:tr>
        <w:trPr>
          <w:trHeight w:val="367"/>
        </w:trPr>
        <w:tc>
          <w:tcPr>
            <w:tcW w:w="2780" w:type="dxa"/>
            <w:vAlign w:val="bottom"/>
          </w:tcPr>
          <w:p>
            <w:pPr>
              <w:spacing w:after="0"/>
              <w:rPr>
                <w:sz w:val="20"/>
                <w:szCs w:val="20"/>
                <w:color w:val="auto"/>
              </w:rPr>
            </w:pPr>
            <w:r>
              <w:rPr>
                <w:rFonts w:ascii="Arial" w:cs="Arial" w:eastAsia="Arial" w:hAnsi="Arial"/>
                <w:sz w:val="17"/>
                <w:szCs w:val="17"/>
                <w:b w:val="1"/>
                <w:bCs w:val="1"/>
                <w:color w:val="auto"/>
              </w:rPr>
              <w:t>Identifiable Intangible Assets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5"/>
        </w:trPr>
        <w:tc>
          <w:tcPr>
            <w:tcW w:w="7280" w:type="dxa"/>
            <w:vAlign w:val="bottom"/>
            <w:gridSpan w:val="10"/>
          </w:tcPr>
          <w:p>
            <w:pPr>
              <w:spacing w:after="0"/>
              <w:rPr>
                <w:sz w:val="20"/>
                <w:szCs w:val="20"/>
                <w:color w:val="auto"/>
              </w:rPr>
            </w:pPr>
            <w:r>
              <w:rPr>
                <w:rFonts w:ascii="Arial" w:cs="Arial" w:eastAsia="Arial" w:hAnsi="Arial"/>
                <w:sz w:val="17"/>
                <w:szCs w:val="17"/>
                <w:color w:val="auto"/>
              </w:rPr>
              <w:t>The following table provides information about our identifiable intangible assets (in thousands):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3"/>
        </w:trPr>
        <w:tc>
          <w:tcPr>
            <w:tcW w:w="2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As of December 31, 2014</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2013</w:t>
            </w:r>
          </w:p>
        </w:tc>
      </w:tr>
      <w:tr>
        <w:trPr>
          <w:trHeight w:val="212"/>
        </w:trPr>
        <w:tc>
          <w:tcPr>
            <w:tcW w:w="2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5"/>
        </w:trPr>
        <w:tc>
          <w:tcPr>
            <w:tcW w:w="2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Carrying</w:t>
            </w:r>
          </w:p>
        </w:tc>
        <w:tc>
          <w:tcPr>
            <w:tcW w:w="12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78"/>
              <w:spacing w:after="0"/>
              <w:rPr>
                <w:sz w:val="20"/>
                <w:szCs w:val="20"/>
                <w:color w:val="auto"/>
              </w:rPr>
            </w:pPr>
            <w:r>
              <w:rPr>
                <w:rFonts w:ascii="Arial" w:cs="Arial" w:eastAsia="Arial" w:hAnsi="Arial"/>
                <w:sz w:val="14"/>
                <w:szCs w:val="14"/>
                <w:b w:val="1"/>
                <w:bCs w:val="1"/>
                <w:color w:val="auto"/>
              </w:rPr>
              <w:t>Carrying</w:t>
            </w:r>
          </w:p>
        </w:tc>
        <w:tc>
          <w:tcPr>
            <w:tcW w:w="118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1"/>
        </w:trPr>
        <w:tc>
          <w:tcPr>
            <w:tcW w:w="2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Net</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w:t>
            </w:r>
          </w:p>
        </w:tc>
      </w:tr>
      <w:tr>
        <w:trPr>
          <w:trHeight w:val="165"/>
        </w:trPr>
        <w:tc>
          <w:tcPr>
            <w:tcW w:w="27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Intangible assets subject to</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17"/>
        </w:trPr>
        <w:tc>
          <w:tcPr>
            <w:tcW w:w="2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2780" w:type="dxa"/>
            <w:vAlign w:val="bottom"/>
          </w:tcPr>
          <w:p>
            <w:pPr>
              <w:spacing w:after="0"/>
              <w:rPr>
                <w:sz w:val="20"/>
                <w:szCs w:val="20"/>
                <w:color w:val="auto"/>
              </w:rPr>
            </w:pPr>
            <w:r>
              <w:rPr>
                <w:rFonts w:ascii="Arial" w:cs="Arial" w:eastAsia="Arial" w:hAnsi="Arial"/>
                <w:sz w:val="17"/>
                <w:szCs w:val="17"/>
                <w:color w:val="auto"/>
              </w:rPr>
              <w:t>Customer relationships</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99"/>
              <w:spacing w:after="0"/>
              <w:rPr>
                <w:sz w:val="20"/>
                <w:szCs w:val="20"/>
                <w:color w:val="auto"/>
              </w:rPr>
            </w:pPr>
            <w:r>
              <w:rPr>
                <w:rFonts w:ascii="Arial" w:cs="Arial" w:eastAsia="Arial" w:hAnsi="Arial"/>
                <w:sz w:val="17"/>
                <w:szCs w:val="17"/>
                <w:color w:val="auto"/>
              </w:rPr>
              <w:t>238,959</w:t>
            </w:r>
          </w:p>
        </w:tc>
        <w:tc>
          <w:tcPr>
            <w:tcW w:w="32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104,367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38"/>
              <w:spacing w:after="0"/>
              <w:rPr>
                <w:sz w:val="20"/>
                <w:szCs w:val="20"/>
                <w:color w:val="auto"/>
              </w:rPr>
            </w:pPr>
            <w:r>
              <w:rPr>
                <w:rFonts w:ascii="Arial" w:cs="Arial" w:eastAsia="Arial" w:hAnsi="Arial"/>
                <w:sz w:val="17"/>
                <w:szCs w:val="17"/>
                <w:color w:val="auto"/>
              </w:rPr>
              <w:t>134,592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38"/>
              <w:spacing w:after="0"/>
              <w:rPr>
                <w:sz w:val="20"/>
                <w:szCs w:val="20"/>
                <w:color w:val="auto"/>
              </w:rPr>
            </w:pPr>
            <w:r>
              <w:rPr>
                <w:rFonts w:ascii="Arial" w:cs="Arial" w:eastAsia="Arial" w:hAnsi="Arial"/>
                <w:sz w:val="17"/>
                <w:szCs w:val="17"/>
                <w:color w:val="auto"/>
              </w:rPr>
              <w:t>188,276</w:t>
            </w:r>
          </w:p>
        </w:tc>
        <w:tc>
          <w:tcPr>
            <w:tcW w:w="34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7"/>
              <w:spacing w:after="0"/>
              <w:rPr>
                <w:sz w:val="20"/>
                <w:szCs w:val="20"/>
                <w:color w:val="auto"/>
              </w:rPr>
            </w:pPr>
            <w:r>
              <w:rPr>
                <w:rFonts w:ascii="Arial" w:cs="Arial" w:eastAsia="Arial" w:hAnsi="Arial"/>
                <w:sz w:val="17"/>
                <w:szCs w:val="17"/>
                <w:color w:val="auto"/>
              </w:rPr>
              <w:t>79,688</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108,588</w:t>
            </w:r>
          </w:p>
        </w:tc>
      </w:tr>
      <w:tr>
        <w:trPr>
          <w:trHeight w:val="195"/>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Supplier agreements</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33,648</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9,052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38"/>
              <w:spacing w:after="0"/>
              <w:rPr>
                <w:sz w:val="20"/>
                <w:szCs w:val="20"/>
                <w:color w:val="auto"/>
              </w:rPr>
            </w:pPr>
            <w:r>
              <w:rPr>
                <w:rFonts w:ascii="Arial" w:cs="Arial" w:eastAsia="Arial" w:hAnsi="Arial"/>
                <w:sz w:val="17"/>
                <w:szCs w:val="17"/>
                <w:color w:val="auto"/>
              </w:rPr>
              <w:t>24,596</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38"/>
              <w:spacing w:after="0"/>
              <w:rPr>
                <w:sz w:val="20"/>
                <w:szCs w:val="20"/>
                <w:color w:val="auto"/>
              </w:rPr>
            </w:pPr>
            <w:r>
              <w:rPr>
                <w:rFonts w:ascii="Arial" w:cs="Arial" w:eastAsia="Arial" w:hAnsi="Arial"/>
                <w:sz w:val="17"/>
                <w:szCs w:val="17"/>
                <w:color w:val="auto"/>
              </w:rPr>
              <w:t>33,648</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7,310</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26,338</w:t>
            </w:r>
          </w:p>
        </w:tc>
      </w:tr>
      <w:tr>
        <w:trPr>
          <w:trHeight w:val="195"/>
        </w:trPr>
        <w:tc>
          <w:tcPr>
            <w:tcW w:w="2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Others</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33,750</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11,308</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7"/>
                <w:szCs w:val="17"/>
                <w:color w:val="auto"/>
              </w:rPr>
              <w:t>22,442</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7"/>
                <w:szCs w:val="17"/>
                <w:color w:val="auto"/>
              </w:rPr>
              <w:t>19,738</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8,634</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11,104</w:t>
            </w:r>
          </w:p>
        </w:tc>
      </w:tr>
      <w:tr>
        <w:trPr>
          <w:trHeight w:val="188"/>
        </w:trPr>
        <w:tc>
          <w:tcPr>
            <w:tcW w:w="2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9"/>
              <w:spacing w:after="0" w:line="188" w:lineRule="exact"/>
              <w:rPr>
                <w:sz w:val="20"/>
                <w:szCs w:val="20"/>
                <w:color w:val="auto"/>
              </w:rPr>
            </w:pPr>
            <w:r>
              <w:rPr>
                <w:rFonts w:ascii="Arial" w:cs="Arial" w:eastAsia="Arial" w:hAnsi="Arial"/>
                <w:sz w:val="17"/>
                <w:szCs w:val="17"/>
                <w:color w:val="auto"/>
              </w:rPr>
              <w:t>306,357</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56"/>
              <w:spacing w:after="0" w:line="188" w:lineRule="exact"/>
              <w:rPr>
                <w:sz w:val="20"/>
                <w:szCs w:val="20"/>
                <w:color w:val="auto"/>
              </w:rPr>
            </w:pPr>
            <w:r>
              <w:rPr>
                <w:rFonts w:ascii="Arial" w:cs="Arial" w:eastAsia="Arial" w:hAnsi="Arial"/>
                <w:sz w:val="17"/>
                <w:szCs w:val="17"/>
                <w:color w:val="auto"/>
              </w:rPr>
              <w:t>124,727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38"/>
              <w:spacing w:after="0" w:line="188" w:lineRule="exact"/>
              <w:rPr>
                <w:sz w:val="20"/>
                <w:szCs w:val="20"/>
                <w:color w:val="auto"/>
              </w:rPr>
            </w:pPr>
            <w:r>
              <w:rPr>
                <w:rFonts w:ascii="Arial" w:cs="Arial" w:eastAsia="Arial" w:hAnsi="Arial"/>
                <w:sz w:val="17"/>
                <w:szCs w:val="17"/>
                <w:color w:val="auto"/>
              </w:rPr>
              <w:t>181,630</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38"/>
              <w:spacing w:after="0" w:line="188" w:lineRule="exact"/>
              <w:rPr>
                <w:sz w:val="20"/>
                <w:szCs w:val="20"/>
                <w:color w:val="auto"/>
              </w:rPr>
            </w:pPr>
            <w:r>
              <w:rPr>
                <w:rFonts w:ascii="Arial" w:cs="Arial" w:eastAsia="Arial" w:hAnsi="Arial"/>
                <w:sz w:val="17"/>
                <w:szCs w:val="17"/>
                <w:color w:val="auto"/>
              </w:rPr>
              <w:t>241,662</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77"/>
              <w:spacing w:after="0" w:line="188" w:lineRule="exact"/>
              <w:rPr>
                <w:sz w:val="20"/>
                <w:szCs w:val="20"/>
                <w:color w:val="auto"/>
              </w:rPr>
            </w:pPr>
            <w:r>
              <w:rPr>
                <w:rFonts w:ascii="Arial" w:cs="Arial" w:eastAsia="Arial" w:hAnsi="Arial"/>
                <w:sz w:val="17"/>
                <w:szCs w:val="17"/>
                <w:color w:val="auto"/>
              </w:rPr>
              <w:t>95,632</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146,030</w:t>
            </w:r>
          </w:p>
        </w:tc>
      </w:tr>
      <w:tr>
        <w:trPr>
          <w:trHeight w:val="172"/>
        </w:trPr>
        <w:tc>
          <w:tcPr>
            <w:tcW w:w="2780" w:type="dxa"/>
            <w:vAlign w:val="bottom"/>
          </w:tcPr>
          <w:p>
            <w:pPr>
              <w:spacing w:after="0" w:line="172" w:lineRule="exact"/>
              <w:rPr>
                <w:sz w:val="20"/>
                <w:szCs w:val="20"/>
                <w:color w:val="auto"/>
              </w:rPr>
            </w:pPr>
            <w:r>
              <w:rPr>
                <w:rFonts w:ascii="Arial" w:cs="Arial" w:eastAsia="Arial" w:hAnsi="Arial"/>
                <w:sz w:val="17"/>
                <w:szCs w:val="17"/>
                <w:color w:val="auto"/>
              </w:rPr>
              <w:t>Intangible assets not subject to</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7"/>
        </w:trPr>
        <w:tc>
          <w:tcPr>
            <w:tcW w:w="2780" w:type="dxa"/>
            <w:vAlign w:val="bottom"/>
          </w:tcPr>
          <w:p>
            <w:pPr>
              <w:ind w:left="140"/>
              <w:spacing w:after="0"/>
              <w:rPr>
                <w:sz w:val="20"/>
                <w:szCs w:val="20"/>
                <w:color w:val="auto"/>
              </w:rPr>
            </w:pPr>
            <w:r>
              <w:rPr>
                <w:rFonts w:ascii="Arial" w:cs="Arial" w:eastAsia="Arial" w:hAnsi="Arial"/>
                <w:sz w:val="17"/>
                <w:szCs w:val="17"/>
                <w:color w:val="auto"/>
              </w:rPr>
              <w:t>amortization:</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5"/>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Trademark/trade name rights</w:t>
            </w: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rPr>
              <w:t>31,961</w:t>
            </w: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238"/>
              <w:spacing w:after="0"/>
              <w:rPr>
                <w:sz w:val="20"/>
                <w:szCs w:val="20"/>
                <w:color w:val="auto"/>
              </w:rPr>
            </w:pPr>
            <w:r>
              <w:rPr>
                <w:rFonts w:ascii="Arial" w:cs="Arial" w:eastAsia="Arial" w:hAnsi="Arial"/>
                <w:sz w:val="17"/>
                <w:szCs w:val="17"/>
                <w:color w:val="auto"/>
              </w:rPr>
              <w:t>31,961</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238"/>
              <w:spacing w:after="0"/>
              <w:rPr>
                <w:sz w:val="20"/>
                <w:szCs w:val="20"/>
                <w:color w:val="auto"/>
              </w:rPr>
            </w:pPr>
            <w:r>
              <w:rPr>
                <w:rFonts w:ascii="Arial" w:cs="Arial" w:eastAsia="Arial" w:hAnsi="Arial"/>
                <w:sz w:val="17"/>
                <w:szCs w:val="17"/>
                <w:color w:val="auto"/>
              </w:rPr>
              <w:t>21,172</w:t>
            </w: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center"/>
              <w:ind w:left="5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21,172</w:t>
            </w:r>
          </w:p>
        </w:tc>
      </w:tr>
      <w:tr>
        <w:trPr>
          <w:trHeight w:val="194"/>
        </w:trPr>
        <w:tc>
          <w:tcPr>
            <w:tcW w:w="27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99"/>
              <w:spacing w:after="0" w:line="188" w:lineRule="exact"/>
              <w:rPr>
                <w:sz w:val="20"/>
                <w:szCs w:val="20"/>
                <w:color w:val="auto"/>
              </w:rPr>
            </w:pPr>
            <w:r>
              <w:rPr>
                <w:rFonts w:ascii="Arial" w:cs="Arial" w:eastAsia="Arial" w:hAnsi="Arial"/>
                <w:sz w:val="17"/>
                <w:szCs w:val="17"/>
                <w:color w:val="auto"/>
              </w:rPr>
              <w:t>338,318</w:t>
            </w:r>
          </w:p>
        </w:tc>
        <w:tc>
          <w:tcPr>
            <w:tcW w:w="320" w:type="dxa"/>
            <w:vAlign w:val="bottom"/>
            <w:tcBorders>
              <w:bottom w:val="single" w:sz="8" w:color="auto"/>
            </w:tcBorders>
          </w:tcPr>
          <w:p>
            <w:pPr>
              <w:jc w:val="right"/>
              <w:ind w:right="2"/>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6"/>
              <w:spacing w:after="0" w:line="188" w:lineRule="exact"/>
              <w:rPr>
                <w:sz w:val="20"/>
                <w:szCs w:val="20"/>
                <w:color w:val="auto"/>
              </w:rPr>
            </w:pPr>
            <w:r>
              <w:rPr>
                <w:rFonts w:ascii="Arial" w:cs="Arial" w:eastAsia="Arial" w:hAnsi="Arial"/>
                <w:sz w:val="17"/>
                <w:szCs w:val="17"/>
                <w:color w:val="auto"/>
              </w:rPr>
              <w:t>124,727</w:t>
            </w:r>
          </w:p>
        </w:tc>
        <w:tc>
          <w:tcPr>
            <w:tcW w:w="2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ind w:right="238"/>
              <w:spacing w:after="0" w:line="188" w:lineRule="exact"/>
              <w:rPr>
                <w:sz w:val="20"/>
                <w:szCs w:val="20"/>
                <w:color w:val="auto"/>
              </w:rPr>
            </w:pPr>
            <w:r>
              <w:rPr>
                <w:rFonts w:ascii="Arial" w:cs="Arial" w:eastAsia="Arial" w:hAnsi="Arial"/>
                <w:sz w:val="17"/>
                <w:szCs w:val="17"/>
                <w:color w:val="auto"/>
              </w:rPr>
              <w:t>213,591</w:t>
            </w:r>
          </w:p>
        </w:tc>
        <w:tc>
          <w:tcPr>
            <w:tcW w:w="1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ind w:right="238"/>
              <w:spacing w:after="0" w:line="188" w:lineRule="exact"/>
              <w:rPr>
                <w:sz w:val="20"/>
                <w:szCs w:val="20"/>
                <w:color w:val="auto"/>
              </w:rPr>
            </w:pPr>
            <w:r>
              <w:rPr>
                <w:rFonts w:ascii="Arial" w:cs="Arial" w:eastAsia="Arial" w:hAnsi="Arial"/>
                <w:sz w:val="17"/>
                <w:szCs w:val="17"/>
                <w:color w:val="auto"/>
              </w:rPr>
              <w:t>262,834</w:t>
            </w:r>
          </w:p>
        </w:tc>
        <w:tc>
          <w:tcPr>
            <w:tcW w:w="340" w:type="dxa"/>
            <w:vAlign w:val="bottom"/>
            <w:tcBorders>
              <w:bottom w:val="single" w:sz="8" w:color="auto"/>
            </w:tcBorders>
          </w:tcPr>
          <w:p>
            <w:pPr>
              <w:jc w:val="right"/>
              <w:ind w:right="138"/>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77"/>
              <w:spacing w:after="0" w:line="188" w:lineRule="exact"/>
              <w:rPr>
                <w:sz w:val="20"/>
                <w:szCs w:val="20"/>
                <w:color w:val="auto"/>
              </w:rPr>
            </w:pPr>
            <w:r>
              <w:rPr>
                <w:rFonts w:ascii="Arial" w:cs="Arial" w:eastAsia="Arial" w:hAnsi="Arial"/>
                <w:sz w:val="17"/>
                <w:szCs w:val="17"/>
                <w:color w:val="auto"/>
              </w:rPr>
              <w:t>95,632</w:t>
            </w:r>
          </w:p>
        </w:tc>
        <w:tc>
          <w:tcPr>
            <w:tcW w:w="280" w:type="dxa"/>
            <w:vAlign w:val="bottom"/>
            <w:tcBorders>
              <w:bottom w:val="single" w:sz="8" w:color="auto"/>
            </w:tcBorders>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167,202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Intangible amortization expense for 2014, 2013 and 2012 was $29.1 million, $22.4 million and $18.1 million, respectively.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5" w:name="page66"/>
    <w:bookmarkEnd w:id="65"/>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future estimated amortization of our identifiable intangible assets is as follows (in thousands):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2015</w:t>
            </w:r>
          </w:p>
        </w:tc>
        <w:tc>
          <w:tcPr>
            <w:tcW w:w="4400" w:type="dxa"/>
            <w:vAlign w:val="bottom"/>
            <w:tcBorders>
              <w:top w:val="single" w:sz="8" w:color="auto"/>
            </w:tcBorders>
            <w:shd w:val="clear" w:color="auto" w:fill="CCEEFF"/>
          </w:tcPr>
          <w:p>
            <w:pPr>
              <w:jc w:val="right"/>
              <w:ind w:right="114"/>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28,770</w:t>
            </w:r>
          </w:p>
        </w:tc>
      </w:tr>
      <w:tr>
        <w:trPr>
          <w:trHeight w:val="195"/>
        </w:trPr>
        <w:tc>
          <w:tcPr>
            <w:tcW w:w="4900" w:type="dxa"/>
            <w:vAlign w:val="bottom"/>
          </w:tcPr>
          <w:p>
            <w:pPr>
              <w:spacing w:after="0"/>
              <w:rPr>
                <w:sz w:val="20"/>
                <w:szCs w:val="20"/>
                <w:color w:val="auto"/>
              </w:rPr>
            </w:pPr>
            <w:r>
              <w:rPr>
                <w:rFonts w:ascii="Arial" w:cs="Arial" w:eastAsia="Arial" w:hAnsi="Arial"/>
                <w:sz w:val="17"/>
                <w:szCs w:val="17"/>
                <w:color w:val="auto"/>
              </w:rPr>
              <w:t>2016</w:t>
            </w:r>
          </w:p>
        </w:tc>
        <w:tc>
          <w:tcPr>
            <w:tcW w:w="4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26,109</w:t>
            </w:r>
          </w:p>
        </w:tc>
      </w:tr>
      <w:tr>
        <w:trPr>
          <w:trHeight w:val="195"/>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44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22,456</w:t>
            </w:r>
          </w:p>
        </w:tc>
      </w:tr>
      <w:tr>
        <w:trPr>
          <w:trHeight w:val="195"/>
        </w:trPr>
        <w:tc>
          <w:tcPr>
            <w:tcW w:w="4900" w:type="dxa"/>
            <w:vAlign w:val="bottom"/>
          </w:tcPr>
          <w:p>
            <w:pPr>
              <w:spacing w:after="0"/>
              <w:rPr>
                <w:sz w:val="20"/>
                <w:szCs w:val="20"/>
                <w:color w:val="auto"/>
              </w:rPr>
            </w:pPr>
            <w:r>
              <w:rPr>
                <w:rFonts w:ascii="Arial" w:cs="Arial" w:eastAsia="Arial" w:hAnsi="Arial"/>
                <w:sz w:val="17"/>
                <w:szCs w:val="17"/>
                <w:color w:val="auto"/>
              </w:rPr>
              <w:t>2018</w:t>
            </w:r>
          </w:p>
        </w:tc>
        <w:tc>
          <w:tcPr>
            <w:tcW w:w="4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19,643</w:t>
            </w:r>
          </w:p>
        </w:tc>
      </w:tr>
      <w:tr>
        <w:trPr>
          <w:trHeight w:val="195"/>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4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16,271</w:t>
            </w:r>
          </w:p>
        </w:tc>
      </w:tr>
      <w:tr>
        <w:trPr>
          <w:trHeight w:val="195"/>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Thereafter</w:t>
            </w:r>
          </w:p>
        </w:tc>
        <w:tc>
          <w:tcPr>
            <w:tcW w:w="4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68,381</w:t>
            </w:r>
          </w:p>
        </w:tc>
      </w:tr>
      <w:tr>
        <w:trPr>
          <w:trHeight w:val="194"/>
        </w:trPr>
        <w:tc>
          <w:tcPr>
            <w:tcW w:w="4900" w:type="dxa"/>
            <w:vAlign w:val="bottom"/>
            <w:tcBorders>
              <w:bottom w:val="single" w:sz="8" w:color="auto"/>
            </w:tcBorders>
            <w:shd w:val="clear" w:color="auto" w:fill="CCEEFF"/>
          </w:tcPr>
          <w:p>
            <w:pPr>
              <w:spacing w:after="0"/>
              <w:rPr>
                <w:sz w:val="16"/>
                <w:szCs w:val="16"/>
                <w:color w:val="auto"/>
              </w:rPr>
            </w:pPr>
          </w:p>
        </w:tc>
        <w:tc>
          <w:tcPr>
            <w:tcW w:w="4400" w:type="dxa"/>
            <w:vAlign w:val="bottom"/>
            <w:tcBorders>
              <w:bottom w:val="single" w:sz="8" w:color="auto"/>
            </w:tcBorders>
            <w:shd w:val="clear" w:color="auto" w:fill="CCEEFF"/>
          </w:tcPr>
          <w:p>
            <w:pPr>
              <w:jc w:val="right"/>
              <w:ind w:right="114"/>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181,630</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144"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On January 30, 2015, we amended our senior revolving credit facility (“Credit Facility”) to, among other things, increase the maximum availability under the Credit Facility from $1.10 billion to $1.26 billion and added a new $100.0 million term loan facility to our existing senior term loans (“Term Loans”), for a total amount outstanding of $341.3 million. Under the Credit Facility, we have the right to request increases in available borrowings up to an additional $150.0 million, subject to the satisfaction of certain conditions. Additionally, the Credit Facility has a sublimit of $400.0 million for the issuance of letters of credit and bankers’ acceptances and matures in October 2018. We had outstanding borrowings under our Credit Facility totaling $420.0 million and $200.0 million as of December 31, 2014 and 2013, respectively. Our issued letters of credit under the Credit Facility totaled $14.8 million and $7.4 million as of December 31, 2014 and 2013, respectively. We also had $241.3 million and $242.5 million in Term Loans outstanding as of December 31, 2014 and 2013, respectively. As of December 31, 2014 and 2013, the unused portion of our Credit Facility was $665.2 million and $892.6 million, respectively.</w:t>
      </w:r>
    </w:p>
    <w:p>
      <w:pPr>
        <w:spacing w:after="0" w:line="89"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Borrowings under our Credit Facility and Term Loans related to base rate loans or Eurodollar rate loans bear floating interest rates plus applicable margins. As of December 31, 2014, the applicable margins for base rate loans and Eurodollar rate loans were 1.25% and 2.25%, respectively. Letters of credit issued under our Credit Facility are subject to letter of credit fees of 2.50% as of December 31, 2014, and the unused portion of our Credit Facility is subject to commitment fees of 0.30% as of December 31, 2014.</w:t>
      </w:r>
    </w:p>
    <w:p>
      <w:pPr>
        <w:spacing w:after="0" w:line="91" w:lineRule="exact"/>
        <w:rPr>
          <w:sz w:val="20"/>
          <w:szCs w:val="20"/>
          <w:color w:val="auto"/>
        </w:rPr>
      </w:pPr>
    </w:p>
    <w:p>
      <w:pPr>
        <w:jc w:val="both"/>
        <w:ind w:right="20"/>
        <w:spacing w:after="0" w:line="201" w:lineRule="exact"/>
        <w:rPr>
          <w:sz w:val="20"/>
          <w:szCs w:val="20"/>
          <w:color w:val="auto"/>
        </w:rPr>
      </w:pPr>
      <w:r>
        <w:rPr>
          <w:rFonts w:ascii="Arial" w:cs="Arial" w:eastAsia="Arial" w:hAnsi="Arial"/>
          <w:sz w:val="17"/>
          <w:szCs w:val="17"/>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7"/>
          <w:szCs w:val="17"/>
          <w:color w:val="auto"/>
        </w:rPr>
        <w:t>‑</w:t>
      </w:r>
      <w:r>
        <w:rPr>
          <w:rFonts w:ascii="Arial" w:cs="Arial" w:eastAsia="Arial" w:hAnsi="Arial"/>
          <w:sz w:val="17"/>
          <w:szCs w:val="17"/>
          <w:color w:val="auto"/>
        </w:rPr>
        <w:t xml:space="preserve"> 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2014, we were in compliance with all financial and other covenants contained in our Credit Facility and our Term Loans.</w:t>
      </w:r>
    </w:p>
    <w:p>
      <w:pPr>
        <w:spacing w:after="0" w:line="103"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2014 and 2013, our outstanding letters of credit and bank guarantees under these credit lines totaled $211.4 million and $150.6 million, respectively.</w:t>
      </w:r>
    </w:p>
    <w:p>
      <w:pPr>
        <w:spacing w:after="0" w:line="78"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Our debt consisted of the following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w w:val="98"/>
              </w:rPr>
              <w:t>As of December 31,</w:t>
            </w:r>
          </w:p>
        </w:tc>
      </w:tr>
      <w:tr>
        <w:trPr>
          <w:trHeight w:val="188"/>
        </w:trPr>
        <w:tc>
          <w:tcPr>
            <w:tcW w:w="36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6"/>
                <w:szCs w:val="16"/>
                <w:color w:val="auto"/>
              </w:rPr>
            </w:pPr>
          </w:p>
        </w:tc>
      </w:tr>
      <w:tr>
        <w:trPr>
          <w:trHeight w:val="188"/>
        </w:trPr>
        <w:tc>
          <w:tcPr>
            <w:tcW w:w="36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Credit Facility</w:t>
            </w:r>
          </w:p>
        </w:tc>
        <w:tc>
          <w:tcPr>
            <w:tcW w:w="422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420,000</w:t>
            </w:r>
          </w:p>
        </w:tc>
        <w:tc>
          <w:tcPr>
            <w:tcW w:w="540" w:type="dxa"/>
            <w:vAlign w:val="bottom"/>
            <w:shd w:val="clear" w:color="auto" w:fill="CCEEFF"/>
          </w:tcPr>
          <w:p>
            <w:pPr>
              <w:jc w:val="right"/>
              <w:ind w:right="99"/>
              <w:spacing w:after="0" w:line="188"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200,000</w:t>
            </w:r>
          </w:p>
        </w:tc>
        <w:tc>
          <w:tcPr>
            <w:tcW w:w="20" w:type="dxa"/>
            <w:vAlign w:val="bottom"/>
          </w:tcPr>
          <w:p>
            <w:pPr>
              <w:spacing w:after="0"/>
              <w:rPr>
                <w:sz w:val="16"/>
                <w:szCs w:val="16"/>
                <w:color w:val="auto"/>
              </w:rPr>
            </w:pPr>
          </w:p>
        </w:tc>
      </w:tr>
      <w:tr>
        <w:trPr>
          <w:trHeight w:val="195"/>
        </w:trPr>
        <w:tc>
          <w:tcPr>
            <w:tcW w:w="3600" w:type="dxa"/>
            <w:vAlign w:val="bottom"/>
          </w:tcPr>
          <w:p>
            <w:pPr>
              <w:spacing w:after="0"/>
              <w:rPr>
                <w:sz w:val="20"/>
                <w:szCs w:val="20"/>
                <w:color w:val="auto"/>
              </w:rPr>
            </w:pPr>
            <w:r>
              <w:rPr>
                <w:rFonts w:ascii="Arial" w:cs="Arial" w:eastAsia="Arial" w:hAnsi="Arial"/>
                <w:sz w:val="17"/>
                <w:szCs w:val="17"/>
                <w:color w:val="auto"/>
              </w:rPr>
              <w:t>Term Loans</w:t>
            </w: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241,288</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242,500</w:t>
            </w:r>
          </w:p>
        </w:tc>
        <w:tc>
          <w:tcPr>
            <w:tcW w:w="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Acquisition promissory notes</w:t>
            </w:r>
          </w:p>
        </w:tc>
        <w:tc>
          <w:tcPr>
            <w:tcW w:w="3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12,635</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13,403</w:t>
            </w:r>
          </w:p>
        </w:tc>
        <w:tc>
          <w:tcPr>
            <w:tcW w:w="20" w:type="dxa"/>
            <w:vAlign w:val="bottom"/>
          </w:tcPr>
          <w:p>
            <w:pPr>
              <w:spacing w:after="0"/>
              <w:rPr>
                <w:sz w:val="16"/>
                <w:szCs w:val="16"/>
                <w:color w:val="auto"/>
              </w:rPr>
            </w:pPr>
          </w:p>
        </w:tc>
      </w:tr>
      <w:tr>
        <w:trPr>
          <w:trHeight w:val="195"/>
        </w:trPr>
        <w:tc>
          <w:tcPr>
            <w:tcW w:w="3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3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15,945</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7,808</w:t>
            </w:r>
          </w:p>
        </w:tc>
        <w:tc>
          <w:tcPr>
            <w:tcW w:w="20" w:type="dxa"/>
            <w:vAlign w:val="bottom"/>
          </w:tcPr>
          <w:p>
            <w:pPr>
              <w:spacing w:after="0"/>
              <w:rPr>
                <w:sz w:val="16"/>
                <w:szCs w:val="16"/>
                <w:color w:val="auto"/>
              </w:rPr>
            </w:pPr>
          </w:p>
        </w:tc>
      </w:tr>
      <w:tr>
        <w:trPr>
          <w:trHeight w:val="188"/>
        </w:trPr>
        <w:tc>
          <w:tcPr>
            <w:tcW w:w="36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Total debt</w:t>
            </w:r>
          </w:p>
        </w:tc>
        <w:tc>
          <w:tcPr>
            <w:tcW w:w="3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689,868</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463,711</w:t>
            </w:r>
          </w:p>
        </w:tc>
        <w:tc>
          <w:tcPr>
            <w:tcW w:w="20" w:type="dxa"/>
            <w:vAlign w:val="bottom"/>
          </w:tcPr>
          <w:p>
            <w:pPr>
              <w:spacing w:after="0"/>
              <w:rPr>
                <w:sz w:val="16"/>
                <w:szCs w:val="16"/>
                <w:color w:val="auto"/>
              </w:rPr>
            </w:pPr>
          </w:p>
        </w:tc>
      </w:tr>
      <w:tr>
        <w:trPr>
          <w:trHeight w:val="195"/>
        </w:trPr>
        <w:tc>
          <w:tcPr>
            <w:tcW w:w="3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Short-term debt</w:t>
            </w:r>
          </w:p>
        </w:tc>
        <w:tc>
          <w:tcPr>
            <w:tcW w:w="3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17,914</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14,647</w:t>
            </w:r>
          </w:p>
        </w:tc>
        <w:tc>
          <w:tcPr>
            <w:tcW w:w="20" w:type="dxa"/>
            <w:vAlign w:val="bottom"/>
          </w:tcPr>
          <w:p>
            <w:pPr>
              <w:spacing w:after="0"/>
              <w:rPr>
                <w:sz w:val="16"/>
                <w:szCs w:val="16"/>
                <w:color w:val="auto"/>
              </w:rPr>
            </w:pPr>
          </w:p>
        </w:tc>
      </w:tr>
      <w:tr>
        <w:trPr>
          <w:trHeight w:val="194"/>
        </w:trPr>
        <w:tc>
          <w:tcPr>
            <w:tcW w:w="360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Long-term debt</w:t>
            </w:r>
          </w:p>
        </w:tc>
        <w:tc>
          <w:tcPr>
            <w:tcW w:w="4220" w:type="dxa"/>
            <w:vAlign w:val="bottom"/>
            <w:tcBorders>
              <w:bottom w:val="single" w:sz="8" w:color="auto"/>
            </w:tcBorders>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6"/>
              <w:spacing w:after="0" w:line="188" w:lineRule="exact"/>
              <w:rPr>
                <w:sz w:val="20"/>
                <w:szCs w:val="20"/>
                <w:color w:val="auto"/>
              </w:rPr>
            </w:pPr>
            <w:r>
              <w:rPr>
                <w:rFonts w:ascii="Arial" w:cs="Arial" w:eastAsia="Arial" w:hAnsi="Arial"/>
                <w:sz w:val="17"/>
                <w:szCs w:val="17"/>
                <w:color w:val="auto"/>
              </w:rPr>
              <w:t>671,954</w:t>
            </w:r>
          </w:p>
        </w:tc>
        <w:tc>
          <w:tcPr>
            <w:tcW w:w="540" w:type="dxa"/>
            <w:vAlign w:val="bottom"/>
            <w:tcBorders>
              <w:bottom w:val="single" w:sz="8" w:color="auto"/>
            </w:tcBorders>
            <w:shd w:val="clear" w:color="auto" w:fill="CCEEFF"/>
          </w:tcPr>
          <w:p>
            <w:pPr>
              <w:jc w:val="right"/>
              <w:ind w:right="99"/>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449,064</w:t>
            </w:r>
          </w:p>
        </w:tc>
        <w:tc>
          <w:tcPr>
            <w:tcW w:w="20" w:type="dxa"/>
            <w:vAlign w:val="bottom"/>
          </w:tcPr>
          <w:p>
            <w:pPr>
              <w:spacing w:after="0"/>
              <w:rPr>
                <w:sz w:val="16"/>
                <w:szCs w:val="16"/>
                <w:color w:val="auto"/>
              </w:rPr>
            </w:pPr>
          </w:p>
        </w:tc>
      </w:tr>
      <w:tr>
        <w:trPr>
          <w:trHeight w:val="614"/>
        </w:trPr>
        <w:tc>
          <w:tcPr>
            <w:tcW w:w="3600" w:type="dxa"/>
            <w:vAlign w:val="bottom"/>
          </w:tcPr>
          <w:p>
            <w:pPr>
              <w:spacing w:after="0"/>
              <w:rPr>
                <w:sz w:val="24"/>
                <w:szCs w:val="24"/>
                <w:color w:val="auto"/>
              </w:rPr>
            </w:pPr>
          </w:p>
        </w:tc>
        <w:tc>
          <w:tcPr>
            <w:tcW w:w="3940" w:type="dxa"/>
            <w:vAlign w:val="bottom"/>
          </w:tcPr>
          <w:p>
            <w:pPr>
              <w:jc w:val="right"/>
              <w:ind w:right="2254"/>
              <w:spacing w:after="0"/>
              <w:rPr>
                <w:sz w:val="20"/>
                <w:szCs w:val="20"/>
                <w:color w:val="auto"/>
              </w:rPr>
            </w:pPr>
            <w:r>
              <w:rPr>
                <w:rFonts w:ascii="Arial" w:cs="Arial" w:eastAsia="Arial" w:hAnsi="Arial"/>
                <w:sz w:val="17"/>
                <w:szCs w:val="17"/>
                <w:color w:val="auto"/>
              </w:rPr>
              <w:t>64</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3600" w:type="dxa"/>
            <w:vAlign w:val="bottom"/>
            <w:tcBorders>
              <w:bottom w:val="single" w:sz="8" w:color="9A9A9A"/>
            </w:tcBorders>
          </w:tcPr>
          <w:p>
            <w:pPr>
              <w:spacing w:after="0"/>
              <w:rPr>
                <w:sz w:val="7"/>
                <w:szCs w:val="7"/>
                <w:color w:val="auto"/>
              </w:rPr>
            </w:pPr>
          </w:p>
        </w:tc>
        <w:tc>
          <w:tcPr>
            <w:tcW w:w="39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3600" w:type="dxa"/>
            <w:vAlign w:val="bottom"/>
            <w:tcBorders>
              <w:bottom w:val="single" w:sz="8" w:color="EEEEEE"/>
            </w:tcBorders>
          </w:tcPr>
          <w:p>
            <w:pPr>
              <w:spacing w:after="0" w:line="20" w:lineRule="exact"/>
              <w:rPr>
                <w:sz w:val="1"/>
                <w:szCs w:val="1"/>
                <w:color w:val="auto"/>
              </w:rPr>
            </w:pPr>
          </w:p>
        </w:tc>
        <w:tc>
          <w:tcPr>
            <w:tcW w:w="39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66" w:name="page67"/>
    <w:bookmarkEnd w:id="66"/>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02" w:lineRule="exact"/>
        <w:rPr>
          <w:sz w:val="20"/>
          <w:szCs w:val="20"/>
          <w:color w:val="auto"/>
        </w:rPr>
      </w:pPr>
      <w:r>
        <w:rPr>
          <w:rFonts w:ascii="Arial" w:cs="Arial" w:eastAsia="Arial" w:hAnsi="Arial"/>
          <w:sz w:val="17"/>
          <w:szCs w:val="17"/>
          <w:color w:val="auto"/>
        </w:rPr>
        <w:t>The acquisition promissory notes are payable in varying amounts from April 2015 to July 2017 and bear interest at annual rates of approximately 1.2% as of December 31, 2014. The other debt primarily relates to capital leases and loans payable to noncontrolling shareholders of a consolidated subsidiary which are payable in varying amounts through August 2021 and bear interest at annual rates ranging from 2.2% to 6.3% as of December 31, 2014. The weighted average interest rate on our short</w:t>
      </w:r>
      <w:r>
        <w:rPr>
          <w:rFonts w:ascii="MS PGothic" w:cs="MS PGothic" w:eastAsia="MS PGothic" w:hAnsi="MS PGothic"/>
          <w:sz w:val="17"/>
          <w:szCs w:val="17"/>
          <w:color w:val="auto"/>
        </w:rPr>
        <w:t>‑</w:t>
      </w:r>
      <w:r>
        <w:rPr>
          <w:rFonts w:ascii="Arial" w:cs="Arial" w:eastAsia="Arial" w:hAnsi="Arial"/>
          <w:sz w:val="17"/>
          <w:szCs w:val="17"/>
          <w:color w:val="auto"/>
        </w:rPr>
        <w:t>term debt was 2.2% and 2.1% as of December 31, 2014 and 2013,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the aggregate annual maturities of debt are as follows (in thousands):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2015</w:t>
            </w:r>
          </w:p>
        </w:tc>
        <w:tc>
          <w:tcPr>
            <w:tcW w:w="4400" w:type="dxa"/>
            <w:vAlign w:val="bottom"/>
            <w:tcBorders>
              <w:top w:val="single" w:sz="8" w:color="auto"/>
            </w:tcBorders>
            <w:shd w:val="clear" w:color="auto" w:fill="CCEEFF"/>
          </w:tcPr>
          <w:p>
            <w:pPr>
              <w:jc w:val="right"/>
              <w:ind w:right="194"/>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17,914</w:t>
            </w:r>
          </w:p>
        </w:tc>
      </w:tr>
      <w:tr>
        <w:trPr>
          <w:trHeight w:val="195"/>
        </w:trPr>
        <w:tc>
          <w:tcPr>
            <w:tcW w:w="4840" w:type="dxa"/>
            <w:vAlign w:val="bottom"/>
          </w:tcPr>
          <w:p>
            <w:pPr>
              <w:spacing w:after="0"/>
              <w:rPr>
                <w:sz w:val="20"/>
                <w:szCs w:val="20"/>
                <w:color w:val="auto"/>
              </w:rPr>
            </w:pPr>
            <w:r>
              <w:rPr>
                <w:rFonts w:ascii="Arial" w:cs="Arial" w:eastAsia="Arial" w:hAnsi="Arial"/>
                <w:sz w:val="17"/>
                <w:szCs w:val="17"/>
                <w:color w:val="auto"/>
              </w:rPr>
              <w:t>2016</w:t>
            </w:r>
          </w:p>
        </w:tc>
        <w:tc>
          <w:tcPr>
            <w:tcW w:w="4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18,042</w:t>
            </w:r>
          </w:p>
        </w:tc>
      </w:tr>
      <w:tr>
        <w:trPr>
          <w:trHeight w:val="19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4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20,833</w:t>
            </w:r>
          </w:p>
        </w:tc>
      </w:tr>
      <w:tr>
        <w:trPr>
          <w:trHeight w:val="195"/>
        </w:trPr>
        <w:tc>
          <w:tcPr>
            <w:tcW w:w="4840" w:type="dxa"/>
            <w:vAlign w:val="bottom"/>
          </w:tcPr>
          <w:p>
            <w:pPr>
              <w:spacing w:after="0"/>
              <w:rPr>
                <w:sz w:val="20"/>
                <w:szCs w:val="20"/>
                <w:color w:val="auto"/>
              </w:rPr>
            </w:pPr>
            <w:r>
              <w:rPr>
                <w:rFonts w:ascii="Arial" w:cs="Arial" w:eastAsia="Arial" w:hAnsi="Arial"/>
                <w:sz w:val="17"/>
                <w:szCs w:val="17"/>
                <w:color w:val="auto"/>
              </w:rPr>
              <w:t>2018</w:t>
            </w:r>
          </w:p>
        </w:tc>
        <w:tc>
          <w:tcPr>
            <w:tcW w:w="4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631,901</w:t>
            </w:r>
          </w:p>
        </w:tc>
      </w:tr>
      <w:tr>
        <w:trPr>
          <w:trHeight w:val="19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r>
      <w:tr>
        <w:trPr>
          <w:trHeight w:val="195"/>
        </w:trPr>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Thereafter</w:t>
            </w:r>
          </w:p>
        </w:tc>
        <w:tc>
          <w:tcPr>
            <w:tcW w:w="4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r>
      <w:tr>
        <w:trPr>
          <w:trHeight w:val="194"/>
        </w:trPr>
        <w:tc>
          <w:tcPr>
            <w:tcW w:w="4840" w:type="dxa"/>
            <w:vAlign w:val="bottom"/>
            <w:tcBorders>
              <w:bottom w:val="single" w:sz="8" w:color="auto"/>
            </w:tcBorders>
            <w:shd w:val="clear" w:color="auto" w:fill="CCEEFF"/>
          </w:tcPr>
          <w:p>
            <w:pPr>
              <w:spacing w:after="0"/>
              <w:rPr>
                <w:sz w:val="16"/>
                <w:szCs w:val="16"/>
                <w:color w:val="auto"/>
              </w:rPr>
            </w:pPr>
          </w:p>
        </w:tc>
        <w:tc>
          <w:tcPr>
            <w:tcW w:w="4400" w:type="dxa"/>
            <w:vAlign w:val="bottom"/>
            <w:tcBorders>
              <w:bottom w:val="single" w:sz="8" w:color="auto"/>
            </w:tcBorders>
            <w:shd w:val="clear" w:color="auto" w:fill="CCEEFF"/>
          </w:tcPr>
          <w:p>
            <w:pPr>
              <w:jc w:val="right"/>
              <w:ind w:right="194"/>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689,868</w:t>
            </w:r>
          </w:p>
        </w:tc>
      </w:tr>
    </w:tbl>
    <w:p>
      <w:pPr>
        <w:spacing w:after="0" w:line="17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provides additional information about our interest income and expense and other financing costs, net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49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Interest income</w:t>
            </w:r>
          </w:p>
        </w:tc>
        <w:tc>
          <w:tcPr>
            <w:tcW w:w="1940" w:type="dxa"/>
            <w:vAlign w:val="bottom"/>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98"/>
              <w:spacing w:after="0" w:line="188" w:lineRule="exact"/>
              <w:rPr>
                <w:sz w:val="20"/>
                <w:szCs w:val="20"/>
                <w:color w:val="auto"/>
              </w:rPr>
            </w:pPr>
            <w:r>
              <w:rPr>
                <w:rFonts w:ascii="Arial" w:cs="Arial" w:eastAsia="Arial" w:hAnsi="Arial"/>
                <w:sz w:val="17"/>
                <w:szCs w:val="17"/>
                <w:color w:val="auto"/>
              </w:rPr>
              <w:t>5,993</w:t>
            </w:r>
          </w:p>
        </w:tc>
        <w:tc>
          <w:tcPr>
            <w:tcW w:w="360" w:type="dxa"/>
            <w:vAlign w:val="bottom"/>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98"/>
              <w:spacing w:after="0" w:line="188" w:lineRule="exact"/>
              <w:rPr>
                <w:sz w:val="20"/>
                <w:szCs w:val="20"/>
                <w:color w:val="auto"/>
              </w:rPr>
            </w:pPr>
            <w:r>
              <w:rPr>
                <w:rFonts w:ascii="Arial" w:cs="Arial" w:eastAsia="Arial" w:hAnsi="Arial"/>
                <w:sz w:val="17"/>
                <w:szCs w:val="17"/>
                <w:color w:val="auto"/>
              </w:rPr>
              <w:t>3,882</w:t>
            </w:r>
          </w:p>
        </w:tc>
        <w:tc>
          <w:tcPr>
            <w:tcW w:w="340" w:type="dxa"/>
            <w:vAlign w:val="bottom"/>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908</w:t>
            </w:r>
          </w:p>
        </w:tc>
      </w:tr>
      <w:tr>
        <w:trPr>
          <w:trHeight w:val="195"/>
        </w:trPr>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expense and other financing costs</w:t>
            </w:r>
          </w:p>
        </w:tc>
        <w:tc>
          <w:tcPr>
            <w:tcW w:w="19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(31,230)</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(21,169)</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(20,005)</w:t>
            </w:r>
          </w:p>
        </w:tc>
      </w:tr>
      <w:tr>
        <w:trPr>
          <w:trHeight w:val="194"/>
        </w:trPr>
        <w:tc>
          <w:tcPr>
            <w:tcW w:w="494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8"/>
              <w:spacing w:after="0" w:line="188" w:lineRule="exact"/>
              <w:rPr>
                <w:sz w:val="20"/>
                <w:szCs w:val="20"/>
                <w:color w:val="auto"/>
              </w:rPr>
            </w:pPr>
            <w:r>
              <w:rPr>
                <w:rFonts w:ascii="Arial" w:cs="Arial" w:eastAsia="Arial" w:hAnsi="Arial"/>
                <w:sz w:val="17"/>
                <w:szCs w:val="17"/>
                <w:color w:val="auto"/>
              </w:rPr>
              <w:t>(25,237)</w:t>
            </w:r>
          </w:p>
        </w:tc>
        <w:tc>
          <w:tcPr>
            <w:tcW w:w="36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38"/>
              <w:spacing w:after="0" w:line="188" w:lineRule="exact"/>
              <w:rPr>
                <w:sz w:val="20"/>
                <w:szCs w:val="20"/>
                <w:color w:val="auto"/>
              </w:rPr>
            </w:pPr>
            <w:r>
              <w:rPr>
                <w:rFonts w:ascii="Arial" w:cs="Arial" w:eastAsia="Arial" w:hAnsi="Arial"/>
                <w:sz w:val="17"/>
                <w:szCs w:val="17"/>
                <w:color w:val="auto"/>
              </w:rPr>
              <w:t>(17,287)</w:t>
            </w:r>
          </w:p>
        </w:tc>
        <w:tc>
          <w:tcPr>
            <w:tcW w:w="34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(19,097)</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Surety Bonds</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the normal course of business, we are required to post bid, performance and garnishment bonds. The majority of the surety bonds posted relate to our aviation and land segments. As of December 31, 2014 and 2013, we had outstanding bonds that were arranged in order to satisfy various security requirements of $38.7 million and $34.1 million, respectively. Most of these bonds provide financial security for obligations which have already been recorded as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Commitments</w:t>
      </w:r>
    </w:p>
    <w:p>
      <w:pPr>
        <w:spacing w:after="0" w:line="19"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As of December 31, 2014, our future minimum lease payments under non</w:t>
      </w:r>
      <w:r>
        <w:rPr>
          <w:rFonts w:ascii="MS PGothic" w:cs="MS PGothic" w:eastAsia="MS PGothic" w:hAnsi="MS PGothic"/>
          <w:sz w:val="17"/>
          <w:szCs w:val="17"/>
          <w:color w:val="auto"/>
        </w:rPr>
        <w:t>‑</w:t>
      </w:r>
      <w:r>
        <w:rPr>
          <w:rFonts w:ascii="Arial" w:cs="Arial" w:eastAsia="Arial" w:hAnsi="Arial"/>
          <w:sz w:val="17"/>
          <w:szCs w:val="17"/>
          <w:color w:val="auto"/>
        </w:rPr>
        <w:t>cancelable operating leases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2015</w:t>
            </w:r>
          </w:p>
        </w:tc>
        <w:tc>
          <w:tcPr>
            <w:tcW w:w="4400" w:type="dxa"/>
            <w:vAlign w:val="bottom"/>
            <w:tcBorders>
              <w:top w:val="single" w:sz="8" w:color="auto"/>
            </w:tcBorders>
            <w:shd w:val="clear" w:color="auto" w:fill="CCEEFF"/>
          </w:tcPr>
          <w:p>
            <w:pPr>
              <w:jc w:val="right"/>
              <w:ind w:right="21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37,766</w:t>
            </w:r>
          </w:p>
        </w:tc>
      </w:tr>
      <w:tr>
        <w:trPr>
          <w:trHeight w:val="195"/>
        </w:trPr>
        <w:tc>
          <w:tcPr>
            <w:tcW w:w="4820" w:type="dxa"/>
            <w:vAlign w:val="bottom"/>
          </w:tcPr>
          <w:p>
            <w:pPr>
              <w:spacing w:after="0"/>
              <w:rPr>
                <w:sz w:val="20"/>
                <w:szCs w:val="20"/>
                <w:color w:val="auto"/>
              </w:rPr>
            </w:pPr>
            <w:r>
              <w:rPr>
                <w:rFonts w:ascii="Arial" w:cs="Arial" w:eastAsia="Arial" w:hAnsi="Arial"/>
                <w:sz w:val="17"/>
                <w:szCs w:val="17"/>
                <w:color w:val="auto"/>
              </w:rPr>
              <w:t>2016</w:t>
            </w:r>
          </w:p>
        </w:tc>
        <w:tc>
          <w:tcPr>
            <w:tcW w:w="4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31,949</w:t>
            </w:r>
          </w:p>
        </w:tc>
      </w:tr>
      <w:tr>
        <w:trPr>
          <w:trHeight w:val="19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4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22,790</w:t>
            </w:r>
          </w:p>
        </w:tc>
      </w:tr>
      <w:tr>
        <w:trPr>
          <w:trHeight w:val="195"/>
        </w:trPr>
        <w:tc>
          <w:tcPr>
            <w:tcW w:w="4820" w:type="dxa"/>
            <w:vAlign w:val="bottom"/>
          </w:tcPr>
          <w:p>
            <w:pPr>
              <w:spacing w:after="0"/>
              <w:rPr>
                <w:sz w:val="20"/>
                <w:szCs w:val="20"/>
                <w:color w:val="auto"/>
              </w:rPr>
            </w:pPr>
            <w:r>
              <w:rPr>
                <w:rFonts w:ascii="Arial" w:cs="Arial" w:eastAsia="Arial" w:hAnsi="Arial"/>
                <w:sz w:val="17"/>
                <w:szCs w:val="17"/>
                <w:color w:val="auto"/>
              </w:rPr>
              <w:t>2018</w:t>
            </w:r>
          </w:p>
        </w:tc>
        <w:tc>
          <w:tcPr>
            <w:tcW w:w="4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16,645</w:t>
            </w:r>
          </w:p>
        </w:tc>
      </w:tr>
      <w:tr>
        <w:trPr>
          <w:trHeight w:val="19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13,592</w:t>
            </w:r>
          </w:p>
        </w:tc>
      </w:tr>
      <w:tr>
        <w:trPr>
          <w:trHeight w:val="195"/>
        </w:trPr>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Thereafter</w:t>
            </w:r>
          </w:p>
        </w:tc>
        <w:tc>
          <w:tcPr>
            <w:tcW w:w="4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36,558</w:t>
            </w:r>
          </w:p>
        </w:tc>
      </w:tr>
      <w:tr>
        <w:trPr>
          <w:trHeight w:val="194"/>
        </w:trPr>
        <w:tc>
          <w:tcPr>
            <w:tcW w:w="4820" w:type="dxa"/>
            <w:vAlign w:val="bottom"/>
            <w:tcBorders>
              <w:bottom w:val="single" w:sz="8" w:color="auto"/>
            </w:tcBorders>
            <w:shd w:val="clear" w:color="auto" w:fill="CCEEFF"/>
          </w:tcPr>
          <w:p>
            <w:pPr>
              <w:spacing w:after="0"/>
              <w:rPr>
                <w:sz w:val="16"/>
                <w:szCs w:val="16"/>
                <w:color w:val="auto"/>
              </w:rPr>
            </w:pPr>
          </w:p>
        </w:tc>
        <w:tc>
          <w:tcPr>
            <w:tcW w:w="4400" w:type="dxa"/>
            <w:vAlign w:val="bottom"/>
            <w:tcBorders>
              <w:bottom w:val="single" w:sz="8" w:color="auto"/>
            </w:tcBorders>
            <w:shd w:val="clear" w:color="auto" w:fill="CCEEFF"/>
          </w:tcPr>
          <w:p>
            <w:pPr>
              <w:jc w:val="right"/>
              <w:ind w:right="21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159,300</w:t>
            </w:r>
          </w:p>
        </w:tc>
      </w:tr>
    </w:tbl>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incurred rental expense for all properties and equipment of $ 29.2 million, $24.7 million and $27.3 million for 2014, 2013 and 2012, respectively. Minimum payments have not been reduced by minimum sublease rentals of $31.5 million due in the future under non-cancelable subleases.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Purchase Commitments</w:t>
      </w:r>
    </w:p>
    <w:p>
      <w:pPr>
        <w:spacing w:after="0" w:line="23"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As of December 31, 2014, fixed sales and purchase commitments under our derivative programs amounted to $266.7 million and $56.6 million, respectively.</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Additionally, as of December 31, 2014, we had entered into certain other fixed price sales commitments with corresponding fixed price purchase commitments, the majority of which were satisfied within one week. These sales and purchase commitments were made in the normal course of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7" w:name="page68"/>
    <w:bookmarkEnd w:id="67"/>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Executive Officers and Key Employees</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have an agreement with our Chairman, President and Chief Executive Officer, Michael J. Kasbar, for his continued employment with the Company which provides for an annual base salary as determined by our Compensation Committee in its sole discretion (currently $750,000), termination severance benefits, and such incentives and other compensation and amounts as our Compensation Committee may determine from time to time in its sole discretion. The Kasbar agreement, as amended, expires on December 31, 2016, unless terminated earlier, and will automatically extend for successive one year terms unless either party provides written notice to the other at least one year prior to the expiration of the term that such party does not want to extend the term. Pursuant to his amended agreement, Mr. Kasbar is entitled to receive cash severance payments if: (a) we terminate his employment without cause following a change of control or for any reason other than death, disability or cause; (b) he resigns for good reason (generally a reduction in his responsibilities or compensation, or a breach by us), or resigns following a change of control; or (c) either he elects or we elect not to extend the term of the agreement, as amended. The severance payments are equal to $5.0 million for a termination following a change of control and $3.0 million in the other scenarios described above, a portion of which will be payable two years after the termination of Mr. Kasbar’s employment.</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All of Mr. Kasbar’s outstanding SSAR Awards, restricted stock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generally vest over a two year period following termination of his employment, with any remaining unvested awards vesting on the last day of such two year period. For each scenario described above, awards with multiple annual performance conditions must satisfy certain other requirements in order to have their vesting terms accelerated.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also entered into employment agreements or separation agreements with certain of our other executive officers and key employees. These agreements provide for minimum salary levels, and, in most cases, bonuses which are payable if specified performance goals are attained. Some executive officers and key employees are also entitled to severance benefits upon termination or non-renewal of their contracts under certain circumstances.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2014, the approximate future minimum commitments under these agreements, excluding discretionary and performance bonuses, are as follows (in thousands):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Borders>
              <w:top w:val="single" w:sz="8" w:color="auto"/>
            </w:tcBorders>
            <w:shd w:val="clear" w:color="auto" w:fill="CCEEFF"/>
          </w:tcPr>
          <w:p>
            <w:pPr>
              <w:jc w:val="right"/>
              <w:ind w:right="4094"/>
              <w:spacing w:after="0" w:line="188" w:lineRule="exact"/>
              <w:rPr>
                <w:sz w:val="20"/>
                <w:szCs w:val="20"/>
                <w:color w:val="auto"/>
              </w:rPr>
            </w:pPr>
            <w:r>
              <w:rPr>
                <w:rFonts w:ascii="Arial" w:cs="Arial" w:eastAsia="Arial" w:hAnsi="Arial"/>
                <w:sz w:val="17"/>
                <w:szCs w:val="17"/>
                <w:color w:val="auto"/>
              </w:rPr>
              <w:t>2015</w:t>
            </w:r>
          </w:p>
        </w:tc>
        <w:tc>
          <w:tcPr>
            <w:tcW w:w="4660" w:type="dxa"/>
            <w:vAlign w:val="bottom"/>
            <w:tcBorders>
              <w:top w:val="single" w:sz="8" w:color="auto"/>
            </w:tcBorders>
            <w:shd w:val="clear" w:color="auto" w:fill="CCEEFF"/>
          </w:tcPr>
          <w:p>
            <w:pPr>
              <w:jc w:val="right"/>
              <w:ind w:right="294"/>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5,815</w:t>
            </w:r>
          </w:p>
        </w:tc>
      </w:tr>
      <w:tr>
        <w:trPr>
          <w:trHeight w:val="195"/>
        </w:trPr>
        <w:tc>
          <w:tcPr>
            <w:tcW w:w="4580" w:type="dxa"/>
            <w:vAlign w:val="bottom"/>
          </w:tcPr>
          <w:p>
            <w:pPr>
              <w:jc w:val="right"/>
              <w:ind w:right="4094"/>
              <w:spacing w:after="0"/>
              <w:rPr>
                <w:sz w:val="20"/>
                <w:szCs w:val="20"/>
                <w:color w:val="auto"/>
              </w:rPr>
            </w:pPr>
            <w:r>
              <w:rPr>
                <w:rFonts w:ascii="Arial" w:cs="Arial" w:eastAsia="Arial" w:hAnsi="Arial"/>
                <w:sz w:val="17"/>
                <w:szCs w:val="17"/>
                <w:color w:val="auto"/>
              </w:rPr>
              <w:t>2016</w:t>
            </w:r>
          </w:p>
        </w:tc>
        <w:tc>
          <w:tcPr>
            <w:tcW w:w="46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1,540</w:t>
            </w:r>
          </w:p>
        </w:tc>
      </w:tr>
      <w:tr>
        <w:trPr>
          <w:trHeight w:val="195"/>
        </w:trPr>
        <w:tc>
          <w:tcPr>
            <w:tcW w:w="4580" w:type="dxa"/>
            <w:vAlign w:val="bottom"/>
            <w:shd w:val="clear" w:color="auto" w:fill="CCEEFF"/>
          </w:tcPr>
          <w:p>
            <w:pPr>
              <w:jc w:val="right"/>
              <w:ind w:right="4094"/>
              <w:spacing w:after="0"/>
              <w:rPr>
                <w:sz w:val="20"/>
                <w:szCs w:val="20"/>
                <w:color w:val="auto"/>
              </w:rPr>
            </w:pPr>
            <w:r>
              <w:rPr>
                <w:rFonts w:ascii="Arial" w:cs="Arial" w:eastAsia="Arial" w:hAnsi="Arial"/>
                <w:sz w:val="17"/>
                <w:szCs w:val="17"/>
                <w:color w:val="auto"/>
              </w:rPr>
              <w:t>2017</w:t>
            </w:r>
          </w:p>
        </w:tc>
        <w:tc>
          <w:tcPr>
            <w:tcW w:w="46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r>
      <w:tr>
        <w:trPr>
          <w:trHeight w:val="195"/>
        </w:trPr>
        <w:tc>
          <w:tcPr>
            <w:tcW w:w="4580" w:type="dxa"/>
            <w:vAlign w:val="bottom"/>
            <w:tcBorders>
              <w:bottom w:val="single" w:sz="8" w:color="auto"/>
            </w:tcBorders>
          </w:tcPr>
          <w:p>
            <w:pPr>
              <w:jc w:val="right"/>
              <w:ind w:right="4094"/>
              <w:spacing w:after="0"/>
              <w:rPr>
                <w:sz w:val="20"/>
                <w:szCs w:val="20"/>
                <w:color w:val="auto"/>
              </w:rPr>
            </w:pPr>
            <w:r>
              <w:rPr>
                <w:rFonts w:ascii="Arial" w:cs="Arial" w:eastAsia="Arial" w:hAnsi="Arial"/>
                <w:sz w:val="17"/>
                <w:szCs w:val="17"/>
                <w:color w:val="auto"/>
              </w:rPr>
              <w:t>2018</w:t>
            </w:r>
          </w:p>
        </w:tc>
        <w:tc>
          <w:tcPr>
            <w:tcW w:w="4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2,250</w:t>
            </w:r>
          </w:p>
        </w:tc>
      </w:tr>
      <w:tr>
        <w:trPr>
          <w:trHeight w:val="194"/>
        </w:trPr>
        <w:tc>
          <w:tcPr>
            <w:tcW w:w="4580" w:type="dxa"/>
            <w:vAlign w:val="bottom"/>
            <w:tcBorders>
              <w:bottom w:val="single" w:sz="8" w:color="auto"/>
            </w:tcBorders>
            <w:shd w:val="clear" w:color="auto" w:fill="CCEEFF"/>
          </w:tcPr>
          <w:p>
            <w:pPr>
              <w:spacing w:after="0"/>
              <w:rPr>
                <w:sz w:val="16"/>
                <w:szCs w:val="16"/>
                <w:color w:val="auto"/>
              </w:rPr>
            </w:pPr>
          </w:p>
        </w:tc>
        <w:tc>
          <w:tcPr>
            <w:tcW w:w="4660" w:type="dxa"/>
            <w:vAlign w:val="bottom"/>
            <w:tcBorders>
              <w:bottom w:val="single" w:sz="8" w:color="auto"/>
            </w:tcBorders>
            <w:shd w:val="clear" w:color="auto" w:fill="CCEEFF"/>
          </w:tcPr>
          <w:p>
            <w:pPr>
              <w:jc w:val="right"/>
              <w:ind w:right="294"/>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10,355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Non-Renewal Charge</w:t>
      </w:r>
    </w:p>
    <w:p>
      <w:pPr>
        <w:spacing w:after="0" w:line="2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connection with the non-renewal of the employment agreement between the Company and Mr. Stebbins, the former Executive Chairman of the Board of Directors, we recorded an executive non-renewal charge totaling $ 4.8 million in May 2014, which included non-cash expenses of $1.1 million related to previously awarded stock compensation. As of December 31, 2014, $0.9 million of the cash portion of the executive non-renewal charge was included in accrued expenses and other current liabilities and $ 2.3 million was included in other long-term liabilities in the accompanying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Compensation Plans and Pension</w:t>
      </w:r>
    </w:p>
    <w:p>
      <w:pPr>
        <w:spacing w:after="0" w:line="2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maintain a 401(k) defined contribution plan which covers all U.S. employees who meet minimum requirements and elect to participate. We are currently making a match contributions of 50% for each 1% of the participants' contributions up to 6% of the participants' contributions. Annual contributions by us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significant during each of the years presented on the consolidated statements of income and comprehensive income.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8" w:name="page69"/>
    <w:bookmarkEnd w:id="68"/>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offer a non-qualified deferred compensation (“NQDC”) plan to certain eligible employees, excluding our named executive officers,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$2.3 million and $0.9 million as of December 31, 2014 and December 31, 2013, respectively, which was included in other long-term liabilities in the accompanying consolidated balance sheets.</w:t>
      </w:r>
    </w:p>
    <w:p>
      <w:pPr>
        <w:spacing w:after="0" w:line="15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connection with our acquisition of Watson Petroleum, we assumed their defined benefit pension plan (the “Watson Plan”), which provides participants benefits based on salary at retirement or an earlier date of leaving service. As part of the allocation of the estimated purchase price to assets acquired and liabilities assumed for Watson Petroleum, we recorded an assumed pension exit obligation of £9.8 million ($16.3 million). As of December 31, 2014, we have remaining an assumed exit pension obligation of £1.0 million ($1.5 million), which is included in accrued expenses and other current liabilities in the accompanying consolidated balance sheets. We expect to settle this amount in 2015. There are no other assets or liabilities on our consolidated balance sheet as of December 31, 2014 related to the Watson Plan. Additionally, the expenses for the Watson Plan recorded in our consolidated statements of income and comprehensive income for 2014 were not significant.</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December 31, 2014, the Watson Plan, through its Trustee, had assets comprised of a buy-in policy with an insurance company, which fully matches its estimated benefit obligations of £32.0 million ($49.8 million). The completion of our exit from the Watson Plan is anticipated to occur in the latter half of 2015 via buy-out policies between the insurance company and each individual participant.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Other Liabilities; Uninsured Risks</w:t>
      </w:r>
    </w:p>
    <w:p>
      <w:pPr>
        <w:spacing w:after="0" w:line="19" w:lineRule="exact"/>
        <w:rPr>
          <w:sz w:val="20"/>
          <w:szCs w:val="20"/>
          <w:color w:val="auto"/>
        </w:rPr>
      </w:pPr>
    </w:p>
    <w:p>
      <w:pPr>
        <w:jc w:val="both"/>
        <w:spacing w:after="0" w:line="198" w:lineRule="exact"/>
        <w:rPr>
          <w:sz w:val="20"/>
          <w:szCs w:val="20"/>
          <w:color w:val="auto"/>
        </w:rPr>
      </w:pPr>
      <w:r>
        <w:rPr>
          <w:rFonts w:ascii="Arial" w:cs="Arial" w:eastAsia="Arial" w:hAnsi="Arial"/>
          <w:sz w:val="17"/>
          <w:szCs w:val="17"/>
          <w:color w:val="auto"/>
        </w:rPr>
        <w:t>We provide various services to customers, including into</w:t>
      </w:r>
      <w:r>
        <w:rPr>
          <w:rFonts w:ascii="MS PGothic" w:cs="MS PGothic" w:eastAsia="MS PGothic" w:hAnsi="MS PGothic"/>
          <w:sz w:val="17"/>
          <w:szCs w:val="17"/>
          <w:color w:val="auto"/>
        </w:rPr>
        <w:t>‑</w:t>
      </w:r>
      <w:r>
        <w:rPr>
          <w:rFonts w:ascii="Arial" w:cs="Arial" w:eastAsia="Arial" w:hAnsi="Arial"/>
          <w:sz w:val="17"/>
          <w:szCs w:val="17"/>
          <w:color w:val="auto"/>
        </w:rPr>
        <w:t>plane fueling at airports, fueling of vessels in</w:t>
      </w:r>
      <w:r>
        <w:rPr>
          <w:rFonts w:ascii="MS PGothic" w:cs="MS PGothic" w:eastAsia="MS PGothic" w:hAnsi="MS PGothic"/>
          <w:sz w:val="17"/>
          <w:szCs w:val="17"/>
          <w:color w:val="auto"/>
        </w:rPr>
        <w:t>‑</w:t>
      </w:r>
      <w:r>
        <w:rPr>
          <w:rFonts w:ascii="Arial" w:cs="Arial" w:eastAsia="Arial" w:hAnsi="Arial"/>
          <w:sz w:val="17"/>
          <w:szCs w:val="17"/>
          <w:color w:val="auto"/>
        </w:rPr>
        <w:t>port and at</w:t>
      </w:r>
      <w:r>
        <w:rPr>
          <w:rFonts w:ascii="MS PGothic" w:cs="MS PGothic" w:eastAsia="MS PGothic" w:hAnsi="MS PGothic"/>
          <w:sz w:val="17"/>
          <w:szCs w:val="17"/>
          <w:color w:val="auto"/>
        </w:rPr>
        <w:t>‑</w:t>
      </w:r>
      <w:r>
        <w:rPr>
          <w:rFonts w:ascii="Arial" w:cs="Arial" w:eastAsia="Arial" w:hAnsi="Arial"/>
          <w:sz w:val="17"/>
          <w:szCs w:val="17"/>
          <w:color w:val="auto"/>
        </w:rPr>
        <w:t>sea, and transportation and storage of fuel and fuel products. We are therefore subject to possible claims by customers, regulators and others who may be injured by a fuel spill or other accident. In addition, we may be held liable for damages to the environment arising out of such events. Although we generally maintain liability insurance for these types of events, such insurance may be inadequate. If we are held liable for any damages, and the liability is not adequately covered by insurance and is of sufficient magnitude, our financial position and results of operations will be adversely affected.</w:t>
      </w:r>
    </w:p>
    <w:p>
      <w:pPr>
        <w:spacing w:after="0" w:line="148" w:lineRule="exact"/>
        <w:rPr>
          <w:sz w:val="20"/>
          <w:szCs w:val="20"/>
          <w:color w:val="auto"/>
        </w:rPr>
      </w:pPr>
    </w:p>
    <w:p>
      <w:pPr>
        <w:jc w:val="both"/>
        <w:spacing w:after="0" w:line="200" w:lineRule="exact"/>
        <w:rPr>
          <w:sz w:val="20"/>
          <w:szCs w:val="20"/>
          <w:color w:val="auto"/>
        </w:rPr>
      </w:pPr>
      <w:r>
        <w:rPr>
          <w:rFonts w:ascii="Arial" w:cs="Arial" w:eastAsia="Arial" w:hAnsi="Arial"/>
          <w:sz w:val="17"/>
          <w:szCs w:val="17"/>
          <w:color w:val="auto"/>
        </w:rPr>
        <w:t>We have exited several businesses which handled hazardous and non</w:t>
      </w:r>
      <w:r>
        <w:rPr>
          <w:rFonts w:ascii="MS PGothic" w:cs="MS PGothic" w:eastAsia="MS PGothic" w:hAnsi="MS PGothic"/>
          <w:sz w:val="17"/>
          <w:szCs w:val="17"/>
          <w:color w:val="auto"/>
        </w:rPr>
        <w:t>‑</w:t>
      </w:r>
      <w:r>
        <w:rPr>
          <w:rFonts w:ascii="Arial" w:cs="Arial" w:eastAsia="Arial" w:hAnsi="Arial"/>
          <w:sz w:val="17"/>
          <w:szCs w:val="17"/>
          <w:color w:val="auto"/>
        </w:rPr>
        <w:t>hazardous waste. We treated and/or transported this waste to various disposal facilities. We may be held liable as a potentially responsible party for the clean</w:t>
      </w:r>
      <w:r>
        <w:rPr>
          <w:rFonts w:ascii="MS PGothic" w:cs="MS PGothic" w:eastAsia="MS PGothic" w:hAnsi="MS PGothic"/>
          <w:sz w:val="17"/>
          <w:szCs w:val="17"/>
          <w:color w:val="auto"/>
        </w:rPr>
        <w:t>‑</w:t>
      </w:r>
      <w:r>
        <w:rPr>
          <w:rFonts w:ascii="Arial" w:cs="Arial" w:eastAsia="Arial" w:hAnsi="Arial"/>
          <w:sz w:val="17"/>
          <w:szCs w:val="17"/>
          <w:color w:val="auto"/>
        </w:rPr>
        <w:t>up of such disposal facilities or be required to clean up facilities previously operated by us, pursuant to current U.S. federal and state laws and regulation. In addition, compliance with existing and future environmental laws regulating underground storage tanks located at the retail gasoline stations that we operate may require significant capital expenditures and increased operating and maintenance costs. The remediation costs and other costs required to clean up or treat contaminated sites could be substantial. We pay tank registration fees and other taxes to state trust funds established in our operating areas and maintain private insurance coverage in support of future remediation obligations. These state trust funds or other responsible third parties including insurers are expected to pay or reimburse us for remediation expenses less a deductible. To the extent third parties do not pay for remediation as we anticipate, we will be obligated to make these payments. These payments could materially adversely affect our financial condition, results of operations and cash flows. Reimbursements from state trust funds will be dependent on the maintenance and continued solvency of the various funds.</w:t>
      </w:r>
    </w:p>
    <w:p>
      <w:pPr>
        <w:spacing w:after="0" w:line="176" w:lineRule="exact"/>
        <w:rPr>
          <w:sz w:val="20"/>
          <w:szCs w:val="20"/>
          <w:color w:val="auto"/>
        </w:rPr>
      </w:pPr>
    </w:p>
    <w:p>
      <w:pPr>
        <w:jc w:val="both"/>
        <w:spacing w:after="0" w:line="202" w:lineRule="exact"/>
        <w:rPr>
          <w:sz w:val="20"/>
          <w:szCs w:val="20"/>
          <w:color w:val="auto"/>
        </w:rPr>
      </w:pPr>
      <w:r>
        <w:rPr>
          <w:rFonts w:ascii="Arial" w:cs="Arial" w:eastAsia="Arial" w:hAnsi="Arial"/>
          <w:sz w:val="17"/>
          <w:szCs w:val="17"/>
          <w:color w:val="auto"/>
        </w:rPr>
        <w:t>Although we continuously review the adequacy of our insurance coverage, we may lack adequate coverage for various risks, including environmental claims. Furthermore, our ability to obtain and maintain adequate insurance and the cost of such insurance may be affected by significant claims, such as the Lac</w:t>
      </w:r>
      <w:r>
        <w:rPr>
          <w:rFonts w:ascii="MS PGothic" w:cs="MS PGothic" w:eastAsia="MS PGothic" w:hAnsi="MS PGothic"/>
          <w:sz w:val="17"/>
          <w:szCs w:val="17"/>
          <w:color w:val="auto"/>
        </w:rPr>
        <w:t>‑</w:t>
      </w:r>
      <w:r>
        <w:rPr>
          <w:rFonts w:ascii="Arial" w:cs="Arial" w:eastAsia="Arial" w:hAnsi="Arial"/>
          <w:sz w:val="17"/>
          <w:szCs w:val="17"/>
          <w:color w:val="auto"/>
        </w:rPr>
        <w:t>Mégantic derailment described below, and conditions in the insurance market over which we have no control. An uninsured or under</w:t>
      </w:r>
      <w:r>
        <w:rPr>
          <w:rFonts w:ascii="MS PGothic" w:cs="MS PGothic" w:eastAsia="MS PGothic" w:hAnsi="MS PGothic"/>
          <w:sz w:val="17"/>
          <w:szCs w:val="17"/>
          <w:color w:val="auto"/>
        </w:rPr>
        <w:t>‑</w:t>
      </w:r>
      <w:r>
        <w:rPr>
          <w:rFonts w:ascii="Arial" w:cs="Arial" w:eastAsia="Arial" w:hAnsi="Arial"/>
          <w:sz w:val="17"/>
          <w:szCs w:val="17"/>
          <w:color w:val="auto"/>
        </w:rPr>
        <w:t>insured claim arising out of our activities, if successful and of sufficient magnitude, will have a material adverse effect on our financial position,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Matters</w:t>
      </w:r>
    </w:p>
    <w:p>
      <w:pPr>
        <w:spacing w:after="0" w:line="187"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Lac</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Mégantic, Quebec</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on behalf of DPTS Marketing LLC ("DPM"), a crude oil marketing joint venture in which we owned a 50% membership interest, purchased crude oil from various producers in the Bakken region of North Dakota. Dakota Petroleum Transport Solutions, LLC ("DPTS"), a crude oil transloading joint venture in which we also owned a 50% membership interest, arranged for the transloading of the crude oil for DPM into tank cars at the joint venture's facility in New Town, North Dakota. We leased the tank cars used in the transloading from a number of third party lessors and subleased these tank cars to DPM.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69" w:name="page70"/>
    <w:bookmarkEnd w:id="69"/>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the crude oil derailed in Lac-Mégantic, Quebec. The derailment resulted in significant loss of life, damage to the environment from spilled crude oil and extensive property damage. For additional information regarding the legal proceedings relating to this incident described below, see Part I — Item 3 of this 2014 10-K Report.</w:t>
      </w:r>
    </w:p>
    <w:p>
      <w:pPr>
        <w:spacing w:after="0" w:line="15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2013, we, certain of our subsidiaries, DPM and DPTS, along with a number of third parties, including MMA and certain of its affiliates, as well as several manufacturers and lessors of tank cars, were named as defendants in twenty complaints filed in the state of Illinois. The complaints generally allege wrongful death and negligence in the failure to provide for the proper and safe transportation of crude oil and seek economic and compensatory damages, as well as costs. In addition, in 2013, we, certain of our subsidiaries, DPM and DPTS, along with a number of other third parties, including CPR, MMA and certain of its affiliates, several manufacturers and lessors of tank cars, as well as the intended purchaser and certain suppliers of the crude oil, were named as defendants in a motion filed in Quebec Superior Court to authorize the bringing of a class-action lawsuit seeking economic, compensatory and punitive damages, as well as costs. The motion generally alleges wrongful death and negligence in the failure to provide for the proper and safe transportation of crude oil.</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Furthermore, in 2013, an order was issued by the government of Quebec against MMA and us, which was subsequently modified and added CPR as a party. The orders require MMA, CPR and us to recover the spilled crude oil caused by the incident and to otherwise fully remediate the impact of the incident on the environment. We have filed a contestation of these orders before the Tribunal administratif du Québec, an administrative body responsible for hearing such proceedings, challenging the legality and validity of the orders on various grounds.</w:t>
      </w:r>
    </w:p>
    <w:p>
      <w:pPr>
        <w:spacing w:after="0" w:line="14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January 2014, the Trustee for MMA’s U.S. bankruptcy estate (the “Trustee”) filed an adversary proceeding against us, and certain of our subsidiaries, in the United States Bankruptcy Court for the District of Maine alleging negligence in the failure to provide for the proper and safe transportation of crude oil, and seeking economic damages, as well as costs and expenses associated with MMA’s lawsuits arising from the incident. The Trustee and the monitor in MMA’s Canadian bankruptcy (the “Monitor”) are continuing to explore a potential global settlement of all third party claims arising out of the incident. The Monitor has represented in court filings that those discussions have resulted in firm commitments from certain third parties of settlement funds totaling approximately C$200.0 million ($170.0 million). The Trustee and the Monitor continue to discuss global settlement with various other parties, including us.</w:t>
      </w:r>
    </w:p>
    <w:p>
      <w:pPr>
        <w:spacing w:after="0" w:line="35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addition to these proceedings, we have received demands for indemnification from certain tank car lessors pursuant to our lease agreements with such parties and three lessors subsequently filed declaratory judgment actions against us in connection with such indemnification demands during 2014. We are currently assessing the merits of these demands as well as of the underlying claims for which such indemnification is sought. Additional claims, lawsuits, proceedings, investigations and orders may be filed, commenced or issued with respect to the incident, which may involve civil claims for damages or governmental investigative, regulatory or enforcement actions against us.</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December 2014, we sold our 50% interest in DPM and DPTS to certain subsidiaries of Dakota Plains Holdings, Inc. (“DAKP”), our partner in the joint ventures. In connection with the sale transaction, we agreed to indemnify DAKP and certain of its affiliates, including DPM and DPTS, for third party claims for bodily injury or property damage arising from the derailment. Pursuant to the agreement, we will control the defense of DAKP and the joint ventures for claims associated with the derailment. In addition, DAKP assigned to us all recoveries from third parties and under applicable insurance policies held by DAKP and the joint ventures for claims arising out of the derailment. Finally, DAKP also agreed to indemnify us for certain costs and expenses arising out of the derailment up to $10.0 million.</w:t>
      </w:r>
    </w:p>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While we, DPM and DPTS, maintain insurance to mitigate the costs of environmental releases as well as other results of unexpected events, including loss of life, property damage and defense costs, there can be no guarantee that our insurance will be adequate to cover all liabilities that may be incurred as a result of this incident.</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separately evaluating potential claims that we may assert against third parties to recover costs and other liabilities that may be incurred as a result of this incident. We can provide no guarantee that any such claims, if brought by us, will be successful or, if successful, that the responsible parties will have the financial resources to address any such claims.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currently unable to determine the probability of loss, or reasonably estimate a range of potential losses related to the proceedings arising from the train derailment. Accordingly, we have not made any provision for these potential losses in our consolidated financial statements. However, based on estimated losses related to the value of the tank cars involved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0" w:name="page71"/>
    <w:bookmarkEnd w:id="7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the incident, as well as legal and other costs incurred in connection with the incident, which we believe are probable and for which a reasonable estimate can be made, we have recorded total liabilities of $40.9 million. We believe that a substantial portion of these liabilities are covered by insurance and have recorded total receivables of $38.6 million. As of December 31, 2014, the remaining unpaid liabilities of $ 14.8 million are included primarily in accrued expenses and other current liabilities and the remaining uncollected receivable of $28.9 million is included in other current assets in the accompanying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seeking a court ruling that the loss is not covered under our policy. During the quarter ended December 31, 2014, we filed an answer to the AGCS complaint and counterclaims against AGCS for declaratory judgment and breach of contract seeking a court ruling that the loss is covered under the policy, an award of damages equal to the full amount of our loss plus interest, as well as fees and costs. We believe AGCS’ position is without merit and we intend to vigorously pursue our rights. However, due to the complexities and uncertainties inherent in litigation, we can provide no assurance that we will recover the full amount of the loss.</w:t>
      </w:r>
    </w:p>
    <w:p>
      <w:pPr>
        <w:spacing w:after="0" w:line="35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are a party to various claims, complaints and proceedings arising in the ordinary course of our business including, but not limited to, environmental claims, commercial and governmental contract claims, such as property damage, demurrage, billing and fuel quality claims, as well as bankruptcy preference claims and tax and administrative claims. We have established loss provisions for these ordinary course claims as well as other matters in which losses are probable and can be reasonably estimated. As of December 31, 2014,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3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Shareholders’ Equity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3" w:lineRule="exact"/>
        <w:rPr>
          <w:sz w:val="20"/>
          <w:szCs w:val="20"/>
          <w:color w:val="auto"/>
        </w:rPr>
      </w:pPr>
    </w:p>
    <w:p>
      <w:pPr>
        <w:jc w:val="both"/>
        <w:spacing w:after="0" w:line="201" w:lineRule="exact"/>
        <w:rPr>
          <w:sz w:val="20"/>
          <w:szCs w:val="20"/>
          <w:color w:val="auto"/>
        </w:rPr>
      </w:pPr>
      <w:r>
        <w:rPr>
          <w:rFonts w:ascii="Arial" w:cs="Arial" w:eastAsia="Arial" w:hAnsi="Arial"/>
          <w:sz w:val="17"/>
          <w:szCs w:val="17"/>
          <w:color w:val="auto"/>
        </w:rPr>
        <w:t>We declared cash dividends of $ 0.15 per share of common stock for each of 2014, 2013 and 2012. Our Credit Facility and Term Loans have restrictions regarding the maximum amount of cash dividends allowed to be paid. The payment of the above</w:t>
      </w:r>
      <w:r>
        <w:rPr>
          <w:rFonts w:ascii="MS PGothic" w:cs="MS PGothic" w:eastAsia="MS PGothic" w:hAnsi="MS PGothic"/>
          <w:sz w:val="17"/>
          <w:szCs w:val="17"/>
          <w:color w:val="auto"/>
        </w:rPr>
        <w:t>‑</w:t>
      </w:r>
      <w:r>
        <w:rPr>
          <w:rFonts w:ascii="Arial" w:cs="Arial" w:eastAsia="Arial" w:hAnsi="Arial"/>
          <w:sz w:val="17"/>
          <w:szCs w:val="17"/>
          <w:color w:val="auto"/>
        </w:rPr>
        <w:t>referenced cash dividends was in compliance with the Credit Facility and Term Loans.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1" w:name="page72"/>
    <w:bookmarkEnd w:id="7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Programs</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Our Board of Directors, from time to time, has authorized stock repurchase programs under the terms of which we may repurchase our common stock, subject to certain restrictions contained in our Credit Facility and Term Loans. In October 2008, our Board of Directors authorized a $50.0 million common stock repurchase program (the “Repurchase Program”). In 2013, we repurchased 926,000 shares of our common stock for an aggregate value of $ 35.0 million pursuant to the Repurchase Program. In May 2014, our Board of Directors renewed the Repurchase Program, replacing the remainder of the October 2008 share repurchase program and authorizing the purchase of up to $65.0 million in common stock. The Repurchase Program does not require a minimum number of shares of common stock to be purchased, has no expiration date and may be suspended or discontinued at any time. In 2014, we repurchased 227,000 shares of our common stock for an aggregate value of $10.0 million pursuant to the Repurchase Program. As of December 31, 2014, $ 55.0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46"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Share</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Based Payment Plans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Summary and Description</w:t>
      </w:r>
    </w:p>
    <w:p>
      <w:pPr>
        <w:spacing w:after="0" w:line="23" w:lineRule="exact"/>
        <w:rPr>
          <w:sz w:val="20"/>
          <w:szCs w:val="20"/>
          <w:color w:val="auto"/>
        </w:rPr>
      </w:pPr>
    </w:p>
    <w:p>
      <w:pPr>
        <w:jc w:val="both"/>
        <w:spacing w:after="0" w:line="197" w:lineRule="exact"/>
        <w:rPr>
          <w:sz w:val="20"/>
          <w:szCs w:val="20"/>
          <w:color w:val="auto"/>
        </w:rPr>
      </w:pPr>
      <w:r>
        <w:rPr>
          <w:rFonts w:ascii="Arial" w:cs="Arial" w:eastAsia="Arial" w:hAnsi="Arial"/>
          <w:sz w:val="17"/>
          <w:szCs w:val="17"/>
          <w:color w:val="auto"/>
        </w:rPr>
        <w:t>In 2006, our shareholders approved the 2006 Omnibus Plan, in 2009, our shareholders approved an amendment and restatement of such plan and, in 2014, our shareholders reapproved the material terms of the performance measures under such plan (collectively, the “2006 Plan”). The 2006 Plan is administered by the Compensation Committee of the Board of Directors (the “Compensation Committee”). The purpose of the 2006 Plan is to (i) attract and retain persons eligible to participate in the 2006 Plan; (ii) motivate participants, by means of appropriate incentives, to achieve long</w:t>
      </w:r>
      <w:r>
        <w:rPr>
          <w:rFonts w:ascii="MS PGothic" w:cs="MS PGothic" w:eastAsia="MS PGothic" w:hAnsi="MS PGothic"/>
          <w:sz w:val="17"/>
          <w:szCs w:val="17"/>
          <w:color w:val="auto"/>
        </w:rPr>
        <w:t>‑</w:t>
      </w:r>
      <w:r>
        <w:rPr>
          <w:rFonts w:ascii="Arial" w:cs="Arial" w:eastAsia="Arial" w:hAnsi="Arial"/>
          <w:sz w:val="17"/>
          <w:szCs w:val="17"/>
          <w:color w:val="auto"/>
        </w:rPr>
        <w:t>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w:t>
      </w:r>
      <w:r>
        <w:rPr>
          <w:rFonts w:ascii="MS PGothic" w:cs="MS PGothic" w:eastAsia="MS PGothic" w:hAnsi="MS PGothic"/>
          <w:sz w:val="17"/>
          <w:szCs w:val="17"/>
          <w:color w:val="auto"/>
        </w:rPr>
        <w:t>‑</w:t>
      </w:r>
      <w:r>
        <w:rPr>
          <w:rFonts w:ascii="Arial" w:cs="Arial" w:eastAsia="Arial" w:hAnsi="Arial"/>
          <w:sz w:val="17"/>
          <w:szCs w:val="17"/>
          <w:color w:val="auto"/>
        </w:rPr>
        <w:t>term financial interest of World Fuel and its subsidiaries, including the growth in value of our equity and enhancement of long</w:t>
      </w:r>
      <w:r>
        <w:rPr>
          <w:rFonts w:ascii="MS PGothic" w:cs="MS PGothic" w:eastAsia="MS PGothic" w:hAnsi="MS PGothic"/>
          <w:sz w:val="17"/>
          <w:szCs w:val="17"/>
          <w:color w:val="auto"/>
        </w:rPr>
        <w:t>‑</w:t>
      </w:r>
      <w:r>
        <w:rPr>
          <w:rFonts w:ascii="Arial" w:cs="Arial" w:eastAsia="Arial" w:hAnsi="Arial"/>
          <w:sz w:val="17"/>
          <w:szCs w:val="17"/>
          <w:color w:val="auto"/>
        </w:rPr>
        <w:t>term shareholder return. The persons eligible to receive awards under the 2006 Plan are our employees, officers, and members of the Board of Directors, or any consultant or other person who performs services for us.</w:t>
      </w:r>
    </w:p>
    <w:p>
      <w:pPr>
        <w:spacing w:after="0" w:line="169" w:lineRule="exact"/>
        <w:rPr>
          <w:sz w:val="20"/>
          <w:szCs w:val="20"/>
          <w:color w:val="auto"/>
        </w:rPr>
      </w:pPr>
    </w:p>
    <w:p>
      <w:pPr>
        <w:jc w:val="both"/>
        <w:spacing w:after="0" w:line="204" w:lineRule="exact"/>
        <w:rPr>
          <w:sz w:val="20"/>
          <w:szCs w:val="20"/>
          <w:color w:val="auto"/>
        </w:rPr>
      </w:pPr>
      <w:r>
        <w:rPr>
          <w:rFonts w:ascii="Arial" w:cs="Arial" w:eastAsia="Arial" w:hAnsi="Arial"/>
          <w:sz w:val="17"/>
          <w:szCs w:val="17"/>
          <w:color w:val="auto"/>
        </w:rPr>
        <w:t>The provisions of the 2006 Plan authorize the grant of stock options which can be “qualified” or “nonqualified” under the Internal Revenue Code of 1986, as amended, restricted stock, RSUs, SSAR Awards, performance shares and performance units and other share</w:t>
      </w:r>
      <w:r>
        <w:rPr>
          <w:rFonts w:ascii="MS PGothic" w:cs="MS PGothic" w:eastAsia="MS PGothic" w:hAnsi="MS PGothic"/>
          <w:sz w:val="17"/>
          <w:szCs w:val="17"/>
          <w:color w:val="auto"/>
        </w:rPr>
        <w:t>‑</w:t>
      </w:r>
      <w:r>
        <w:rPr>
          <w:rFonts w:ascii="Arial" w:cs="Arial" w:eastAsia="Arial" w:hAnsi="Arial"/>
          <w:sz w:val="17"/>
          <w:szCs w:val="17"/>
          <w:color w:val="auto"/>
        </w:rPr>
        <w:t xml:space="preserve"> based awards. The 2006 Plan is unlimited in duration and, in the event of its termination, the 2006 Plan will remain in effect as long as any awards granted under it remain outstanding. No awards may be granted under the 2006 Plan after June 2016. The term and vesting period of awards granted under the 2006 Plan are established on a per grant basis, but options and SSAR Awards may not remain exercisable after the seven</w:t>
      </w:r>
      <w:r>
        <w:rPr>
          <w:rFonts w:ascii="MS PGothic" w:cs="MS PGothic" w:eastAsia="MS PGothic" w:hAnsi="MS PGothic"/>
          <w:sz w:val="17"/>
          <w:szCs w:val="17"/>
          <w:color w:val="auto"/>
        </w:rPr>
        <w:t>‑</w:t>
      </w:r>
      <w:r>
        <w:rPr>
          <w:rFonts w:ascii="Arial" w:cs="Arial" w:eastAsia="Arial" w:hAnsi="Arial"/>
          <w:sz w:val="17"/>
          <w:szCs w:val="17"/>
          <w:color w:val="auto"/>
        </w:rPr>
        <w:t>year anniversary of the date of grant.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the 2006 Plan, 4,900,000 shares of common stock are authorized for issuance. Additional shares of common stock that are authorized for issuance under the 2006 Plan include any shares that were available for future grant under any of our prior stock plans, and any shares in respect of awards granted under the 2006 Plan or any prior plans that expire or are forfeited or canceled.</w:t>
      </w:r>
    </w:p>
    <w:p>
      <w:pPr>
        <w:spacing w:after="0" w:line="14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Furthermore, any employee’s shares used to satisfy the withholding taxes due upon vesting of any awards granted under the 2006 plan or exercise of stock options are added to the maximum number of shares authorized for issuance under the 2006 Plan.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summarizes the outstanding awards issued pursuant to the 2006 Plan described above as of December 31, 2014 and the remaining shares of common stock available for future issuance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195"/>
        </w:trPr>
        <w:tc>
          <w:tcPr>
            <w:tcW w:w="33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shares of</w:t>
            </w:r>
          </w:p>
        </w:tc>
      </w:tr>
      <w:tr>
        <w:trPr>
          <w:trHeight w:val="195"/>
        </w:trPr>
        <w:tc>
          <w:tcPr>
            <w:tcW w:w="33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r>
      <w:tr>
        <w:trPr>
          <w:trHeight w:val="195"/>
        </w:trPr>
        <w:tc>
          <w:tcPr>
            <w:tcW w:w="3320" w:type="dxa"/>
            <w:vAlign w:val="bottom"/>
          </w:tcPr>
          <w:p>
            <w:pPr>
              <w:spacing w:after="0"/>
              <w:rPr>
                <w:sz w:val="16"/>
                <w:szCs w:val="16"/>
                <w:color w:val="auto"/>
              </w:rPr>
            </w:pPr>
          </w:p>
        </w:tc>
        <w:tc>
          <w:tcPr>
            <w:tcW w:w="3380" w:type="dxa"/>
            <w:vAlign w:val="bottom"/>
          </w:tcPr>
          <w:p>
            <w:pPr>
              <w:jc w:val="right"/>
              <w:ind w:right="365"/>
              <w:spacing w:after="0"/>
              <w:rPr>
                <w:sz w:val="20"/>
                <w:szCs w:val="20"/>
                <w:color w:val="auto"/>
              </w:rPr>
            </w:pPr>
            <w:r>
              <w:rPr>
                <w:rFonts w:ascii="Arial" w:cs="Arial" w:eastAsia="Arial" w:hAnsi="Arial"/>
                <w:sz w:val="14"/>
                <w:szCs w:val="14"/>
                <w:b w:val="1"/>
                <w:bCs w:val="1"/>
                <w:color w:val="auto"/>
              </w:rPr>
              <w:t>Restricted</w:t>
            </w:r>
          </w:p>
        </w:tc>
        <w:tc>
          <w:tcPr>
            <w:tcW w:w="1160" w:type="dxa"/>
            <w:vAlign w:val="bottom"/>
          </w:tcPr>
          <w:p>
            <w:pPr>
              <w:spacing w:after="0"/>
              <w:rPr>
                <w:sz w:val="16"/>
                <w:szCs w:val="16"/>
                <w:color w:val="auto"/>
              </w:rPr>
            </w:pPr>
          </w:p>
        </w:tc>
        <w:tc>
          <w:tcPr>
            <w:tcW w:w="1080" w:type="dxa"/>
            <w:vAlign w:val="bottom"/>
          </w:tcPr>
          <w:p>
            <w:pPr>
              <w:jc w:val="right"/>
              <w:ind w:right="145"/>
              <w:spacing w:after="0"/>
              <w:rPr>
                <w:sz w:val="20"/>
                <w:szCs w:val="20"/>
                <w:color w:val="auto"/>
              </w:rPr>
            </w:pPr>
            <w:r>
              <w:rPr>
                <w:rFonts w:ascii="Arial" w:cs="Arial" w:eastAsia="Arial" w:hAnsi="Arial"/>
                <w:sz w:val="14"/>
                <w:szCs w:val="14"/>
                <w:b w:val="1"/>
                <w:bCs w:val="1"/>
                <w:color w:val="auto"/>
              </w:rPr>
              <w:t>SSAR</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available for</w:t>
            </w:r>
          </w:p>
        </w:tc>
      </w:tr>
      <w:tr>
        <w:trPr>
          <w:trHeight w:val="171"/>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name</w:t>
            </w:r>
          </w:p>
        </w:tc>
        <w:tc>
          <w:tcPr>
            <w:tcW w:w="33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Stock</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RSUs</w:t>
            </w:r>
          </w:p>
        </w:tc>
        <w:tc>
          <w:tcPr>
            <w:tcW w:w="10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Awards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future issuance</w:t>
            </w:r>
          </w:p>
        </w:tc>
      </w:tr>
      <w:tr>
        <w:trPr>
          <w:trHeight w:val="194"/>
        </w:trPr>
        <w:tc>
          <w:tcPr>
            <w:tcW w:w="332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2006 Plan (1)</w:t>
            </w:r>
          </w:p>
        </w:tc>
        <w:tc>
          <w:tcPr>
            <w:tcW w:w="3380" w:type="dxa"/>
            <w:vAlign w:val="bottom"/>
            <w:tcBorders>
              <w:bottom w:val="single" w:sz="8" w:color="auto"/>
            </w:tcBorders>
            <w:shd w:val="clear" w:color="auto" w:fill="CCEEFF"/>
          </w:tcPr>
          <w:p>
            <w:pPr>
              <w:jc w:val="right"/>
              <w:ind w:right="405"/>
              <w:spacing w:after="0" w:line="188" w:lineRule="exact"/>
              <w:rPr>
                <w:sz w:val="20"/>
                <w:szCs w:val="20"/>
                <w:color w:val="auto"/>
              </w:rPr>
            </w:pPr>
            <w:r>
              <w:rPr>
                <w:rFonts w:ascii="Arial" w:cs="Arial" w:eastAsia="Arial" w:hAnsi="Arial"/>
                <w:sz w:val="17"/>
                <w:szCs w:val="17"/>
                <w:color w:val="auto"/>
              </w:rPr>
              <w:t>1,496</w:t>
            </w:r>
          </w:p>
        </w:tc>
        <w:tc>
          <w:tcPr>
            <w:tcW w:w="1160" w:type="dxa"/>
            <w:vAlign w:val="bottom"/>
            <w:tcBorders>
              <w:bottom w:val="single" w:sz="8" w:color="auto"/>
            </w:tcBorders>
            <w:shd w:val="clear" w:color="auto" w:fill="CCEEFF"/>
          </w:tcPr>
          <w:p>
            <w:pPr>
              <w:jc w:val="right"/>
              <w:ind w:right="342"/>
              <w:spacing w:after="0" w:line="188" w:lineRule="exact"/>
              <w:rPr>
                <w:sz w:val="20"/>
                <w:szCs w:val="20"/>
                <w:color w:val="auto"/>
              </w:rPr>
            </w:pPr>
            <w:r>
              <w:rPr>
                <w:rFonts w:ascii="Arial" w:cs="Arial" w:eastAsia="Arial" w:hAnsi="Arial"/>
                <w:sz w:val="17"/>
                <w:szCs w:val="17"/>
                <w:color w:val="auto"/>
              </w:rPr>
              <w:t>785</w:t>
            </w:r>
          </w:p>
        </w:tc>
        <w:tc>
          <w:tcPr>
            <w:tcW w:w="1080" w:type="dxa"/>
            <w:vAlign w:val="bottom"/>
            <w:tcBorders>
              <w:bottom w:val="single" w:sz="8" w:color="auto"/>
            </w:tcBorders>
            <w:shd w:val="clear" w:color="auto" w:fill="CCEEFF"/>
          </w:tcPr>
          <w:p>
            <w:pPr>
              <w:jc w:val="right"/>
              <w:ind w:right="185"/>
              <w:spacing w:after="0" w:line="188" w:lineRule="exact"/>
              <w:rPr>
                <w:sz w:val="20"/>
                <w:szCs w:val="20"/>
                <w:color w:val="auto"/>
              </w:rPr>
            </w:pPr>
            <w:r>
              <w:rPr>
                <w:rFonts w:ascii="Arial" w:cs="Arial" w:eastAsia="Arial" w:hAnsi="Arial"/>
                <w:sz w:val="17"/>
                <w:szCs w:val="17"/>
                <w:color w:val="auto"/>
              </w:rPr>
              <w:t>232</w:t>
            </w:r>
          </w:p>
        </w:tc>
        <w:tc>
          <w:tcPr>
            <w:tcW w:w="12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3,263</w:t>
            </w:r>
          </w:p>
        </w:tc>
      </w:tr>
    </w:tbl>
    <w:p>
      <w:pPr>
        <w:spacing w:after="0" w:line="172" w:lineRule="exact"/>
        <w:rPr>
          <w:sz w:val="20"/>
          <w:szCs w:val="20"/>
          <w:color w:val="auto"/>
        </w:rPr>
      </w:pPr>
    </w:p>
    <w:p>
      <w:pPr>
        <w:jc w:val="both"/>
        <w:ind w:left="220" w:hanging="220"/>
        <w:spacing w:after="0" w:line="205" w:lineRule="exact"/>
        <w:rPr>
          <w:sz w:val="20"/>
          <w:szCs w:val="20"/>
          <w:color w:val="auto"/>
        </w:rPr>
      </w:pPr>
      <w:r>
        <w:rPr>
          <w:rFonts w:ascii="Arial" w:cs="Arial" w:eastAsia="Arial" w:hAnsi="Arial"/>
          <w:sz w:val="17"/>
          <w:szCs w:val="17"/>
          <w:color w:val="auto"/>
        </w:rPr>
        <w:t>(1)As of December 31, 2014, unvested restricted stock will vest between February 2015 and May 2019, unvested RSUs will vest between March 2015 and May 2019 and the outstanding SSAR Awards will expire between May 2015 and May 2018. RSUs granted to non</w:t>
      </w:r>
      <w:r>
        <w:rPr>
          <w:rFonts w:ascii="MS PGothic" w:cs="MS PGothic" w:eastAsia="MS PGothic" w:hAnsi="MS PGothic"/>
          <w:sz w:val="17"/>
          <w:szCs w:val="17"/>
          <w:color w:val="auto"/>
        </w:rPr>
        <w:t>‑</w:t>
      </w:r>
      <w:r>
        <w:rPr>
          <w:rFonts w:ascii="Arial" w:cs="Arial" w:eastAsia="Arial" w:hAnsi="Arial"/>
          <w:sz w:val="17"/>
          <w:szCs w:val="17"/>
          <w:color w:val="auto"/>
        </w:rPr>
        <w:t xml:space="preserve"> employee directors under the 2006 Plan prior to 2011 remain outstanding until the date the non</w:t>
      </w:r>
      <w:r>
        <w:rPr>
          <w:rFonts w:ascii="MS PGothic" w:cs="MS PGothic" w:eastAsia="MS PGothic" w:hAnsi="MS PGothic"/>
          <w:sz w:val="17"/>
          <w:szCs w:val="17"/>
          <w:color w:val="auto"/>
        </w:rPr>
        <w:t>‑</w:t>
      </w:r>
      <w:r>
        <w:rPr>
          <w:rFonts w:ascii="Arial" w:cs="Arial" w:eastAsia="Arial" w:hAnsi="Arial"/>
          <w:sz w:val="17"/>
          <w:szCs w:val="17"/>
          <w:color w:val="auto"/>
        </w:rPr>
        <w:t>employee director ceases, for any reason, to be a member of the Board of Directors.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2" w:name="page73"/>
    <w:bookmarkEnd w:id="72"/>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23"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The following table summarizes the status of our unvested restricted stock outstanding and related transactions for each of the following years (in thousands, except weighted average grant</w:t>
      </w:r>
      <w:r>
        <w:rPr>
          <w:rFonts w:ascii="MS PGothic" w:cs="MS PGothic" w:eastAsia="MS PGothic" w:hAnsi="MS PGothic"/>
          <w:sz w:val="17"/>
          <w:szCs w:val="17"/>
          <w:color w:val="auto"/>
        </w:rPr>
        <w:t>‑</w:t>
      </w:r>
      <w:r>
        <w:rPr>
          <w:rFonts w:ascii="Arial" w:cs="Arial" w:eastAsia="Arial" w:hAnsi="Arial"/>
          <w:sz w:val="17"/>
          <w:szCs w:val="17"/>
          <w:color w:val="auto"/>
        </w:rPr>
        <w:t>date fair value price and weighted average remaining vesting term data):</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Unvested Restricted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64604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0490"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95"/>
        </w:trPr>
        <w:tc>
          <w:tcPr>
            <w:tcW w:w="5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b w:val="1"/>
                <w:bCs w:val="1"/>
                <w:color w:val="auto"/>
              </w:rPr>
              <w:t>Weighted</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95"/>
        </w:trPr>
        <w:tc>
          <w:tcPr>
            <w:tcW w:w="5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195"/>
        </w:trPr>
        <w:tc>
          <w:tcPr>
            <w:tcW w:w="50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Unvested</w:t>
            </w:r>
          </w:p>
        </w:tc>
        <w:tc>
          <w:tcPr>
            <w:tcW w:w="400" w:type="dxa"/>
            <w:vAlign w:val="bottom"/>
          </w:tcPr>
          <w:p>
            <w:pPr>
              <w:spacing w:after="0"/>
              <w:rPr>
                <w:sz w:val="16"/>
                <w:szCs w:val="16"/>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b w:val="1"/>
                <w:bCs w:val="1"/>
                <w:color w:val="auto"/>
              </w:rPr>
              <w:t>Grant-date</w:t>
            </w:r>
          </w:p>
        </w:tc>
        <w:tc>
          <w:tcPr>
            <w:tcW w:w="400" w:type="dxa"/>
            <w:vAlign w:val="bottom"/>
          </w:tcPr>
          <w:p>
            <w:pPr>
              <w:spacing w:after="0"/>
              <w:rPr>
                <w:sz w:val="16"/>
                <w:szCs w:val="16"/>
                <w:color w:val="auto"/>
              </w:rPr>
            </w:pPr>
          </w:p>
        </w:tc>
        <w:tc>
          <w:tcPr>
            <w:tcW w:w="1160" w:type="dxa"/>
            <w:vAlign w:val="bottom"/>
          </w:tcPr>
          <w:p>
            <w:pPr>
              <w:jc w:val="right"/>
              <w:ind w:right="221"/>
              <w:spacing w:after="0"/>
              <w:rPr>
                <w:sz w:val="20"/>
                <w:szCs w:val="20"/>
                <w:color w:val="auto"/>
              </w:rPr>
            </w:pPr>
            <w:r>
              <w:rPr>
                <w:rFonts w:ascii="Arial" w:cs="Arial" w:eastAsia="Arial" w:hAnsi="Arial"/>
                <w:sz w:val="14"/>
                <w:szCs w:val="14"/>
                <w:b w:val="1"/>
                <w:bCs w:val="1"/>
                <w:color w:val="auto"/>
              </w:rPr>
              <w:t>Aggregate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Vesting</w:t>
            </w:r>
          </w:p>
        </w:tc>
      </w:tr>
      <w:tr>
        <w:trPr>
          <w:trHeight w:val="195"/>
        </w:trPr>
        <w:tc>
          <w:tcPr>
            <w:tcW w:w="50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Restricted</w:t>
            </w:r>
          </w:p>
        </w:tc>
        <w:tc>
          <w:tcPr>
            <w:tcW w:w="400" w:type="dxa"/>
            <w:vAlign w:val="bottom"/>
          </w:tcPr>
          <w:p>
            <w:pPr>
              <w:spacing w:after="0"/>
              <w:rPr>
                <w:sz w:val="16"/>
                <w:szCs w:val="16"/>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6"/>
                <w:szCs w:val="16"/>
                <w:color w:val="auto"/>
              </w:rPr>
            </w:pPr>
          </w:p>
        </w:tc>
        <w:tc>
          <w:tcPr>
            <w:tcW w:w="1160" w:type="dxa"/>
            <w:vAlign w:val="bottom"/>
          </w:tcPr>
          <w:p>
            <w:pPr>
              <w:jc w:val="right"/>
              <w:ind w:right="221"/>
              <w:spacing w:after="0"/>
              <w:rPr>
                <w:sz w:val="20"/>
                <w:szCs w:val="20"/>
                <w:color w:val="auto"/>
              </w:rPr>
            </w:pPr>
            <w:r>
              <w:rPr>
                <w:rFonts w:ascii="Arial" w:cs="Arial" w:eastAsia="Arial" w:hAnsi="Arial"/>
                <w:sz w:val="14"/>
                <w:szCs w:val="14"/>
                <w:b w:val="1"/>
                <w:bCs w:val="1"/>
                <w:color w:val="auto"/>
              </w:rPr>
              <w:t>Intrinsic</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Term</w:t>
            </w:r>
          </w:p>
        </w:tc>
      </w:tr>
      <w:tr>
        <w:trPr>
          <w:trHeight w:val="171"/>
        </w:trPr>
        <w:tc>
          <w:tcPr>
            <w:tcW w:w="50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Price</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Value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p>
        </w:tc>
      </w:tr>
      <w:tr>
        <w:trPr>
          <w:trHeight w:val="188"/>
        </w:trPr>
        <w:tc>
          <w:tcPr>
            <w:tcW w:w="5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2011</w:t>
            </w:r>
          </w:p>
        </w:tc>
        <w:tc>
          <w:tcPr>
            <w:tcW w:w="10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446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34.07</w:t>
            </w:r>
          </w:p>
        </w:tc>
        <w:tc>
          <w:tcPr>
            <w:tcW w:w="400" w:type="dxa"/>
            <w:vAlign w:val="bottom"/>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81"/>
              <w:spacing w:after="0" w:line="188" w:lineRule="exact"/>
              <w:rPr>
                <w:sz w:val="20"/>
                <w:szCs w:val="20"/>
                <w:color w:val="auto"/>
              </w:rPr>
            </w:pPr>
            <w:r>
              <w:rPr>
                <w:rFonts w:ascii="Arial" w:cs="Arial" w:eastAsia="Arial" w:hAnsi="Arial"/>
                <w:sz w:val="17"/>
                <w:szCs w:val="17"/>
                <w:color w:val="auto"/>
              </w:rPr>
              <w:t>18,707</w:t>
            </w: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2.2</w:t>
            </w: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Granted</w:t>
            </w:r>
          </w:p>
        </w:tc>
        <w:tc>
          <w:tcPr>
            <w:tcW w:w="1060" w:type="dxa"/>
            <w:vAlign w:val="bottom"/>
          </w:tcPr>
          <w:p>
            <w:pPr>
              <w:jc w:val="right"/>
              <w:spacing w:after="0"/>
              <w:rPr>
                <w:sz w:val="20"/>
                <w:szCs w:val="20"/>
                <w:color w:val="auto"/>
              </w:rPr>
            </w:pPr>
            <w:r>
              <w:rPr>
                <w:rFonts w:ascii="Arial" w:cs="Arial" w:eastAsia="Arial" w:hAnsi="Arial"/>
                <w:sz w:val="17"/>
                <w:szCs w:val="17"/>
                <w:color w:val="auto"/>
              </w:rPr>
              <w:t>798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40.19</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(128)</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26.26</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Forfeited</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400" w:type="dxa"/>
            <w:vAlign w:val="bottom"/>
          </w:tcPr>
          <w:p>
            <w:pPr>
              <w:spacing w:after="0"/>
              <w:rPr>
                <w:sz w:val="16"/>
                <w:szCs w:val="16"/>
                <w:color w:val="auto"/>
              </w:rPr>
            </w:pP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37.24</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50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2012</w:t>
            </w:r>
          </w:p>
        </w:tc>
        <w:tc>
          <w:tcPr>
            <w:tcW w:w="10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1,100</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39.38</w:t>
            </w:r>
          </w:p>
        </w:tc>
        <w:tc>
          <w:tcPr>
            <w:tcW w:w="4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jc w:val="right"/>
              <w:ind w:right="281"/>
              <w:spacing w:after="0" w:line="188" w:lineRule="exact"/>
              <w:rPr>
                <w:sz w:val="20"/>
                <w:szCs w:val="20"/>
                <w:color w:val="auto"/>
              </w:rPr>
            </w:pPr>
            <w:r>
              <w:rPr>
                <w:rFonts w:ascii="Arial" w:cs="Arial" w:eastAsia="Arial" w:hAnsi="Arial"/>
                <w:sz w:val="17"/>
                <w:szCs w:val="17"/>
                <w:color w:val="auto"/>
              </w:rPr>
              <w:t>45,295</w:t>
            </w:r>
          </w:p>
        </w:tc>
        <w:tc>
          <w:tcPr>
            <w:tcW w:w="1000" w:type="dxa"/>
            <w:vAlign w:val="bottom"/>
            <w:tcBorders>
              <w:top w:val="single" w:sz="8" w:color="CCEEFF"/>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3.4</w:t>
            </w: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Granted</w:t>
            </w:r>
          </w:p>
        </w:tc>
        <w:tc>
          <w:tcPr>
            <w:tcW w:w="1060" w:type="dxa"/>
            <w:vAlign w:val="bottom"/>
          </w:tcPr>
          <w:p>
            <w:pPr>
              <w:jc w:val="right"/>
              <w:spacing w:after="0"/>
              <w:rPr>
                <w:sz w:val="20"/>
                <w:szCs w:val="20"/>
                <w:color w:val="auto"/>
              </w:rPr>
            </w:pPr>
            <w:r>
              <w:rPr>
                <w:rFonts w:ascii="Arial" w:cs="Arial" w:eastAsia="Arial" w:hAnsi="Arial"/>
                <w:sz w:val="17"/>
                <w:szCs w:val="17"/>
                <w:color w:val="auto"/>
              </w:rPr>
              <w:t>342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41.83</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37.00</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Forfeited</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400" w:type="dxa"/>
            <w:vAlign w:val="bottom"/>
          </w:tcPr>
          <w:p>
            <w:pPr>
              <w:spacing w:after="0"/>
              <w:rPr>
                <w:sz w:val="16"/>
                <w:szCs w:val="16"/>
                <w:color w:val="auto"/>
              </w:rPr>
            </w:pP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38.89</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50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2013</w:t>
            </w:r>
          </w:p>
        </w:tc>
        <w:tc>
          <w:tcPr>
            <w:tcW w:w="10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1,374</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40.07</w:t>
            </w:r>
          </w:p>
        </w:tc>
        <w:tc>
          <w:tcPr>
            <w:tcW w:w="4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jc w:val="right"/>
              <w:ind w:right="281"/>
              <w:spacing w:after="0" w:line="188" w:lineRule="exact"/>
              <w:rPr>
                <w:sz w:val="20"/>
                <w:szCs w:val="20"/>
                <w:color w:val="auto"/>
              </w:rPr>
            </w:pPr>
            <w:r>
              <w:rPr>
                <w:rFonts w:ascii="Arial" w:cs="Arial" w:eastAsia="Arial" w:hAnsi="Arial"/>
                <w:sz w:val="17"/>
                <w:szCs w:val="17"/>
                <w:color w:val="auto"/>
              </w:rPr>
              <w:t>59,307</w:t>
            </w:r>
          </w:p>
        </w:tc>
        <w:tc>
          <w:tcPr>
            <w:tcW w:w="1000" w:type="dxa"/>
            <w:vAlign w:val="bottom"/>
            <w:tcBorders>
              <w:top w:val="single" w:sz="8" w:color="CCEEFF"/>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2.7</w:t>
            </w: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Granted</w:t>
            </w:r>
          </w:p>
        </w:tc>
        <w:tc>
          <w:tcPr>
            <w:tcW w:w="1060" w:type="dxa"/>
            <w:vAlign w:val="bottom"/>
          </w:tcPr>
          <w:p>
            <w:pPr>
              <w:jc w:val="right"/>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44.18</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38</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Forfeited</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(26)</w:t>
            </w:r>
          </w:p>
        </w:tc>
        <w:tc>
          <w:tcPr>
            <w:tcW w:w="400" w:type="dxa"/>
            <w:vAlign w:val="bottom"/>
          </w:tcPr>
          <w:p>
            <w:pPr>
              <w:spacing w:after="0"/>
              <w:rPr>
                <w:sz w:val="16"/>
                <w:szCs w:val="16"/>
                <w:color w:val="auto"/>
              </w:rPr>
            </w:pP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39.58</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5080" w:type="dxa"/>
            <w:vAlign w:val="bottom"/>
            <w:tcBorders>
              <w:top w:val="single" w:sz="8" w:color="CCEEFF"/>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2014</w:t>
            </w:r>
          </w:p>
        </w:tc>
        <w:tc>
          <w:tcPr>
            <w:tcW w:w="106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1,496</w:t>
            </w:r>
          </w:p>
        </w:tc>
        <w:tc>
          <w:tcPr>
            <w:tcW w:w="120" w:type="dxa"/>
            <w:vAlign w:val="bottom"/>
            <w:tcBorders>
              <w:top w:val="single" w:sz="8" w:color="CCEEFF"/>
              <w:bottom w:val="single" w:sz="8" w:color="auto"/>
            </w:tcBorders>
            <w:shd w:val="clear" w:color="auto" w:fill="CCEEFF"/>
          </w:tcPr>
          <w:p>
            <w:pPr>
              <w:spacing w:after="0"/>
              <w:rPr>
                <w:sz w:val="16"/>
                <w:szCs w:val="16"/>
                <w:color w:val="auto"/>
              </w:rPr>
            </w:pPr>
          </w:p>
        </w:tc>
        <w:tc>
          <w:tcPr>
            <w:tcW w:w="400" w:type="dxa"/>
            <w:vAlign w:val="bottom"/>
            <w:tcBorders>
              <w:top w:val="single" w:sz="8" w:color="CCEEFF"/>
              <w:bottom w:val="single" w:sz="8" w:color="auto"/>
            </w:tcBorders>
            <w:shd w:val="clear" w:color="auto" w:fill="CCEEFF"/>
          </w:tcPr>
          <w:p>
            <w:pPr>
              <w:jc w:val="right"/>
              <w:ind w:right="11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CCEEFF"/>
              <w:bottom w:val="single" w:sz="8" w:color="auto"/>
            </w:tcBorders>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41.18</w:t>
            </w:r>
          </w:p>
        </w:tc>
        <w:tc>
          <w:tcPr>
            <w:tcW w:w="400" w:type="dxa"/>
            <w:vAlign w:val="bottom"/>
            <w:tcBorders>
              <w:top w:val="single" w:sz="8" w:color="CCEEFF"/>
              <w:bottom w:val="single" w:sz="8" w:color="auto"/>
            </w:tcBorders>
            <w:shd w:val="clear" w:color="auto" w:fill="CCEEFF"/>
          </w:tcPr>
          <w:p>
            <w:pPr>
              <w:jc w:val="right"/>
              <w:ind w:right="114"/>
              <w:spacing w:after="0" w:line="188"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CCEEFF"/>
              <w:bottom w:val="single" w:sz="8" w:color="auto"/>
            </w:tcBorders>
            <w:shd w:val="clear" w:color="auto" w:fill="CCEEFF"/>
          </w:tcPr>
          <w:p>
            <w:pPr>
              <w:jc w:val="right"/>
              <w:ind w:right="281"/>
              <w:spacing w:after="0" w:line="188" w:lineRule="exact"/>
              <w:rPr>
                <w:sz w:val="20"/>
                <w:szCs w:val="20"/>
                <w:color w:val="auto"/>
              </w:rPr>
            </w:pPr>
            <w:r>
              <w:rPr>
                <w:rFonts w:ascii="Arial" w:cs="Arial" w:eastAsia="Arial" w:hAnsi="Arial"/>
                <w:sz w:val="17"/>
                <w:szCs w:val="17"/>
                <w:color w:val="auto"/>
              </w:rPr>
              <w:t>70,212</w:t>
            </w:r>
          </w:p>
        </w:tc>
        <w:tc>
          <w:tcPr>
            <w:tcW w:w="1000" w:type="dxa"/>
            <w:vAlign w:val="bottom"/>
            <w:tcBorders>
              <w:top w:val="single" w:sz="8" w:color="CCEEFF"/>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2.1</w:t>
            </w:r>
          </w:p>
        </w:tc>
      </w:tr>
    </w:tbl>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value of restricted stock which vested during 2014, 2013 and 2012 was $7.1 million, $1.7 million and $5.3 million, respectively, based on the average high and low market price of our common stock at the vesting date.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RSU Awards</w:t>
      </w:r>
    </w:p>
    <w:p>
      <w:pPr>
        <w:spacing w:after="0" w:line="23"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The following table summarizes the status of our RSUs and related transactions for each of the following years (in thousands, except for weighted average grant</w:t>
      </w:r>
      <w:r>
        <w:rPr>
          <w:rFonts w:ascii="MS PGothic" w:cs="MS PGothic" w:eastAsia="MS PGothic" w:hAnsi="MS PGothic"/>
          <w:sz w:val="17"/>
          <w:szCs w:val="17"/>
          <w:color w:val="auto"/>
        </w:rPr>
        <w:t>‑</w:t>
      </w:r>
      <w:r>
        <w:rPr>
          <w:rFonts w:ascii="Arial" w:cs="Arial" w:eastAsia="Arial" w:hAnsi="Arial"/>
          <w:sz w:val="17"/>
          <w:szCs w:val="17"/>
          <w:color w:val="auto"/>
        </w:rPr>
        <w:t>date fair value data and weighted average remaining contractual life):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 Outstanding</w:t>
            </w:r>
          </w:p>
        </w:tc>
      </w:tr>
      <w:tr>
        <w:trPr>
          <w:trHeight w:val="212"/>
        </w:trPr>
        <w:tc>
          <w:tcPr>
            <w:tcW w:w="5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95"/>
        </w:trPr>
        <w:tc>
          <w:tcPr>
            <w:tcW w:w="5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95"/>
        </w:trPr>
        <w:tc>
          <w:tcPr>
            <w:tcW w:w="5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195"/>
        </w:trPr>
        <w:tc>
          <w:tcPr>
            <w:tcW w:w="5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center"/>
              <w:ind w:left="98"/>
              <w:spacing w:after="0"/>
              <w:rPr>
                <w:sz w:val="20"/>
                <w:szCs w:val="20"/>
                <w:color w:val="auto"/>
              </w:rPr>
            </w:pPr>
            <w:r>
              <w:rPr>
                <w:rFonts w:ascii="Arial" w:cs="Arial" w:eastAsia="Arial" w:hAnsi="Arial"/>
                <w:sz w:val="14"/>
                <w:szCs w:val="14"/>
                <w:b w:val="1"/>
                <w:bCs w:val="1"/>
                <w:color w:val="auto"/>
                <w:w w:val="97"/>
              </w:rPr>
              <w:t>Average</w:t>
            </w:r>
          </w:p>
        </w:tc>
        <w:tc>
          <w:tcPr>
            <w:tcW w:w="3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r>
      <w:tr>
        <w:trPr>
          <w:trHeight w:val="195"/>
        </w:trPr>
        <w:tc>
          <w:tcPr>
            <w:tcW w:w="5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b w:val="1"/>
                <w:bCs w:val="1"/>
                <w:color w:val="auto"/>
              </w:rPr>
              <w:t>Grant-date</w:t>
            </w:r>
          </w:p>
        </w:tc>
        <w:tc>
          <w:tcPr>
            <w:tcW w:w="3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Intrinsic</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Life</w:t>
            </w:r>
          </w:p>
        </w:tc>
      </w:tr>
      <w:tr>
        <w:trPr>
          <w:trHeight w:val="171"/>
        </w:trPr>
        <w:tc>
          <w:tcPr>
            <w:tcW w:w="5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RSUs</w:t>
            </w:r>
          </w:p>
        </w:tc>
        <w:tc>
          <w:tcPr>
            <w:tcW w:w="400" w:type="dxa"/>
            <w:vAlign w:val="bottom"/>
          </w:tcPr>
          <w:p>
            <w:pPr>
              <w:spacing w:after="0"/>
              <w:rPr>
                <w:sz w:val="14"/>
                <w:szCs w:val="14"/>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 Years)</w:t>
            </w:r>
          </w:p>
        </w:tc>
      </w:tr>
      <w:tr>
        <w:trPr>
          <w:trHeight w:val="188"/>
        </w:trPr>
        <w:tc>
          <w:tcPr>
            <w:tcW w:w="51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2011</w:t>
            </w:r>
          </w:p>
        </w:tc>
        <w:tc>
          <w:tcPr>
            <w:tcW w:w="10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901</w:t>
            </w: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center"/>
              <w:ind w:left="118"/>
              <w:spacing w:after="0" w:line="188" w:lineRule="exact"/>
              <w:rPr>
                <w:sz w:val="20"/>
                <w:szCs w:val="20"/>
                <w:color w:val="auto"/>
              </w:rPr>
            </w:pPr>
            <w:r>
              <w:rPr>
                <w:rFonts w:ascii="Arial" w:cs="Arial" w:eastAsia="Arial" w:hAnsi="Arial"/>
                <w:sz w:val="17"/>
                <w:szCs w:val="17"/>
                <w:color w:val="auto"/>
              </w:rPr>
              <w:t>25.59</w:t>
            </w:r>
          </w:p>
        </w:tc>
        <w:tc>
          <w:tcPr>
            <w:tcW w:w="380" w:type="dxa"/>
            <w:vAlign w:val="bottom"/>
            <w:tcBorders>
              <w:top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37,373</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1.7</w:t>
            </w: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369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center"/>
              <w:ind w:left="118"/>
              <w:spacing w:after="0"/>
              <w:rPr>
                <w:sz w:val="20"/>
                <w:szCs w:val="20"/>
                <w:color w:val="auto"/>
              </w:rPr>
            </w:pPr>
            <w:r>
              <w:rPr>
                <w:rFonts w:ascii="Arial" w:cs="Arial" w:eastAsia="Arial" w:hAnsi="Arial"/>
                <w:sz w:val="17"/>
                <w:szCs w:val="17"/>
                <w:color w:val="auto"/>
              </w:rPr>
              <w:t>40.98</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Issued</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(275)</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rPr>
              <w:t>16.12</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Forfeited</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400" w:type="dxa"/>
            <w:vAlign w:val="bottom"/>
          </w:tcPr>
          <w:p>
            <w:pPr>
              <w:spacing w:after="0"/>
              <w:rPr>
                <w:sz w:val="16"/>
                <w:szCs w:val="16"/>
                <w:color w:val="auto"/>
              </w:rPr>
            </w:pPr>
          </w:p>
        </w:tc>
        <w:tc>
          <w:tcPr>
            <w:tcW w:w="960" w:type="dxa"/>
            <w:vAlign w:val="bottom"/>
          </w:tcPr>
          <w:p>
            <w:pPr>
              <w:jc w:val="center"/>
              <w:ind w:left="118"/>
              <w:spacing w:after="0"/>
              <w:rPr>
                <w:sz w:val="20"/>
                <w:szCs w:val="20"/>
                <w:color w:val="auto"/>
              </w:rPr>
            </w:pPr>
            <w:r>
              <w:rPr>
                <w:rFonts w:ascii="Arial" w:cs="Arial" w:eastAsia="Arial" w:hAnsi="Arial"/>
                <w:sz w:val="17"/>
                <w:szCs w:val="17"/>
                <w:color w:val="auto"/>
              </w:rPr>
              <w:t>30.74</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51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2012</w:t>
            </w:r>
          </w:p>
        </w:tc>
        <w:tc>
          <w:tcPr>
            <w:tcW w:w="10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981</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jc w:val="center"/>
              <w:ind w:left="118"/>
              <w:spacing w:after="0" w:line="188" w:lineRule="exact"/>
              <w:rPr>
                <w:sz w:val="20"/>
                <w:szCs w:val="20"/>
                <w:color w:val="auto"/>
              </w:rPr>
            </w:pPr>
            <w:r>
              <w:rPr>
                <w:rFonts w:ascii="Arial" w:cs="Arial" w:eastAsia="Arial" w:hAnsi="Arial"/>
                <w:sz w:val="17"/>
                <w:szCs w:val="17"/>
                <w:color w:val="auto"/>
              </w:rPr>
              <w:t>34.06</w:t>
            </w:r>
          </w:p>
        </w:tc>
        <w:tc>
          <w:tcPr>
            <w:tcW w:w="3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39,888</w:t>
            </w:r>
          </w:p>
        </w:tc>
        <w:tc>
          <w:tcPr>
            <w:tcW w:w="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1.5</w:t>
            </w: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center"/>
              <w:ind w:left="118"/>
              <w:spacing w:after="0"/>
              <w:rPr>
                <w:sz w:val="20"/>
                <w:szCs w:val="20"/>
                <w:color w:val="auto"/>
              </w:rPr>
            </w:pPr>
            <w:r>
              <w:rPr>
                <w:rFonts w:ascii="Arial" w:cs="Arial" w:eastAsia="Arial" w:hAnsi="Arial"/>
                <w:sz w:val="17"/>
                <w:szCs w:val="17"/>
                <w:color w:val="auto"/>
              </w:rPr>
              <w:t>40.59</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Issued</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(287)</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rPr>
              <w:t>32.00</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Forfeited</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400" w:type="dxa"/>
            <w:vAlign w:val="bottom"/>
          </w:tcPr>
          <w:p>
            <w:pPr>
              <w:spacing w:after="0"/>
              <w:rPr>
                <w:sz w:val="16"/>
                <w:szCs w:val="16"/>
                <w:color w:val="auto"/>
              </w:rPr>
            </w:pPr>
          </w:p>
        </w:tc>
        <w:tc>
          <w:tcPr>
            <w:tcW w:w="960" w:type="dxa"/>
            <w:vAlign w:val="bottom"/>
          </w:tcPr>
          <w:p>
            <w:pPr>
              <w:jc w:val="center"/>
              <w:ind w:left="118"/>
              <w:spacing w:after="0"/>
              <w:rPr>
                <w:sz w:val="20"/>
                <w:szCs w:val="20"/>
                <w:color w:val="auto"/>
              </w:rPr>
            </w:pPr>
            <w:r>
              <w:rPr>
                <w:rFonts w:ascii="Arial" w:cs="Arial" w:eastAsia="Arial" w:hAnsi="Arial"/>
                <w:sz w:val="17"/>
                <w:szCs w:val="17"/>
                <w:color w:val="auto"/>
              </w:rPr>
              <w:t>35.92</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51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2013</w:t>
            </w:r>
          </w:p>
        </w:tc>
        <w:tc>
          <w:tcPr>
            <w:tcW w:w="10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747</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jc w:val="center"/>
              <w:ind w:left="118"/>
              <w:spacing w:after="0" w:line="188" w:lineRule="exact"/>
              <w:rPr>
                <w:sz w:val="20"/>
                <w:szCs w:val="20"/>
                <w:color w:val="auto"/>
              </w:rPr>
            </w:pPr>
            <w:r>
              <w:rPr>
                <w:rFonts w:ascii="Arial" w:cs="Arial" w:eastAsia="Arial" w:hAnsi="Arial"/>
                <w:sz w:val="17"/>
                <w:szCs w:val="17"/>
                <w:color w:val="auto"/>
              </w:rPr>
              <w:t>35.61</w:t>
            </w:r>
          </w:p>
        </w:tc>
        <w:tc>
          <w:tcPr>
            <w:tcW w:w="3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31,775</w:t>
            </w:r>
          </w:p>
        </w:tc>
        <w:tc>
          <w:tcPr>
            <w:tcW w:w="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1.3</w:t>
            </w: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center"/>
              <w:ind w:left="118"/>
              <w:spacing w:after="0"/>
              <w:rPr>
                <w:sz w:val="20"/>
                <w:szCs w:val="20"/>
                <w:color w:val="auto"/>
              </w:rPr>
            </w:pPr>
            <w:r>
              <w:rPr>
                <w:rFonts w:ascii="Arial" w:cs="Arial" w:eastAsia="Arial" w:hAnsi="Arial"/>
                <w:sz w:val="17"/>
                <w:szCs w:val="17"/>
                <w:color w:val="auto"/>
              </w:rPr>
              <w:t>44.34</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Issued</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(238)</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rPr>
              <w:t>36.67</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Forfeited</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400" w:type="dxa"/>
            <w:vAlign w:val="bottom"/>
          </w:tcPr>
          <w:p>
            <w:pPr>
              <w:spacing w:after="0"/>
              <w:rPr>
                <w:sz w:val="16"/>
                <w:szCs w:val="16"/>
                <w:color w:val="auto"/>
              </w:rPr>
            </w:pPr>
          </w:p>
        </w:tc>
        <w:tc>
          <w:tcPr>
            <w:tcW w:w="960" w:type="dxa"/>
            <w:vAlign w:val="bottom"/>
          </w:tcPr>
          <w:p>
            <w:pPr>
              <w:jc w:val="center"/>
              <w:ind w:left="118"/>
              <w:spacing w:after="0"/>
              <w:rPr>
                <w:sz w:val="20"/>
                <w:szCs w:val="20"/>
                <w:color w:val="auto"/>
              </w:rPr>
            </w:pPr>
            <w:r>
              <w:rPr>
                <w:rFonts w:ascii="Arial" w:cs="Arial" w:eastAsia="Arial" w:hAnsi="Arial"/>
                <w:sz w:val="17"/>
                <w:szCs w:val="17"/>
                <w:color w:val="auto"/>
              </w:rPr>
              <w:t>40.25</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4"/>
        </w:trPr>
        <w:tc>
          <w:tcPr>
            <w:tcW w:w="5100" w:type="dxa"/>
            <w:vAlign w:val="bottom"/>
            <w:tcBorders>
              <w:top w:val="single" w:sz="8" w:color="CCEEFF"/>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As of December 31, 2014</w:t>
            </w:r>
          </w:p>
        </w:tc>
        <w:tc>
          <w:tcPr>
            <w:tcW w:w="108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785</w:t>
            </w:r>
          </w:p>
        </w:tc>
        <w:tc>
          <w:tcPr>
            <w:tcW w:w="120" w:type="dxa"/>
            <w:vAlign w:val="bottom"/>
            <w:tcBorders>
              <w:top w:val="single" w:sz="8" w:color="CCEEFF"/>
              <w:bottom w:val="single" w:sz="8" w:color="auto"/>
            </w:tcBorders>
            <w:shd w:val="clear" w:color="auto" w:fill="CCEEFF"/>
          </w:tcPr>
          <w:p>
            <w:pPr>
              <w:spacing w:after="0"/>
              <w:rPr>
                <w:sz w:val="16"/>
                <w:szCs w:val="16"/>
                <w:color w:val="auto"/>
              </w:rPr>
            </w:pPr>
          </w:p>
        </w:tc>
        <w:tc>
          <w:tcPr>
            <w:tcW w:w="400" w:type="dxa"/>
            <w:vAlign w:val="bottom"/>
            <w:tcBorders>
              <w:top w:val="single" w:sz="8" w:color="CCEEFF"/>
              <w:bottom w:val="single" w:sz="8" w:color="auto"/>
            </w:tcBorders>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CCEEFF"/>
              <w:bottom w:val="single" w:sz="8" w:color="auto"/>
            </w:tcBorders>
            <w:shd w:val="clear" w:color="auto" w:fill="CCEEFF"/>
          </w:tcPr>
          <w:p>
            <w:pPr>
              <w:jc w:val="center"/>
              <w:ind w:left="118"/>
              <w:spacing w:after="0" w:line="188" w:lineRule="exact"/>
              <w:rPr>
                <w:sz w:val="20"/>
                <w:szCs w:val="20"/>
                <w:color w:val="auto"/>
              </w:rPr>
            </w:pPr>
            <w:r>
              <w:rPr>
                <w:rFonts w:ascii="Arial" w:cs="Arial" w:eastAsia="Arial" w:hAnsi="Arial"/>
                <w:sz w:val="17"/>
                <w:szCs w:val="17"/>
                <w:color w:val="auto"/>
              </w:rPr>
              <w:t>38.55</w:t>
            </w:r>
          </w:p>
        </w:tc>
        <w:tc>
          <w:tcPr>
            <w:tcW w:w="380" w:type="dxa"/>
            <w:vAlign w:val="bottom"/>
            <w:tcBorders>
              <w:top w:val="single" w:sz="8" w:color="CCEEFF"/>
              <w:bottom w:val="single" w:sz="8" w:color="auto"/>
            </w:tcBorders>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CCEEFF"/>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36,872</w:t>
            </w:r>
          </w:p>
        </w:tc>
        <w:tc>
          <w:tcPr>
            <w:tcW w:w="40" w:type="dxa"/>
            <w:vAlign w:val="bottom"/>
            <w:tcBorders>
              <w:top w:val="single" w:sz="8" w:color="CCEEFF"/>
              <w:bottom w:val="single" w:sz="8" w:color="auto"/>
            </w:tcBorders>
            <w:shd w:val="clear" w:color="auto" w:fill="CCEEFF"/>
          </w:tcPr>
          <w:p>
            <w:pPr>
              <w:spacing w:after="0"/>
              <w:rPr>
                <w:sz w:val="16"/>
                <w:szCs w:val="16"/>
                <w:color w:val="auto"/>
              </w:rPr>
            </w:pPr>
          </w:p>
        </w:tc>
        <w:tc>
          <w:tcPr>
            <w:tcW w:w="1260" w:type="dxa"/>
            <w:vAlign w:val="bottom"/>
            <w:tcBorders>
              <w:top w:val="single" w:sz="8" w:color="CCEEFF"/>
              <w:bottom w:val="single" w:sz="8" w:color="auto"/>
            </w:tcBorders>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1.5</w:t>
            </w:r>
          </w:p>
        </w:tc>
      </w:tr>
    </w:tbl>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of RSUs issued during 2014, 2013 and 2012 was $10.1 million, $11.3 million and $11.6 million,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3" w:name="page74"/>
    <w:bookmarkEnd w:id="7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SSAR Awards</w:t>
      </w:r>
    </w:p>
    <w:p>
      <w:pPr>
        <w:spacing w:after="0" w:line="23"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following table summarizes the status of our outstanding and exercisable SSAR Awards and related transactions for each of the following years (in thousands, except weighted average exercise price and weighted average remaining contractual life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SSAR Awards Outstanding</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SSAR Awards Exercisable</w:t>
            </w:r>
          </w:p>
        </w:tc>
      </w:tr>
      <w:tr>
        <w:trPr>
          <w:trHeight w:val="212"/>
        </w:trPr>
        <w:tc>
          <w:tcPr>
            <w:tcW w:w="3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jc w:val="right"/>
              <w:ind w:right="27"/>
              <w:spacing w:after="0"/>
              <w:rPr>
                <w:sz w:val="20"/>
                <w:szCs w:val="20"/>
                <w:color w:val="auto"/>
              </w:rPr>
            </w:pPr>
            <w:r>
              <w:rPr>
                <w:rFonts w:ascii="Arial" w:cs="Arial" w:eastAsia="Arial" w:hAnsi="Arial"/>
                <w:sz w:val="14"/>
                <w:szCs w:val="14"/>
                <w:b w:val="1"/>
                <w:bCs w:val="1"/>
                <w:color w:val="auto"/>
              </w:rPr>
              <w:t>Weighted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95"/>
        </w:trPr>
        <w:tc>
          <w:tcPr>
            <w:tcW w:w="3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right"/>
              <w:ind w:right="27"/>
              <w:spacing w:after="0"/>
              <w:rPr>
                <w:sz w:val="20"/>
                <w:szCs w:val="20"/>
                <w:color w:val="auto"/>
              </w:rPr>
            </w:pPr>
            <w:r>
              <w:rPr>
                <w:rFonts w:ascii="Arial" w:cs="Arial" w:eastAsia="Arial" w:hAnsi="Arial"/>
                <w:sz w:val="14"/>
                <w:szCs w:val="14"/>
                <w:b w:val="1"/>
                <w:bCs w:val="1"/>
                <w:color w:val="auto"/>
              </w:rPr>
              <w:t>Average</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95"/>
        </w:trPr>
        <w:tc>
          <w:tcPr>
            <w:tcW w:w="3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right"/>
              <w:ind w:right="27"/>
              <w:spacing w:after="0"/>
              <w:rPr>
                <w:sz w:val="20"/>
                <w:szCs w:val="20"/>
                <w:color w:val="auto"/>
              </w:rPr>
            </w:pPr>
            <w:r>
              <w:rPr>
                <w:rFonts w:ascii="Arial" w:cs="Arial" w:eastAsia="Arial" w:hAnsi="Arial"/>
                <w:sz w:val="14"/>
                <w:szCs w:val="14"/>
                <w:b w:val="1"/>
                <w:bCs w:val="1"/>
                <w:color w:val="auto"/>
              </w:rPr>
              <w:t>Remaining</w:t>
            </w:r>
          </w:p>
        </w:tc>
        <w:tc>
          <w:tcPr>
            <w:tcW w:w="680" w:type="dxa"/>
            <w:vAlign w:val="bottom"/>
          </w:tcPr>
          <w:p>
            <w:pPr>
              <w:spacing w:after="0"/>
              <w:rPr>
                <w:sz w:val="16"/>
                <w:szCs w:val="16"/>
                <w:color w:val="auto"/>
              </w:rPr>
            </w:pPr>
          </w:p>
        </w:tc>
        <w:tc>
          <w:tcPr>
            <w:tcW w:w="86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195"/>
        </w:trPr>
        <w:tc>
          <w:tcPr>
            <w:tcW w:w="3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96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Aggregate</w:t>
            </w:r>
          </w:p>
        </w:tc>
        <w:tc>
          <w:tcPr>
            <w:tcW w:w="980" w:type="dxa"/>
            <w:vAlign w:val="bottom"/>
          </w:tcPr>
          <w:p>
            <w:pPr>
              <w:jc w:val="right"/>
              <w:ind w:right="27"/>
              <w:spacing w:after="0"/>
              <w:rPr>
                <w:sz w:val="20"/>
                <w:szCs w:val="20"/>
                <w:color w:val="auto"/>
              </w:rPr>
            </w:pPr>
            <w:r>
              <w:rPr>
                <w:rFonts w:ascii="Arial" w:cs="Arial" w:eastAsia="Arial" w:hAnsi="Arial"/>
                <w:sz w:val="14"/>
                <w:szCs w:val="14"/>
                <w:b w:val="1"/>
                <w:bCs w:val="1"/>
                <w:color w:val="auto"/>
              </w:rPr>
              <w:t>Contractual</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6"/>
              <w:spacing w:after="0"/>
              <w:rPr>
                <w:sz w:val="20"/>
                <w:szCs w:val="20"/>
                <w:color w:val="auto"/>
              </w:rPr>
            </w:pPr>
            <w:r>
              <w:rPr>
                <w:rFonts w:ascii="Arial" w:cs="Arial" w:eastAsia="Arial" w:hAnsi="Arial"/>
                <w:sz w:val="14"/>
                <w:szCs w:val="14"/>
                <w:b w:val="1"/>
                <w:bCs w:val="1"/>
                <w:color w:val="auto"/>
              </w:rPr>
              <w:t>Average</w:t>
            </w:r>
          </w:p>
        </w:tc>
        <w:tc>
          <w:tcPr>
            <w:tcW w:w="96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Aggregate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r>
      <w:tr>
        <w:trPr>
          <w:trHeight w:val="157"/>
        </w:trPr>
        <w:tc>
          <w:tcPr>
            <w:tcW w:w="3400" w:type="dxa"/>
            <w:vAlign w:val="bottom"/>
          </w:tcPr>
          <w:p>
            <w:pPr>
              <w:spacing w:after="0"/>
              <w:rPr>
                <w:sz w:val="13"/>
                <w:szCs w:val="13"/>
                <w:color w:val="auto"/>
              </w:rPr>
            </w:pPr>
          </w:p>
        </w:tc>
        <w:tc>
          <w:tcPr>
            <w:tcW w:w="620" w:type="dxa"/>
            <w:vAlign w:val="bottom"/>
            <w:gridSpan w:val="2"/>
          </w:tcPr>
          <w:p>
            <w:pPr>
              <w:jc w:val="right"/>
              <w:ind w:right="60"/>
              <w:spacing w:after="0" w:line="157" w:lineRule="exact"/>
              <w:rPr>
                <w:sz w:val="20"/>
                <w:szCs w:val="20"/>
                <w:color w:val="auto"/>
              </w:rPr>
            </w:pPr>
            <w:r>
              <w:rPr>
                <w:rFonts w:ascii="Arial" w:cs="Arial" w:eastAsia="Arial" w:hAnsi="Arial"/>
                <w:sz w:val="14"/>
                <w:szCs w:val="14"/>
                <w:b w:val="1"/>
                <w:bCs w:val="1"/>
                <w:color w:val="auto"/>
              </w:rPr>
              <w:t>SSAR</w:t>
            </w:r>
          </w:p>
        </w:tc>
        <w:tc>
          <w:tcPr>
            <w:tcW w:w="1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7"/>
              </w:rPr>
              <w:t>Exercise</w:t>
            </w:r>
          </w:p>
        </w:tc>
        <w:tc>
          <w:tcPr>
            <w:tcW w:w="240" w:type="dxa"/>
            <w:vAlign w:val="bottom"/>
          </w:tcPr>
          <w:p>
            <w:pPr>
              <w:spacing w:after="0"/>
              <w:rPr>
                <w:sz w:val="13"/>
                <w:szCs w:val="13"/>
                <w:color w:val="auto"/>
              </w:rPr>
            </w:pPr>
          </w:p>
        </w:tc>
        <w:tc>
          <w:tcPr>
            <w:tcW w:w="720" w:type="dxa"/>
            <w:vAlign w:val="bottom"/>
          </w:tcPr>
          <w:p>
            <w:pPr>
              <w:jc w:val="right"/>
              <w:ind w:right="45"/>
              <w:spacing w:after="0" w:line="157" w:lineRule="exact"/>
              <w:rPr>
                <w:sz w:val="20"/>
                <w:szCs w:val="20"/>
                <w:color w:val="auto"/>
              </w:rPr>
            </w:pPr>
            <w:r>
              <w:rPr>
                <w:rFonts w:ascii="Arial" w:cs="Arial" w:eastAsia="Arial" w:hAnsi="Arial"/>
                <w:sz w:val="14"/>
                <w:szCs w:val="14"/>
                <w:b w:val="1"/>
                <w:bCs w:val="1"/>
                <w:color w:val="auto"/>
              </w:rPr>
              <w:t>Intrinsic</w:t>
            </w:r>
          </w:p>
        </w:tc>
        <w:tc>
          <w:tcPr>
            <w:tcW w:w="980" w:type="dxa"/>
            <w:vAlign w:val="bottom"/>
          </w:tcPr>
          <w:p>
            <w:pPr>
              <w:jc w:val="right"/>
              <w:ind w:right="27"/>
              <w:spacing w:after="0" w:line="157" w:lineRule="exact"/>
              <w:rPr>
                <w:sz w:val="20"/>
                <w:szCs w:val="20"/>
                <w:color w:val="auto"/>
              </w:rPr>
            </w:pPr>
            <w:r>
              <w:rPr>
                <w:rFonts w:ascii="Arial" w:cs="Arial" w:eastAsia="Arial" w:hAnsi="Arial"/>
                <w:sz w:val="14"/>
                <w:szCs w:val="14"/>
                <w:b w:val="1"/>
                <w:bCs w:val="1"/>
                <w:color w:val="auto"/>
              </w:rPr>
              <w:t>Life</w:t>
            </w:r>
          </w:p>
        </w:tc>
        <w:tc>
          <w:tcPr>
            <w:tcW w:w="6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SSAR</w:t>
            </w:r>
          </w:p>
        </w:tc>
        <w:tc>
          <w:tcPr>
            <w:tcW w:w="180" w:type="dxa"/>
            <w:vAlign w:val="bottom"/>
          </w:tcPr>
          <w:p>
            <w:pPr>
              <w:spacing w:after="0"/>
              <w:rPr>
                <w:sz w:val="13"/>
                <w:szCs w:val="13"/>
                <w:color w:val="auto"/>
              </w:rPr>
            </w:pPr>
          </w:p>
        </w:tc>
        <w:tc>
          <w:tcPr>
            <w:tcW w:w="680" w:type="dxa"/>
            <w:vAlign w:val="bottom"/>
          </w:tcPr>
          <w:p>
            <w:pPr>
              <w:jc w:val="right"/>
              <w:ind w:right="6"/>
              <w:spacing w:after="0" w:line="157" w:lineRule="exact"/>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3"/>
                <w:szCs w:val="13"/>
                <w:color w:val="auto"/>
              </w:rPr>
            </w:pPr>
          </w:p>
        </w:tc>
        <w:tc>
          <w:tcPr>
            <w:tcW w:w="740" w:type="dxa"/>
            <w:vAlign w:val="bottom"/>
          </w:tcPr>
          <w:p>
            <w:pPr>
              <w:jc w:val="right"/>
              <w:ind w:right="65"/>
              <w:spacing w:after="0" w:line="157" w:lineRule="exact"/>
              <w:rPr>
                <w:sz w:val="20"/>
                <w:szCs w:val="20"/>
                <w:color w:val="auto"/>
              </w:rPr>
            </w:pPr>
            <w:r>
              <w:rPr>
                <w:rFonts w:ascii="Arial" w:cs="Arial" w:eastAsia="Arial" w:hAnsi="Arial"/>
                <w:sz w:val="14"/>
                <w:szCs w:val="14"/>
                <w:b w:val="1"/>
                <w:bCs w:val="1"/>
                <w:color w:val="auto"/>
              </w:rPr>
              <w:t>Intrinsic</w:t>
            </w:r>
          </w:p>
        </w:tc>
        <w:tc>
          <w:tcPr>
            <w:tcW w:w="9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Life</w:t>
            </w:r>
          </w:p>
        </w:tc>
      </w:tr>
      <w:tr>
        <w:trPr>
          <w:trHeight w:val="169"/>
        </w:trPr>
        <w:tc>
          <w:tcPr>
            <w:tcW w:w="3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Awards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Value</w:t>
            </w: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(in Years)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Awards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Value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As of December 31, 2011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15.06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13,921</w:t>
            </w:r>
          </w:p>
        </w:tc>
        <w:tc>
          <w:tcPr>
            <w:tcW w:w="98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15.39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10,895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95"/>
        </w:trPr>
        <w:tc>
          <w:tcPr>
            <w:tcW w:w="3400" w:type="dxa"/>
            <w:vAlign w:val="bottom"/>
          </w:tcPr>
          <w:p>
            <w:pPr>
              <w:spacing w:after="0"/>
              <w:rPr>
                <w:sz w:val="20"/>
                <w:szCs w:val="20"/>
                <w:color w:val="auto"/>
              </w:rPr>
            </w:pPr>
            <w:r>
              <w:rPr>
                <w:rFonts w:ascii="Arial" w:cs="Arial" w:eastAsia="Arial" w:hAnsi="Arial"/>
                <w:sz w:val="16"/>
                <w:szCs w:val="16"/>
                <w:color w:val="auto"/>
              </w:rPr>
              <w:t>Exercised</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6"/>
                <w:szCs w:val="16"/>
                <w:color w:val="auto"/>
              </w:rPr>
            </w:pPr>
          </w:p>
        </w:tc>
        <w:tc>
          <w:tcPr>
            <w:tcW w:w="640" w:type="dxa"/>
            <w:vAlign w:val="bottom"/>
          </w:tcPr>
          <w:p>
            <w:pPr>
              <w:jc w:val="right"/>
              <w:ind w:right="24"/>
              <w:spacing w:after="0"/>
              <w:rPr>
                <w:sz w:val="20"/>
                <w:szCs w:val="20"/>
                <w:color w:val="auto"/>
              </w:rPr>
            </w:pPr>
            <w:r>
              <w:rPr>
                <w:rFonts w:ascii="Arial" w:cs="Arial" w:eastAsia="Arial" w:hAnsi="Arial"/>
                <w:sz w:val="16"/>
                <w:szCs w:val="16"/>
                <w:color w:val="auto"/>
              </w:rPr>
              <w:t>16.76</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5"/>
        </w:trPr>
        <w:tc>
          <w:tcPr>
            <w:tcW w:w="34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As of December 31, 2012</w:t>
            </w:r>
          </w:p>
        </w:tc>
        <w:tc>
          <w:tcPr>
            <w:tcW w:w="5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422</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jc w:val="right"/>
              <w:ind w:right="24"/>
              <w:spacing w:after="0" w:line="175" w:lineRule="exact"/>
              <w:rPr>
                <w:sz w:val="20"/>
                <w:szCs w:val="20"/>
                <w:color w:val="auto"/>
              </w:rPr>
            </w:pPr>
            <w:r>
              <w:rPr>
                <w:rFonts w:ascii="Arial" w:cs="Arial" w:eastAsia="Arial" w:hAnsi="Arial"/>
                <w:sz w:val="16"/>
                <w:szCs w:val="16"/>
                <w:color w:val="auto"/>
              </w:rPr>
              <w:t>15.30</w:t>
            </w: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jc w:val="right"/>
              <w:ind w:right="85"/>
              <w:spacing w:after="0" w:line="175" w:lineRule="exact"/>
              <w:rPr>
                <w:sz w:val="20"/>
                <w:szCs w:val="20"/>
                <w:color w:val="auto"/>
              </w:rPr>
            </w:pPr>
            <w:r>
              <w:rPr>
                <w:rFonts w:ascii="Arial" w:cs="Arial" w:eastAsia="Arial" w:hAnsi="Arial"/>
                <w:sz w:val="16"/>
                <w:szCs w:val="16"/>
                <w:color w:val="auto"/>
              </w:rPr>
              <w:t>10,927</w:t>
            </w:r>
          </w:p>
        </w:tc>
        <w:tc>
          <w:tcPr>
            <w:tcW w:w="980" w:type="dxa"/>
            <w:vAlign w:val="bottom"/>
            <w:tcBorders>
              <w:top w:val="single" w:sz="8" w:color="CCEEFF"/>
            </w:tcBorders>
            <w:shd w:val="clear" w:color="auto" w:fill="CCEEFF"/>
          </w:tcPr>
          <w:p>
            <w:pPr>
              <w:jc w:val="right"/>
              <w:ind w:right="67"/>
              <w:spacing w:after="0" w:line="175" w:lineRule="exact"/>
              <w:rPr>
                <w:sz w:val="20"/>
                <w:szCs w:val="20"/>
                <w:color w:val="auto"/>
              </w:rPr>
            </w:pPr>
            <w:r>
              <w:rPr>
                <w:rFonts w:ascii="Arial" w:cs="Arial" w:eastAsia="Arial" w:hAnsi="Arial"/>
                <w:sz w:val="16"/>
                <w:szCs w:val="16"/>
                <w:color w:val="auto"/>
              </w:rPr>
              <w:t>0.6</w:t>
            </w:r>
          </w:p>
        </w:tc>
        <w:tc>
          <w:tcPr>
            <w:tcW w:w="680" w:type="dxa"/>
            <w:vAlign w:val="bottom"/>
            <w:tcBorders>
              <w:top w:val="single" w:sz="8" w:color="CCEEFF"/>
            </w:tcBorders>
            <w:shd w:val="clear" w:color="auto" w:fill="CCEEFF"/>
          </w:tcPr>
          <w:p>
            <w:pPr>
              <w:jc w:val="right"/>
              <w:ind w:right="45"/>
              <w:spacing w:after="0" w:line="175" w:lineRule="exact"/>
              <w:rPr>
                <w:sz w:val="20"/>
                <w:szCs w:val="20"/>
                <w:color w:val="auto"/>
              </w:rPr>
            </w:pPr>
            <w:r>
              <w:rPr>
                <w:rFonts w:ascii="Arial" w:cs="Arial" w:eastAsia="Arial" w:hAnsi="Arial"/>
                <w:sz w:val="16"/>
                <w:szCs w:val="16"/>
                <w:color w:val="auto"/>
              </w:rPr>
              <w:t>322</w:t>
            </w: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jc w:val="right"/>
              <w:ind w:right="46"/>
              <w:spacing w:after="0" w:line="175" w:lineRule="exact"/>
              <w:rPr>
                <w:sz w:val="20"/>
                <w:szCs w:val="20"/>
                <w:color w:val="auto"/>
              </w:rPr>
            </w:pPr>
            <w:r>
              <w:rPr>
                <w:rFonts w:ascii="Arial" w:cs="Arial" w:eastAsia="Arial" w:hAnsi="Arial"/>
                <w:sz w:val="16"/>
                <w:szCs w:val="16"/>
                <w:color w:val="auto"/>
              </w:rPr>
              <w:t>16.02</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jc w:val="right"/>
              <w:ind w:right="105"/>
              <w:spacing w:after="0" w:line="175" w:lineRule="exact"/>
              <w:rPr>
                <w:sz w:val="20"/>
                <w:szCs w:val="20"/>
                <w:color w:val="auto"/>
              </w:rPr>
            </w:pPr>
            <w:r>
              <w:rPr>
                <w:rFonts w:ascii="Arial" w:cs="Arial" w:eastAsia="Arial" w:hAnsi="Arial"/>
                <w:sz w:val="16"/>
                <w:szCs w:val="16"/>
                <w:color w:val="auto"/>
              </w:rPr>
              <w:t>8,108</w:t>
            </w:r>
          </w:p>
        </w:tc>
        <w:tc>
          <w:tcPr>
            <w:tcW w:w="900" w:type="dxa"/>
            <w:vAlign w:val="bottom"/>
            <w:tcBorders>
              <w:top w:val="single" w:sz="8" w:color="CCEEFF"/>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0.7</w:t>
            </w:r>
          </w:p>
        </w:tc>
      </w:tr>
      <w:tr>
        <w:trPr>
          <w:trHeight w:val="195"/>
        </w:trPr>
        <w:tc>
          <w:tcPr>
            <w:tcW w:w="3400" w:type="dxa"/>
            <w:vAlign w:val="bottom"/>
          </w:tcPr>
          <w:p>
            <w:pPr>
              <w:spacing w:after="0"/>
              <w:rPr>
                <w:sz w:val="20"/>
                <w:szCs w:val="20"/>
                <w:color w:val="auto"/>
              </w:rPr>
            </w:pPr>
            <w:r>
              <w:rPr>
                <w:rFonts w:ascii="Arial" w:cs="Arial" w:eastAsia="Arial" w:hAnsi="Arial"/>
                <w:sz w:val="16"/>
                <w:szCs w:val="16"/>
                <w:color w:val="auto"/>
              </w:rPr>
              <w:t>Granted</w:t>
            </w:r>
          </w:p>
        </w:tc>
        <w:tc>
          <w:tcPr>
            <w:tcW w:w="560" w:type="dxa"/>
            <w:vAlign w:val="bottom"/>
          </w:tcPr>
          <w:p>
            <w:pPr>
              <w:jc w:val="right"/>
              <w:spacing w:after="0"/>
              <w:rPr>
                <w:sz w:val="20"/>
                <w:szCs w:val="20"/>
                <w:color w:val="auto"/>
              </w:rPr>
            </w:pPr>
            <w:r>
              <w:rPr>
                <w:rFonts w:ascii="Arial" w:cs="Arial" w:eastAsia="Arial" w:hAnsi="Arial"/>
                <w:sz w:val="16"/>
                <w:szCs w:val="16"/>
                <w:color w:val="auto"/>
              </w:rPr>
              <w:t>218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24"/>
              <w:spacing w:after="0"/>
              <w:rPr>
                <w:sz w:val="20"/>
                <w:szCs w:val="20"/>
                <w:color w:val="auto"/>
              </w:rPr>
            </w:pPr>
            <w:r>
              <w:rPr>
                <w:rFonts w:ascii="Arial" w:cs="Arial" w:eastAsia="Arial" w:hAnsi="Arial"/>
                <w:sz w:val="16"/>
                <w:szCs w:val="16"/>
                <w:color w:val="auto"/>
              </w:rPr>
              <w:t>41.42</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(366)</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14.07</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5"/>
        </w:trPr>
        <w:tc>
          <w:tcPr>
            <w:tcW w:w="3400" w:type="dxa"/>
            <w:vAlign w:val="bottom"/>
          </w:tcPr>
          <w:p>
            <w:pPr>
              <w:spacing w:after="0"/>
              <w:rPr>
                <w:sz w:val="20"/>
                <w:szCs w:val="20"/>
                <w:color w:val="auto"/>
              </w:rPr>
            </w:pPr>
            <w:r>
              <w:rPr>
                <w:rFonts w:ascii="Arial" w:cs="Arial" w:eastAsia="Arial" w:hAnsi="Arial"/>
                <w:sz w:val="16"/>
                <w:szCs w:val="16"/>
                <w:color w:val="auto"/>
              </w:rPr>
              <w:t>Forfeited</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640" w:type="dxa"/>
            <w:vAlign w:val="bottom"/>
          </w:tcPr>
          <w:p>
            <w:pPr>
              <w:jc w:val="right"/>
              <w:ind w:right="24"/>
              <w:spacing w:after="0"/>
              <w:rPr>
                <w:sz w:val="20"/>
                <w:szCs w:val="20"/>
                <w:color w:val="auto"/>
              </w:rPr>
            </w:pPr>
            <w:r>
              <w:rPr>
                <w:rFonts w:ascii="Arial" w:cs="Arial" w:eastAsia="Arial" w:hAnsi="Arial"/>
                <w:sz w:val="16"/>
                <w:szCs w:val="16"/>
                <w:color w:val="auto"/>
              </w:rPr>
              <w:t>37.34</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5"/>
        </w:trPr>
        <w:tc>
          <w:tcPr>
            <w:tcW w:w="34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As of December 31, 2013</w:t>
            </w:r>
          </w:p>
        </w:tc>
        <w:tc>
          <w:tcPr>
            <w:tcW w:w="5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272</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jc w:val="right"/>
              <w:ind w:right="24"/>
              <w:spacing w:after="0" w:line="175" w:lineRule="exact"/>
              <w:rPr>
                <w:sz w:val="20"/>
                <w:szCs w:val="20"/>
                <w:color w:val="auto"/>
              </w:rPr>
            </w:pPr>
            <w:r>
              <w:rPr>
                <w:rFonts w:ascii="Arial" w:cs="Arial" w:eastAsia="Arial" w:hAnsi="Arial"/>
                <w:sz w:val="16"/>
                <w:szCs w:val="16"/>
                <w:color w:val="auto"/>
              </w:rPr>
              <w:t>37.69</w:t>
            </w: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jc w:val="right"/>
              <w:ind w:right="85"/>
              <w:spacing w:after="0" w:line="175" w:lineRule="exact"/>
              <w:rPr>
                <w:sz w:val="20"/>
                <w:szCs w:val="20"/>
                <w:color w:val="auto"/>
              </w:rPr>
            </w:pPr>
            <w:r>
              <w:rPr>
                <w:rFonts w:ascii="Arial" w:cs="Arial" w:eastAsia="Arial" w:hAnsi="Arial"/>
                <w:sz w:val="16"/>
                <w:szCs w:val="16"/>
                <w:color w:val="auto"/>
              </w:rPr>
              <w:t>1,594</w:t>
            </w:r>
          </w:p>
        </w:tc>
        <w:tc>
          <w:tcPr>
            <w:tcW w:w="980" w:type="dxa"/>
            <w:vAlign w:val="bottom"/>
            <w:tcBorders>
              <w:top w:val="single" w:sz="8" w:color="CCEEFF"/>
            </w:tcBorders>
            <w:shd w:val="clear" w:color="auto" w:fill="CCEEFF"/>
          </w:tcPr>
          <w:p>
            <w:pPr>
              <w:jc w:val="right"/>
              <w:ind w:right="67"/>
              <w:spacing w:after="0" w:line="175" w:lineRule="exact"/>
              <w:rPr>
                <w:sz w:val="20"/>
                <w:szCs w:val="20"/>
                <w:color w:val="auto"/>
              </w:rPr>
            </w:pPr>
            <w:r>
              <w:rPr>
                <w:rFonts w:ascii="Arial" w:cs="Arial" w:eastAsia="Arial" w:hAnsi="Arial"/>
                <w:sz w:val="16"/>
                <w:szCs w:val="16"/>
                <w:color w:val="auto"/>
              </w:rPr>
              <w:t>3.6</w:t>
            </w:r>
          </w:p>
        </w:tc>
        <w:tc>
          <w:tcPr>
            <w:tcW w:w="680" w:type="dxa"/>
            <w:vAlign w:val="bottom"/>
            <w:tcBorders>
              <w:top w:val="single" w:sz="8" w:color="CCEEFF"/>
            </w:tcBorders>
            <w:shd w:val="clear" w:color="auto" w:fill="CCEEFF"/>
          </w:tcPr>
          <w:p>
            <w:pPr>
              <w:jc w:val="right"/>
              <w:ind w:right="45"/>
              <w:spacing w:after="0" w:line="175" w:lineRule="exact"/>
              <w:rPr>
                <w:sz w:val="20"/>
                <w:szCs w:val="20"/>
                <w:color w:val="auto"/>
              </w:rPr>
            </w:pPr>
            <w:r>
              <w:rPr>
                <w:rFonts w:ascii="Arial" w:cs="Arial" w:eastAsia="Arial" w:hAnsi="Arial"/>
                <w:sz w:val="16"/>
                <w:szCs w:val="16"/>
                <w:color w:val="auto"/>
              </w:rPr>
              <w:t>56</w:t>
            </w: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jc w:val="right"/>
              <w:ind w:right="46"/>
              <w:spacing w:after="0" w:line="175" w:lineRule="exact"/>
              <w:rPr>
                <w:sz w:val="20"/>
                <w:szCs w:val="20"/>
                <w:color w:val="auto"/>
              </w:rPr>
            </w:pPr>
            <w:r>
              <w:rPr>
                <w:rFonts w:ascii="Arial" w:cs="Arial" w:eastAsia="Arial" w:hAnsi="Arial"/>
                <w:sz w:val="16"/>
                <w:szCs w:val="16"/>
                <w:color w:val="auto"/>
              </w:rPr>
              <w:t>23.25</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jc w:val="right"/>
              <w:ind w:right="105"/>
              <w:spacing w:after="0" w:line="175" w:lineRule="exact"/>
              <w:rPr>
                <w:sz w:val="20"/>
                <w:szCs w:val="20"/>
                <w:color w:val="auto"/>
              </w:rPr>
            </w:pPr>
            <w:r>
              <w:rPr>
                <w:rFonts w:ascii="Arial" w:cs="Arial" w:eastAsia="Arial" w:hAnsi="Arial"/>
                <w:sz w:val="16"/>
                <w:szCs w:val="16"/>
                <w:color w:val="auto"/>
              </w:rPr>
              <w:t>1,124</w:t>
            </w:r>
          </w:p>
        </w:tc>
        <w:tc>
          <w:tcPr>
            <w:tcW w:w="900" w:type="dxa"/>
            <w:vAlign w:val="bottom"/>
            <w:tcBorders>
              <w:top w:val="single" w:sz="8" w:color="CCEEFF"/>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1.0</w:t>
            </w:r>
          </w:p>
        </w:tc>
      </w:tr>
      <w:tr>
        <w:trPr>
          <w:trHeight w:val="195"/>
        </w:trPr>
        <w:tc>
          <w:tcPr>
            <w:tcW w:w="3400" w:type="dxa"/>
            <w:vAlign w:val="bottom"/>
          </w:tcPr>
          <w:p>
            <w:pPr>
              <w:spacing w:after="0"/>
              <w:rPr>
                <w:sz w:val="20"/>
                <w:szCs w:val="20"/>
                <w:color w:val="auto"/>
              </w:rPr>
            </w:pPr>
            <w:r>
              <w:rPr>
                <w:rFonts w:ascii="Arial" w:cs="Arial" w:eastAsia="Arial" w:hAnsi="Arial"/>
                <w:sz w:val="16"/>
                <w:szCs w:val="16"/>
                <w:color w:val="auto"/>
              </w:rPr>
              <w:t>Exercised</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6"/>
                <w:szCs w:val="16"/>
                <w:color w:val="auto"/>
              </w:rPr>
            </w:pPr>
          </w:p>
        </w:tc>
        <w:tc>
          <w:tcPr>
            <w:tcW w:w="640" w:type="dxa"/>
            <w:vAlign w:val="bottom"/>
          </w:tcPr>
          <w:p>
            <w:pPr>
              <w:jc w:val="right"/>
              <w:ind w:right="24"/>
              <w:spacing w:after="0"/>
              <w:rPr>
                <w:sz w:val="20"/>
                <w:szCs w:val="20"/>
                <w:color w:val="auto"/>
              </w:rPr>
            </w:pPr>
            <w:r>
              <w:rPr>
                <w:rFonts w:ascii="Arial" w:cs="Arial" w:eastAsia="Arial" w:hAnsi="Arial"/>
                <w:sz w:val="16"/>
                <w:szCs w:val="16"/>
                <w:color w:val="auto"/>
              </w:rPr>
              <w:t>22.26</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40.91</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1"/>
        </w:trPr>
        <w:tc>
          <w:tcPr>
            <w:tcW w:w="340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color w:val="auto"/>
              </w:rPr>
              <w:t>As of December 31, 2014</w:t>
            </w:r>
          </w:p>
        </w:tc>
        <w:tc>
          <w:tcPr>
            <w:tcW w:w="5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232</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4"/>
              <w:spacing w:after="0" w:line="175" w:lineRule="exact"/>
              <w:rPr>
                <w:sz w:val="20"/>
                <w:szCs w:val="20"/>
                <w:color w:val="auto"/>
              </w:rPr>
            </w:pPr>
            <w:r>
              <w:rPr>
                <w:rFonts w:ascii="Arial" w:cs="Arial" w:eastAsia="Arial" w:hAnsi="Arial"/>
                <w:sz w:val="16"/>
                <w:szCs w:val="16"/>
                <w:color w:val="auto"/>
              </w:rPr>
              <w:t>40.06</w:t>
            </w:r>
          </w:p>
        </w:tc>
        <w:tc>
          <w:tcPr>
            <w:tcW w:w="2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85"/>
              <w:spacing w:after="0" w:line="175" w:lineRule="exact"/>
              <w:rPr>
                <w:sz w:val="20"/>
                <w:szCs w:val="20"/>
                <w:color w:val="auto"/>
              </w:rPr>
            </w:pPr>
            <w:r>
              <w:rPr>
                <w:rFonts w:ascii="Arial" w:cs="Arial" w:eastAsia="Arial" w:hAnsi="Arial"/>
                <w:sz w:val="16"/>
                <w:szCs w:val="16"/>
                <w:color w:val="auto"/>
              </w:rPr>
              <w:t>1,595</w:t>
            </w:r>
          </w:p>
        </w:tc>
        <w:tc>
          <w:tcPr>
            <w:tcW w:w="980" w:type="dxa"/>
            <w:vAlign w:val="bottom"/>
            <w:tcBorders>
              <w:bottom w:val="single" w:sz="8" w:color="auto"/>
            </w:tcBorders>
          </w:tcPr>
          <w:p>
            <w:pPr>
              <w:jc w:val="right"/>
              <w:ind w:right="67"/>
              <w:spacing w:after="0" w:line="175" w:lineRule="exact"/>
              <w:rPr>
                <w:sz w:val="20"/>
                <w:szCs w:val="20"/>
                <w:color w:val="auto"/>
              </w:rPr>
            </w:pPr>
            <w:r>
              <w:rPr>
                <w:rFonts w:ascii="Arial" w:cs="Arial" w:eastAsia="Arial" w:hAnsi="Arial"/>
                <w:sz w:val="16"/>
                <w:szCs w:val="16"/>
                <w:color w:val="auto"/>
              </w:rPr>
              <w:t>3.0</w:t>
            </w:r>
          </w:p>
        </w:tc>
        <w:tc>
          <w:tcPr>
            <w:tcW w:w="680" w:type="dxa"/>
            <w:vAlign w:val="bottom"/>
            <w:tcBorders>
              <w:bottom w:val="single" w:sz="8" w:color="auto"/>
            </w:tcBorders>
          </w:tcPr>
          <w:p>
            <w:pPr>
              <w:jc w:val="right"/>
              <w:ind w:right="45"/>
              <w:spacing w:after="0" w:line="175" w:lineRule="exact"/>
              <w:rPr>
                <w:sz w:val="20"/>
                <w:szCs w:val="20"/>
                <w:color w:val="auto"/>
              </w:rPr>
            </w:pPr>
            <w:r>
              <w:rPr>
                <w:rFonts w:ascii="Arial" w:cs="Arial" w:eastAsia="Arial" w:hAnsi="Arial"/>
                <w:sz w:val="16"/>
                <w:szCs w:val="16"/>
                <w:color w:val="auto"/>
              </w:rPr>
              <w:t>54</w:t>
            </w:r>
          </w:p>
        </w:tc>
        <w:tc>
          <w:tcPr>
            <w:tcW w:w="1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6"/>
              <w:spacing w:after="0" w:line="175" w:lineRule="exact"/>
              <w:rPr>
                <w:sz w:val="20"/>
                <w:szCs w:val="20"/>
                <w:color w:val="auto"/>
              </w:rPr>
            </w:pPr>
            <w:r>
              <w:rPr>
                <w:rFonts w:ascii="Arial" w:cs="Arial" w:eastAsia="Arial" w:hAnsi="Arial"/>
                <w:sz w:val="16"/>
                <w:szCs w:val="16"/>
                <w:color w:val="auto"/>
              </w:rPr>
              <w:t>35.81</w:t>
            </w:r>
          </w:p>
        </w:tc>
        <w:tc>
          <w:tcPr>
            <w:tcW w:w="2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05"/>
              <w:spacing w:after="0" w:line="175" w:lineRule="exact"/>
              <w:rPr>
                <w:sz w:val="20"/>
                <w:szCs w:val="20"/>
                <w:color w:val="auto"/>
              </w:rPr>
            </w:pPr>
            <w:r>
              <w:rPr>
                <w:rFonts w:ascii="Arial" w:cs="Arial" w:eastAsia="Arial" w:hAnsi="Arial"/>
                <w:sz w:val="16"/>
                <w:szCs w:val="16"/>
                <w:color w:val="auto"/>
              </w:rPr>
              <w:t>600</w:t>
            </w:r>
          </w:p>
        </w:tc>
        <w:tc>
          <w:tcPr>
            <w:tcW w:w="9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w:t>
            </w:r>
          </w:p>
        </w:tc>
      </w:tr>
    </w:tbl>
    <w:p>
      <w:pPr>
        <w:spacing w:after="0" w:line="172"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The aggregate intrinsic value of SSAR Awards exercised during 2014, 2013 and 2012 was $0.8 million, $9.1 million and $2.1 million, respectively, based on the difference between the average of the high and low market price of our common stock at the exercise date and the SSAR Award exercise price.</w:t>
      </w:r>
    </w:p>
    <w:p>
      <w:pPr>
        <w:spacing w:after="0" w:line="71" w:lineRule="exact"/>
        <w:rPr>
          <w:sz w:val="20"/>
          <w:szCs w:val="20"/>
          <w:color w:val="auto"/>
        </w:rPr>
      </w:pPr>
    </w:p>
    <w:p>
      <w:pPr>
        <w:jc w:val="both"/>
        <w:ind w:right="20"/>
        <w:spacing w:after="0" w:line="208" w:lineRule="exact"/>
        <w:rPr>
          <w:sz w:val="20"/>
          <w:szCs w:val="20"/>
          <w:color w:val="auto"/>
        </w:rPr>
      </w:pPr>
      <w:r>
        <w:rPr>
          <w:rFonts w:ascii="Arial" w:cs="Arial" w:eastAsia="Arial" w:hAnsi="Arial"/>
          <w:sz w:val="17"/>
          <w:szCs w:val="17"/>
          <w:color w:val="auto"/>
        </w:rPr>
        <w:t>As discussed in Note 1, we currently use the Black Scholes option pricing model to estimate the fair value of SSAR Awards granted to employees and non</w:t>
      </w:r>
      <w:r>
        <w:rPr>
          <w:rFonts w:ascii="MS PGothic" w:cs="MS PGothic" w:eastAsia="MS PGothic" w:hAnsi="MS PGothic"/>
          <w:sz w:val="17"/>
          <w:szCs w:val="17"/>
          <w:color w:val="auto"/>
        </w:rPr>
        <w:t>‑</w:t>
      </w:r>
      <w:r>
        <w:rPr>
          <w:rFonts w:ascii="Arial" w:cs="Arial" w:eastAsia="Arial" w:hAnsi="Arial"/>
          <w:sz w:val="17"/>
          <w:szCs w:val="17"/>
          <w:color w:val="auto"/>
        </w:rPr>
        <w:t>employee directors. The weighted average fair value of the SSAR Awards for 2013 was $11.65 and the assumptions used to determine such fair value were as follows: expected term of 4.1 years, volatility of 38.0%, dividend yields of 0.4% and risk</w:t>
      </w:r>
      <w:r>
        <w:rPr>
          <w:rFonts w:ascii="MS PGothic" w:cs="MS PGothic" w:eastAsia="MS PGothic" w:hAnsi="MS PGothic"/>
          <w:sz w:val="17"/>
          <w:szCs w:val="17"/>
          <w:color w:val="auto"/>
        </w:rPr>
        <w:t>‑</w:t>
      </w:r>
      <w:r>
        <w:rPr>
          <w:rFonts w:ascii="Arial" w:cs="Arial" w:eastAsia="Arial" w:hAnsi="Arial"/>
          <w:sz w:val="17"/>
          <w:szCs w:val="17"/>
          <w:color w:val="auto"/>
        </w:rPr>
        <w:t>free interest rates of 0.6%. There were no SSAR Awards issued in 2014 and 2012.</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Unrecognized Compensation Cost</w:t>
      </w:r>
    </w:p>
    <w:p>
      <w:pPr>
        <w:spacing w:after="0" w:line="19" w:lineRule="exact"/>
        <w:rPr>
          <w:sz w:val="20"/>
          <w:szCs w:val="20"/>
          <w:color w:val="auto"/>
        </w:rPr>
      </w:pPr>
    </w:p>
    <w:p>
      <w:pPr>
        <w:jc w:val="both"/>
        <w:ind w:right="20"/>
        <w:spacing w:after="0" w:line="200" w:lineRule="exact"/>
        <w:rPr>
          <w:sz w:val="20"/>
          <w:szCs w:val="20"/>
          <w:color w:val="auto"/>
        </w:rPr>
      </w:pPr>
      <w:r>
        <w:rPr>
          <w:rFonts w:ascii="Arial" w:cs="Arial" w:eastAsia="Arial" w:hAnsi="Arial"/>
          <w:sz w:val="17"/>
          <w:szCs w:val="17"/>
          <w:color w:val="auto"/>
        </w:rPr>
        <w:t>As of December 31, 2014, there was $30.6 million of total unrecognized compensation cost related to unvested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which is included as capital in excess of par value in the accompanying consolidated balance sheets. The unrecognized compensation cost as of December 31, 2014 is expected to be recognized as compensation expense over a weighted average period of 1.4 years as follows (in thousands):</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Borders>
              <w:top w:val="single" w:sz="8" w:color="auto"/>
            </w:tcBorders>
            <w:shd w:val="clear" w:color="auto" w:fill="CCEEFF"/>
          </w:tcPr>
          <w:p>
            <w:pPr>
              <w:jc w:val="right"/>
              <w:ind w:right="2214"/>
              <w:spacing w:after="0" w:line="188" w:lineRule="exact"/>
              <w:rPr>
                <w:sz w:val="20"/>
                <w:szCs w:val="20"/>
                <w:color w:val="auto"/>
              </w:rPr>
            </w:pPr>
            <w:r>
              <w:rPr>
                <w:rFonts w:ascii="Arial" w:cs="Arial" w:eastAsia="Arial" w:hAnsi="Arial"/>
                <w:sz w:val="17"/>
                <w:szCs w:val="17"/>
                <w:color w:val="auto"/>
              </w:rPr>
              <w:t>2015</w:t>
            </w:r>
          </w:p>
        </w:tc>
        <w:tc>
          <w:tcPr>
            <w:tcW w:w="6540" w:type="dxa"/>
            <w:vAlign w:val="bottom"/>
            <w:tcBorders>
              <w:top w:val="single" w:sz="8" w:color="auto"/>
            </w:tcBorders>
            <w:shd w:val="clear" w:color="auto" w:fill="CCEEFF"/>
          </w:tcPr>
          <w:p>
            <w:pPr>
              <w:jc w:val="right"/>
              <w:ind w:right="294"/>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14,438</w:t>
            </w:r>
          </w:p>
        </w:tc>
        <w:tc>
          <w:tcPr>
            <w:tcW w:w="20" w:type="dxa"/>
            <w:vAlign w:val="bottom"/>
          </w:tcPr>
          <w:p>
            <w:pPr>
              <w:spacing w:after="0"/>
              <w:rPr>
                <w:sz w:val="16"/>
                <w:szCs w:val="16"/>
                <w:color w:val="auto"/>
              </w:rPr>
            </w:pPr>
          </w:p>
        </w:tc>
      </w:tr>
      <w:tr>
        <w:trPr>
          <w:trHeight w:val="195"/>
        </w:trPr>
        <w:tc>
          <w:tcPr>
            <w:tcW w:w="2700" w:type="dxa"/>
            <w:vAlign w:val="bottom"/>
          </w:tcPr>
          <w:p>
            <w:pPr>
              <w:jc w:val="right"/>
              <w:ind w:right="2214"/>
              <w:spacing w:after="0"/>
              <w:rPr>
                <w:sz w:val="20"/>
                <w:szCs w:val="20"/>
                <w:color w:val="auto"/>
              </w:rPr>
            </w:pPr>
            <w:r>
              <w:rPr>
                <w:rFonts w:ascii="Arial" w:cs="Arial" w:eastAsia="Arial" w:hAnsi="Arial"/>
                <w:sz w:val="17"/>
                <w:szCs w:val="17"/>
                <w:color w:val="auto"/>
              </w:rPr>
              <w:t>2016</w:t>
            </w:r>
          </w:p>
        </w:tc>
        <w:tc>
          <w:tcPr>
            <w:tcW w:w="6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10,133</w:t>
            </w:r>
          </w:p>
        </w:tc>
        <w:tc>
          <w:tcPr>
            <w:tcW w:w="20" w:type="dxa"/>
            <w:vAlign w:val="bottom"/>
          </w:tcPr>
          <w:p>
            <w:pPr>
              <w:spacing w:after="0"/>
              <w:rPr>
                <w:sz w:val="16"/>
                <w:szCs w:val="16"/>
                <w:color w:val="auto"/>
              </w:rPr>
            </w:pPr>
          </w:p>
        </w:tc>
      </w:tr>
      <w:tr>
        <w:trPr>
          <w:trHeight w:val="195"/>
        </w:trPr>
        <w:tc>
          <w:tcPr>
            <w:tcW w:w="2700" w:type="dxa"/>
            <w:vAlign w:val="bottom"/>
            <w:shd w:val="clear" w:color="auto" w:fill="CCEEFF"/>
          </w:tcPr>
          <w:p>
            <w:pPr>
              <w:jc w:val="right"/>
              <w:ind w:right="2214"/>
              <w:spacing w:after="0"/>
              <w:rPr>
                <w:sz w:val="20"/>
                <w:szCs w:val="20"/>
                <w:color w:val="auto"/>
              </w:rPr>
            </w:pPr>
            <w:r>
              <w:rPr>
                <w:rFonts w:ascii="Arial" w:cs="Arial" w:eastAsia="Arial" w:hAnsi="Arial"/>
                <w:sz w:val="17"/>
                <w:szCs w:val="17"/>
                <w:color w:val="auto"/>
              </w:rPr>
              <w:t>2017</w:t>
            </w:r>
          </w:p>
        </w:tc>
        <w:tc>
          <w:tcPr>
            <w:tcW w:w="6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2,889</w:t>
            </w:r>
          </w:p>
        </w:tc>
        <w:tc>
          <w:tcPr>
            <w:tcW w:w="20" w:type="dxa"/>
            <w:vAlign w:val="bottom"/>
          </w:tcPr>
          <w:p>
            <w:pPr>
              <w:spacing w:after="0"/>
              <w:rPr>
                <w:sz w:val="16"/>
                <w:szCs w:val="16"/>
                <w:color w:val="auto"/>
              </w:rPr>
            </w:pPr>
          </w:p>
        </w:tc>
      </w:tr>
      <w:tr>
        <w:trPr>
          <w:trHeight w:val="195"/>
        </w:trPr>
        <w:tc>
          <w:tcPr>
            <w:tcW w:w="2700" w:type="dxa"/>
            <w:vAlign w:val="bottom"/>
          </w:tcPr>
          <w:p>
            <w:pPr>
              <w:jc w:val="right"/>
              <w:ind w:right="2214"/>
              <w:spacing w:after="0"/>
              <w:rPr>
                <w:sz w:val="20"/>
                <w:szCs w:val="20"/>
                <w:color w:val="auto"/>
              </w:rPr>
            </w:pPr>
            <w:r>
              <w:rPr>
                <w:rFonts w:ascii="Arial" w:cs="Arial" w:eastAsia="Arial" w:hAnsi="Arial"/>
                <w:sz w:val="17"/>
                <w:szCs w:val="17"/>
                <w:color w:val="auto"/>
              </w:rPr>
              <w:t>2018</w:t>
            </w:r>
          </w:p>
        </w:tc>
        <w:tc>
          <w:tcPr>
            <w:tcW w:w="6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2,575</w:t>
            </w:r>
          </w:p>
        </w:tc>
        <w:tc>
          <w:tcPr>
            <w:tcW w:w="20" w:type="dxa"/>
            <w:vAlign w:val="bottom"/>
          </w:tcPr>
          <w:p>
            <w:pPr>
              <w:spacing w:after="0"/>
              <w:rPr>
                <w:sz w:val="16"/>
                <w:szCs w:val="16"/>
                <w:color w:val="auto"/>
              </w:rPr>
            </w:pPr>
          </w:p>
        </w:tc>
      </w:tr>
      <w:tr>
        <w:trPr>
          <w:trHeight w:val="195"/>
        </w:trPr>
        <w:tc>
          <w:tcPr>
            <w:tcW w:w="2700" w:type="dxa"/>
            <w:vAlign w:val="bottom"/>
            <w:tcBorders>
              <w:bottom w:val="single" w:sz="8" w:color="auto"/>
            </w:tcBorders>
            <w:shd w:val="clear" w:color="auto" w:fill="CCEEFF"/>
          </w:tcPr>
          <w:p>
            <w:pPr>
              <w:jc w:val="right"/>
              <w:ind w:right="2214"/>
              <w:spacing w:after="0"/>
              <w:rPr>
                <w:sz w:val="20"/>
                <w:szCs w:val="20"/>
                <w:color w:val="auto"/>
              </w:rPr>
            </w:pPr>
            <w:r>
              <w:rPr>
                <w:rFonts w:ascii="Arial" w:cs="Arial" w:eastAsia="Arial" w:hAnsi="Arial"/>
                <w:sz w:val="17"/>
                <w:szCs w:val="17"/>
                <w:color w:val="auto"/>
              </w:rPr>
              <w:t>2019</w:t>
            </w:r>
          </w:p>
        </w:tc>
        <w:tc>
          <w:tcPr>
            <w:tcW w:w="6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20" w:type="dxa"/>
            <w:vAlign w:val="bottom"/>
          </w:tcPr>
          <w:p>
            <w:pPr>
              <w:spacing w:after="0"/>
              <w:rPr>
                <w:sz w:val="16"/>
                <w:szCs w:val="16"/>
                <w:color w:val="auto"/>
              </w:rPr>
            </w:pPr>
          </w:p>
        </w:tc>
      </w:tr>
      <w:tr>
        <w:trPr>
          <w:trHeight w:val="194"/>
        </w:trPr>
        <w:tc>
          <w:tcPr>
            <w:tcW w:w="270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tcPr>
          <w:p>
            <w:pPr>
              <w:jc w:val="right"/>
              <w:ind w:right="294"/>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30,596</w:t>
            </w:r>
          </w:p>
        </w:tc>
        <w:tc>
          <w:tcPr>
            <w:tcW w:w="20" w:type="dxa"/>
            <w:vAlign w:val="bottom"/>
          </w:tcPr>
          <w:p>
            <w:pPr>
              <w:spacing w:after="0"/>
              <w:rPr>
                <w:sz w:val="16"/>
                <w:szCs w:val="16"/>
                <w:color w:val="auto"/>
              </w:rPr>
            </w:pPr>
          </w:p>
        </w:tc>
      </w:tr>
      <w:tr>
        <w:trPr>
          <w:trHeight w:val="614"/>
        </w:trPr>
        <w:tc>
          <w:tcPr>
            <w:tcW w:w="2700" w:type="dxa"/>
            <w:vAlign w:val="bottom"/>
          </w:tcPr>
          <w:p>
            <w:pPr>
              <w:spacing w:after="0"/>
              <w:rPr>
                <w:sz w:val="24"/>
                <w:szCs w:val="24"/>
                <w:color w:val="auto"/>
              </w:rPr>
            </w:pPr>
          </w:p>
        </w:tc>
        <w:tc>
          <w:tcPr>
            <w:tcW w:w="6540" w:type="dxa"/>
            <w:vAlign w:val="bottom"/>
          </w:tcPr>
          <w:p>
            <w:pPr>
              <w:jc w:val="right"/>
              <w:ind w:right="3954"/>
              <w:spacing w:after="0"/>
              <w:rPr>
                <w:sz w:val="20"/>
                <w:szCs w:val="20"/>
                <w:color w:val="auto"/>
              </w:rPr>
            </w:pPr>
            <w:r>
              <w:rPr>
                <w:rFonts w:ascii="Arial" w:cs="Arial" w:eastAsia="Arial" w:hAnsi="Arial"/>
                <w:sz w:val="17"/>
                <w:szCs w:val="17"/>
                <w:color w:val="auto"/>
              </w:rPr>
              <w:t>72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700" w:type="dxa"/>
            <w:vAlign w:val="bottom"/>
            <w:tcBorders>
              <w:bottom w:val="single" w:sz="8" w:color="9A9A9A"/>
            </w:tcBorders>
          </w:tcPr>
          <w:p>
            <w:pPr>
              <w:spacing w:after="0"/>
              <w:rPr>
                <w:sz w:val="7"/>
                <w:szCs w:val="7"/>
                <w:color w:val="auto"/>
              </w:rPr>
            </w:pPr>
          </w:p>
        </w:tc>
        <w:tc>
          <w:tcPr>
            <w:tcW w:w="65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700" w:type="dxa"/>
            <w:vAlign w:val="bottom"/>
            <w:tcBorders>
              <w:bottom w:val="single" w:sz="8" w:color="EEEEEE"/>
            </w:tcBorders>
          </w:tcPr>
          <w:p>
            <w:pPr>
              <w:spacing w:after="0" w:line="20" w:lineRule="exact"/>
              <w:rPr>
                <w:sz w:val="1"/>
                <w:szCs w:val="1"/>
                <w:color w:val="auto"/>
              </w:rPr>
            </w:pPr>
          </w:p>
        </w:tc>
        <w:tc>
          <w:tcPr>
            <w:tcW w:w="65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74" w:name="page75"/>
    <w:bookmarkEnd w:id="74"/>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Comprehensive Loss and Accumulated Other Comprehensive Loss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other comprehensive loss, consisting of foreign currency translation adjustments related to our subsidiaries that have a functional currency other than the U.S. dollar and cash flow hedges, was as follows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80" w:type="dxa"/>
            <w:vAlign w:val="bottom"/>
          </w:tcPr>
          <w:p>
            <w:pPr>
              <w:jc w:val="right"/>
              <w:ind w:right="41"/>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r>
      <w:tr>
        <w:trPr>
          <w:trHeight w:val="195"/>
        </w:trPr>
        <w:tc>
          <w:tcPr>
            <w:tcW w:w="4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80" w:type="dxa"/>
            <w:vAlign w:val="bottom"/>
          </w:tcPr>
          <w:p>
            <w:pPr>
              <w:jc w:val="right"/>
              <w:ind w:right="41"/>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r>
      <w:tr>
        <w:trPr>
          <w:trHeight w:val="195"/>
        </w:trPr>
        <w:tc>
          <w:tcPr>
            <w:tcW w:w="4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80" w:type="dxa"/>
            <w:vAlign w:val="bottom"/>
          </w:tcPr>
          <w:p>
            <w:pPr>
              <w:jc w:val="right"/>
              <w:ind w:right="41"/>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Arial" w:cs="Arial" w:eastAsia="Arial" w:hAnsi="Arial"/>
                <w:sz w:val="14"/>
                <w:szCs w:val="14"/>
                <w:b w:val="1"/>
                <w:bCs w:val="1"/>
                <w:color w:val="auto"/>
              </w:rPr>
              <w:t>Cash</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Comprehensive</w:t>
            </w:r>
          </w:p>
        </w:tc>
      </w:tr>
      <w:tr>
        <w:trPr>
          <w:trHeight w:val="171"/>
        </w:trPr>
        <w:tc>
          <w:tcPr>
            <w:tcW w:w="46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9"/>
              </w:rPr>
              <w:t>Adjustments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9"/>
              </w:rPr>
              <w:t>Flow Hedges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w:t>
            </w:r>
          </w:p>
        </w:tc>
      </w:tr>
      <w:tr>
        <w:trPr>
          <w:trHeight w:val="188"/>
        </w:trPr>
        <w:tc>
          <w:tcPr>
            <w:tcW w:w="46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Balance as of December 31, 2012</w:t>
            </w:r>
          </w:p>
        </w:tc>
        <w:tc>
          <w:tcPr>
            <w:tcW w:w="21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1"/>
              <w:spacing w:after="0" w:line="188" w:lineRule="exact"/>
              <w:rPr>
                <w:sz w:val="20"/>
                <w:szCs w:val="20"/>
                <w:color w:val="auto"/>
              </w:rPr>
            </w:pPr>
            <w:r>
              <w:rPr>
                <w:rFonts w:ascii="Arial" w:cs="Arial" w:eastAsia="Arial" w:hAnsi="Arial"/>
                <w:sz w:val="17"/>
                <w:szCs w:val="17"/>
                <w:color w:val="auto"/>
              </w:rPr>
              <w:t>(16,130)</w:t>
            </w:r>
          </w:p>
        </w:tc>
        <w:tc>
          <w:tcPr>
            <w:tcW w:w="2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112</w:t>
            </w:r>
          </w:p>
        </w:tc>
        <w:tc>
          <w:tcPr>
            <w:tcW w:w="300" w:type="dxa"/>
            <w:vAlign w:val="bottom"/>
            <w:shd w:val="clear" w:color="auto" w:fill="CCEEFF"/>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(16,018)</w:t>
            </w:r>
          </w:p>
        </w:tc>
      </w:tr>
      <w:tr>
        <w:trPr>
          <w:trHeight w:val="195"/>
        </w:trPr>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comprehensive loss</w:t>
            </w:r>
          </w:p>
        </w:tc>
        <w:tc>
          <w:tcPr>
            <w:tcW w:w="2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(13,189)</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(112)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(13,301)</w:t>
            </w:r>
          </w:p>
        </w:tc>
      </w:tr>
      <w:tr>
        <w:trPr>
          <w:trHeight w:val="188"/>
        </w:trPr>
        <w:tc>
          <w:tcPr>
            <w:tcW w:w="46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Balance as of December 31, 2013</w:t>
            </w:r>
          </w:p>
        </w:tc>
        <w:tc>
          <w:tcPr>
            <w:tcW w:w="2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line="188" w:lineRule="exact"/>
              <w:rPr>
                <w:sz w:val="20"/>
                <w:szCs w:val="20"/>
                <w:color w:val="auto"/>
              </w:rPr>
            </w:pPr>
            <w:r>
              <w:rPr>
                <w:rFonts w:ascii="Arial" w:cs="Arial" w:eastAsia="Arial" w:hAnsi="Arial"/>
                <w:sz w:val="17"/>
                <w:szCs w:val="17"/>
                <w:color w:val="auto"/>
              </w:rPr>
              <w:t>(29,319)</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(29,319)</w:t>
            </w:r>
          </w:p>
        </w:tc>
      </w:tr>
      <w:tr>
        <w:trPr>
          <w:trHeight w:val="195"/>
        </w:trPr>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comprehensive loss</w:t>
            </w:r>
          </w:p>
        </w:tc>
        <w:tc>
          <w:tcPr>
            <w:tcW w:w="2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(30,896)</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(30,896)</w:t>
            </w:r>
          </w:p>
        </w:tc>
      </w:tr>
      <w:tr>
        <w:trPr>
          <w:trHeight w:val="194"/>
        </w:trPr>
        <w:tc>
          <w:tcPr>
            <w:tcW w:w="464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Balance as of December 31, 2014</w:t>
            </w:r>
          </w:p>
        </w:tc>
        <w:tc>
          <w:tcPr>
            <w:tcW w:w="21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41"/>
              <w:spacing w:after="0" w:line="188" w:lineRule="exact"/>
              <w:rPr>
                <w:sz w:val="20"/>
                <w:szCs w:val="20"/>
                <w:color w:val="auto"/>
              </w:rPr>
            </w:pPr>
            <w:r>
              <w:rPr>
                <w:rFonts w:ascii="Arial" w:cs="Arial" w:eastAsia="Arial" w:hAnsi="Arial"/>
                <w:sz w:val="17"/>
                <w:szCs w:val="17"/>
                <w:color w:val="auto"/>
              </w:rPr>
              <w:t>(60,215)</w:t>
            </w:r>
          </w:p>
        </w:tc>
        <w:tc>
          <w:tcPr>
            <w:tcW w:w="2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(60,215)</w:t>
            </w:r>
          </w:p>
        </w:tc>
      </w:tr>
    </w:tbl>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foreign currency translation adjustment losses for 2014 were primarily due to the strengthening of the U.S. dollar as compared to the Brazilian Real and the British Pound. The foreign currency translation adjustment losses for 2013 and 2012 were primarily due to the strengthening of the U.S. dollar as compared to the Brazilian Real.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U.S. and foreign income before income taxes consist of the following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38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United States</w:t>
            </w:r>
          </w:p>
        </w:tc>
        <w:tc>
          <w:tcPr>
            <w:tcW w:w="3020" w:type="dxa"/>
            <w:vAlign w:val="bottom"/>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56,575</w:t>
            </w:r>
          </w:p>
        </w:tc>
        <w:tc>
          <w:tcPr>
            <w:tcW w:w="360" w:type="dxa"/>
            <w:vAlign w:val="bottom"/>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31,823</w:t>
            </w:r>
          </w:p>
        </w:tc>
        <w:tc>
          <w:tcPr>
            <w:tcW w:w="340" w:type="dxa"/>
            <w:vAlign w:val="bottom"/>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49,021</w:t>
            </w:r>
          </w:p>
        </w:tc>
      </w:tr>
      <w:tr>
        <w:trPr>
          <w:trHeight w:val="195"/>
        </w:trPr>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w:t>
            </w:r>
          </w:p>
        </w:tc>
        <w:tc>
          <w:tcPr>
            <w:tcW w:w="30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212,976</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214,842</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190,574</w:t>
            </w:r>
          </w:p>
        </w:tc>
      </w:tr>
      <w:tr>
        <w:trPr>
          <w:trHeight w:val="194"/>
        </w:trPr>
        <w:tc>
          <w:tcPr>
            <w:tcW w:w="3840" w:type="dxa"/>
            <w:vAlign w:val="bottom"/>
            <w:tcBorders>
              <w:bottom w:val="single" w:sz="8" w:color="auto"/>
            </w:tcBorders>
            <w:shd w:val="clear" w:color="auto" w:fill="CCEEFF"/>
          </w:tcPr>
          <w:p>
            <w:pPr>
              <w:spacing w:after="0"/>
              <w:rPr>
                <w:sz w:val="16"/>
                <w:szCs w:val="16"/>
                <w:color w:val="auto"/>
              </w:rPr>
            </w:pPr>
          </w:p>
        </w:tc>
        <w:tc>
          <w:tcPr>
            <w:tcW w:w="3020" w:type="dxa"/>
            <w:vAlign w:val="bottom"/>
            <w:tcBorders>
              <w:bottom w:val="single" w:sz="8" w:color="auto"/>
            </w:tcBorders>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269,551</w:t>
            </w:r>
          </w:p>
        </w:tc>
        <w:tc>
          <w:tcPr>
            <w:tcW w:w="360" w:type="dxa"/>
            <w:vAlign w:val="bottom"/>
            <w:tcBorders>
              <w:bottom w:val="single" w:sz="8" w:color="auto"/>
            </w:tcBorders>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246,665</w:t>
            </w:r>
          </w:p>
        </w:tc>
        <w:tc>
          <w:tcPr>
            <w:tcW w:w="340" w:type="dxa"/>
            <w:vAlign w:val="bottom"/>
            <w:tcBorders>
              <w:bottom w:val="single" w:sz="8" w:color="auto"/>
            </w:tcBorders>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239,595</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provision (benefit) related to income before income taxes consists of the following components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r>
      <w:tr>
        <w:trPr>
          <w:trHeight w:val="188"/>
        </w:trPr>
        <w:tc>
          <w:tcPr>
            <w:tcW w:w="46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Current:</w:t>
            </w:r>
          </w:p>
        </w:tc>
        <w:tc>
          <w:tcPr>
            <w:tcW w:w="2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5"/>
        </w:trPr>
        <w:tc>
          <w:tcPr>
            <w:tcW w:w="4640" w:type="dxa"/>
            <w:vAlign w:val="bottom"/>
          </w:tcPr>
          <w:p>
            <w:pPr>
              <w:spacing w:after="0"/>
              <w:rPr>
                <w:sz w:val="20"/>
                <w:szCs w:val="20"/>
                <w:color w:val="auto"/>
              </w:rPr>
            </w:pPr>
            <w:r>
              <w:rPr>
                <w:rFonts w:ascii="Arial" w:cs="Arial" w:eastAsia="Arial" w:hAnsi="Arial"/>
                <w:sz w:val="17"/>
                <w:szCs w:val="17"/>
                <w:color w:val="auto"/>
              </w:rPr>
              <w:t>U.S. federal statutory tax</w:t>
            </w:r>
          </w:p>
        </w:tc>
        <w:tc>
          <w:tcPr>
            <w:tcW w:w="22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14,829</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8,167</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6,858</w:t>
            </w:r>
          </w:p>
        </w:tc>
      </w:tr>
      <w:tr>
        <w:trPr>
          <w:trHeight w:val="195"/>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State</w:t>
            </w:r>
          </w:p>
        </w:tc>
        <w:tc>
          <w:tcPr>
            <w:tcW w:w="2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2,540</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1,822</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w:t>
            </w:r>
          </w:p>
        </w:tc>
      </w:tr>
      <w:tr>
        <w:trPr>
          <w:trHeight w:val="195"/>
        </w:trPr>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w:t>
            </w:r>
          </w:p>
        </w:tc>
        <w:tc>
          <w:tcPr>
            <w:tcW w:w="2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22,016</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36,254</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24,649</w:t>
            </w:r>
          </w:p>
        </w:tc>
      </w:tr>
      <w:tr>
        <w:trPr>
          <w:trHeight w:val="188"/>
        </w:trPr>
        <w:tc>
          <w:tcPr>
            <w:tcW w:w="4640" w:type="dxa"/>
            <w:vAlign w:val="bottom"/>
            <w:tcBorders>
              <w:bottom w:val="single" w:sz="8" w:color="auto"/>
            </w:tcBorders>
            <w:shd w:val="clear" w:color="auto" w:fill="CCEEFF"/>
          </w:tcPr>
          <w:p>
            <w:pPr>
              <w:spacing w:after="0"/>
              <w:rPr>
                <w:sz w:val="16"/>
                <w:szCs w:val="16"/>
                <w:color w:val="auto"/>
              </w:rPr>
            </w:pPr>
          </w:p>
        </w:tc>
        <w:tc>
          <w:tcPr>
            <w:tcW w:w="2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5"/>
              <w:spacing w:after="0" w:line="188" w:lineRule="exact"/>
              <w:rPr>
                <w:sz w:val="20"/>
                <w:szCs w:val="20"/>
                <w:color w:val="auto"/>
              </w:rPr>
            </w:pPr>
            <w:r>
              <w:rPr>
                <w:rFonts w:ascii="Arial" w:cs="Arial" w:eastAsia="Arial" w:hAnsi="Arial"/>
                <w:sz w:val="17"/>
                <w:szCs w:val="17"/>
                <w:color w:val="auto"/>
              </w:rPr>
              <w:t>39,385</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5"/>
              <w:spacing w:after="0" w:line="188" w:lineRule="exact"/>
              <w:rPr>
                <w:sz w:val="20"/>
                <w:szCs w:val="20"/>
                <w:color w:val="auto"/>
              </w:rPr>
            </w:pPr>
            <w:r>
              <w:rPr>
                <w:rFonts w:ascii="Arial" w:cs="Arial" w:eastAsia="Arial" w:hAnsi="Arial"/>
                <w:sz w:val="17"/>
                <w:szCs w:val="17"/>
                <w:color w:val="auto"/>
              </w:rPr>
              <w:t>46,243</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32,445</w:t>
            </w:r>
          </w:p>
        </w:tc>
      </w:tr>
      <w:tr>
        <w:trPr>
          <w:trHeight w:val="188"/>
        </w:trPr>
        <w:tc>
          <w:tcPr>
            <w:tcW w:w="4640" w:type="dxa"/>
            <w:vAlign w:val="bottom"/>
          </w:tcPr>
          <w:p>
            <w:pPr>
              <w:spacing w:after="0" w:line="188" w:lineRule="exact"/>
              <w:rPr>
                <w:sz w:val="20"/>
                <w:szCs w:val="20"/>
                <w:color w:val="auto"/>
              </w:rPr>
            </w:pPr>
            <w:r>
              <w:rPr>
                <w:rFonts w:ascii="Arial" w:cs="Arial" w:eastAsia="Arial" w:hAnsi="Arial"/>
                <w:sz w:val="17"/>
                <w:szCs w:val="17"/>
                <w:color w:val="auto"/>
              </w:rPr>
              <w:t>Deferred:</w:t>
            </w:r>
          </w:p>
        </w:tc>
        <w:tc>
          <w:tcPr>
            <w:tcW w:w="2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U.S. federal statutory tax</w:t>
            </w:r>
          </w:p>
        </w:tc>
        <w:tc>
          <w:tcPr>
            <w:tcW w:w="2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10,707</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2,171</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7,642</w:t>
            </w:r>
          </w:p>
        </w:tc>
      </w:tr>
      <w:tr>
        <w:trPr>
          <w:trHeight w:val="195"/>
        </w:trPr>
        <w:tc>
          <w:tcPr>
            <w:tcW w:w="4640" w:type="dxa"/>
            <w:vAlign w:val="bottom"/>
          </w:tcPr>
          <w:p>
            <w:pPr>
              <w:spacing w:after="0"/>
              <w:rPr>
                <w:sz w:val="20"/>
                <w:szCs w:val="20"/>
                <w:color w:val="auto"/>
              </w:rPr>
            </w:pPr>
            <w:r>
              <w:rPr>
                <w:rFonts w:ascii="Arial" w:cs="Arial" w:eastAsia="Arial" w:hAnsi="Arial"/>
                <w:sz w:val="17"/>
                <w:szCs w:val="17"/>
                <w:color w:val="auto"/>
              </w:rPr>
              <w:t>State</w:t>
            </w:r>
          </w:p>
        </w:tc>
        <w:tc>
          <w:tcPr>
            <w:tcW w:w="228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2,674</w:t>
            </w:r>
          </w:p>
        </w:tc>
        <w:tc>
          <w:tcPr>
            <w:tcW w:w="360" w:type="dxa"/>
            <w:vAlign w:val="bottom"/>
          </w:tcPr>
          <w:p>
            <w:pPr>
              <w:spacing w:after="0"/>
              <w:rPr>
                <w:sz w:val="16"/>
                <w:szCs w:val="16"/>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566</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1,380</w:t>
            </w:r>
          </w:p>
        </w:tc>
      </w:tr>
      <w:tr>
        <w:trPr>
          <w:trHeight w:val="195"/>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Foreign</w:t>
            </w:r>
          </w:p>
        </w:tc>
        <w:tc>
          <w:tcPr>
            <w:tcW w:w="2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(3,030)</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(10,980)</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w:t>
            </w:r>
          </w:p>
        </w:tc>
      </w:tr>
      <w:tr>
        <w:trPr>
          <w:trHeight w:val="188"/>
        </w:trPr>
        <w:tc>
          <w:tcPr>
            <w:tcW w:w="46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line="188" w:lineRule="exact"/>
              <w:rPr>
                <w:sz w:val="20"/>
                <w:szCs w:val="20"/>
                <w:color w:val="auto"/>
              </w:rPr>
            </w:pPr>
            <w:r>
              <w:rPr>
                <w:rFonts w:ascii="Arial" w:cs="Arial" w:eastAsia="Arial" w:hAnsi="Arial"/>
                <w:sz w:val="17"/>
                <w:szCs w:val="17"/>
                <w:color w:val="auto"/>
              </w:rPr>
              <w:t>10,351</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
              <w:spacing w:after="0" w:line="188" w:lineRule="exact"/>
              <w:rPr>
                <w:sz w:val="20"/>
                <w:szCs w:val="20"/>
                <w:color w:val="auto"/>
              </w:rPr>
            </w:pPr>
            <w:r>
              <w:rPr>
                <w:rFonts w:ascii="Arial" w:cs="Arial" w:eastAsia="Arial" w:hAnsi="Arial"/>
                <w:sz w:val="17"/>
                <w:szCs w:val="17"/>
                <w:color w:val="auto"/>
              </w:rPr>
              <w:t>(8,243)</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9,665</w:t>
            </w:r>
          </w:p>
        </w:tc>
      </w:tr>
      <w:tr>
        <w:trPr>
          <w:trHeight w:val="188"/>
        </w:trPr>
        <w:tc>
          <w:tcPr>
            <w:tcW w:w="464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Non-current tax expense (income)</w:t>
            </w:r>
          </w:p>
        </w:tc>
        <w:tc>
          <w:tcPr>
            <w:tcW w:w="2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5"/>
              <w:spacing w:after="0" w:line="188" w:lineRule="exact"/>
              <w:rPr>
                <w:sz w:val="20"/>
                <w:szCs w:val="20"/>
                <w:color w:val="auto"/>
              </w:rPr>
            </w:pPr>
            <w:r>
              <w:rPr>
                <w:rFonts w:ascii="Arial" w:cs="Arial" w:eastAsia="Arial" w:hAnsi="Arial"/>
                <w:sz w:val="17"/>
                <w:szCs w:val="17"/>
                <w:color w:val="auto"/>
              </w:rPr>
              <w:t>1,408</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5"/>
              <w:spacing w:after="0" w:line="188" w:lineRule="exact"/>
              <w:rPr>
                <w:sz w:val="20"/>
                <w:szCs w:val="20"/>
                <w:color w:val="auto"/>
              </w:rPr>
            </w:pPr>
            <w:r>
              <w:rPr>
                <w:rFonts w:ascii="Arial" w:cs="Arial" w:eastAsia="Arial" w:hAnsi="Arial"/>
                <w:sz w:val="17"/>
                <w:szCs w:val="17"/>
                <w:color w:val="auto"/>
              </w:rPr>
              <w:t>1,505</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(3,866)</w:t>
            </w:r>
          </w:p>
        </w:tc>
      </w:tr>
      <w:tr>
        <w:trPr>
          <w:trHeight w:val="194"/>
        </w:trPr>
        <w:tc>
          <w:tcPr>
            <w:tcW w:w="46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95"/>
              <w:spacing w:after="0" w:line="188" w:lineRule="exact"/>
              <w:rPr>
                <w:sz w:val="20"/>
                <w:szCs w:val="20"/>
                <w:color w:val="auto"/>
              </w:rPr>
            </w:pPr>
            <w:r>
              <w:rPr>
                <w:rFonts w:ascii="Arial" w:cs="Arial" w:eastAsia="Arial" w:hAnsi="Arial"/>
                <w:sz w:val="17"/>
                <w:szCs w:val="17"/>
                <w:color w:val="auto"/>
              </w:rPr>
              <w:t>51,144</w:t>
            </w:r>
          </w:p>
        </w:tc>
        <w:tc>
          <w:tcPr>
            <w:tcW w:w="36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95"/>
              <w:spacing w:after="0" w:line="188" w:lineRule="exact"/>
              <w:rPr>
                <w:sz w:val="20"/>
                <w:szCs w:val="20"/>
                <w:color w:val="auto"/>
              </w:rPr>
            </w:pPr>
            <w:r>
              <w:rPr>
                <w:rFonts w:ascii="Arial" w:cs="Arial" w:eastAsia="Arial" w:hAnsi="Arial"/>
                <w:sz w:val="17"/>
                <w:szCs w:val="17"/>
                <w:color w:val="auto"/>
              </w:rPr>
              <w:t>39,505</w:t>
            </w:r>
          </w:p>
        </w:tc>
        <w:tc>
          <w:tcPr>
            <w:tcW w:w="380" w:type="dxa"/>
            <w:vAlign w:val="bottom"/>
            <w:tcBorders>
              <w:bottom w:val="single" w:sz="8" w:color="auto"/>
            </w:tcBorders>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38,244</w:t>
            </w:r>
          </w:p>
        </w:tc>
      </w:tr>
    </w:tbl>
    <w:p>
      <w:pPr>
        <w:spacing w:after="0" w:line="15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current tax expense (income) is primarily related to income tax associated with the reserve for uncertain tax positions.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U.S. federal statutory income tax rate to our effective income tax rate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r>
      <w:tr>
        <w:trPr>
          <w:trHeight w:val="188"/>
        </w:trPr>
        <w:tc>
          <w:tcPr>
            <w:tcW w:w="57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U.S. federal statutory tax rate</w:t>
            </w:r>
          </w:p>
        </w:tc>
        <w:tc>
          <w:tcPr>
            <w:tcW w:w="2260" w:type="dxa"/>
            <w:vAlign w:val="bottom"/>
            <w:shd w:val="clear" w:color="auto" w:fill="CCEEFF"/>
          </w:tcPr>
          <w:p>
            <w:pPr>
              <w:jc w:val="right"/>
              <w:ind w:right="236"/>
              <w:spacing w:after="0" w:line="188" w:lineRule="exact"/>
              <w:rPr>
                <w:sz w:val="20"/>
                <w:szCs w:val="20"/>
                <w:color w:val="auto"/>
              </w:rPr>
            </w:pPr>
            <w:r>
              <w:rPr>
                <w:rFonts w:ascii="Arial" w:cs="Arial" w:eastAsia="Arial" w:hAnsi="Arial"/>
                <w:sz w:val="17"/>
                <w:szCs w:val="17"/>
                <w:color w:val="auto"/>
              </w:rPr>
              <w:t>35.0 %</w:t>
            </w:r>
          </w:p>
        </w:tc>
        <w:tc>
          <w:tcPr>
            <w:tcW w:w="1220" w:type="dxa"/>
            <w:vAlign w:val="bottom"/>
            <w:shd w:val="clear" w:color="auto" w:fill="CCEEFF"/>
          </w:tcPr>
          <w:p>
            <w:pPr>
              <w:jc w:val="right"/>
              <w:ind w:right="216"/>
              <w:spacing w:after="0" w:line="188" w:lineRule="exact"/>
              <w:rPr>
                <w:sz w:val="20"/>
                <w:szCs w:val="20"/>
                <w:color w:val="auto"/>
              </w:rPr>
            </w:pPr>
            <w:r>
              <w:rPr>
                <w:rFonts w:ascii="Arial" w:cs="Arial" w:eastAsia="Arial" w:hAnsi="Arial"/>
                <w:sz w:val="17"/>
                <w:szCs w:val="17"/>
                <w:color w:val="auto"/>
              </w:rPr>
              <w:t>35.0 %</w:t>
            </w:r>
          </w:p>
        </w:tc>
        <w:tc>
          <w:tcPr>
            <w:tcW w:w="9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35.0 %</w:t>
            </w:r>
          </w:p>
        </w:tc>
      </w:tr>
      <w:tr>
        <w:trPr>
          <w:trHeight w:val="195"/>
        </w:trPr>
        <w:tc>
          <w:tcPr>
            <w:tcW w:w="5760" w:type="dxa"/>
            <w:vAlign w:val="bottom"/>
          </w:tcPr>
          <w:p>
            <w:pPr>
              <w:spacing w:after="0"/>
              <w:rPr>
                <w:sz w:val="20"/>
                <w:szCs w:val="20"/>
                <w:color w:val="auto"/>
              </w:rPr>
            </w:pPr>
            <w:r>
              <w:rPr>
                <w:rFonts w:ascii="Arial" w:cs="Arial" w:eastAsia="Arial" w:hAnsi="Arial"/>
                <w:sz w:val="17"/>
                <w:szCs w:val="17"/>
                <w:color w:val="auto"/>
              </w:rPr>
              <w:t>Foreign earnings, net of foreign taxes</w:t>
            </w:r>
          </w:p>
        </w:tc>
        <w:tc>
          <w:tcPr>
            <w:tcW w:w="2260" w:type="dxa"/>
            <w:vAlign w:val="bottom"/>
          </w:tcPr>
          <w:p>
            <w:pPr>
              <w:jc w:val="right"/>
              <w:ind w:right="396"/>
              <w:spacing w:after="0"/>
              <w:rPr>
                <w:sz w:val="20"/>
                <w:szCs w:val="20"/>
                <w:color w:val="auto"/>
              </w:rPr>
            </w:pPr>
            <w:r>
              <w:rPr>
                <w:rFonts w:ascii="Arial" w:cs="Arial" w:eastAsia="Arial" w:hAnsi="Arial"/>
                <w:sz w:val="17"/>
                <w:szCs w:val="17"/>
                <w:color w:val="auto"/>
              </w:rPr>
              <w:t>(18.2)</w:t>
            </w:r>
          </w:p>
        </w:tc>
        <w:tc>
          <w:tcPr>
            <w:tcW w:w="1220" w:type="dxa"/>
            <w:vAlign w:val="bottom"/>
          </w:tcPr>
          <w:p>
            <w:pPr>
              <w:jc w:val="right"/>
              <w:ind w:right="376"/>
              <w:spacing w:after="0"/>
              <w:rPr>
                <w:sz w:val="20"/>
                <w:szCs w:val="20"/>
                <w:color w:val="auto"/>
              </w:rPr>
            </w:pPr>
            <w:r>
              <w:rPr>
                <w:rFonts w:ascii="Arial" w:cs="Arial" w:eastAsia="Arial" w:hAnsi="Arial"/>
                <w:sz w:val="17"/>
                <w:szCs w:val="17"/>
                <w:color w:val="auto"/>
              </w:rPr>
              <w:t>(18.7)</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(16.7)</w:t>
            </w:r>
          </w:p>
        </w:tc>
      </w:tr>
      <w:tr>
        <w:trPr>
          <w:trHeight w:val="195"/>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 net of U.S. federal income tax benefit</w:t>
            </w:r>
          </w:p>
        </w:tc>
        <w:tc>
          <w:tcPr>
            <w:tcW w:w="226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1.3</w:t>
            </w:r>
          </w:p>
        </w:tc>
        <w:tc>
          <w:tcPr>
            <w:tcW w:w="122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0.6</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0.6</w:t>
            </w:r>
          </w:p>
        </w:tc>
      </w:tr>
      <w:tr>
        <w:trPr>
          <w:trHeight w:val="195"/>
        </w:trPr>
        <w:tc>
          <w:tcPr>
            <w:tcW w:w="5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permanent differences</w:t>
            </w:r>
          </w:p>
        </w:tc>
        <w:tc>
          <w:tcPr>
            <w:tcW w:w="22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0.9</w:t>
            </w: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(0.9)</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(2.9)</w:t>
            </w:r>
          </w:p>
        </w:tc>
      </w:tr>
      <w:tr>
        <w:trPr>
          <w:trHeight w:val="194"/>
        </w:trPr>
        <w:tc>
          <w:tcPr>
            <w:tcW w:w="576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Effective income tax rate</w:t>
            </w:r>
          </w:p>
        </w:tc>
        <w:tc>
          <w:tcPr>
            <w:tcW w:w="2260" w:type="dxa"/>
            <w:vAlign w:val="bottom"/>
            <w:tcBorders>
              <w:bottom w:val="single" w:sz="8" w:color="auto"/>
            </w:tcBorders>
            <w:shd w:val="clear" w:color="auto" w:fill="CCEEFF"/>
          </w:tcPr>
          <w:p>
            <w:pPr>
              <w:jc w:val="right"/>
              <w:ind w:right="236"/>
              <w:spacing w:after="0" w:line="188" w:lineRule="exact"/>
              <w:rPr>
                <w:sz w:val="20"/>
                <w:szCs w:val="20"/>
                <w:color w:val="auto"/>
              </w:rPr>
            </w:pPr>
            <w:r>
              <w:rPr>
                <w:rFonts w:ascii="Arial" w:cs="Arial" w:eastAsia="Arial" w:hAnsi="Arial"/>
                <w:sz w:val="17"/>
                <w:szCs w:val="17"/>
                <w:color w:val="auto"/>
              </w:rPr>
              <w:t>19.0 %</w:t>
            </w:r>
          </w:p>
        </w:tc>
        <w:tc>
          <w:tcPr>
            <w:tcW w:w="1220" w:type="dxa"/>
            <w:vAlign w:val="bottom"/>
            <w:tcBorders>
              <w:bottom w:val="single" w:sz="8" w:color="auto"/>
            </w:tcBorders>
            <w:shd w:val="clear" w:color="auto" w:fill="CCEEFF"/>
          </w:tcPr>
          <w:p>
            <w:pPr>
              <w:jc w:val="right"/>
              <w:ind w:right="216"/>
              <w:spacing w:after="0" w:line="188" w:lineRule="exact"/>
              <w:rPr>
                <w:sz w:val="20"/>
                <w:szCs w:val="20"/>
                <w:color w:val="auto"/>
              </w:rPr>
            </w:pPr>
            <w:r>
              <w:rPr>
                <w:rFonts w:ascii="Arial" w:cs="Arial" w:eastAsia="Arial" w:hAnsi="Arial"/>
                <w:sz w:val="17"/>
                <w:szCs w:val="17"/>
                <w:color w:val="auto"/>
              </w:rPr>
              <w:t>16.0 %</w:t>
            </w:r>
          </w:p>
        </w:tc>
        <w:tc>
          <w:tcPr>
            <w:tcW w:w="9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16.0 %</w:t>
            </w:r>
          </w:p>
        </w:tc>
      </w:tr>
    </w:tbl>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2014, our effective income tax rate was 19.0%, for an income tax provision of $51.1 million, as compared to an effective income tax rate of 16.0% and an income tax provision of $39.5 million for 2013. The higher effective income tax rate for 2014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5" w:name="page76"/>
    <w:bookmarkEnd w:id="75"/>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resulted primarily from differences in the actual results of our subsidiaries in tax jurisdictions with different income tax rates and a U.S. gain on the sale of the crude oil joint venture interests as compared to 2013. Without the gain on the sale of the crude oil joint venture interests, for 2014, our effective income tax rate would have been 17.7%.</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2013, our effective income tax rate was 16.0%, for an income tax provision of $39.5 million, as compared to an effective income tax rate of 16.0% and an income tax provision of $ 38.2 million for 2012. The effective income tax rate for 2013 remained flat compared to 2012. However, there were underlying differences in the actual results of our subsidiaries in tax jurisdictions with different income tax rates as compared to 2012 and differences in outstanding uncertain tax positions net of certain nonrecurring discrete tax items including statute lapses, audit settlements, and a change in estimate.</w:t>
      </w:r>
    </w:p>
    <w:p>
      <w:pPr>
        <w:spacing w:after="0" w:line="159" w:lineRule="exact"/>
        <w:rPr>
          <w:sz w:val="20"/>
          <w:szCs w:val="20"/>
          <w:color w:val="auto"/>
        </w:rPr>
      </w:pPr>
    </w:p>
    <w:p>
      <w:pPr>
        <w:jc w:val="both"/>
        <w:spacing w:after="0" w:line="202" w:lineRule="exact"/>
        <w:rPr>
          <w:sz w:val="20"/>
          <w:szCs w:val="20"/>
          <w:color w:val="auto"/>
        </w:rPr>
      </w:pPr>
      <w:r>
        <w:rPr>
          <w:rFonts w:ascii="Arial" w:cs="Arial" w:eastAsia="Arial" w:hAnsi="Arial"/>
          <w:sz w:val="17"/>
          <w:szCs w:val="17"/>
          <w:color w:val="auto"/>
        </w:rPr>
        <w:t>U.S. income taxes have not been provided on undistributed earnings of foreign subsidiaries. As of December 31, 2014 and 2013, we had $1.3 billion and $1.1 billion, respectively, of earnings attributable to foreign subsidiaries. Our intention is to reinvest these earnings permanently in active non</w:t>
      </w:r>
      <w:r>
        <w:rPr>
          <w:rFonts w:ascii="MS PGothic" w:cs="MS PGothic" w:eastAsia="MS PGothic" w:hAnsi="MS PGothic"/>
          <w:sz w:val="17"/>
          <w:szCs w:val="17"/>
          <w:color w:val="auto"/>
        </w:rPr>
        <w:t>‑</w:t>
      </w:r>
      <w:r>
        <w:rPr>
          <w:rFonts w:ascii="Arial" w:cs="Arial" w:eastAsia="Arial" w:hAnsi="Arial"/>
          <w:sz w:val="17"/>
          <w:szCs w:val="17"/>
          <w:color w:val="auto"/>
        </w:rPr>
        <w:t>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temporary differences which comprise our net deferred tax liabilities are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7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88"/>
        </w:trPr>
        <w:tc>
          <w:tcPr>
            <w:tcW w:w="7080" w:type="dxa"/>
            <w:vAlign w:val="bottom"/>
          </w:tcPr>
          <w:p>
            <w:pPr>
              <w:spacing w:after="0" w:line="188" w:lineRule="exact"/>
              <w:rPr>
                <w:sz w:val="20"/>
                <w:szCs w:val="20"/>
                <w:color w:val="auto"/>
              </w:rPr>
            </w:pPr>
            <w:r>
              <w:rPr>
                <w:rFonts w:ascii="Arial" w:cs="Arial" w:eastAsia="Arial" w:hAnsi="Arial"/>
                <w:sz w:val="17"/>
                <w:szCs w:val="17"/>
                <w:color w:val="auto"/>
              </w:rPr>
              <w:t>Gross Deferred Tax Assets:</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Bad debt reserve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5,465</w:t>
            </w:r>
          </w:p>
        </w:tc>
        <w:tc>
          <w:tcPr>
            <w:tcW w:w="5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6,426</w:t>
            </w:r>
          </w:p>
        </w:tc>
      </w:tr>
      <w:tr>
        <w:trPr>
          <w:trHeight w:val="195"/>
        </w:trPr>
        <w:tc>
          <w:tcPr>
            <w:tcW w:w="7080" w:type="dxa"/>
            <w:vAlign w:val="bottom"/>
          </w:tcPr>
          <w:p>
            <w:pPr>
              <w:spacing w:after="0"/>
              <w:rPr>
                <w:sz w:val="20"/>
                <w:szCs w:val="20"/>
                <w:color w:val="auto"/>
              </w:rPr>
            </w:pPr>
            <w:r>
              <w:rPr>
                <w:rFonts w:ascii="Arial" w:cs="Arial" w:eastAsia="Arial" w:hAnsi="Arial"/>
                <w:sz w:val="17"/>
                <w:szCs w:val="17"/>
                <w:color w:val="auto"/>
              </w:rPr>
              <w:t>Net operating loss</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color w:val="auto"/>
              </w:rPr>
              <w:t>4,819</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774</w:t>
            </w:r>
          </w:p>
        </w:tc>
      </w:tr>
      <w:tr>
        <w:trPr>
          <w:trHeight w:val="19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Accrued and other share-based compensation</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21,654</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21,393</w:t>
            </w:r>
          </w:p>
        </w:tc>
      </w:tr>
      <w:tr>
        <w:trPr>
          <w:trHeight w:val="195"/>
        </w:trPr>
        <w:tc>
          <w:tcPr>
            <w:tcW w:w="7080" w:type="dxa"/>
            <w:vAlign w:val="bottom"/>
          </w:tcPr>
          <w:p>
            <w:pPr>
              <w:spacing w:after="0"/>
              <w:rPr>
                <w:sz w:val="20"/>
                <w:szCs w:val="20"/>
                <w:color w:val="auto"/>
              </w:rPr>
            </w:pPr>
            <w:r>
              <w:rPr>
                <w:rFonts w:ascii="Arial" w:cs="Arial" w:eastAsia="Arial" w:hAnsi="Arial"/>
                <w:sz w:val="17"/>
                <w:szCs w:val="17"/>
                <w:color w:val="auto"/>
              </w:rPr>
              <w:t>Accrued expenses</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color w:val="auto"/>
              </w:rPr>
              <w:t>8,606</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10,032</w:t>
            </w:r>
          </w:p>
        </w:tc>
      </w:tr>
      <w:tr>
        <w:trPr>
          <w:trHeight w:val="19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Unrealized derivative losses</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r>
      <w:tr>
        <w:trPr>
          <w:trHeight w:val="195"/>
        </w:trPr>
        <w:tc>
          <w:tcPr>
            <w:tcW w:w="7080" w:type="dxa"/>
            <w:vAlign w:val="bottom"/>
          </w:tcPr>
          <w:p>
            <w:pPr>
              <w:spacing w:after="0"/>
              <w:rPr>
                <w:sz w:val="20"/>
                <w:szCs w:val="20"/>
                <w:color w:val="auto"/>
              </w:rPr>
            </w:pPr>
            <w:r>
              <w:rPr>
                <w:rFonts w:ascii="Arial" w:cs="Arial" w:eastAsia="Arial" w:hAnsi="Arial"/>
                <w:sz w:val="17"/>
                <w:szCs w:val="17"/>
                <w:color w:val="auto"/>
              </w:rPr>
              <w:t>Customer deposits</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color w:val="auto"/>
              </w:rPr>
              <w:t>6,095</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5,149</w:t>
            </w:r>
          </w:p>
        </w:tc>
      </w:tr>
      <w:tr>
        <w:trPr>
          <w:trHeight w:val="19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Installment sale</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6,592</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Unrealized foreign exchange</w:t>
            </w: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7,577</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6,082</w:t>
            </w:r>
          </w:p>
        </w:tc>
      </w:tr>
      <w:tr>
        <w:trPr>
          <w:trHeight w:val="188"/>
        </w:trPr>
        <w:tc>
          <w:tcPr>
            <w:tcW w:w="7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Total gross deferred tax assets</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60,808</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50,414</w:t>
            </w:r>
          </w:p>
        </w:tc>
      </w:tr>
      <w:tr>
        <w:trPr>
          <w:trHeight w:val="195"/>
        </w:trPr>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Valuation allowance</w:t>
            </w: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88"/>
        </w:trPr>
        <w:tc>
          <w:tcPr>
            <w:tcW w:w="70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Gross deferred tax assets, net of valuation allowance</w:t>
            </w:r>
          </w:p>
        </w:tc>
        <w:tc>
          <w:tcPr>
            <w:tcW w:w="4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60,808</w:t>
            </w: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50,414</w:t>
            </w:r>
          </w:p>
        </w:tc>
      </w:tr>
      <w:tr>
        <w:trPr>
          <w:trHeight w:val="188"/>
        </w:trPr>
        <w:tc>
          <w:tcPr>
            <w:tcW w:w="7080" w:type="dxa"/>
            <w:vAlign w:val="bottom"/>
          </w:tcPr>
          <w:p>
            <w:pPr>
              <w:spacing w:after="0" w:line="188" w:lineRule="exact"/>
              <w:rPr>
                <w:sz w:val="20"/>
                <w:szCs w:val="20"/>
                <w:color w:val="auto"/>
              </w:rPr>
            </w:pPr>
            <w:r>
              <w:rPr>
                <w:rFonts w:ascii="Arial" w:cs="Arial" w:eastAsia="Arial" w:hAnsi="Arial"/>
                <w:sz w:val="17"/>
                <w:szCs w:val="17"/>
                <w:color w:val="auto"/>
              </w:rPr>
              <w:t>Deferred Tax Liabilities:</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(13,133)</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(19,199)</w:t>
            </w:r>
          </w:p>
        </w:tc>
      </w:tr>
      <w:tr>
        <w:trPr>
          <w:trHeight w:val="195"/>
        </w:trPr>
        <w:tc>
          <w:tcPr>
            <w:tcW w:w="7080" w:type="dxa"/>
            <w:vAlign w:val="bottom"/>
          </w:tcPr>
          <w:p>
            <w:pPr>
              <w:spacing w:after="0"/>
              <w:rPr>
                <w:sz w:val="20"/>
                <w:szCs w:val="20"/>
                <w:color w:val="auto"/>
              </w:rPr>
            </w:pPr>
            <w:r>
              <w:rPr>
                <w:rFonts w:ascii="Arial" w:cs="Arial" w:eastAsia="Arial" w:hAnsi="Arial"/>
                <w:sz w:val="17"/>
                <w:szCs w:val="17"/>
                <w:color w:val="auto"/>
              </w:rPr>
              <w:t>Goodwill and intangible assets</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(45,294)</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(28,099)</w:t>
            </w:r>
          </w:p>
        </w:tc>
      </w:tr>
      <w:tr>
        <w:trPr>
          <w:trHeight w:val="19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deductible for tax purposes</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(4,519)</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(3,452)</w:t>
            </w:r>
          </w:p>
        </w:tc>
      </w:tr>
      <w:tr>
        <w:trPr>
          <w:trHeight w:val="195"/>
        </w:trPr>
        <w:tc>
          <w:tcPr>
            <w:tcW w:w="7080" w:type="dxa"/>
            <w:vAlign w:val="bottom"/>
          </w:tcPr>
          <w:p>
            <w:pPr>
              <w:spacing w:after="0"/>
              <w:rPr>
                <w:sz w:val="20"/>
                <w:szCs w:val="20"/>
                <w:color w:val="auto"/>
              </w:rPr>
            </w:pPr>
            <w:r>
              <w:rPr>
                <w:rFonts w:ascii="Arial" w:cs="Arial" w:eastAsia="Arial" w:hAnsi="Arial"/>
                <w:sz w:val="17"/>
                <w:szCs w:val="17"/>
                <w:color w:val="auto"/>
              </w:rPr>
              <w:t>Unrealized derivatives</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(8,188)</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4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(1,248)</w:t>
            </w: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w:t>
            </w:r>
          </w:p>
        </w:tc>
      </w:tr>
      <w:tr>
        <w:trPr>
          <w:trHeight w:val="188"/>
        </w:trPr>
        <w:tc>
          <w:tcPr>
            <w:tcW w:w="708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 gross deferred tax liabilities</w:t>
            </w: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
              <w:spacing w:after="0" w:line="188" w:lineRule="exact"/>
              <w:rPr>
                <w:sz w:val="20"/>
                <w:szCs w:val="20"/>
                <w:color w:val="auto"/>
              </w:rPr>
            </w:pPr>
            <w:r>
              <w:rPr>
                <w:rFonts w:ascii="Arial" w:cs="Arial" w:eastAsia="Arial" w:hAnsi="Arial"/>
                <w:sz w:val="17"/>
                <w:szCs w:val="17"/>
                <w:color w:val="auto"/>
              </w:rPr>
              <w:t>(72,382)</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(51,490)</w:t>
            </w:r>
          </w:p>
        </w:tc>
      </w:tr>
      <w:tr>
        <w:trPr>
          <w:trHeight w:val="194"/>
        </w:trPr>
        <w:tc>
          <w:tcPr>
            <w:tcW w:w="708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Net deferred tax liabilities</w:t>
            </w:r>
          </w:p>
        </w:tc>
        <w:tc>
          <w:tcPr>
            <w:tcW w:w="760" w:type="dxa"/>
            <w:vAlign w:val="bottom"/>
            <w:tcBorders>
              <w:bottom w:val="single" w:sz="8" w:color="auto"/>
            </w:tcBorders>
            <w:gridSpan w:val="2"/>
            <w:shd w:val="clear" w:color="auto" w:fill="CCEEFF"/>
          </w:tcPr>
          <w:p>
            <w:pPr>
              <w:jc w:val="right"/>
              <w:ind w:right="200"/>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(11,574)</w:t>
            </w:r>
          </w:p>
        </w:tc>
        <w:tc>
          <w:tcPr>
            <w:tcW w:w="540" w:type="dxa"/>
            <w:vAlign w:val="bottom"/>
            <w:tcBorders>
              <w:bottom w:val="single" w:sz="8" w:color="auto"/>
            </w:tcBorders>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(1,076)</w:t>
            </w:r>
          </w:p>
        </w:tc>
      </w:tr>
      <w:tr>
        <w:trPr>
          <w:trHeight w:val="195"/>
        </w:trPr>
        <w:tc>
          <w:tcPr>
            <w:tcW w:w="7080" w:type="dxa"/>
            <w:vAlign w:val="bottom"/>
          </w:tcPr>
          <w:p>
            <w:pPr>
              <w:spacing w:after="0"/>
              <w:rPr>
                <w:sz w:val="20"/>
                <w:szCs w:val="20"/>
                <w:color w:val="auto"/>
              </w:rPr>
            </w:pPr>
            <w:r>
              <w:rPr>
                <w:rFonts w:ascii="Arial" w:cs="Arial" w:eastAsia="Arial" w:hAnsi="Arial"/>
                <w:sz w:val="17"/>
                <w:szCs w:val="17"/>
                <w:color w:val="auto"/>
              </w:rPr>
              <w:t>Reported on the consolidated balance sheets as:</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current assets for deferred tax assets, current</w:t>
            </w:r>
          </w:p>
        </w:tc>
        <w:tc>
          <w:tcPr>
            <w:tcW w:w="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22,825</w:t>
            </w:r>
          </w:p>
        </w:tc>
        <w:tc>
          <w:tcPr>
            <w:tcW w:w="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32,118</w:t>
            </w:r>
          </w:p>
        </w:tc>
      </w:tr>
      <w:tr>
        <w:trPr>
          <w:trHeight w:val="201"/>
        </w:trPr>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Identifiable intangible and other non-current assets for deferred tax assets, non-current</w:t>
            </w: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15,555</w:t>
            </w: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16,342</w:t>
            </w:r>
          </w:p>
        </w:tc>
      </w:tr>
      <w:tr>
        <w:trPr>
          <w:trHeight w:val="201"/>
        </w:trPr>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 for deferred tax liabilities, current</w:t>
            </w:r>
          </w:p>
        </w:tc>
        <w:tc>
          <w:tcPr>
            <w:tcW w:w="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492</w:t>
            </w:r>
          </w:p>
        </w:tc>
        <w:tc>
          <w:tcPr>
            <w:tcW w:w="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3,229</w:t>
            </w:r>
          </w:p>
        </w:tc>
      </w:tr>
      <w:tr>
        <w:trPr>
          <w:trHeight w:val="201"/>
        </w:trPr>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Non-current income tax liabilities, net for deferred tax liabilities, non-current</w:t>
            </w: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49,462</w:t>
            </w: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46,307</w:t>
            </w: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2014 and 2013, we had foreign net operating losses (“NOLs”) of approximately $ 19.9 million and $2.6 million, respectively. The NOLs as of December 31, 2014 originated in various foreign countries including India, Brazil,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6" w:name="page77"/>
    <w:bookmarkEnd w:id="76"/>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Puerto Rico, the United Kingdom and The Netherlands. We have recorded a deferred tax asset of $4.8 million reflecting the benefit of the NOL carryforward as of December 31, 2014. This deferred tax asset expires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Expiration Date</w:t>
            </w:r>
          </w:p>
        </w:tc>
        <w:tc>
          <w:tcPr>
            <w:tcW w:w="40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Tax Asset</w:t>
            </w:r>
          </w:p>
        </w:tc>
      </w:tr>
      <w:tr>
        <w:trPr>
          <w:trHeight w:val="188"/>
        </w:trPr>
        <w:tc>
          <w:tcPr>
            <w:tcW w:w="44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December 31, 2016</w:t>
            </w:r>
          </w:p>
        </w:tc>
        <w:tc>
          <w:tcPr>
            <w:tcW w:w="4060" w:type="dxa"/>
            <w:vAlign w:val="bottom"/>
            <w:shd w:val="clear" w:color="auto" w:fill="CCEEFF"/>
          </w:tcPr>
          <w:p>
            <w:pPr>
              <w:jc w:val="right"/>
              <w:ind w:right="954"/>
              <w:spacing w:after="0" w:line="188" w:lineRule="exact"/>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73</w:t>
            </w:r>
          </w:p>
        </w:tc>
      </w:tr>
      <w:tr>
        <w:trPr>
          <w:trHeight w:val="195"/>
        </w:trPr>
        <w:tc>
          <w:tcPr>
            <w:tcW w:w="4460" w:type="dxa"/>
            <w:vAlign w:val="bottom"/>
          </w:tcPr>
          <w:p>
            <w:pPr>
              <w:spacing w:after="0"/>
              <w:rPr>
                <w:sz w:val="20"/>
                <w:szCs w:val="20"/>
                <w:color w:val="auto"/>
              </w:rPr>
            </w:pPr>
            <w:r>
              <w:rPr>
                <w:rFonts w:ascii="Arial" w:cs="Arial" w:eastAsia="Arial" w:hAnsi="Arial"/>
                <w:sz w:val="17"/>
                <w:szCs w:val="17"/>
                <w:color w:val="auto"/>
              </w:rPr>
              <w:t>December 31, 2021</w:t>
            </w:r>
          </w:p>
        </w:tc>
        <w:tc>
          <w:tcPr>
            <w:tcW w:w="40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195"/>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December 31, 2023</w:t>
            </w:r>
          </w:p>
        </w:tc>
        <w:tc>
          <w:tcPr>
            <w:tcW w:w="40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195"/>
        </w:trPr>
        <w:tc>
          <w:tcPr>
            <w:tcW w:w="4460" w:type="dxa"/>
            <w:vAlign w:val="bottom"/>
          </w:tcPr>
          <w:p>
            <w:pPr>
              <w:spacing w:after="0"/>
              <w:rPr>
                <w:sz w:val="20"/>
                <w:szCs w:val="20"/>
                <w:color w:val="auto"/>
              </w:rPr>
            </w:pPr>
            <w:r>
              <w:rPr>
                <w:rFonts w:ascii="Arial" w:cs="Arial" w:eastAsia="Arial" w:hAnsi="Arial"/>
                <w:sz w:val="17"/>
                <w:szCs w:val="17"/>
                <w:color w:val="auto"/>
              </w:rPr>
              <w:t>December 31, 2024</w:t>
            </w:r>
          </w:p>
        </w:tc>
        <w:tc>
          <w:tcPr>
            <w:tcW w:w="40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472</w:t>
            </w:r>
          </w:p>
        </w:tc>
      </w:tr>
      <w:tr>
        <w:trPr>
          <w:trHeight w:val="195"/>
        </w:trPr>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Indefinite</w:t>
            </w:r>
          </w:p>
        </w:tc>
        <w:tc>
          <w:tcPr>
            <w:tcW w:w="40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3,961</w:t>
            </w:r>
          </w:p>
        </w:tc>
      </w:tr>
      <w:tr>
        <w:trPr>
          <w:trHeight w:val="194"/>
        </w:trPr>
        <w:tc>
          <w:tcPr>
            <w:tcW w:w="446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4060" w:type="dxa"/>
            <w:vAlign w:val="bottom"/>
            <w:tcBorders>
              <w:bottom w:val="single" w:sz="8" w:color="auto"/>
            </w:tcBorders>
          </w:tcPr>
          <w:p>
            <w:pPr>
              <w:jc w:val="right"/>
              <w:ind w:right="954"/>
              <w:spacing w:after="0" w:line="188" w:lineRule="exact"/>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4,819</w:t>
            </w:r>
          </w:p>
        </w:tc>
      </w:tr>
    </w:tbl>
    <w:p>
      <w:pPr>
        <w:spacing w:after="0" w:line="172"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In addition, as a result of certain realization requirements of accounting guidance on stock compensation, the table of deferred tax assets and liabilities shown above does not include certain deferred tax assets as of December 31, 2014 and 2013 that arose directly from income tax deductions related to equity compensation in excess of compensation recognized for financial reporting. As of December 31, 2014 and 2013, we had no foreign tax credits related to the excess stock compensation deductions that resulted in an income tax deduction or credit before the realization of the income tax benefit from the deduction or credit. We use the “with and without” method for purposes of determining when excess income tax benefits have been realized.</w:t>
      </w:r>
    </w:p>
    <w:p>
      <w:pPr>
        <w:spacing w:after="0" w:line="16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2014 and 2013, our annual capital in excess of par value pool of windfall income tax benefits related to employee compensation was estimated to be $1.0 million and $3.3 million, respectively.</w:t>
      </w:r>
    </w:p>
    <w:p>
      <w:pPr>
        <w:spacing w:after="0" w:line="131"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We operated under a special income tax concession in Singapore which began January 1, 2008. Our current five year special income tax concession was effective on January 1, 2013. The special income tax concession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$7.5 million, $6.2 million and $5.5 million for 2014, 2013 and 2012, respectively. The impact of the income tax concession on basic earnings per common share was $0.11 for 2014, $0.09 for 2013 and $0.08 for 2012. On a diluted earnings per common share basis, the impact was $0.10 for 2014, $0.09 for 2013 and $0.08 for 2012.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Contingencies</w:t>
      </w:r>
    </w:p>
    <w:p>
      <w:pPr>
        <w:spacing w:after="0" w:line="23"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We recorded a decrease of $2.1 million of liabilities related to unrecognized income tax benefits (“Unrecognized Tax Liabilities”) and a decrease of $4.5 million of assets related to unrecognized income tax benefits (“Unrecognized Tax Assets”) during 2014. In addition, during 2014, we recorded a decrease of $0.5 million to our Unrecognized Tax Liabilities related to a foreign currency translation gain, which is included in other income (expense), net, in the accompanying consolidated statements of income and comprehensive income. As of December 31, 2014, our Unrecognized Tax Liabilities, including penalties and interest, were $33.0 million and our Unrecognized Tax Assets were $2.3 million.</w:t>
      </w:r>
    </w:p>
    <w:p>
      <w:pPr>
        <w:spacing w:after="0" w:line="140"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We recorded an increase of $4.1 million of Unrecognized Tax Liabilities and an increase of $1.8 million of Unrecognized Tax Assets during 2013. In addition, during 2013, we recorded a decrease of $0.1 million to our Unrecognized Tax Liabilities related to a foreign currency translation gain, which is included in other income (expense), net, in the accompanying consolidated statements of income and comprehensive income. As of December 31, 2013, our Unrecognized Tax Liabilities, including penalties and interest, were $36.2 million and our Unrecognized Tax Assets were $6.9 million.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tabular reconciliation of the total amounts of unrecognized income tax benefits for the year:</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r>
      <w:tr>
        <w:trPr>
          <w:trHeight w:val="188"/>
        </w:trPr>
        <w:tc>
          <w:tcPr>
            <w:tcW w:w="43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Unrecognized Tax Liabilities – opening balance</w:t>
            </w:r>
          </w:p>
        </w:tc>
        <w:tc>
          <w:tcPr>
            <w:tcW w:w="2540" w:type="dxa"/>
            <w:vAlign w:val="bottom"/>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95"/>
              <w:spacing w:after="0" w:line="188" w:lineRule="exact"/>
              <w:rPr>
                <w:sz w:val="20"/>
                <w:szCs w:val="20"/>
                <w:color w:val="auto"/>
              </w:rPr>
            </w:pPr>
            <w:r>
              <w:rPr>
                <w:rFonts w:ascii="Arial" w:cs="Arial" w:eastAsia="Arial" w:hAnsi="Arial"/>
                <w:sz w:val="17"/>
                <w:szCs w:val="17"/>
                <w:color w:val="auto"/>
              </w:rPr>
              <w:t>26,487</w:t>
            </w:r>
          </w:p>
        </w:tc>
        <w:tc>
          <w:tcPr>
            <w:tcW w:w="380" w:type="dxa"/>
            <w:vAlign w:val="bottom"/>
            <w:shd w:val="clear" w:color="auto" w:fill="CCEEFF"/>
          </w:tcPr>
          <w:p>
            <w:pPr>
              <w:jc w:val="right"/>
              <w:ind w:right="74"/>
              <w:spacing w:after="0" w:line="188"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95"/>
              <w:spacing w:after="0" w:line="188" w:lineRule="exact"/>
              <w:rPr>
                <w:sz w:val="20"/>
                <w:szCs w:val="20"/>
                <w:color w:val="auto"/>
              </w:rPr>
            </w:pPr>
            <w:r>
              <w:rPr>
                <w:rFonts w:ascii="Arial" w:cs="Arial" w:eastAsia="Arial" w:hAnsi="Arial"/>
                <w:sz w:val="17"/>
                <w:szCs w:val="17"/>
                <w:color w:val="auto"/>
              </w:rPr>
              <w:t>22,394</w:t>
            </w:r>
          </w:p>
        </w:tc>
        <w:tc>
          <w:tcPr>
            <w:tcW w:w="380" w:type="dxa"/>
            <w:vAlign w:val="bottom"/>
            <w:shd w:val="clear" w:color="auto" w:fill="CCEEFF"/>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25,574</w:t>
            </w:r>
          </w:p>
        </w:tc>
        <w:tc>
          <w:tcPr>
            <w:tcW w:w="20" w:type="dxa"/>
            <w:vAlign w:val="bottom"/>
          </w:tcPr>
          <w:p>
            <w:pPr>
              <w:spacing w:after="0"/>
              <w:rPr>
                <w:sz w:val="16"/>
                <w:szCs w:val="16"/>
                <w:color w:val="auto"/>
              </w:rPr>
            </w:pPr>
          </w:p>
        </w:tc>
      </w:tr>
      <w:tr>
        <w:trPr>
          <w:trHeight w:val="195"/>
        </w:trPr>
        <w:tc>
          <w:tcPr>
            <w:tcW w:w="4380" w:type="dxa"/>
            <w:vAlign w:val="bottom"/>
          </w:tcPr>
          <w:p>
            <w:pPr>
              <w:spacing w:after="0"/>
              <w:rPr>
                <w:sz w:val="20"/>
                <w:szCs w:val="20"/>
                <w:color w:val="auto"/>
              </w:rPr>
            </w:pPr>
            <w:r>
              <w:rPr>
                <w:rFonts w:ascii="Arial" w:cs="Arial" w:eastAsia="Arial" w:hAnsi="Arial"/>
                <w:sz w:val="17"/>
                <w:szCs w:val="17"/>
                <w:color w:val="auto"/>
              </w:rPr>
              <w:t>Gross increases – tax positions in prior period</w:t>
            </w:r>
          </w:p>
        </w:tc>
        <w:tc>
          <w:tcPr>
            <w:tcW w:w="254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65</w:t>
            </w:r>
          </w:p>
        </w:tc>
        <w:tc>
          <w:tcPr>
            <w:tcW w:w="38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2,559</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5"/>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Gross decreases – tax positions in prior period</w:t>
            </w:r>
          </w:p>
        </w:tc>
        <w:tc>
          <w:tcPr>
            <w:tcW w:w="25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(2,833)</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(7,659)</w:t>
            </w:r>
          </w:p>
        </w:tc>
        <w:tc>
          <w:tcPr>
            <w:tcW w:w="20" w:type="dxa"/>
            <w:vAlign w:val="bottom"/>
          </w:tcPr>
          <w:p>
            <w:pPr>
              <w:spacing w:after="0"/>
              <w:rPr>
                <w:sz w:val="16"/>
                <w:szCs w:val="16"/>
                <w:color w:val="auto"/>
              </w:rPr>
            </w:pPr>
          </w:p>
        </w:tc>
      </w:tr>
      <w:tr>
        <w:trPr>
          <w:trHeight w:val="195"/>
        </w:trPr>
        <w:tc>
          <w:tcPr>
            <w:tcW w:w="4380" w:type="dxa"/>
            <w:vAlign w:val="bottom"/>
          </w:tcPr>
          <w:p>
            <w:pPr>
              <w:spacing w:after="0"/>
              <w:rPr>
                <w:sz w:val="20"/>
                <w:szCs w:val="20"/>
                <w:color w:val="auto"/>
              </w:rPr>
            </w:pPr>
            <w:r>
              <w:rPr>
                <w:rFonts w:ascii="Arial" w:cs="Arial" w:eastAsia="Arial" w:hAnsi="Arial"/>
                <w:sz w:val="17"/>
                <w:szCs w:val="17"/>
                <w:color w:val="auto"/>
              </w:rPr>
              <w:t>Gross increases – tax positions in current period</w:t>
            </w:r>
          </w:p>
        </w:tc>
        <w:tc>
          <w:tcPr>
            <w:tcW w:w="254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6,636</w:t>
            </w:r>
          </w:p>
        </w:tc>
        <w:tc>
          <w:tcPr>
            <w:tcW w:w="38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4,999</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5,730</w:t>
            </w:r>
          </w:p>
        </w:tc>
        <w:tc>
          <w:tcPr>
            <w:tcW w:w="20" w:type="dxa"/>
            <w:vAlign w:val="bottom"/>
          </w:tcPr>
          <w:p>
            <w:pPr>
              <w:spacing w:after="0"/>
              <w:rPr>
                <w:sz w:val="16"/>
                <w:szCs w:val="16"/>
                <w:color w:val="auto"/>
              </w:rPr>
            </w:pPr>
          </w:p>
        </w:tc>
      </w:tr>
      <w:tr>
        <w:trPr>
          <w:trHeight w:val="195"/>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Gross decreases – tax positions in current period</w:t>
            </w:r>
          </w:p>
        </w:tc>
        <w:tc>
          <w:tcPr>
            <w:tcW w:w="25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5"/>
        </w:trPr>
        <w:tc>
          <w:tcPr>
            <w:tcW w:w="4380" w:type="dxa"/>
            <w:vAlign w:val="bottom"/>
          </w:tcPr>
          <w:p>
            <w:pPr>
              <w:spacing w:after="0"/>
              <w:rPr>
                <w:sz w:val="20"/>
                <w:szCs w:val="20"/>
                <w:color w:val="auto"/>
              </w:rPr>
            </w:pPr>
            <w:r>
              <w:rPr>
                <w:rFonts w:ascii="Arial" w:cs="Arial" w:eastAsia="Arial" w:hAnsi="Arial"/>
                <w:sz w:val="17"/>
                <w:szCs w:val="17"/>
                <w:color w:val="auto"/>
              </w:rPr>
              <w:t>Settlements</w:t>
            </w:r>
          </w:p>
        </w:tc>
        <w:tc>
          <w:tcPr>
            <w:tcW w:w="2540" w:type="dxa"/>
            <w:vAlign w:val="bottom"/>
          </w:tcPr>
          <w:p>
            <w:pPr>
              <w:spacing w:after="0"/>
              <w:rPr>
                <w:sz w:val="16"/>
                <w:szCs w:val="16"/>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(3,597)</w:t>
            </w:r>
          </w:p>
        </w:tc>
        <w:tc>
          <w:tcPr>
            <w:tcW w:w="38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5"/>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25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(2,414)</w:t>
            </w: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(3,426)</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w:t>
            </w:r>
          </w:p>
        </w:tc>
        <w:tc>
          <w:tcPr>
            <w:tcW w:w="20" w:type="dxa"/>
            <w:vAlign w:val="bottom"/>
          </w:tcPr>
          <w:p>
            <w:pPr>
              <w:spacing w:after="0"/>
              <w:rPr>
                <w:sz w:val="16"/>
                <w:szCs w:val="16"/>
                <w:color w:val="auto"/>
              </w:rPr>
            </w:pPr>
          </w:p>
        </w:tc>
      </w:tr>
      <w:tr>
        <w:trPr>
          <w:trHeight w:val="194"/>
        </w:trPr>
        <w:tc>
          <w:tcPr>
            <w:tcW w:w="438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Unrecognized Tax Liabilities – ending balance</w:t>
            </w:r>
          </w:p>
        </w:tc>
        <w:tc>
          <w:tcPr>
            <w:tcW w:w="2540" w:type="dxa"/>
            <w:vAlign w:val="bottom"/>
            <w:tcBorders>
              <w:bottom w:val="single" w:sz="8" w:color="auto"/>
            </w:tcBorders>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95"/>
              <w:spacing w:after="0" w:line="188" w:lineRule="exact"/>
              <w:rPr>
                <w:sz w:val="20"/>
                <w:szCs w:val="20"/>
                <w:color w:val="auto"/>
              </w:rPr>
            </w:pPr>
            <w:r>
              <w:rPr>
                <w:rFonts w:ascii="Arial" w:cs="Arial" w:eastAsia="Arial" w:hAnsi="Arial"/>
                <w:sz w:val="17"/>
                <w:szCs w:val="17"/>
                <w:color w:val="auto"/>
              </w:rPr>
              <w:t>24,344</w:t>
            </w:r>
          </w:p>
        </w:tc>
        <w:tc>
          <w:tcPr>
            <w:tcW w:w="380" w:type="dxa"/>
            <w:vAlign w:val="bottom"/>
            <w:tcBorders>
              <w:bottom w:val="single" w:sz="8" w:color="auto"/>
            </w:tcBorders>
          </w:tcPr>
          <w:p>
            <w:pPr>
              <w:jc w:val="right"/>
              <w:ind w:right="74"/>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95"/>
              <w:spacing w:after="0" w:line="188" w:lineRule="exact"/>
              <w:rPr>
                <w:sz w:val="20"/>
                <w:szCs w:val="20"/>
                <w:color w:val="auto"/>
              </w:rPr>
            </w:pPr>
            <w:r>
              <w:rPr>
                <w:rFonts w:ascii="Arial" w:cs="Arial" w:eastAsia="Arial" w:hAnsi="Arial"/>
                <w:sz w:val="17"/>
                <w:szCs w:val="17"/>
                <w:color w:val="auto"/>
              </w:rPr>
              <w:t>26,487</w:t>
            </w:r>
          </w:p>
        </w:tc>
        <w:tc>
          <w:tcPr>
            <w:tcW w:w="380" w:type="dxa"/>
            <w:vAlign w:val="bottom"/>
            <w:tcBorders>
              <w:bottom w:val="single" w:sz="8" w:color="auto"/>
            </w:tcBorders>
          </w:tcPr>
          <w:p>
            <w:pPr>
              <w:jc w:val="right"/>
              <w:ind w:right="94"/>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22,394</w:t>
            </w:r>
          </w:p>
        </w:tc>
        <w:tc>
          <w:tcPr>
            <w:tcW w:w="20" w:type="dxa"/>
            <w:vAlign w:val="bottom"/>
          </w:tcPr>
          <w:p>
            <w:pPr>
              <w:spacing w:after="0"/>
              <w:rPr>
                <w:sz w:val="16"/>
                <w:szCs w:val="16"/>
                <w:color w:val="auto"/>
              </w:rPr>
            </w:pPr>
          </w:p>
        </w:tc>
      </w:tr>
      <w:tr>
        <w:trPr>
          <w:trHeight w:val="627"/>
        </w:trPr>
        <w:tc>
          <w:tcPr>
            <w:tcW w:w="4380" w:type="dxa"/>
            <w:vAlign w:val="bottom"/>
          </w:tcPr>
          <w:p>
            <w:pPr>
              <w:spacing w:after="0"/>
              <w:rPr>
                <w:sz w:val="24"/>
                <w:szCs w:val="24"/>
                <w:color w:val="auto"/>
              </w:rPr>
            </w:pPr>
          </w:p>
        </w:tc>
        <w:tc>
          <w:tcPr>
            <w:tcW w:w="2540" w:type="dxa"/>
            <w:vAlign w:val="bottom"/>
          </w:tcPr>
          <w:p>
            <w:pPr>
              <w:jc w:val="right"/>
              <w:ind w:right="1634"/>
              <w:spacing w:after="0"/>
              <w:rPr>
                <w:sz w:val="20"/>
                <w:szCs w:val="20"/>
                <w:color w:val="auto"/>
              </w:rPr>
            </w:pPr>
            <w:r>
              <w:rPr>
                <w:rFonts w:ascii="Arial" w:cs="Arial" w:eastAsia="Arial" w:hAnsi="Arial"/>
                <w:sz w:val="17"/>
                <w:szCs w:val="17"/>
                <w:color w:val="auto"/>
              </w:rPr>
              <w:t>75</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38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380" w:type="dxa"/>
            <w:vAlign w:val="bottom"/>
            <w:tcBorders>
              <w:bottom w:val="single" w:sz="8" w:color="EEEEEE"/>
            </w:tcBorders>
          </w:tcPr>
          <w:p>
            <w:pPr>
              <w:spacing w:after="0" w:line="20" w:lineRule="exact"/>
              <w:rPr>
                <w:sz w:val="1"/>
                <w:szCs w:val="1"/>
                <w:color w:val="auto"/>
              </w:rPr>
            </w:pPr>
          </w:p>
        </w:tc>
        <w:tc>
          <w:tcPr>
            <w:tcW w:w="25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77" w:name="page78"/>
    <w:bookmarkEnd w:id="77"/>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If our uncertain tax positions as of December 31, 2014 are settled by the taxing authorities in our favor, our income tax expense would be reduced by $22.0 million (exclusive of interest and penalties) in the period the matter is considered settled in accordance with Accounting Standards Codification 740. This would have the impact of reducing our 2014 effective income tax rate by 8.2%. As of December 31, 2014, it does not appear that the total amount of our unrecognized income tax benefits will significantly increase or decrease within the next twelve months.</w:t>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record accrued interest and penalties related to unrecognized income tax benefits as income tax expense. Related to the uncertain income tax benefits noted above, for interest we recorded income of $ 0.6 million, $ 0.6 million and $ 0.7 million during 2014, 2013 and 2012, respectively. For penalties, we recorded income of $0.3 million, $0.3 million and $1.5 million during 2014, 2013 and 2012, respectively. As of December 31, 2014 and 2013, we had recognized liabilities of $4.2 million and $4.9 million for interest and $4.5 million and $4.8 million for penalties, respectively.</w:t>
      </w:r>
    </w:p>
    <w:p>
      <w:pPr>
        <w:spacing w:after="0" w:line="13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many cases, our uncertain tax positions are related to tax years that remain subject to examination by the relevant taxing authorities. The following table summarizes these open tax years by jurisdiction with major uncertain tax positions: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00" w:type="dxa"/>
            <w:vAlign w:val="bottom"/>
          </w:tcPr>
          <w:p>
            <w:pPr>
              <w:spacing w:after="0"/>
              <w:rPr>
                <w:sz w:val="14"/>
                <w:szCs w:val="14"/>
                <w:color w:val="auto"/>
              </w:rPr>
            </w:pPr>
          </w:p>
        </w:tc>
        <w:tc>
          <w:tcPr>
            <w:tcW w:w="2160" w:type="dxa"/>
            <w:vAlign w:val="bottom"/>
            <w:tcBorders>
              <w:bottom w:val="single" w:sz="8" w:color="auto"/>
            </w:tcBorders>
            <w:gridSpan w:val="2"/>
          </w:tcPr>
          <w:p>
            <w:pPr>
              <w:jc w:val="right"/>
              <w:ind w:right="258"/>
              <w:spacing w:after="0"/>
              <w:rPr>
                <w:sz w:val="20"/>
                <w:szCs w:val="20"/>
                <w:color w:val="auto"/>
              </w:rPr>
            </w:pPr>
            <w:r>
              <w:rPr>
                <w:rFonts w:ascii="Arial" w:cs="Arial" w:eastAsia="Arial" w:hAnsi="Arial"/>
                <w:sz w:val="14"/>
                <w:szCs w:val="14"/>
                <w:b w:val="1"/>
                <w:bCs w:val="1"/>
                <w:color w:val="auto"/>
              </w:rPr>
              <w:t>Open Tax Year</w:t>
            </w:r>
          </w:p>
        </w:tc>
        <w:tc>
          <w:tcPr>
            <w:tcW w:w="520" w:type="dxa"/>
            <w:vAlign w:val="bottom"/>
            <w:tcBorders>
              <w:bottom w:val="single" w:sz="8" w:color="auto"/>
            </w:tcBorders>
          </w:tcPr>
          <w:p>
            <w:pPr>
              <w:spacing w:after="0"/>
              <w:rPr>
                <w:sz w:val="14"/>
                <w:szCs w:val="14"/>
                <w:color w:val="auto"/>
              </w:rPr>
            </w:pPr>
          </w:p>
        </w:tc>
      </w:tr>
      <w:tr>
        <w:trPr>
          <w:trHeight w:val="212"/>
        </w:trPr>
        <w:tc>
          <w:tcPr>
            <w:tcW w:w="7500" w:type="dxa"/>
            <w:vAlign w:val="bottom"/>
          </w:tcPr>
          <w:p>
            <w:pPr>
              <w:spacing w:after="0"/>
              <w:rPr>
                <w:sz w:val="18"/>
                <w:szCs w:val="18"/>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Examination</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Examination not</w:t>
            </w:r>
          </w:p>
        </w:tc>
      </w:tr>
      <w:tr>
        <w:trPr>
          <w:trHeight w:val="171"/>
        </w:trPr>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in progress</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yet initiated</w:t>
            </w:r>
          </w:p>
        </w:tc>
      </w:tr>
      <w:tr>
        <w:trPr>
          <w:trHeight w:val="188"/>
        </w:trPr>
        <w:tc>
          <w:tcPr>
            <w:tcW w:w="75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United States</w:t>
            </w:r>
          </w:p>
        </w:tc>
        <w:tc>
          <w:tcPr>
            <w:tcW w:w="1280" w:type="dxa"/>
            <w:vAlign w:val="bottom"/>
            <w:shd w:val="clear" w:color="auto" w:fill="CCEEFF"/>
          </w:tcPr>
          <w:p>
            <w:pPr>
              <w:jc w:val="right"/>
              <w:ind w:right="299"/>
              <w:spacing w:after="0" w:line="188" w:lineRule="exact"/>
              <w:rPr>
                <w:sz w:val="20"/>
                <w:szCs w:val="20"/>
                <w:color w:val="auto"/>
              </w:rPr>
            </w:pPr>
            <w:r>
              <w:rPr>
                <w:rFonts w:ascii="Arial" w:cs="Arial" w:eastAsia="Arial" w:hAnsi="Arial"/>
                <w:sz w:val="17"/>
                <w:szCs w:val="17"/>
                <w:color w:val="auto"/>
              </w:rPr>
              <w:t>2011</w:t>
            </w:r>
          </w:p>
        </w:tc>
        <w:tc>
          <w:tcPr>
            <w:tcW w:w="8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2012</w:t>
            </w:r>
          </w:p>
        </w:tc>
        <w:tc>
          <w:tcPr>
            <w:tcW w:w="5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- 2014</w:t>
            </w:r>
          </w:p>
        </w:tc>
      </w:tr>
      <w:tr>
        <w:trPr>
          <w:trHeight w:val="195"/>
        </w:trPr>
        <w:tc>
          <w:tcPr>
            <w:tcW w:w="7500" w:type="dxa"/>
            <w:vAlign w:val="bottom"/>
          </w:tcPr>
          <w:p>
            <w:pPr>
              <w:spacing w:after="0"/>
              <w:rPr>
                <w:sz w:val="20"/>
                <w:szCs w:val="20"/>
                <w:color w:val="auto"/>
              </w:rPr>
            </w:pPr>
            <w:r>
              <w:rPr>
                <w:rFonts w:ascii="Arial" w:cs="Arial" w:eastAsia="Arial" w:hAnsi="Arial"/>
                <w:sz w:val="17"/>
                <w:szCs w:val="17"/>
                <w:color w:val="auto"/>
              </w:rPr>
              <w:t>Singapore</w:t>
            </w:r>
          </w:p>
        </w:tc>
        <w:tc>
          <w:tcPr>
            <w:tcW w:w="1280" w:type="dxa"/>
            <w:vAlign w:val="bottom"/>
          </w:tcPr>
          <w:p>
            <w:pPr>
              <w:jc w:val="right"/>
              <w:ind w:right="259"/>
              <w:spacing w:after="0"/>
              <w:rPr>
                <w:sz w:val="20"/>
                <w:szCs w:val="20"/>
                <w:color w:val="auto"/>
              </w:rPr>
            </w:pPr>
            <w:r>
              <w:rPr>
                <w:rFonts w:ascii="Arial" w:cs="Arial" w:eastAsia="Arial" w:hAnsi="Arial"/>
                <w:sz w:val="17"/>
                <w:szCs w:val="17"/>
                <w:color w:val="auto"/>
              </w:rPr>
              <w:t>None</w:t>
            </w:r>
          </w:p>
        </w:tc>
        <w:tc>
          <w:tcPr>
            <w:tcW w:w="880" w:type="dxa"/>
            <w:vAlign w:val="bottom"/>
          </w:tcPr>
          <w:p>
            <w:pPr>
              <w:jc w:val="right"/>
              <w:spacing w:after="0"/>
              <w:rPr>
                <w:sz w:val="20"/>
                <w:szCs w:val="20"/>
                <w:color w:val="auto"/>
              </w:rPr>
            </w:pPr>
            <w:r>
              <w:rPr>
                <w:rFonts w:ascii="Arial" w:cs="Arial" w:eastAsia="Arial" w:hAnsi="Arial"/>
                <w:sz w:val="17"/>
                <w:szCs w:val="17"/>
                <w:color w:val="auto"/>
              </w:rPr>
              <w:t>2011</w:t>
            </w:r>
          </w:p>
        </w:tc>
        <w:tc>
          <w:tcPr>
            <w:tcW w:w="520" w:type="dxa"/>
            <w:vAlign w:val="bottom"/>
          </w:tcPr>
          <w:p>
            <w:pPr>
              <w:jc w:val="right"/>
              <w:spacing w:after="0"/>
              <w:rPr>
                <w:sz w:val="20"/>
                <w:szCs w:val="20"/>
                <w:color w:val="auto"/>
              </w:rPr>
            </w:pPr>
            <w:r>
              <w:rPr>
                <w:rFonts w:ascii="Arial" w:cs="Arial" w:eastAsia="Arial" w:hAnsi="Arial"/>
                <w:sz w:val="17"/>
                <w:szCs w:val="17"/>
                <w:color w:val="auto"/>
              </w:rPr>
              <w:t>- 2014</w:t>
            </w:r>
          </w:p>
        </w:tc>
      </w:tr>
      <w:tr>
        <w:trPr>
          <w:trHeight w:val="195"/>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1280" w:type="dxa"/>
            <w:vAlign w:val="bottom"/>
            <w:shd w:val="clear" w:color="auto" w:fill="CCEEFF"/>
          </w:tcPr>
          <w:p>
            <w:pPr>
              <w:jc w:val="right"/>
              <w:ind w:right="259"/>
              <w:spacing w:after="0"/>
              <w:rPr>
                <w:sz w:val="20"/>
                <w:szCs w:val="20"/>
                <w:color w:val="auto"/>
              </w:rPr>
            </w:pPr>
            <w:r>
              <w:rPr>
                <w:rFonts w:ascii="Arial" w:cs="Arial" w:eastAsia="Arial" w:hAnsi="Arial"/>
                <w:sz w:val="17"/>
                <w:szCs w:val="17"/>
                <w:color w:val="auto"/>
              </w:rPr>
              <w:t>None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- 2014</w:t>
            </w:r>
          </w:p>
        </w:tc>
      </w:tr>
      <w:tr>
        <w:trPr>
          <w:trHeight w:val="195"/>
        </w:trPr>
        <w:tc>
          <w:tcPr>
            <w:tcW w:w="7500" w:type="dxa"/>
            <w:vAlign w:val="bottom"/>
          </w:tcPr>
          <w:p>
            <w:pPr>
              <w:spacing w:after="0"/>
              <w:rPr>
                <w:sz w:val="20"/>
                <w:szCs w:val="20"/>
                <w:color w:val="auto"/>
              </w:rPr>
            </w:pPr>
            <w:r>
              <w:rPr>
                <w:rFonts w:ascii="Arial" w:cs="Arial" w:eastAsia="Arial" w:hAnsi="Arial"/>
                <w:sz w:val="17"/>
                <w:szCs w:val="17"/>
                <w:color w:val="auto"/>
              </w:rPr>
              <w:t>Brazil</w:t>
            </w:r>
          </w:p>
        </w:tc>
        <w:tc>
          <w:tcPr>
            <w:tcW w:w="1280" w:type="dxa"/>
            <w:vAlign w:val="bottom"/>
          </w:tcPr>
          <w:p>
            <w:pPr>
              <w:jc w:val="right"/>
              <w:ind w:right="299"/>
              <w:spacing w:after="0"/>
              <w:rPr>
                <w:sz w:val="20"/>
                <w:szCs w:val="20"/>
                <w:color w:val="auto"/>
              </w:rPr>
            </w:pPr>
            <w:r>
              <w:rPr>
                <w:rFonts w:ascii="Arial" w:cs="Arial" w:eastAsia="Arial" w:hAnsi="Arial"/>
                <w:sz w:val="17"/>
                <w:szCs w:val="17"/>
                <w:color w:val="auto"/>
              </w:rPr>
              <w:t>2009</w:t>
            </w:r>
          </w:p>
        </w:tc>
        <w:tc>
          <w:tcPr>
            <w:tcW w:w="880" w:type="dxa"/>
            <w:vAlign w:val="bottom"/>
          </w:tcPr>
          <w:p>
            <w:pPr>
              <w:jc w:val="right"/>
              <w:spacing w:after="0"/>
              <w:rPr>
                <w:sz w:val="20"/>
                <w:szCs w:val="20"/>
                <w:color w:val="auto"/>
              </w:rPr>
            </w:pPr>
            <w:r>
              <w:rPr>
                <w:rFonts w:ascii="Arial" w:cs="Arial" w:eastAsia="Arial" w:hAnsi="Arial"/>
                <w:sz w:val="17"/>
                <w:szCs w:val="17"/>
                <w:color w:val="auto"/>
              </w:rPr>
              <w:t>2010</w:t>
            </w:r>
          </w:p>
        </w:tc>
        <w:tc>
          <w:tcPr>
            <w:tcW w:w="520" w:type="dxa"/>
            <w:vAlign w:val="bottom"/>
          </w:tcPr>
          <w:p>
            <w:pPr>
              <w:jc w:val="right"/>
              <w:spacing w:after="0"/>
              <w:rPr>
                <w:sz w:val="20"/>
                <w:szCs w:val="20"/>
                <w:color w:val="auto"/>
              </w:rPr>
            </w:pPr>
            <w:r>
              <w:rPr>
                <w:rFonts w:ascii="Arial" w:cs="Arial" w:eastAsia="Arial" w:hAnsi="Arial"/>
                <w:sz w:val="17"/>
                <w:szCs w:val="17"/>
                <w:color w:val="auto"/>
              </w:rPr>
              <w:t>- 2014</w:t>
            </w:r>
          </w:p>
        </w:tc>
      </w:tr>
      <w:tr>
        <w:trPr>
          <w:trHeight w:val="195"/>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Chile</w:t>
            </w:r>
          </w:p>
        </w:tc>
        <w:tc>
          <w:tcPr>
            <w:tcW w:w="1280" w:type="dxa"/>
            <w:vAlign w:val="bottom"/>
            <w:shd w:val="clear" w:color="auto" w:fill="CCEEFF"/>
          </w:tcPr>
          <w:p>
            <w:pPr>
              <w:jc w:val="right"/>
              <w:ind w:right="259"/>
              <w:spacing w:after="0"/>
              <w:rPr>
                <w:sz w:val="20"/>
                <w:szCs w:val="20"/>
                <w:color w:val="auto"/>
              </w:rPr>
            </w:pPr>
            <w:r>
              <w:rPr>
                <w:rFonts w:ascii="Arial" w:cs="Arial" w:eastAsia="Arial" w:hAnsi="Arial"/>
                <w:sz w:val="17"/>
                <w:szCs w:val="17"/>
                <w:color w:val="auto"/>
              </w:rPr>
              <w:t>None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- 2014</w:t>
            </w:r>
          </w:p>
        </w:tc>
      </w:tr>
      <w:tr>
        <w:trPr>
          <w:trHeight w:val="201"/>
        </w:trPr>
        <w:tc>
          <w:tcPr>
            <w:tcW w:w="7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Denmark</w:t>
            </w: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7"/>
                <w:szCs w:val="17"/>
                <w:color w:val="auto"/>
              </w:rPr>
              <w:t>2011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- 2014</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Fair Value Measurements</w:t>
      </w:r>
    </w:p>
    <w:p>
      <w:pPr>
        <w:spacing w:after="0" w:line="92" w:lineRule="exact"/>
        <w:rPr>
          <w:sz w:val="20"/>
          <w:szCs w:val="20"/>
          <w:color w:val="auto"/>
        </w:rPr>
      </w:pPr>
    </w:p>
    <w:p>
      <w:pPr>
        <w:jc w:val="both"/>
        <w:spacing w:after="0" w:line="202" w:lineRule="exact"/>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w:t>
      </w:r>
      <w:r>
        <w:rPr>
          <w:rFonts w:ascii="MS PGothic" w:cs="MS PGothic" w:eastAsia="MS PGothic" w:hAnsi="MS PGothic"/>
          <w:sz w:val="17"/>
          <w:szCs w:val="17"/>
          <w:color w:val="auto"/>
        </w:rPr>
        <w:t>‑</w:t>
      </w:r>
      <w:r>
        <w:rPr>
          <w:rFonts w:ascii="Arial" w:cs="Arial" w:eastAsia="Arial" w:hAnsi="Arial"/>
          <w:sz w:val="17"/>
          <w:szCs w:val="17"/>
          <w:color w:val="auto"/>
        </w:rPr>
        <w:t>term maturities of these instruments. We believe the carrying values of our debt and notes receivable approximate fair value since these instruments bear interest either at variable rates or fixed rates which are not significantly different than market rates. Based on the fair value hierarchy, our debt of $ 689.9 million as of December 31, 2014 and $463.7 million as of December 31, 2013 and our notes receivable of $7.0 million as of December 31, 2014 and $20.9 million as of December 31, 2013 are categorized in Level 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8" w:name="page79"/>
    <w:bookmarkEnd w:id="78"/>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our assets and liabilities that are measured at fair value on a recurring basis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and 2013 (in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rPr>
              <w:t>Netting and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Sub-Total</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Collateral</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Assets:</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Commodity contracts</w:t>
            </w:r>
          </w:p>
        </w:tc>
        <w:tc>
          <w:tcPr>
            <w:tcW w:w="4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173,688</w:t>
            </w:r>
          </w:p>
        </w:tc>
        <w:tc>
          <w:tcPr>
            <w:tcW w:w="3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495,628</w:t>
            </w:r>
          </w:p>
        </w:tc>
        <w:tc>
          <w:tcPr>
            <w:tcW w:w="4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4,150</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673,466</w:t>
            </w:r>
          </w:p>
        </w:tc>
        <w:tc>
          <w:tcPr>
            <w:tcW w:w="3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(367,984)</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305,482</w:t>
            </w: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21,757</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21,757</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(11,970)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9,787</w:t>
            </w:r>
          </w:p>
        </w:tc>
        <w:tc>
          <w:tcPr>
            <w:tcW w:w="0" w:type="dxa"/>
            <w:vAlign w:val="bottom"/>
          </w:tcPr>
          <w:p>
            <w:pPr>
              <w:spacing w:after="0"/>
              <w:rPr>
                <w:sz w:val="1"/>
                <w:szCs w:val="1"/>
                <w:color w:val="auto"/>
              </w:rPr>
            </w:pPr>
          </w:p>
        </w:tc>
      </w:tr>
      <w:tr>
        <w:trPr>
          <w:trHeight w:val="146"/>
        </w:trPr>
        <w:tc>
          <w:tcPr>
            <w:tcW w:w="2760" w:type="dxa"/>
            <w:vAlign w:val="bottom"/>
          </w:tcPr>
          <w:p>
            <w:pPr>
              <w:spacing w:after="0" w:line="146" w:lineRule="exact"/>
              <w:rPr>
                <w:sz w:val="20"/>
                <w:szCs w:val="20"/>
                <w:color w:val="auto"/>
              </w:rPr>
            </w:pPr>
            <w:r>
              <w:rPr>
                <w:rFonts w:ascii="Arial" w:cs="Arial" w:eastAsia="Arial" w:hAnsi="Arial"/>
                <w:sz w:val="16"/>
                <w:szCs w:val="16"/>
                <w:color w:val="auto"/>
              </w:rPr>
              <w:t>Cash surrender value of life</w:t>
            </w:r>
          </w:p>
        </w:tc>
        <w:tc>
          <w:tcPr>
            <w:tcW w:w="420" w:type="dxa"/>
            <w:vAlign w:val="bottom"/>
          </w:tcPr>
          <w:p>
            <w:pPr>
              <w:spacing w:after="0"/>
              <w:rPr>
                <w:sz w:val="12"/>
                <w:szCs w:val="12"/>
                <w:color w:val="auto"/>
              </w:rPr>
            </w:pPr>
          </w:p>
        </w:tc>
        <w:tc>
          <w:tcPr>
            <w:tcW w:w="900" w:type="dxa"/>
            <w:vAlign w:val="bottom"/>
            <w:vMerge w:val="restart"/>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2"/>
                <w:szCs w:val="12"/>
                <w:color w:val="auto"/>
              </w:rPr>
            </w:pPr>
          </w:p>
        </w:tc>
        <w:tc>
          <w:tcPr>
            <w:tcW w:w="900" w:type="dxa"/>
            <w:vAlign w:val="bottom"/>
            <w:vMerge w:val="restart"/>
          </w:tcPr>
          <w:p>
            <w:pPr>
              <w:jc w:val="right"/>
              <w:ind w:right="55"/>
              <w:spacing w:after="0"/>
              <w:rPr>
                <w:sz w:val="20"/>
                <w:szCs w:val="20"/>
                <w:color w:val="auto"/>
              </w:rPr>
            </w:pPr>
            <w:r>
              <w:rPr>
                <w:rFonts w:ascii="Arial" w:cs="Arial" w:eastAsia="Arial" w:hAnsi="Arial"/>
                <w:sz w:val="17"/>
                <w:szCs w:val="17"/>
                <w:color w:val="auto"/>
              </w:rPr>
              <w:t>2,224</w:t>
            </w:r>
          </w:p>
        </w:tc>
        <w:tc>
          <w:tcPr>
            <w:tcW w:w="42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2"/>
                <w:szCs w:val="12"/>
                <w:color w:val="auto"/>
              </w:rPr>
            </w:pPr>
          </w:p>
        </w:tc>
        <w:tc>
          <w:tcPr>
            <w:tcW w:w="900" w:type="dxa"/>
            <w:vAlign w:val="bottom"/>
            <w:vMerge w:val="restart"/>
          </w:tcPr>
          <w:p>
            <w:pPr>
              <w:jc w:val="right"/>
              <w:ind w:right="55"/>
              <w:spacing w:after="0"/>
              <w:rPr>
                <w:sz w:val="20"/>
                <w:szCs w:val="20"/>
                <w:color w:val="auto"/>
              </w:rPr>
            </w:pPr>
            <w:r>
              <w:rPr>
                <w:rFonts w:ascii="Arial" w:cs="Arial" w:eastAsia="Arial" w:hAnsi="Arial"/>
                <w:sz w:val="17"/>
                <w:szCs w:val="17"/>
                <w:color w:val="auto"/>
              </w:rPr>
              <w:t>2,224</w:t>
            </w:r>
          </w:p>
        </w:tc>
        <w:tc>
          <w:tcPr>
            <w:tcW w:w="300" w:type="dxa"/>
            <w:vAlign w:val="bottom"/>
          </w:tcPr>
          <w:p>
            <w:pPr>
              <w:spacing w:after="0"/>
              <w:rPr>
                <w:sz w:val="12"/>
                <w:szCs w:val="12"/>
                <w:color w:val="auto"/>
              </w:rPr>
            </w:pPr>
          </w:p>
        </w:tc>
        <w:tc>
          <w:tcPr>
            <w:tcW w:w="960" w:type="dxa"/>
            <w:vAlign w:val="bottom"/>
            <w:vMerge w:val="restart"/>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2,224</w:t>
            </w:r>
          </w:p>
        </w:tc>
        <w:tc>
          <w:tcPr>
            <w:tcW w:w="0" w:type="dxa"/>
            <w:vAlign w:val="bottom"/>
          </w:tcPr>
          <w:p>
            <w:pPr>
              <w:spacing w:after="0"/>
              <w:rPr>
                <w:sz w:val="1"/>
                <w:szCs w:val="1"/>
                <w:color w:val="auto"/>
              </w:rPr>
            </w:pPr>
          </w:p>
        </w:tc>
      </w:tr>
      <w:tr>
        <w:trPr>
          <w:trHeight w:val="217"/>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insurance</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6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173,688</w:t>
            </w:r>
          </w:p>
        </w:tc>
        <w:tc>
          <w:tcPr>
            <w:tcW w:w="34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519,609</w:t>
            </w:r>
          </w:p>
        </w:tc>
        <w:tc>
          <w:tcPr>
            <w:tcW w:w="420" w:type="dxa"/>
            <w:vAlign w:val="bottom"/>
            <w:tcBorders>
              <w:bottom w:val="single" w:sz="8" w:color="auto"/>
            </w:tcBorders>
            <w:shd w:val="clear" w:color="auto" w:fill="CCEEFF"/>
          </w:tcPr>
          <w:p>
            <w:pPr>
              <w:jc w:val="right"/>
              <w:ind w:right="134"/>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75"/>
              <w:spacing w:after="0" w:line="188" w:lineRule="exact"/>
              <w:rPr>
                <w:sz w:val="20"/>
                <w:szCs w:val="20"/>
                <w:color w:val="auto"/>
              </w:rPr>
            </w:pPr>
            <w:r>
              <w:rPr>
                <w:rFonts w:ascii="Arial" w:cs="Arial" w:eastAsia="Arial" w:hAnsi="Arial"/>
                <w:sz w:val="17"/>
                <w:szCs w:val="17"/>
                <w:color w:val="auto"/>
              </w:rPr>
              <w:t>4,150</w:t>
            </w:r>
          </w:p>
        </w:tc>
        <w:tc>
          <w:tcPr>
            <w:tcW w:w="32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697,447</w:t>
            </w:r>
          </w:p>
        </w:tc>
        <w:tc>
          <w:tcPr>
            <w:tcW w:w="30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6"/>
              <w:spacing w:after="0" w:line="188" w:lineRule="exact"/>
              <w:rPr>
                <w:sz w:val="20"/>
                <w:szCs w:val="20"/>
                <w:color w:val="auto"/>
              </w:rPr>
            </w:pPr>
            <w:r>
              <w:rPr>
                <w:rFonts w:ascii="Arial" w:cs="Arial" w:eastAsia="Arial" w:hAnsi="Arial"/>
                <w:sz w:val="17"/>
                <w:szCs w:val="17"/>
                <w:color w:val="auto"/>
              </w:rPr>
              <w:t>(379,954)</w:t>
            </w:r>
          </w:p>
        </w:tc>
        <w:tc>
          <w:tcPr>
            <w:tcW w:w="32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317,493</w:t>
            </w:r>
          </w:p>
        </w:tc>
        <w:tc>
          <w:tcPr>
            <w:tcW w:w="0" w:type="dxa"/>
            <w:vAlign w:val="bottom"/>
          </w:tcPr>
          <w:p>
            <w:pPr>
              <w:spacing w:after="0"/>
              <w:rPr>
                <w:sz w:val="1"/>
                <w:szCs w:val="1"/>
                <w:color w:val="auto"/>
              </w:rPr>
            </w:pPr>
          </w:p>
        </w:tc>
      </w:tr>
      <w:tr>
        <w:trPr>
          <w:trHeight w:val="182"/>
        </w:trPr>
        <w:tc>
          <w:tcPr>
            <w:tcW w:w="2760" w:type="dxa"/>
            <w:vAlign w:val="bottom"/>
          </w:tcPr>
          <w:p>
            <w:pPr>
              <w:spacing w:after="0" w:line="182" w:lineRule="exact"/>
              <w:rPr>
                <w:sz w:val="20"/>
                <w:szCs w:val="20"/>
                <w:color w:val="auto"/>
              </w:rPr>
            </w:pPr>
            <w:r>
              <w:rPr>
                <w:rFonts w:ascii="Arial" w:cs="Arial" w:eastAsia="Arial" w:hAnsi="Arial"/>
                <w:sz w:val="17"/>
                <w:szCs w:val="17"/>
                <w:color w:val="auto"/>
              </w:rPr>
              <w:t>Liabilities:</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4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306,360</w:t>
            </w:r>
          </w:p>
        </w:tc>
        <w:tc>
          <w:tcPr>
            <w:tcW w:w="3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329,887</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1,353</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637,600</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(595,565)</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42,035</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Foreign currency contracts</w:t>
            </w:r>
          </w:p>
        </w:tc>
        <w:tc>
          <w:tcPr>
            <w:tcW w:w="42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11,970</w:t>
            </w:r>
          </w:p>
        </w:tc>
        <w:tc>
          <w:tcPr>
            <w:tcW w:w="420" w:type="dxa"/>
            <w:vAlign w:val="bottom"/>
          </w:tcPr>
          <w:p>
            <w:pPr>
              <w:spacing w:after="0"/>
              <w:rPr>
                <w:sz w:val="16"/>
                <w:szCs w:val="16"/>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11,970</w:t>
            </w:r>
          </w:p>
        </w:tc>
        <w:tc>
          <w:tcPr>
            <w:tcW w:w="30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(11,970)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Inventories</w:t>
            </w: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22,889</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22,889</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22,889</w:t>
            </w:r>
          </w:p>
        </w:tc>
        <w:tc>
          <w:tcPr>
            <w:tcW w:w="0" w:type="dxa"/>
            <w:vAlign w:val="bottom"/>
          </w:tcPr>
          <w:p>
            <w:pPr>
              <w:spacing w:after="0"/>
              <w:rPr>
                <w:sz w:val="1"/>
                <w:szCs w:val="1"/>
                <w:color w:val="auto"/>
              </w:rPr>
            </w:pPr>
          </w:p>
        </w:tc>
      </w:tr>
      <w:tr>
        <w:trPr>
          <w:trHeight w:val="194"/>
        </w:trPr>
        <w:tc>
          <w:tcPr>
            <w:tcW w:w="276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306,360</w:t>
            </w:r>
          </w:p>
        </w:tc>
        <w:tc>
          <w:tcPr>
            <w:tcW w:w="34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364,746</w:t>
            </w:r>
          </w:p>
        </w:tc>
        <w:tc>
          <w:tcPr>
            <w:tcW w:w="420" w:type="dxa"/>
            <w:vAlign w:val="bottom"/>
            <w:tcBorders>
              <w:bottom w:val="single" w:sz="8" w:color="auto"/>
            </w:tcBorders>
          </w:tcPr>
          <w:p>
            <w:pPr>
              <w:jc w:val="right"/>
              <w:ind w:right="134"/>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line="188" w:lineRule="exact"/>
              <w:rPr>
                <w:sz w:val="20"/>
                <w:szCs w:val="20"/>
                <w:color w:val="auto"/>
              </w:rPr>
            </w:pPr>
            <w:r>
              <w:rPr>
                <w:rFonts w:ascii="Arial" w:cs="Arial" w:eastAsia="Arial" w:hAnsi="Arial"/>
                <w:sz w:val="17"/>
                <w:szCs w:val="17"/>
                <w:color w:val="auto"/>
              </w:rPr>
              <w:t>1,353</w:t>
            </w:r>
          </w:p>
        </w:tc>
        <w:tc>
          <w:tcPr>
            <w:tcW w:w="3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672,459</w:t>
            </w:r>
          </w:p>
        </w:tc>
        <w:tc>
          <w:tcPr>
            <w:tcW w:w="300" w:type="dxa"/>
            <w:vAlign w:val="bottom"/>
            <w:tcBorders>
              <w:bottom w:val="single" w:sz="8" w:color="auto"/>
            </w:tcBorders>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6"/>
              <w:spacing w:after="0" w:line="188" w:lineRule="exact"/>
              <w:rPr>
                <w:sz w:val="20"/>
                <w:szCs w:val="20"/>
                <w:color w:val="auto"/>
              </w:rPr>
            </w:pPr>
            <w:r>
              <w:rPr>
                <w:rFonts w:ascii="Arial" w:cs="Arial" w:eastAsia="Arial" w:hAnsi="Arial"/>
                <w:sz w:val="17"/>
                <w:szCs w:val="17"/>
                <w:color w:val="auto"/>
              </w:rPr>
              <w:t>(607,535)</w:t>
            </w:r>
          </w:p>
        </w:tc>
        <w:tc>
          <w:tcPr>
            <w:tcW w:w="3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64,924</w:t>
            </w:r>
          </w:p>
        </w:tc>
        <w:tc>
          <w:tcPr>
            <w:tcW w:w="0" w:type="dxa"/>
            <w:vAlign w:val="bottom"/>
          </w:tcPr>
          <w:p>
            <w:pPr>
              <w:spacing w:after="0"/>
              <w:rPr>
                <w:sz w:val="1"/>
                <w:szCs w:val="1"/>
                <w:color w:val="auto"/>
              </w:rPr>
            </w:pPr>
          </w:p>
        </w:tc>
      </w:tr>
      <w:tr>
        <w:trPr>
          <w:trHeight w:val="182"/>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2013</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line="175" w:lineRule="exact"/>
              <w:rPr>
                <w:sz w:val="20"/>
                <w:szCs w:val="20"/>
                <w:color w:val="auto"/>
              </w:rPr>
            </w:pPr>
            <w:r>
              <w:rPr>
                <w:rFonts w:ascii="Arial" w:cs="Arial" w:eastAsia="Arial" w:hAnsi="Arial"/>
                <w:sz w:val="17"/>
                <w:szCs w:val="17"/>
                <w:color w:val="auto"/>
              </w:rPr>
              <w:t>Assets:</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4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11,574</w:t>
            </w:r>
          </w:p>
        </w:tc>
        <w:tc>
          <w:tcPr>
            <w:tcW w:w="3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39,880</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51,454</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(35,983)</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15,471</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Foreign currency contracts</w:t>
            </w:r>
          </w:p>
        </w:tc>
        <w:tc>
          <w:tcPr>
            <w:tcW w:w="42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8,486</w:t>
            </w:r>
          </w:p>
        </w:tc>
        <w:tc>
          <w:tcPr>
            <w:tcW w:w="420" w:type="dxa"/>
            <w:vAlign w:val="bottom"/>
          </w:tcPr>
          <w:p>
            <w:pPr>
              <w:spacing w:after="0"/>
              <w:rPr>
                <w:sz w:val="16"/>
                <w:szCs w:val="16"/>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8,486</w:t>
            </w:r>
          </w:p>
        </w:tc>
        <w:tc>
          <w:tcPr>
            <w:tcW w:w="30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(6,350)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2,136</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Inventories</w:t>
            </w: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1,483</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1,483</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194"/>
        </w:trPr>
        <w:tc>
          <w:tcPr>
            <w:tcW w:w="276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11,574</w:t>
            </w:r>
          </w:p>
        </w:tc>
        <w:tc>
          <w:tcPr>
            <w:tcW w:w="34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49,849</w:t>
            </w:r>
          </w:p>
        </w:tc>
        <w:tc>
          <w:tcPr>
            <w:tcW w:w="420" w:type="dxa"/>
            <w:vAlign w:val="bottom"/>
            <w:tcBorders>
              <w:bottom w:val="single" w:sz="8" w:color="auto"/>
            </w:tcBorders>
          </w:tcPr>
          <w:p>
            <w:pPr>
              <w:jc w:val="right"/>
              <w:ind w:right="134"/>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line="188"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61,423</w:t>
            </w:r>
          </w:p>
        </w:tc>
        <w:tc>
          <w:tcPr>
            <w:tcW w:w="300" w:type="dxa"/>
            <w:vAlign w:val="bottom"/>
            <w:tcBorders>
              <w:bottom w:val="single" w:sz="8" w:color="auto"/>
            </w:tcBorders>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6"/>
              <w:spacing w:after="0" w:line="188" w:lineRule="exact"/>
              <w:rPr>
                <w:sz w:val="20"/>
                <w:szCs w:val="20"/>
                <w:color w:val="auto"/>
              </w:rPr>
            </w:pPr>
            <w:r>
              <w:rPr>
                <w:rFonts w:ascii="Arial" w:cs="Arial" w:eastAsia="Arial" w:hAnsi="Arial"/>
                <w:sz w:val="17"/>
                <w:szCs w:val="17"/>
                <w:color w:val="auto"/>
              </w:rPr>
              <w:t>(42,333)</w:t>
            </w:r>
          </w:p>
        </w:tc>
        <w:tc>
          <w:tcPr>
            <w:tcW w:w="3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19,090</w:t>
            </w: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Liabilities:</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Commodity contracts</w:t>
            </w:r>
          </w:p>
        </w:tc>
        <w:tc>
          <w:tcPr>
            <w:tcW w:w="4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14,032</w:t>
            </w:r>
          </w:p>
        </w:tc>
        <w:tc>
          <w:tcPr>
            <w:tcW w:w="3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31,983</w:t>
            </w:r>
          </w:p>
        </w:tc>
        <w:tc>
          <w:tcPr>
            <w:tcW w:w="4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46,015</w:t>
            </w:r>
          </w:p>
        </w:tc>
        <w:tc>
          <w:tcPr>
            <w:tcW w:w="3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(31,329)</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14,686</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11,803</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11,803</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(6,350)</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5,453</w:t>
            </w:r>
          </w:p>
        </w:tc>
        <w:tc>
          <w:tcPr>
            <w:tcW w:w="0" w:type="dxa"/>
            <w:vAlign w:val="bottom"/>
          </w:tcPr>
          <w:p>
            <w:pPr>
              <w:spacing w:after="0"/>
              <w:rPr>
                <w:sz w:val="1"/>
                <w:szCs w:val="1"/>
                <w:color w:val="auto"/>
              </w:rPr>
            </w:pPr>
          </w:p>
        </w:tc>
      </w:tr>
      <w:tr>
        <w:trPr>
          <w:trHeight w:val="194"/>
        </w:trPr>
        <w:tc>
          <w:tcPr>
            <w:tcW w:w="276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14,032</w:t>
            </w:r>
          </w:p>
        </w:tc>
        <w:tc>
          <w:tcPr>
            <w:tcW w:w="34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43,786</w:t>
            </w:r>
          </w:p>
        </w:tc>
        <w:tc>
          <w:tcPr>
            <w:tcW w:w="420" w:type="dxa"/>
            <w:vAlign w:val="bottom"/>
            <w:tcBorders>
              <w:bottom w:val="single" w:sz="8" w:color="auto"/>
            </w:tcBorders>
          </w:tcPr>
          <w:p>
            <w:pPr>
              <w:jc w:val="right"/>
              <w:ind w:right="134"/>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line="188"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57,818</w:t>
            </w:r>
          </w:p>
        </w:tc>
        <w:tc>
          <w:tcPr>
            <w:tcW w:w="300" w:type="dxa"/>
            <w:vAlign w:val="bottom"/>
            <w:tcBorders>
              <w:bottom w:val="single" w:sz="8" w:color="auto"/>
            </w:tcBorders>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6"/>
              <w:spacing w:after="0" w:line="188" w:lineRule="exact"/>
              <w:rPr>
                <w:sz w:val="20"/>
                <w:szCs w:val="20"/>
                <w:color w:val="auto"/>
              </w:rPr>
            </w:pPr>
            <w:r>
              <w:rPr>
                <w:rFonts w:ascii="Arial" w:cs="Arial" w:eastAsia="Arial" w:hAnsi="Arial"/>
                <w:sz w:val="17"/>
                <w:szCs w:val="17"/>
                <w:color w:val="auto"/>
              </w:rPr>
              <w:t>(37,679)</w:t>
            </w:r>
          </w:p>
        </w:tc>
        <w:tc>
          <w:tcPr>
            <w:tcW w:w="3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20,139</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cash surrender value of life insurance is in connection with the NQDC plan and was included in identifiable intangible and other non-current assets in the accompanying consolidated balance sheets.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information regarding the balance sheet location of our commodity and foreign currency contracts net assets and liabilities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57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75"/>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Commodity Contracts</w:t>
            </w:r>
          </w:p>
        </w:tc>
        <w:tc>
          <w:tcPr>
            <w:tcW w:w="1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75"/>
        </w:trPr>
        <w:tc>
          <w:tcPr>
            <w:tcW w:w="5760" w:type="dxa"/>
            <w:vAlign w:val="bottom"/>
            <w:shd w:val="clear" w:color="auto" w:fill="CCEEFF"/>
          </w:tcPr>
          <w:p>
            <w:pPr>
              <w:ind w:left="120"/>
              <w:spacing w:after="0" w:line="175" w:lineRule="exact"/>
              <w:rPr>
                <w:sz w:val="20"/>
                <w:szCs w:val="20"/>
                <w:color w:val="auto"/>
              </w:rPr>
            </w:pPr>
            <w:r>
              <w:rPr>
                <w:rFonts w:ascii="Arial" w:cs="Arial" w:eastAsia="Arial" w:hAnsi="Arial"/>
                <w:sz w:val="17"/>
                <w:szCs w:val="17"/>
                <w:color w:val="auto"/>
              </w:rPr>
              <w:t>Assets:</w:t>
            </w:r>
          </w:p>
        </w:tc>
        <w:tc>
          <w:tcPr>
            <w:tcW w:w="1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5"/>
        </w:trPr>
        <w:tc>
          <w:tcPr>
            <w:tcW w:w="5760" w:type="dxa"/>
            <w:vAlign w:val="bottom"/>
          </w:tcPr>
          <w:p>
            <w:pPr>
              <w:ind w:left="120"/>
              <w:spacing w:after="0"/>
              <w:rPr>
                <w:sz w:val="20"/>
                <w:szCs w:val="20"/>
                <w:color w:val="auto"/>
              </w:rPr>
            </w:pPr>
            <w:r>
              <w:rPr>
                <w:rFonts w:ascii="Arial" w:cs="Arial" w:eastAsia="Arial" w:hAnsi="Arial"/>
                <w:sz w:val="17"/>
                <w:szCs w:val="17"/>
                <w:color w:val="auto"/>
              </w:rPr>
              <w:t>Short-term derivative assets, net</w:t>
            </w:r>
          </w:p>
        </w:tc>
        <w:tc>
          <w:tcPr>
            <w:tcW w:w="2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294,316</w:t>
            </w:r>
          </w:p>
        </w:tc>
        <w:tc>
          <w:tcPr>
            <w:tcW w:w="6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14,723</w:t>
            </w:r>
          </w:p>
        </w:tc>
      </w:tr>
      <w:tr>
        <w:trPr>
          <w:trHeight w:val="195"/>
        </w:trPr>
        <w:tc>
          <w:tcPr>
            <w:tcW w:w="5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Identifiable intangible and other non-current assets</w:t>
            </w:r>
          </w:p>
        </w:tc>
        <w:tc>
          <w:tcPr>
            <w:tcW w:w="1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11,166</w:t>
            </w:r>
          </w:p>
        </w:tc>
        <w:tc>
          <w:tcPr>
            <w:tcW w:w="6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w:t>
            </w:r>
          </w:p>
        </w:tc>
      </w:tr>
      <w:tr>
        <w:trPr>
          <w:trHeight w:val="194"/>
        </w:trPr>
        <w:tc>
          <w:tcPr>
            <w:tcW w:w="5760" w:type="dxa"/>
            <w:vAlign w:val="bottom"/>
            <w:tcBorders>
              <w:bottom w:val="single" w:sz="8" w:color="auto"/>
            </w:tcBorders>
          </w:tcPr>
          <w:p>
            <w:pPr>
              <w:ind w:left="120"/>
              <w:spacing w:after="0" w:line="188" w:lineRule="exact"/>
              <w:rPr>
                <w:sz w:val="20"/>
                <w:szCs w:val="20"/>
                <w:color w:val="auto"/>
              </w:rPr>
            </w:pPr>
            <w:r>
              <w:rPr>
                <w:rFonts w:ascii="Arial" w:cs="Arial" w:eastAsia="Arial" w:hAnsi="Arial"/>
                <w:sz w:val="17"/>
                <w:szCs w:val="17"/>
                <w:color w:val="auto"/>
              </w:rPr>
              <w:t>Total net assets</w:t>
            </w:r>
          </w:p>
        </w:tc>
        <w:tc>
          <w:tcPr>
            <w:tcW w:w="2060" w:type="dxa"/>
            <w:vAlign w:val="bottom"/>
            <w:tcBorders>
              <w:bottom w:val="single" w:sz="8" w:color="auto"/>
            </w:tcBorders>
            <w:gridSpan w:val="2"/>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305,482</w:t>
            </w:r>
          </w:p>
        </w:tc>
        <w:tc>
          <w:tcPr>
            <w:tcW w:w="600" w:type="dxa"/>
            <w:vAlign w:val="bottom"/>
            <w:tcBorders>
              <w:bottom w:val="single" w:sz="8" w:color="auto"/>
            </w:tcBorders>
          </w:tcPr>
          <w:p>
            <w:pPr>
              <w:jc w:val="right"/>
              <w:ind w:right="155"/>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15,471</w:t>
            </w:r>
          </w:p>
        </w:tc>
      </w:tr>
      <w:tr>
        <w:trPr>
          <w:trHeight w:val="182"/>
        </w:trPr>
        <w:tc>
          <w:tcPr>
            <w:tcW w:w="5760" w:type="dxa"/>
            <w:vAlign w:val="bottom"/>
            <w:shd w:val="clear" w:color="auto" w:fill="CCEEFF"/>
          </w:tcPr>
          <w:p>
            <w:pPr>
              <w:ind w:left="120"/>
              <w:spacing w:after="0" w:line="182" w:lineRule="exact"/>
              <w:rPr>
                <w:sz w:val="20"/>
                <w:szCs w:val="20"/>
                <w:color w:val="auto"/>
              </w:rPr>
            </w:pPr>
            <w:r>
              <w:rPr>
                <w:rFonts w:ascii="Arial" w:cs="Arial" w:eastAsia="Arial" w:hAnsi="Arial"/>
                <w:sz w:val="17"/>
                <w:szCs w:val="17"/>
                <w:color w:val="auto"/>
              </w:rPr>
              <w:t>Liabilities:</w:t>
            </w:r>
          </w:p>
        </w:tc>
        <w:tc>
          <w:tcPr>
            <w:tcW w:w="1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5"/>
        </w:trPr>
        <w:tc>
          <w:tcPr>
            <w:tcW w:w="5760" w:type="dxa"/>
            <w:vAlign w:val="bottom"/>
          </w:tcPr>
          <w:p>
            <w:pPr>
              <w:ind w:left="120"/>
              <w:spacing w:after="0"/>
              <w:rPr>
                <w:sz w:val="20"/>
                <w:szCs w:val="20"/>
                <w:color w:val="auto"/>
              </w:rPr>
            </w:pPr>
            <w:r>
              <w:rPr>
                <w:rFonts w:ascii="Arial" w:cs="Arial" w:eastAsia="Arial" w:hAnsi="Arial"/>
                <w:sz w:val="17"/>
                <w:szCs w:val="17"/>
                <w:color w:val="auto"/>
              </w:rPr>
              <w:t>Accrued expenses and other current liabilities</w:t>
            </w:r>
          </w:p>
        </w:tc>
        <w:tc>
          <w:tcPr>
            <w:tcW w:w="2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41,346</w:t>
            </w:r>
          </w:p>
        </w:tc>
        <w:tc>
          <w:tcPr>
            <w:tcW w:w="6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14,332</w:t>
            </w:r>
          </w:p>
        </w:tc>
      </w:tr>
      <w:tr>
        <w:trPr>
          <w:trHeight w:val="195"/>
        </w:trPr>
        <w:tc>
          <w:tcPr>
            <w:tcW w:w="5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 long-term liabilities</w:t>
            </w:r>
          </w:p>
        </w:tc>
        <w:tc>
          <w:tcPr>
            <w:tcW w:w="1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689</w:t>
            </w:r>
          </w:p>
        </w:tc>
        <w:tc>
          <w:tcPr>
            <w:tcW w:w="6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w:t>
            </w:r>
          </w:p>
        </w:tc>
      </w:tr>
      <w:tr>
        <w:trPr>
          <w:trHeight w:val="194"/>
        </w:trPr>
        <w:tc>
          <w:tcPr>
            <w:tcW w:w="5760" w:type="dxa"/>
            <w:vAlign w:val="bottom"/>
            <w:tcBorders>
              <w:bottom w:val="single" w:sz="8" w:color="auto"/>
            </w:tcBorders>
          </w:tcPr>
          <w:p>
            <w:pPr>
              <w:ind w:left="120"/>
              <w:spacing w:after="0" w:line="188" w:lineRule="exact"/>
              <w:rPr>
                <w:sz w:val="20"/>
                <w:szCs w:val="20"/>
                <w:color w:val="auto"/>
              </w:rPr>
            </w:pPr>
            <w:r>
              <w:rPr>
                <w:rFonts w:ascii="Arial" w:cs="Arial" w:eastAsia="Arial" w:hAnsi="Arial"/>
                <w:sz w:val="17"/>
                <w:szCs w:val="17"/>
                <w:color w:val="auto"/>
              </w:rPr>
              <w:t>Total net liabilities</w:t>
            </w:r>
          </w:p>
        </w:tc>
        <w:tc>
          <w:tcPr>
            <w:tcW w:w="2060" w:type="dxa"/>
            <w:vAlign w:val="bottom"/>
            <w:tcBorders>
              <w:bottom w:val="single" w:sz="8" w:color="auto"/>
            </w:tcBorders>
            <w:gridSpan w:val="2"/>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42,035</w:t>
            </w:r>
          </w:p>
        </w:tc>
        <w:tc>
          <w:tcPr>
            <w:tcW w:w="600" w:type="dxa"/>
            <w:vAlign w:val="bottom"/>
            <w:tcBorders>
              <w:bottom w:val="single" w:sz="8" w:color="auto"/>
            </w:tcBorders>
          </w:tcPr>
          <w:p>
            <w:pPr>
              <w:jc w:val="right"/>
              <w:ind w:right="155"/>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14,686</w:t>
            </w:r>
          </w:p>
        </w:tc>
      </w:tr>
      <w:tr>
        <w:trPr>
          <w:trHeight w:val="182"/>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Foreign Currency Contracts</w:t>
            </w:r>
          </w:p>
        </w:tc>
        <w:tc>
          <w:tcPr>
            <w:tcW w:w="17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r>
      <w:tr>
        <w:trPr>
          <w:trHeight w:val="175"/>
        </w:trPr>
        <w:tc>
          <w:tcPr>
            <w:tcW w:w="5760" w:type="dxa"/>
            <w:vAlign w:val="bottom"/>
          </w:tcPr>
          <w:p>
            <w:pPr>
              <w:ind w:left="120"/>
              <w:spacing w:after="0" w:line="175" w:lineRule="exact"/>
              <w:rPr>
                <w:sz w:val="20"/>
                <w:szCs w:val="20"/>
                <w:color w:val="auto"/>
              </w:rPr>
            </w:pPr>
            <w:r>
              <w:rPr>
                <w:rFonts w:ascii="Arial" w:cs="Arial" w:eastAsia="Arial" w:hAnsi="Arial"/>
                <w:sz w:val="17"/>
                <w:szCs w:val="17"/>
                <w:color w:val="auto"/>
              </w:rPr>
              <w:t>Assets:</w:t>
            </w: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5"/>
        </w:trPr>
        <w:tc>
          <w:tcPr>
            <w:tcW w:w="5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Short-term derivative assets, net</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9,283</w:t>
            </w:r>
          </w:p>
        </w:tc>
        <w:tc>
          <w:tcPr>
            <w:tcW w:w="6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w:t>
            </w:r>
          </w:p>
        </w:tc>
      </w:tr>
      <w:tr>
        <w:trPr>
          <w:trHeight w:val="195"/>
        </w:trPr>
        <w:tc>
          <w:tcPr>
            <w:tcW w:w="5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Identifiable intangible and other non-current assets</w:t>
            </w:r>
          </w:p>
        </w:tc>
        <w:tc>
          <w:tcPr>
            <w:tcW w:w="1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504</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4"/>
        </w:trPr>
        <w:tc>
          <w:tcPr>
            <w:tcW w:w="5760" w:type="dxa"/>
            <w:vAlign w:val="bottom"/>
            <w:tcBorders>
              <w:bottom w:val="single" w:sz="8" w:color="auto"/>
            </w:tcBorders>
            <w:shd w:val="clear" w:color="auto" w:fill="CCEEFF"/>
          </w:tcPr>
          <w:p>
            <w:pPr>
              <w:ind w:left="120"/>
              <w:spacing w:after="0" w:line="188" w:lineRule="exact"/>
              <w:rPr>
                <w:sz w:val="20"/>
                <w:szCs w:val="20"/>
                <w:color w:val="auto"/>
              </w:rPr>
            </w:pPr>
            <w:r>
              <w:rPr>
                <w:rFonts w:ascii="Arial" w:cs="Arial" w:eastAsia="Arial" w:hAnsi="Arial"/>
                <w:sz w:val="17"/>
                <w:szCs w:val="17"/>
                <w:color w:val="auto"/>
              </w:rPr>
              <w:t>Total net assets</w:t>
            </w:r>
          </w:p>
        </w:tc>
        <w:tc>
          <w:tcPr>
            <w:tcW w:w="2060" w:type="dxa"/>
            <w:vAlign w:val="bottom"/>
            <w:tcBorders>
              <w:bottom w:val="single" w:sz="8" w:color="auto"/>
            </w:tcBorders>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9,787</w:t>
            </w:r>
          </w:p>
        </w:tc>
        <w:tc>
          <w:tcPr>
            <w:tcW w:w="600" w:type="dxa"/>
            <w:vAlign w:val="bottom"/>
            <w:tcBorders>
              <w:bottom w:val="single" w:sz="8" w:color="auto"/>
            </w:tcBorders>
            <w:shd w:val="clear" w:color="auto" w:fill="CCEEFF"/>
          </w:tcPr>
          <w:p>
            <w:pPr>
              <w:jc w:val="right"/>
              <w:ind w:right="155"/>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2,136</w:t>
            </w:r>
          </w:p>
        </w:tc>
      </w:tr>
      <w:tr>
        <w:trPr>
          <w:trHeight w:val="182"/>
        </w:trPr>
        <w:tc>
          <w:tcPr>
            <w:tcW w:w="5760" w:type="dxa"/>
            <w:vAlign w:val="bottom"/>
          </w:tcPr>
          <w:p>
            <w:pPr>
              <w:ind w:left="120"/>
              <w:spacing w:after="0" w:line="182" w:lineRule="exact"/>
              <w:rPr>
                <w:sz w:val="20"/>
                <w:szCs w:val="20"/>
                <w:color w:val="auto"/>
              </w:rPr>
            </w:pPr>
            <w:r>
              <w:rPr>
                <w:rFonts w:ascii="Arial" w:cs="Arial" w:eastAsia="Arial" w:hAnsi="Arial"/>
                <w:sz w:val="17"/>
                <w:szCs w:val="17"/>
                <w:color w:val="auto"/>
              </w:rPr>
              <w:t>Liabilities:</w:t>
            </w: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5"/>
        </w:trPr>
        <w:tc>
          <w:tcPr>
            <w:tcW w:w="5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expenses and other current liabilities</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r>
      <w:tr>
        <w:trPr>
          <w:trHeight w:val="195"/>
        </w:trPr>
        <w:tc>
          <w:tcPr>
            <w:tcW w:w="5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 long-term liabilities</w:t>
            </w:r>
          </w:p>
        </w:tc>
        <w:tc>
          <w:tcPr>
            <w:tcW w:w="1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r>
      <w:tr>
        <w:trPr>
          <w:trHeight w:val="194"/>
        </w:trPr>
        <w:tc>
          <w:tcPr>
            <w:tcW w:w="5760" w:type="dxa"/>
            <w:vAlign w:val="bottom"/>
            <w:tcBorders>
              <w:bottom w:val="single" w:sz="8" w:color="auto"/>
            </w:tcBorders>
            <w:shd w:val="clear" w:color="auto" w:fill="CCEEFF"/>
          </w:tcPr>
          <w:p>
            <w:pPr>
              <w:ind w:left="120"/>
              <w:spacing w:after="0" w:line="188" w:lineRule="exact"/>
              <w:rPr>
                <w:sz w:val="20"/>
                <w:szCs w:val="20"/>
                <w:color w:val="auto"/>
              </w:rPr>
            </w:pPr>
            <w:r>
              <w:rPr>
                <w:rFonts w:ascii="Arial" w:cs="Arial" w:eastAsia="Arial" w:hAnsi="Arial"/>
                <w:sz w:val="17"/>
                <w:szCs w:val="17"/>
                <w:color w:val="auto"/>
              </w:rPr>
              <w:t>Total net liabilities</w:t>
            </w:r>
          </w:p>
        </w:tc>
        <w:tc>
          <w:tcPr>
            <w:tcW w:w="2060" w:type="dxa"/>
            <w:vAlign w:val="bottom"/>
            <w:tcBorders>
              <w:bottom w:val="single" w:sz="8" w:color="auto"/>
            </w:tcBorders>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ind w:right="155"/>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5,453</w:t>
            </w:r>
          </w:p>
        </w:tc>
      </w:tr>
    </w:tbl>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79" w:name="page80"/>
    <w:bookmarkEnd w:id="79"/>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As of December 31, 2014, we had $301.0 million of cash collateral deposits held by financial counterparties, of which $274.3 million have been offset against the total amount of commodity fair value liabilities in the above table and the remaining $26.7 million is included in other current assets in the accompanying consolidated balance sheets. In addition, as of December 31, 2014, we have offset $46.7 million of cash collateral received from customers against the total amount of commodity fair value assets in the above table. As of December 31, 2013, we had $13.0 million of cash collateral deposits held by financial counterparties and there were no significant amounts of cash collateral that were offset against the total commodity fair value liabilities in the above table.</w:t>
      </w:r>
    </w:p>
    <w:p>
      <w:pPr>
        <w:spacing w:after="0" w:line="2"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Additionally, as of December 31, 2013, we had offset $ 4.7 million of cash collateral deposits received from customers against the total amount of commodity fair value assets in the above table.</w:t>
      </w:r>
    </w:p>
    <w:p>
      <w:pPr>
        <w:spacing w:after="0" w:line="14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presents information about our assets and liabilities that are measured at fair value on a recurring basis that utilized Level 3 inputs for the periods presented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Realized and</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44"/>
              <w:spacing w:after="0"/>
              <w:rPr>
                <w:sz w:val="20"/>
                <w:szCs w:val="20"/>
                <w:color w:val="auto"/>
              </w:rPr>
            </w:pPr>
            <w:r>
              <w:rPr>
                <w:rFonts w:ascii="Arial" w:cs="Arial" w:eastAsia="Arial" w:hAnsi="Arial"/>
                <w:sz w:val="14"/>
                <w:szCs w:val="14"/>
                <w:b w:val="1"/>
                <w:bCs w:val="1"/>
                <w:color w:val="auto"/>
                <w:w w:val="98"/>
              </w:rPr>
              <w:t>Change in Unrealized</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Location of Realized</w:t>
            </w:r>
          </w:p>
        </w:tc>
      </w:tr>
      <w:tr>
        <w:trPr>
          <w:trHeight w:val="195"/>
        </w:trPr>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6"/>
              </w:rPr>
              <w:t>Unrealized Gains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44"/>
              <w:spacing w:after="0"/>
              <w:rPr>
                <w:sz w:val="20"/>
                <w:szCs w:val="20"/>
                <w:color w:val="auto"/>
              </w:rPr>
            </w:pPr>
            <w:r>
              <w:rPr>
                <w:rFonts w:ascii="Arial" w:cs="Arial" w:eastAsia="Arial" w:hAnsi="Arial"/>
                <w:sz w:val="14"/>
                <w:szCs w:val="14"/>
                <w:b w:val="1"/>
                <w:bCs w:val="1"/>
                <w:color w:val="auto"/>
              </w:rPr>
              <w:t>Gains Relating to</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and Unrealized</w:t>
            </w:r>
          </w:p>
        </w:tc>
      </w:tr>
      <w:tr>
        <w:trPr>
          <w:trHeight w:val="195"/>
        </w:trPr>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44"/>
              <w:spacing w:after="0"/>
              <w:rPr>
                <w:sz w:val="20"/>
                <w:szCs w:val="20"/>
                <w:color w:val="auto"/>
              </w:rPr>
            </w:pPr>
            <w:r>
              <w:rPr>
                <w:rFonts w:ascii="Arial" w:cs="Arial" w:eastAsia="Arial" w:hAnsi="Arial"/>
                <w:sz w:val="14"/>
                <w:szCs w:val="14"/>
                <w:b w:val="1"/>
                <w:bCs w:val="1"/>
                <w:color w:val="auto"/>
                <w:w w:val="97"/>
              </w:rPr>
              <w:t>Assets and Liabilities</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Gains (Losses)</w:t>
            </w:r>
          </w:p>
        </w:tc>
      </w:tr>
      <w:tr>
        <w:trPr>
          <w:trHeight w:val="195"/>
        </w:trPr>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Beginning</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Included in</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Transfers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End</w:t>
            </w:r>
          </w:p>
        </w:tc>
        <w:tc>
          <w:tcPr>
            <w:tcW w:w="180" w:type="dxa"/>
            <w:vAlign w:val="bottom"/>
          </w:tcPr>
          <w:p>
            <w:pPr>
              <w:spacing w:after="0"/>
              <w:rPr>
                <w:sz w:val="16"/>
                <w:szCs w:val="16"/>
                <w:color w:val="auto"/>
              </w:rPr>
            </w:pPr>
          </w:p>
        </w:tc>
        <w:tc>
          <w:tcPr>
            <w:tcW w:w="1540" w:type="dxa"/>
            <w:vAlign w:val="bottom"/>
          </w:tcPr>
          <w:p>
            <w:pPr>
              <w:jc w:val="right"/>
              <w:ind w:right="44"/>
              <w:spacing w:after="0"/>
              <w:rPr>
                <w:sz w:val="20"/>
                <w:szCs w:val="20"/>
                <w:color w:val="auto"/>
              </w:rPr>
            </w:pPr>
            <w:r>
              <w:rPr>
                <w:rFonts w:ascii="Arial" w:cs="Arial" w:eastAsia="Arial" w:hAnsi="Arial"/>
                <w:sz w:val="14"/>
                <w:szCs w:val="14"/>
                <w:b w:val="1"/>
                <w:bCs w:val="1"/>
                <w:color w:val="auto"/>
              </w:rPr>
              <w:t>that are Held at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Included in</w:t>
            </w:r>
          </w:p>
        </w:tc>
      </w:tr>
      <w:tr>
        <w:trPr>
          <w:trHeight w:val="171"/>
        </w:trPr>
        <w:tc>
          <w:tcPr>
            <w:tcW w:w="1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Period</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Settlements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into Level 3</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Period</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End of Period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r>
      <w:tr>
        <w:trPr>
          <w:trHeight w:val="188"/>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r>
      <w:tr>
        <w:trPr>
          <w:trHeight w:val="188"/>
        </w:trPr>
        <w:tc>
          <w:tcPr>
            <w:tcW w:w="18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Assets:</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1"/>
        </w:trPr>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Commodity contracts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12,702</w:t>
            </w:r>
          </w:p>
        </w:tc>
        <w:tc>
          <w:tcPr>
            <w:tcW w:w="28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8,969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4,150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84"/>
              <w:spacing w:after="0"/>
              <w:rPr>
                <w:sz w:val="20"/>
                <w:szCs w:val="20"/>
                <w:color w:val="auto"/>
              </w:rPr>
            </w:pPr>
            <w:r>
              <w:rPr>
                <w:rFonts w:ascii="Arial" w:cs="Arial" w:eastAsia="Arial" w:hAnsi="Arial"/>
                <w:sz w:val="17"/>
                <w:szCs w:val="17"/>
                <w:color w:val="auto"/>
              </w:rPr>
              <w:t>4,150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Revenue</w:t>
            </w:r>
          </w:p>
        </w:tc>
      </w:tr>
      <w:tr>
        <w:trPr>
          <w:trHeight w:val="195"/>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1"/>
        </w:trPr>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Commodity contracts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w:t>
            </w:r>
          </w:p>
        </w:tc>
        <w:tc>
          <w:tcPr>
            <w:tcW w:w="28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44"/>
              <w:spacing w:after="0"/>
              <w:rPr>
                <w:sz w:val="20"/>
                <w:szCs w:val="20"/>
                <w:color w:val="auto"/>
              </w:rPr>
            </w:pPr>
            <w:r>
              <w:rPr>
                <w:rFonts w:ascii="Arial" w:cs="Arial" w:eastAsia="Arial" w:hAnsi="Arial"/>
                <w:sz w:val="17"/>
                <w:szCs w:val="17"/>
                <w:color w:val="auto"/>
              </w:rPr>
              <w:t>(1,353)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Cost of revenue</w:t>
            </w:r>
          </w:p>
        </w:tc>
      </w:tr>
      <w:tr>
        <w:trPr>
          <w:trHeight w:val="195"/>
        </w:trPr>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2013</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8"/>
        </w:trPr>
        <w:tc>
          <w:tcPr>
            <w:tcW w:w="1820" w:type="dxa"/>
            <w:vAlign w:val="bottom"/>
          </w:tcPr>
          <w:p>
            <w:pPr>
              <w:spacing w:after="0" w:line="188" w:lineRule="exact"/>
              <w:rPr>
                <w:sz w:val="20"/>
                <w:szCs w:val="20"/>
                <w:color w:val="auto"/>
              </w:rPr>
            </w:pPr>
            <w:r>
              <w:rPr>
                <w:rFonts w:ascii="Arial" w:cs="Arial" w:eastAsia="Arial" w:hAnsi="Arial"/>
                <w:sz w:val="17"/>
                <w:szCs w:val="17"/>
                <w:color w:val="auto"/>
              </w:rPr>
              <w:t>Liabilities: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1"/>
        </w:trPr>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Commodity contracts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Cost of revenue</w:t>
            </w:r>
          </w:p>
        </w:tc>
      </w:tr>
    </w:tbl>
    <w:p>
      <w:pPr>
        <w:spacing w:after="0" w:line="17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The nature of inputs that are considered Level 3 are model inputs. Commodity contracts categorized in Level 3 are placed there due to the significance of the unobservable model inputs to their respective fair values. The unobservable model inputs, such as basis differentials, are based on the difference between the historical prices of our prior transactions and underlying observable data as well as certain risk related to non-performance. The effect on our income before income taxes of a 10% change in the model input for non-performance risk would not be significant.</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80" w:name="page81"/>
    <w:bookmarkEnd w:id="80"/>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Business Segments, Geographic Information, and Major Customers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23"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Based on the nature of operations and quantitative thresholds pursuant to the accounting guidance on segment reporting, we have three reportable operating business segments: aviation, marine and land. Corporate expenses are allocated to the segments based on usage, where possible, or on other factors according to the nature of the activity. Please refer to Note 1 for the dates that the results of operations and related assets and liabilities of our acquisitions have been included in our operating segments. The accounting policies of the reportable operating segments are the same as those described in the Summary of Significant Accounting Policies (see Note 1).</w:t>
      </w:r>
    </w:p>
    <w:p>
      <w:pPr>
        <w:spacing w:after="0" w:line="36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Information concerning our revenue, gross profit, income from operations, depreciation and amortization and capital expenditures by segment is as follows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88"/>
        </w:trPr>
        <w:tc>
          <w:tcPr>
            <w:tcW w:w="4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r>
      <w:tr>
        <w:trPr>
          <w:trHeight w:val="188"/>
        </w:trPr>
        <w:tc>
          <w:tcPr>
            <w:tcW w:w="45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Revenue:</w:t>
            </w:r>
          </w:p>
        </w:tc>
        <w:tc>
          <w:tcPr>
            <w:tcW w:w="1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7"/>
                <w:szCs w:val="17"/>
                <w:color w:val="auto"/>
              </w:rPr>
              <w:t>Aviation segment</w:t>
            </w:r>
          </w:p>
        </w:tc>
        <w:tc>
          <w:tcPr>
            <w:tcW w:w="2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17,268,834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16,087,611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14,692,042</w:t>
            </w:r>
          </w:p>
        </w:tc>
        <w:tc>
          <w:tcPr>
            <w:tcW w:w="20" w:type="dxa"/>
            <w:vAlign w:val="bottom"/>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Marine segment</w:t>
            </w:r>
          </w:p>
        </w:tc>
        <w:tc>
          <w:tcPr>
            <w:tcW w:w="1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13,843,307</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14,790,342</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14,750,425</w:t>
            </w:r>
          </w:p>
        </w:tc>
        <w:tc>
          <w:tcPr>
            <w:tcW w:w="20" w:type="dxa"/>
            <w:vAlign w:val="bottom"/>
          </w:tcPr>
          <w:p>
            <w:pPr>
              <w:spacing w:after="0"/>
              <w:rPr>
                <w:sz w:val="16"/>
                <w:szCs w:val="16"/>
                <w:color w:val="auto"/>
              </w:rPr>
            </w:pPr>
          </w:p>
        </w:tc>
      </w:tr>
      <w:tr>
        <w:trPr>
          <w:trHeight w:val="195"/>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Land segment</w:t>
            </w:r>
          </w:p>
        </w:tc>
        <w:tc>
          <w:tcPr>
            <w:tcW w:w="1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12,274,248</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10,683,994</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9,502,871</w:t>
            </w:r>
          </w:p>
        </w:tc>
        <w:tc>
          <w:tcPr>
            <w:tcW w:w="20" w:type="dxa"/>
            <w:vAlign w:val="bottom"/>
          </w:tcPr>
          <w:p>
            <w:pPr>
              <w:spacing w:after="0"/>
              <w:rPr>
                <w:sz w:val="16"/>
                <w:szCs w:val="16"/>
                <w:color w:val="auto"/>
              </w:rPr>
            </w:pPr>
          </w:p>
        </w:tc>
      </w:tr>
      <w:tr>
        <w:trPr>
          <w:trHeight w:val="194"/>
        </w:trPr>
        <w:tc>
          <w:tcPr>
            <w:tcW w:w="45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gridSpan w:val="2"/>
            <w:shd w:val="clear" w:color="auto" w:fill="CCEEFF"/>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43,386,389</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41,561,947</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38,945,338</w:t>
            </w:r>
          </w:p>
        </w:tc>
        <w:tc>
          <w:tcPr>
            <w:tcW w:w="20" w:type="dxa"/>
            <w:vAlign w:val="bottom"/>
          </w:tcPr>
          <w:p>
            <w:pPr>
              <w:spacing w:after="0"/>
              <w:rPr>
                <w:sz w:val="16"/>
                <w:szCs w:val="16"/>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7"/>
                <w:szCs w:val="17"/>
                <w:color w:val="auto"/>
              </w:rPr>
              <w:t>Gross profit:</w:t>
            </w: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Aviation segment</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321,596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327,178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294,601</w:t>
            </w:r>
          </w:p>
        </w:tc>
        <w:tc>
          <w:tcPr>
            <w:tcW w:w="20" w:type="dxa"/>
            <w:vAlign w:val="bottom"/>
          </w:tcPr>
          <w:p>
            <w:pPr>
              <w:spacing w:after="0"/>
              <w:rPr>
                <w:sz w:val="16"/>
                <w:szCs w:val="16"/>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7"/>
                <w:szCs w:val="17"/>
                <w:color w:val="auto"/>
              </w:rPr>
              <w:t>Marine segment</w:t>
            </w: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205,612</w:t>
            </w:r>
          </w:p>
        </w:tc>
        <w:tc>
          <w:tcPr>
            <w:tcW w:w="28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177,052</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208,028</w:t>
            </w:r>
          </w:p>
        </w:tc>
        <w:tc>
          <w:tcPr>
            <w:tcW w:w="20" w:type="dxa"/>
            <w:vAlign w:val="bottom"/>
          </w:tcPr>
          <w:p>
            <w:pPr>
              <w:spacing w:after="0"/>
              <w:rPr>
                <w:sz w:val="16"/>
                <w:szCs w:val="16"/>
                <w:color w:val="auto"/>
              </w:rPr>
            </w:pPr>
          </w:p>
        </w:tc>
      </w:tr>
      <w:tr>
        <w:trPr>
          <w:trHeight w:val="195"/>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Land segment</w:t>
            </w:r>
          </w:p>
        </w:tc>
        <w:tc>
          <w:tcPr>
            <w:tcW w:w="19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286,414</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248,528</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170,818</w:t>
            </w:r>
          </w:p>
        </w:tc>
        <w:tc>
          <w:tcPr>
            <w:tcW w:w="20" w:type="dxa"/>
            <w:vAlign w:val="bottom"/>
          </w:tcPr>
          <w:p>
            <w:pPr>
              <w:spacing w:after="0"/>
              <w:rPr>
                <w:sz w:val="16"/>
                <w:szCs w:val="16"/>
                <w:color w:val="auto"/>
              </w:rPr>
            </w:pPr>
          </w:p>
        </w:tc>
      </w:tr>
      <w:tr>
        <w:trPr>
          <w:trHeight w:val="194"/>
        </w:trPr>
        <w:tc>
          <w:tcPr>
            <w:tcW w:w="45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813,622</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752,758</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673,447</w:t>
            </w:r>
          </w:p>
        </w:tc>
        <w:tc>
          <w:tcPr>
            <w:tcW w:w="20" w:type="dxa"/>
            <w:vAlign w:val="bottom"/>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7"/>
                <w:szCs w:val="17"/>
                <w:color w:val="auto"/>
              </w:rPr>
              <w:t>Aviation segment</w:t>
            </w:r>
          </w:p>
        </w:tc>
        <w:tc>
          <w:tcPr>
            <w:tcW w:w="2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142,303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150,886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128,153</w:t>
            </w:r>
          </w:p>
        </w:tc>
        <w:tc>
          <w:tcPr>
            <w:tcW w:w="20" w:type="dxa"/>
            <w:vAlign w:val="bottom"/>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Marine segment</w:t>
            </w:r>
          </w:p>
        </w:tc>
        <w:tc>
          <w:tcPr>
            <w:tcW w:w="1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90,029</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73,770</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103,229</w:t>
            </w:r>
          </w:p>
        </w:tc>
        <w:tc>
          <w:tcPr>
            <w:tcW w:w="20" w:type="dxa"/>
            <w:vAlign w:val="bottom"/>
          </w:tcPr>
          <w:p>
            <w:pPr>
              <w:spacing w:after="0"/>
              <w:rPr>
                <w:sz w:val="16"/>
                <w:szCs w:val="16"/>
                <w:color w:val="auto"/>
              </w:rPr>
            </w:pPr>
          </w:p>
        </w:tc>
      </w:tr>
      <w:tr>
        <w:trPr>
          <w:trHeight w:val="195"/>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Land segment</w:t>
            </w:r>
          </w:p>
        </w:tc>
        <w:tc>
          <w:tcPr>
            <w:tcW w:w="1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90,335</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84,767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75,291</w:t>
            </w:r>
          </w:p>
        </w:tc>
        <w:tc>
          <w:tcPr>
            <w:tcW w:w="20" w:type="dxa"/>
            <w:vAlign w:val="bottom"/>
          </w:tcPr>
          <w:p>
            <w:pPr>
              <w:spacing w:after="0"/>
              <w:rPr>
                <w:sz w:val="16"/>
                <w:szCs w:val="16"/>
                <w:color w:val="auto"/>
              </w:rPr>
            </w:pPr>
          </w:p>
        </w:tc>
      </w:tr>
      <w:tr>
        <w:trPr>
          <w:trHeight w:val="188"/>
        </w:trPr>
        <w:tc>
          <w:tcPr>
            <w:tcW w:w="45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322,667</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309,423</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306,673</w:t>
            </w:r>
          </w:p>
        </w:tc>
        <w:tc>
          <w:tcPr>
            <w:tcW w:w="20" w:type="dxa"/>
            <w:vAlign w:val="bottom"/>
          </w:tcPr>
          <w:p>
            <w:pPr>
              <w:spacing w:after="0"/>
              <w:rPr>
                <w:sz w:val="16"/>
                <w:szCs w:val="16"/>
                <w:color w:val="auto"/>
              </w:rPr>
            </w:pPr>
          </w:p>
        </w:tc>
      </w:tr>
      <w:tr>
        <w:trPr>
          <w:trHeight w:val="195"/>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 overhead – unallocated</w:t>
            </w:r>
          </w:p>
        </w:tc>
        <w:tc>
          <w:tcPr>
            <w:tcW w:w="1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53,519</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45,065</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49,650</w:t>
            </w:r>
          </w:p>
        </w:tc>
        <w:tc>
          <w:tcPr>
            <w:tcW w:w="20" w:type="dxa"/>
            <w:vAlign w:val="bottom"/>
          </w:tcPr>
          <w:p>
            <w:pPr>
              <w:spacing w:after="0"/>
              <w:rPr>
                <w:sz w:val="16"/>
                <w:szCs w:val="16"/>
                <w:color w:val="auto"/>
              </w:rPr>
            </w:pPr>
          </w:p>
        </w:tc>
      </w:tr>
      <w:tr>
        <w:trPr>
          <w:trHeight w:val="194"/>
        </w:trPr>
        <w:tc>
          <w:tcPr>
            <w:tcW w:w="45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gridSpan w:val="2"/>
            <w:shd w:val="clear" w:color="auto" w:fill="CCEEFF"/>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269,148</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264,358</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257,023</w:t>
            </w:r>
          </w:p>
        </w:tc>
        <w:tc>
          <w:tcPr>
            <w:tcW w:w="20" w:type="dxa"/>
            <w:vAlign w:val="bottom"/>
          </w:tcPr>
          <w:p>
            <w:pPr>
              <w:spacing w:after="0"/>
              <w:rPr>
                <w:sz w:val="16"/>
                <w:szCs w:val="16"/>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Aviation segment, includes allocation from corporate</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15,419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15,854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17,381</w:t>
            </w:r>
          </w:p>
        </w:tc>
        <w:tc>
          <w:tcPr>
            <w:tcW w:w="20" w:type="dxa"/>
            <w:vAlign w:val="bottom"/>
          </w:tcPr>
          <w:p>
            <w:pPr>
              <w:spacing w:after="0"/>
              <w:rPr>
                <w:sz w:val="16"/>
                <w:szCs w:val="16"/>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7"/>
                <w:szCs w:val="17"/>
                <w:color w:val="auto"/>
              </w:rPr>
              <w:t>Marine segment, includes allocation from corporate</w:t>
            </w: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5,559</w:t>
            </w:r>
          </w:p>
        </w:tc>
        <w:tc>
          <w:tcPr>
            <w:tcW w:w="28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5,362</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5,387</w:t>
            </w:r>
          </w:p>
        </w:tc>
        <w:tc>
          <w:tcPr>
            <w:tcW w:w="20" w:type="dxa"/>
            <w:vAlign w:val="bottom"/>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Land segment, includes allocation from corporate</w:t>
            </w:r>
          </w:p>
        </w:tc>
        <w:tc>
          <w:tcPr>
            <w:tcW w:w="1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34,684</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20,861</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10,406</w:t>
            </w:r>
          </w:p>
        </w:tc>
        <w:tc>
          <w:tcPr>
            <w:tcW w:w="20" w:type="dxa"/>
            <w:vAlign w:val="bottom"/>
          </w:tcPr>
          <w:p>
            <w:pPr>
              <w:spacing w:after="0"/>
              <w:rPr>
                <w:sz w:val="16"/>
                <w:szCs w:val="16"/>
                <w:color w:val="auto"/>
              </w:rPr>
            </w:pPr>
          </w:p>
        </w:tc>
      </w:tr>
      <w:tr>
        <w:trPr>
          <w:trHeight w:val="195"/>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w:t>
            </w:r>
          </w:p>
        </w:tc>
        <w:tc>
          <w:tcPr>
            <w:tcW w:w="1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3,737</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2,633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3,540</w:t>
            </w:r>
          </w:p>
        </w:tc>
        <w:tc>
          <w:tcPr>
            <w:tcW w:w="20" w:type="dxa"/>
            <w:vAlign w:val="bottom"/>
          </w:tcPr>
          <w:p>
            <w:pPr>
              <w:spacing w:after="0"/>
              <w:rPr>
                <w:sz w:val="16"/>
                <w:szCs w:val="16"/>
                <w:color w:val="auto"/>
              </w:rPr>
            </w:pPr>
          </w:p>
        </w:tc>
      </w:tr>
      <w:tr>
        <w:trPr>
          <w:trHeight w:val="194"/>
        </w:trPr>
        <w:tc>
          <w:tcPr>
            <w:tcW w:w="45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gridSpan w:val="2"/>
            <w:shd w:val="clear" w:color="auto" w:fill="CCEEFF"/>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59,399</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44,710</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36,714</w:t>
            </w:r>
          </w:p>
        </w:tc>
        <w:tc>
          <w:tcPr>
            <w:tcW w:w="20" w:type="dxa"/>
            <w:vAlign w:val="bottom"/>
          </w:tcPr>
          <w:p>
            <w:pPr>
              <w:spacing w:after="0"/>
              <w:rPr>
                <w:sz w:val="16"/>
                <w:szCs w:val="16"/>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7"/>
                <w:szCs w:val="17"/>
                <w:color w:val="auto"/>
              </w:rPr>
              <w:t>Capital expenditures:</w:t>
            </w: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Aviation segment</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9,017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5,737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4,713</w:t>
            </w:r>
          </w:p>
        </w:tc>
        <w:tc>
          <w:tcPr>
            <w:tcW w:w="20" w:type="dxa"/>
            <w:vAlign w:val="bottom"/>
          </w:tcPr>
          <w:p>
            <w:pPr>
              <w:spacing w:after="0"/>
              <w:rPr>
                <w:sz w:val="16"/>
                <w:szCs w:val="16"/>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7"/>
                <w:szCs w:val="17"/>
                <w:color w:val="auto"/>
              </w:rPr>
              <w:t>Marine segment</w:t>
            </w: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13,854</w:t>
            </w:r>
          </w:p>
        </w:tc>
        <w:tc>
          <w:tcPr>
            <w:tcW w:w="28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17,326</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8,981</w:t>
            </w:r>
          </w:p>
        </w:tc>
        <w:tc>
          <w:tcPr>
            <w:tcW w:w="20" w:type="dxa"/>
            <w:vAlign w:val="bottom"/>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Land segment</w:t>
            </w:r>
          </w:p>
        </w:tc>
        <w:tc>
          <w:tcPr>
            <w:tcW w:w="1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15,962</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54,360</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7,243</w:t>
            </w:r>
          </w:p>
        </w:tc>
        <w:tc>
          <w:tcPr>
            <w:tcW w:w="20" w:type="dxa"/>
            <w:vAlign w:val="bottom"/>
          </w:tcPr>
          <w:p>
            <w:pPr>
              <w:spacing w:after="0"/>
              <w:rPr>
                <w:sz w:val="16"/>
                <w:szCs w:val="16"/>
                <w:color w:val="auto"/>
              </w:rPr>
            </w:pPr>
          </w:p>
        </w:tc>
      </w:tr>
      <w:tr>
        <w:trPr>
          <w:trHeight w:val="195"/>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w:t>
            </w:r>
          </w:p>
        </w:tc>
        <w:tc>
          <w:tcPr>
            <w:tcW w:w="1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12,948</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5,293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c>
          <w:tcPr>
            <w:tcW w:w="20" w:type="dxa"/>
            <w:vAlign w:val="bottom"/>
          </w:tcPr>
          <w:p>
            <w:pPr>
              <w:spacing w:after="0"/>
              <w:rPr>
                <w:sz w:val="16"/>
                <w:szCs w:val="16"/>
                <w:color w:val="auto"/>
              </w:rPr>
            </w:pPr>
          </w:p>
        </w:tc>
      </w:tr>
      <w:tr>
        <w:trPr>
          <w:trHeight w:val="194"/>
        </w:trPr>
        <w:tc>
          <w:tcPr>
            <w:tcW w:w="45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gridSpan w:val="2"/>
            <w:shd w:val="clear" w:color="auto" w:fill="CCEEFF"/>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51,781</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5"/>
              <w:spacing w:after="0" w:line="188" w:lineRule="exact"/>
              <w:rPr>
                <w:sz w:val="20"/>
                <w:szCs w:val="20"/>
                <w:color w:val="auto"/>
              </w:rPr>
            </w:pPr>
            <w:r>
              <w:rPr>
                <w:rFonts w:ascii="Arial" w:cs="Arial" w:eastAsia="Arial" w:hAnsi="Arial"/>
                <w:sz w:val="17"/>
                <w:szCs w:val="17"/>
                <w:color w:val="auto"/>
              </w:rPr>
              <w:t>82,716</w:t>
            </w:r>
          </w:p>
        </w:tc>
        <w:tc>
          <w:tcPr>
            <w:tcW w:w="28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28,454</w:t>
            </w:r>
          </w:p>
        </w:tc>
        <w:tc>
          <w:tcPr>
            <w:tcW w:w="20" w:type="dxa"/>
            <w:vAlign w:val="bottom"/>
          </w:tcPr>
          <w:p>
            <w:pPr>
              <w:spacing w:after="0"/>
              <w:rPr>
                <w:sz w:val="16"/>
                <w:szCs w:val="16"/>
                <w:color w:val="auto"/>
              </w:rPr>
            </w:pPr>
          </w:p>
        </w:tc>
      </w:tr>
      <w:tr>
        <w:trPr>
          <w:trHeight w:val="614"/>
        </w:trPr>
        <w:tc>
          <w:tcPr>
            <w:tcW w:w="4500" w:type="dxa"/>
            <w:vAlign w:val="bottom"/>
          </w:tcPr>
          <w:p>
            <w:pPr>
              <w:spacing w:after="0"/>
              <w:rPr>
                <w:sz w:val="24"/>
                <w:szCs w:val="24"/>
                <w:color w:val="auto"/>
              </w:rPr>
            </w:pPr>
          </w:p>
        </w:tc>
        <w:tc>
          <w:tcPr>
            <w:tcW w:w="1940" w:type="dxa"/>
            <w:vAlign w:val="bottom"/>
          </w:tcPr>
          <w:p>
            <w:pPr>
              <w:jc w:val="right"/>
              <w:ind w:right="1154"/>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50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50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81" w:name="page82"/>
    <w:bookmarkEnd w:id="81"/>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Information concerning our accounts receivable, net, goodwill, identifiable intangible assets, net and total assets by segment is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7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88"/>
        </w:trPr>
        <w:tc>
          <w:tcPr>
            <w:tcW w:w="73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Accounts receivable, net: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2"/>
        </w:trPr>
        <w:tc>
          <w:tcPr>
            <w:tcW w:w="7320" w:type="dxa"/>
            <w:vAlign w:val="bottom"/>
          </w:tcPr>
          <w:p>
            <w:pPr>
              <w:spacing w:after="0" w:line="172" w:lineRule="exact"/>
              <w:rPr>
                <w:sz w:val="20"/>
                <w:szCs w:val="20"/>
                <w:color w:val="auto"/>
              </w:rPr>
            </w:pPr>
            <w:r>
              <w:rPr>
                <w:rFonts w:ascii="Arial" w:cs="Arial" w:eastAsia="Arial" w:hAnsi="Arial"/>
                <w:sz w:val="17"/>
                <w:szCs w:val="17"/>
                <w:color w:val="auto"/>
              </w:rPr>
              <w:t>Aviation segment, net of allowance for bad debt of $7,864 and $9,351 as of December 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7"/>
        </w:trPr>
        <w:tc>
          <w:tcPr>
            <w:tcW w:w="7320" w:type="dxa"/>
            <w:vAlign w:val="bottom"/>
          </w:tcPr>
          <w:p>
            <w:pPr>
              <w:ind w:left="140"/>
              <w:spacing w:after="0"/>
              <w:rPr>
                <w:sz w:val="20"/>
                <w:szCs w:val="20"/>
                <w:color w:val="auto"/>
              </w:rPr>
            </w:pPr>
            <w:r>
              <w:rPr>
                <w:rFonts w:ascii="Arial" w:cs="Arial" w:eastAsia="Arial" w:hAnsi="Arial"/>
                <w:sz w:val="17"/>
                <w:szCs w:val="17"/>
                <w:color w:val="auto"/>
              </w:rPr>
              <w:t>2014 and 2013, respectively</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686,496</w:t>
            </w: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771,178</w:t>
            </w:r>
          </w:p>
        </w:tc>
      </w:tr>
      <w:tr>
        <w:trPr>
          <w:trHeight w:val="172"/>
        </w:trPr>
        <w:tc>
          <w:tcPr>
            <w:tcW w:w="732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Marine segment, net of allowance for bad debt of $8,434 and $9,845 as of December 31,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7"/>
        </w:trPr>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2014 and 2013, respectively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974,041</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1,205,005</w:t>
            </w:r>
          </w:p>
        </w:tc>
      </w:tr>
      <w:tr>
        <w:trPr>
          <w:trHeight w:val="172"/>
        </w:trPr>
        <w:tc>
          <w:tcPr>
            <w:tcW w:w="7320" w:type="dxa"/>
            <w:vAlign w:val="bottom"/>
          </w:tcPr>
          <w:p>
            <w:pPr>
              <w:spacing w:after="0" w:line="172" w:lineRule="exact"/>
              <w:rPr>
                <w:sz w:val="20"/>
                <w:szCs w:val="20"/>
                <w:color w:val="auto"/>
              </w:rPr>
            </w:pPr>
            <w:r>
              <w:rPr>
                <w:rFonts w:ascii="Arial" w:cs="Arial" w:eastAsia="Arial" w:hAnsi="Arial"/>
                <w:sz w:val="17"/>
                <w:szCs w:val="17"/>
                <w:color w:val="auto"/>
              </w:rPr>
              <w:t>Land segment, net of allowance for bad debt of $9,394 and $9,992 as of December 31, 2014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7"/>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and 2013, respectively</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647,315</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562,459</w:t>
            </w:r>
          </w:p>
        </w:tc>
      </w:tr>
      <w:tr>
        <w:trPr>
          <w:trHeight w:val="194"/>
        </w:trPr>
        <w:tc>
          <w:tcPr>
            <w:tcW w:w="7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2,307,852</w:t>
            </w:r>
          </w:p>
        </w:tc>
        <w:tc>
          <w:tcPr>
            <w:tcW w:w="480" w:type="dxa"/>
            <w:vAlign w:val="bottom"/>
            <w:tcBorders>
              <w:bottom w:val="single" w:sz="8" w:color="auto"/>
            </w:tcBorders>
            <w:shd w:val="clear" w:color="auto" w:fill="CCEEFF"/>
          </w:tcPr>
          <w:p>
            <w:pPr>
              <w:jc w:val="right"/>
              <w:ind w:right="35"/>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2,538,642</w:t>
            </w:r>
          </w:p>
        </w:tc>
      </w:tr>
      <w:tr>
        <w:trPr>
          <w:trHeight w:val="195"/>
        </w:trPr>
        <w:tc>
          <w:tcPr>
            <w:tcW w:w="7320" w:type="dxa"/>
            <w:vAlign w:val="bottom"/>
          </w:tcPr>
          <w:p>
            <w:pPr>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Aviation segment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178,143</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115,507</w:t>
            </w:r>
          </w:p>
        </w:tc>
      </w:tr>
      <w:tr>
        <w:trPr>
          <w:trHeight w:val="195"/>
        </w:trPr>
        <w:tc>
          <w:tcPr>
            <w:tcW w:w="7320" w:type="dxa"/>
            <w:vAlign w:val="bottom"/>
          </w:tcPr>
          <w:p>
            <w:pPr>
              <w:spacing w:after="0"/>
              <w:rPr>
                <w:sz w:val="20"/>
                <w:szCs w:val="20"/>
                <w:color w:val="auto"/>
              </w:rPr>
            </w:pPr>
            <w:r>
              <w:rPr>
                <w:rFonts w:ascii="Arial" w:cs="Arial" w:eastAsia="Arial" w:hAnsi="Arial"/>
                <w:sz w:val="17"/>
                <w:szCs w:val="17"/>
                <w:color w:val="auto"/>
              </w:rPr>
              <w:t>Marine segment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73,068</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69,088</w:t>
            </w:r>
          </w:p>
        </w:tc>
      </w:tr>
      <w:tr>
        <w:trPr>
          <w:trHeight w:val="195"/>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Land segment</w:t>
            </w:r>
          </w:p>
        </w:tc>
        <w:tc>
          <w:tcPr>
            <w:tcW w:w="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404,867</w:t>
            </w:r>
          </w:p>
        </w:tc>
        <w:tc>
          <w:tcPr>
            <w:tcW w:w="4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298,996</w:t>
            </w:r>
          </w:p>
        </w:tc>
      </w:tr>
      <w:tr>
        <w:trPr>
          <w:trHeight w:val="194"/>
        </w:trPr>
        <w:tc>
          <w:tcPr>
            <w:tcW w:w="7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4"/>
              <w:spacing w:after="0" w:line="188" w:lineRule="exact"/>
              <w:rPr>
                <w:sz w:val="20"/>
                <w:szCs w:val="20"/>
                <w:color w:val="auto"/>
              </w:rPr>
            </w:pPr>
            <w:r>
              <w:rPr>
                <w:rFonts w:ascii="Arial" w:cs="Arial" w:eastAsia="Arial" w:hAnsi="Arial"/>
                <w:sz w:val="17"/>
                <w:szCs w:val="17"/>
                <w:color w:val="auto"/>
              </w:rPr>
              <w:t>656,078</w:t>
            </w:r>
          </w:p>
        </w:tc>
        <w:tc>
          <w:tcPr>
            <w:tcW w:w="480" w:type="dxa"/>
            <w:vAlign w:val="bottom"/>
            <w:tcBorders>
              <w:bottom w:val="single" w:sz="8" w:color="auto"/>
            </w:tcBorders>
          </w:tcPr>
          <w:p>
            <w:pPr>
              <w:jc w:val="right"/>
              <w:ind w:right="35"/>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483,591</w:t>
            </w:r>
          </w:p>
        </w:tc>
      </w:tr>
      <w:tr>
        <w:trPr>
          <w:trHeight w:val="19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Identifiable intangible assets, net: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320" w:type="dxa"/>
            <w:vAlign w:val="bottom"/>
          </w:tcPr>
          <w:p>
            <w:pPr>
              <w:spacing w:after="0"/>
              <w:rPr>
                <w:sz w:val="20"/>
                <w:szCs w:val="20"/>
                <w:color w:val="auto"/>
              </w:rPr>
            </w:pPr>
            <w:r>
              <w:rPr>
                <w:rFonts w:ascii="Arial" w:cs="Arial" w:eastAsia="Arial" w:hAnsi="Arial"/>
                <w:sz w:val="17"/>
                <w:szCs w:val="17"/>
                <w:color w:val="auto"/>
              </w:rPr>
              <w:t>Aviation segment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67,142</w:t>
            </w: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31,632</w:t>
            </w:r>
          </w:p>
        </w:tc>
      </w:tr>
      <w:tr>
        <w:trPr>
          <w:trHeight w:val="19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Marine segment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7,196</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5,730</w:t>
            </w:r>
          </w:p>
        </w:tc>
      </w:tr>
      <w:tr>
        <w:trPr>
          <w:trHeight w:val="195"/>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Land segment</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139,253</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129,840</w:t>
            </w:r>
          </w:p>
        </w:tc>
      </w:tr>
      <w:tr>
        <w:trPr>
          <w:trHeight w:val="194"/>
        </w:trPr>
        <w:tc>
          <w:tcPr>
            <w:tcW w:w="7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213,591</w:t>
            </w:r>
          </w:p>
        </w:tc>
        <w:tc>
          <w:tcPr>
            <w:tcW w:w="480" w:type="dxa"/>
            <w:vAlign w:val="bottom"/>
            <w:tcBorders>
              <w:bottom w:val="single" w:sz="8" w:color="auto"/>
            </w:tcBorders>
            <w:shd w:val="clear" w:color="auto" w:fill="CCEEFF"/>
          </w:tcPr>
          <w:p>
            <w:pPr>
              <w:jc w:val="right"/>
              <w:ind w:right="35"/>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167,202</w:t>
            </w:r>
          </w:p>
        </w:tc>
      </w:tr>
      <w:tr>
        <w:trPr>
          <w:trHeight w:val="195"/>
        </w:trPr>
        <w:tc>
          <w:tcPr>
            <w:tcW w:w="7320" w:type="dxa"/>
            <w:vAlign w:val="bottom"/>
          </w:tcPr>
          <w:p>
            <w:pPr>
              <w:spacing w:after="0"/>
              <w:rPr>
                <w:sz w:val="20"/>
                <w:szCs w:val="20"/>
                <w:color w:val="auto"/>
              </w:rPr>
            </w:pPr>
            <w:r>
              <w:rPr>
                <w:rFonts w:ascii="Arial" w:cs="Arial" w:eastAsia="Arial" w:hAnsi="Arial"/>
                <w:sz w:val="17"/>
                <w:szCs w:val="17"/>
                <w:color w:val="auto"/>
              </w:rPr>
              <w:t>Total assets: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Aviation segment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1,635,371</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1,686,437</w:t>
            </w:r>
          </w:p>
        </w:tc>
      </w:tr>
      <w:tr>
        <w:trPr>
          <w:trHeight w:val="195"/>
        </w:trPr>
        <w:tc>
          <w:tcPr>
            <w:tcW w:w="7320" w:type="dxa"/>
            <w:vAlign w:val="bottom"/>
          </w:tcPr>
          <w:p>
            <w:pPr>
              <w:spacing w:after="0"/>
              <w:rPr>
                <w:sz w:val="20"/>
                <w:szCs w:val="20"/>
                <w:color w:val="auto"/>
              </w:rPr>
            </w:pPr>
            <w:r>
              <w:rPr>
                <w:rFonts w:ascii="Arial" w:cs="Arial" w:eastAsia="Arial" w:hAnsi="Arial"/>
                <w:sz w:val="17"/>
                <w:szCs w:val="17"/>
                <w:color w:val="auto"/>
              </w:rPr>
              <w:t>Marine segment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1,483,077</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1,536,817</w:t>
            </w:r>
          </w:p>
        </w:tc>
      </w:tr>
      <w:tr>
        <w:trPr>
          <w:trHeight w:val="19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Land segment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1,570,623</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1,304,436</w:t>
            </w:r>
          </w:p>
        </w:tc>
      </w:tr>
      <w:tr>
        <w:trPr>
          <w:trHeight w:val="195"/>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190,909</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211,587</w:t>
            </w:r>
          </w:p>
        </w:tc>
      </w:tr>
      <w:tr>
        <w:trPr>
          <w:trHeight w:val="194"/>
        </w:trPr>
        <w:tc>
          <w:tcPr>
            <w:tcW w:w="7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4,879,980</w:t>
            </w:r>
          </w:p>
        </w:tc>
        <w:tc>
          <w:tcPr>
            <w:tcW w:w="480" w:type="dxa"/>
            <w:vAlign w:val="bottom"/>
            <w:tcBorders>
              <w:bottom w:val="single" w:sz="8" w:color="auto"/>
            </w:tcBorders>
            <w:shd w:val="clear" w:color="auto" w:fill="CCEEFF"/>
          </w:tcPr>
          <w:p>
            <w:pPr>
              <w:jc w:val="right"/>
              <w:ind w:right="35"/>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4,739,277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Information</w:t>
      </w:r>
    </w:p>
    <w:p>
      <w:pPr>
        <w:spacing w:after="0" w:line="19" w:lineRule="exact"/>
        <w:rPr>
          <w:sz w:val="20"/>
          <w:szCs w:val="20"/>
          <w:color w:val="auto"/>
        </w:rPr>
      </w:pPr>
    </w:p>
    <w:p>
      <w:pPr>
        <w:jc w:val="both"/>
        <w:ind w:right="20"/>
        <w:spacing w:after="0" w:line="202" w:lineRule="exact"/>
        <w:rPr>
          <w:sz w:val="20"/>
          <w:szCs w:val="20"/>
          <w:color w:val="auto"/>
        </w:rPr>
      </w:pPr>
      <w:r>
        <w:rPr>
          <w:rFonts w:ascii="Arial" w:cs="Arial" w:eastAsia="Arial" w:hAnsi="Arial"/>
          <w:sz w:val="17"/>
          <w:szCs w:val="17"/>
          <w:color w:val="auto"/>
        </w:rPr>
        <w:t>Information concerning our revenue, income from operations, non</w:t>
      </w:r>
      <w:r>
        <w:rPr>
          <w:rFonts w:ascii="MS PGothic" w:cs="MS PGothic" w:eastAsia="MS PGothic" w:hAnsi="MS PGothic"/>
          <w:sz w:val="17"/>
          <w:szCs w:val="17"/>
          <w:color w:val="auto"/>
        </w:rPr>
        <w:t>‑</w:t>
      </w:r>
      <w:r>
        <w:rPr>
          <w:rFonts w:ascii="Arial" w:cs="Arial" w:eastAsia="Arial" w:hAnsi="Arial"/>
          <w:sz w:val="17"/>
          <w:szCs w:val="17"/>
          <w:color w:val="auto"/>
        </w:rPr>
        <w:t>current assets and total assets, as segregated between the Americas, EMEA (Europe, Middle East and Africa) and the Asia/Pacific regions, is presented as follows, based on the country of incorporation of the relevant subsidiary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88"/>
        </w:trPr>
        <w:tc>
          <w:tcPr>
            <w:tcW w:w="38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r>
      <w:tr>
        <w:trPr>
          <w:trHeight w:val="188"/>
        </w:trPr>
        <w:tc>
          <w:tcPr>
            <w:tcW w:w="38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Revenue:</w:t>
            </w:r>
          </w:p>
        </w:tc>
        <w:tc>
          <w:tcPr>
            <w:tcW w:w="2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3820" w:type="dxa"/>
            <w:vAlign w:val="bottom"/>
          </w:tcPr>
          <w:p>
            <w:pPr>
              <w:spacing w:after="0"/>
              <w:rPr>
                <w:sz w:val="20"/>
                <w:szCs w:val="20"/>
                <w:color w:val="auto"/>
              </w:rPr>
            </w:pPr>
            <w:r>
              <w:rPr>
                <w:rFonts w:ascii="Arial" w:cs="Arial" w:eastAsia="Arial" w:hAnsi="Arial"/>
                <w:sz w:val="17"/>
                <w:szCs w:val="17"/>
                <w:color w:val="auto"/>
              </w:rPr>
              <w:t>United States</w:t>
            </w:r>
          </w:p>
        </w:tc>
        <w:tc>
          <w:tcPr>
            <w:tcW w:w="2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21,514,304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21,149,175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20,216,891</w:t>
            </w:r>
          </w:p>
        </w:tc>
        <w:tc>
          <w:tcPr>
            <w:tcW w:w="20" w:type="dxa"/>
            <w:vAlign w:val="bottom"/>
          </w:tcPr>
          <w:p>
            <w:pPr>
              <w:spacing w:after="0"/>
              <w:rPr>
                <w:sz w:val="16"/>
                <w:szCs w:val="16"/>
                <w:color w:val="auto"/>
              </w:rPr>
            </w:pPr>
          </w:p>
        </w:tc>
      </w:tr>
      <w:tr>
        <w:trPr>
          <w:trHeight w:val="195"/>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EMEA (1)</w:t>
            </w:r>
          </w:p>
        </w:tc>
        <w:tc>
          <w:tcPr>
            <w:tcW w:w="2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8,612,751</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7,017,479</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7,247,754</w:t>
            </w:r>
          </w:p>
        </w:tc>
        <w:tc>
          <w:tcPr>
            <w:tcW w:w="20" w:type="dxa"/>
            <w:vAlign w:val="bottom"/>
          </w:tcPr>
          <w:p>
            <w:pPr>
              <w:spacing w:after="0"/>
              <w:rPr>
                <w:sz w:val="16"/>
                <w:szCs w:val="16"/>
                <w:color w:val="auto"/>
              </w:rPr>
            </w:pPr>
          </w:p>
        </w:tc>
      </w:tr>
      <w:tr>
        <w:trPr>
          <w:trHeight w:val="195"/>
        </w:trPr>
        <w:tc>
          <w:tcPr>
            <w:tcW w:w="3820" w:type="dxa"/>
            <w:vAlign w:val="bottom"/>
          </w:tcPr>
          <w:p>
            <w:pPr>
              <w:spacing w:after="0"/>
              <w:rPr>
                <w:sz w:val="20"/>
                <w:szCs w:val="20"/>
                <w:color w:val="auto"/>
              </w:rPr>
            </w:pPr>
            <w:r>
              <w:rPr>
                <w:rFonts w:ascii="Arial" w:cs="Arial" w:eastAsia="Arial" w:hAnsi="Arial"/>
                <w:sz w:val="17"/>
                <w:szCs w:val="17"/>
                <w:color w:val="auto"/>
              </w:rPr>
              <w:t>Asia/Pacific (2)</w:t>
            </w: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9,844,682</w:t>
            </w:r>
          </w:p>
        </w:tc>
        <w:tc>
          <w:tcPr>
            <w:tcW w:w="28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10,215,412</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8,404,324</w:t>
            </w:r>
          </w:p>
        </w:tc>
        <w:tc>
          <w:tcPr>
            <w:tcW w:w="20" w:type="dxa"/>
            <w:vAlign w:val="bottom"/>
          </w:tcPr>
          <w:p>
            <w:pPr>
              <w:spacing w:after="0"/>
              <w:rPr>
                <w:sz w:val="16"/>
                <w:szCs w:val="16"/>
                <w:color w:val="auto"/>
              </w:rPr>
            </w:pPr>
          </w:p>
        </w:tc>
      </w:tr>
      <w:tr>
        <w:trPr>
          <w:trHeight w:val="195"/>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Americas, excluding United States</w:t>
            </w:r>
          </w:p>
        </w:tc>
        <w:tc>
          <w:tcPr>
            <w:tcW w:w="26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3,414,652</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3,179,881</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3,076,369</w:t>
            </w:r>
          </w:p>
        </w:tc>
        <w:tc>
          <w:tcPr>
            <w:tcW w:w="20" w:type="dxa"/>
            <w:vAlign w:val="bottom"/>
          </w:tcPr>
          <w:p>
            <w:pPr>
              <w:spacing w:after="0"/>
              <w:rPr>
                <w:sz w:val="16"/>
                <w:szCs w:val="16"/>
                <w:color w:val="auto"/>
              </w:rPr>
            </w:pPr>
          </w:p>
        </w:tc>
      </w:tr>
      <w:tr>
        <w:trPr>
          <w:trHeight w:val="194"/>
        </w:trPr>
        <w:tc>
          <w:tcPr>
            <w:tcW w:w="38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760" w:type="dxa"/>
            <w:vAlign w:val="bottom"/>
            <w:tcBorders>
              <w:bottom w:val="single" w:sz="8" w:color="auto"/>
            </w:tcBorders>
            <w:gridSpan w:val="2"/>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43,386,389</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6"/>
              <w:spacing w:after="0" w:line="188" w:lineRule="exact"/>
              <w:rPr>
                <w:sz w:val="20"/>
                <w:szCs w:val="20"/>
                <w:color w:val="auto"/>
              </w:rPr>
            </w:pPr>
            <w:r>
              <w:rPr>
                <w:rFonts w:ascii="Arial" w:cs="Arial" w:eastAsia="Arial" w:hAnsi="Arial"/>
                <w:sz w:val="17"/>
                <w:szCs w:val="17"/>
                <w:color w:val="auto"/>
              </w:rPr>
              <w:t>41,561,947</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38,945,338</w:t>
            </w:r>
          </w:p>
        </w:tc>
        <w:tc>
          <w:tcPr>
            <w:tcW w:w="20" w:type="dxa"/>
            <w:vAlign w:val="bottom"/>
          </w:tcPr>
          <w:p>
            <w:pPr>
              <w:spacing w:after="0"/>
              <w:rPr>
                <w:sz w:val="16"/>
                <w:szCs w:val="16"/>
                <w:color w:val="auto"/>
              </w:rPr>
            </w:pPr>
          </w:p>
        </w:tc>
      </w:tr>
      <w:tr>
        <w:trPr>
          <w:trHeight w:val="195"/>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2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3820" w:type="dxa"/>
            <w:vAlign w:val="bottom"/>
          </w:tcPr>
          <w:p>
            <w:pPr>
              <w:spacing w:after="0"/>
              <w:rPr>
                <w:sz w:val="20"/>
                <w:szCs w:val="20"/>
                <w:color w:val="auto"/>
              </w:rPr>
            </w:pPr>
            <w:r>
              <w:rPr>
                <w:rFonts w:ascii="Arial" w:cs="Arial" w:eastAsia="Arial" w:hAnsi="Arial"/>
                <w:sz w:val="17"/>
                <w:szCs w:val="17"/>
                <w:color w:val="auto"/>
              </w:rPr>
              <w:t>United States</w:t>
            </w:r>
          </w:p>
        </w:tc>
        <w:tc>
          <w:tcPr>
            <w:tcW w:w="2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52,226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49,874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67,041</w:t>
            </w:r>
          </w:p>
        </w:tc>
        <w:tc>
          <w:tcPr>
            <w:tcW w:w="20" w:type="dxa"/>
            <w:vAlign w:val="bottom"/>
          </w:tcPr>
          <w:p>
            <w:pPr>
              <w:spacing w:after="0"/>
              <w:rPr>
                <w:sz w:val="16"/>
                <w:szCs w:val="16"/>
                <w:color w:val="auto"/>
              </w:rPr>
            </w:pPr>
          </w:p>
        </w:tc>
      </w:tr>
      <w:tr>
        <w:trPr>
          <w:trHeight w:val="195"/>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EMEA</w:t>
            </w:r>
          </w:p>
        </w:tc>
        <w:tc>
          <w:tcPr>
            <w:tcW w:w="2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121,660</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109,650</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82,964</w:t>
            </w:r>
          </w:p>
        </w:tc>
        <w:tc>
          <w:tcPr>
            <w:tcW w:w="20" w:type="dxa"/>
            <w:vAlign w:val="bottom"/>
          </w:tcPr>
          <w:p>
            <w:pPr>
              <w:spacing w:after="0"/>
              <w:rPr>
                <w:sz w:val="16"/>
                <w:szCs w:val="16"/>
                <w:color w:val="auto"/>
              </w:rPr>
            </w:pPr>
          </w:p>
        </w:tc>
      </w:tr>
      <w:tr>
        <w:trPr>
          <w:trHeight w:val="195"/>
        </w:trPr>
        <w:tc>
          <w:tcPr>
            <w:tcW w:w="3820" w:type="dxa"/>
            <w:vAlign w:val="bottom"/>
          </w:tcPr>
          <w:p>
            <w:pPr>
              <w:spacing w:after="0"/>
              <w:rPr>
                <w:sz w:val="20"/>
                <w:szCs w:val="20"/>
                <w:color w:val="auto"/>
              </w:rPr>
            </w:pPr>
            <w:r>
              <w:rPr>
                <w:rFonts w:ascii="Arial" w:cs="Arial" w:eastAsia="Arial" w:hAnsi="Arial"/>
                <w:sz w:val="17"/>
                <w:szCs w:val="17"/>
                <w:color w:val="auto"/>
              </w:rPr>
              <w:t>Asia/Pacific</w:t>
            </w: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74,737</w:t>
            </w:r>
          </w:p>
        </w:tc>
        <w:tc>
          <w:tcPr>
            <w:tcW w:w="28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70,547</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71,054</w:t>
            </w:r>
          </w:p>
        </w:tc>
        <w:tc>
          <w:tcPr>
            <w:tcW w:w="20" w:type="dxa"/>
            <w:vAlign w:val="bottom"/>
          </w:tcPr>
          <w:p>
            <w:pPr>
              <w:spacing w:after="0"/>
              <w:rPr>
                <w:sz w:val="16"/>
                <w:szCs w:val="16"/>
                <w:color w:val="auto"/>
              </w:rPr>
            </w:pPr>
          </w:p>
        </w:tc>
      </w:tr>
      <w:tr>
        <w:trPr>
          <w:trHeight w:val="195"/>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Americas, excluding United States</w:t>
            </w:r>
          </w:p>
        </w:tc>
        <w:tc>
          <w:tcPr>
            <w:tcW w:w="26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20,525</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34,287</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35,964</w:t>
            </w:r>
          </w:p>
        </w:tc>
        <w:tc>
          <w:tcPr>
            <w:tcW w:w="20" w:type="dxa"/>
            <w:vAlign w:val="bottom"/>
          </w:tcPr>
          <w:p>
            <w:pPr>
              <w:spacing w:after="0"/>
              <w:rPr>
                <w:sz w:val="16"/>
                <w:szCs w:val="16"/>
                <w:color w:val="auto"/>
              </w:rPr>
            </w:pPr>
          </w:p>
        </w:tc>
      </w:tr>
      <w:tr>
        <w:trPr>
          <w:trHeight w:val="194"/>
        </w:trPr>
        <w:tc>
          <w:tcPr>
            <w:tcW w:w="382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760" w:type="dxa"/>
            <w:vAlign w:val="bottom"/>
            <w:tcBorders>
              <w:bottom w:val="single" w:sz="8" w:color="auto"/>
            </w:tcBorders>
            <w:gridSpan w:val="2"/>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269,148</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6"/>
              <w:spacing w:after="0" w:line="188" w:lineRule="exact"/>
              <w:rPr>
                <w:sz w:val="20"/>
                <w:szCs w:val="20"/>
                <w:color w:val="auto"/>
              </w:rPr>
            </w:pPr>
            <w:r>
              <w:rPr>
                <w:rFonts w:ascii="Arial" w:cs="Arial" w:eastAsia="Arial" w:hAnsi="Arial"/>
                <w:sz w:val="17"/>
                <w:szCs w:val="17"/>
                <w:color w:val="auto"/>
              </w:rPr>
              <w:t>264,358</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257,023</w:t>
            </w:r>
          </w:p>
        </w:tc>
        <w:tc>
          <w:tcPr>
            <w:tcW w:w="20" w:type="dxa"/>
            <w:vAlign w:val="bottom"/>
          </w:tcPr>
          <w:p>
            <w:pPr>
              <w:spacing w:after="0"/>
              <w:rPr>
                <w:sz w:val="16"/>
                <w:szCs w:val="16"/>
                <w:color w:val="auto"/>
              </w:rPr>
            </w:pPr>
          </w:p>
        </w:tc>
      </w:tr>
      <w:tr>
        <w:trPr>
          <w:trHeight w:val="627"/>
        </w:trPr>
        <w:tc>
          <w:tcPr>
            <w:tcW w:w="3820" w:type="dxa"/>
            <w:vAlign w:val="bottom"/>
          </w:tcPr>
          <w:p>
            <w:pPr>
              <w:spacing w:after="0"/>
              <w:rPr>
                <w:sz w:val="24"/>
                <w:szCs w:val="24"/>
                <w:color w:val="auto"/>
              </w:rPr>
            </w:pPr>
          </w:p>
        </w:tc>
        <w:tc>
          <w:tcPr>
            <w:tcW w:w="2620" w:type="dxa"/>
            <w:vAlign w:val="bottom"/>
          </w:tcPr>
          <w:p>
            <w:pPr>
              <w:jc w:val="right"/>
              <w:ind w:right="1154"/>
              <w:spacing w:after="0"/>
              <w:rPr>
                <w:sz w:val="20"/>
                <w:szCs w:val="20"/>
                <w:color w:val="auto"/>
              </w:rPr>
            </w:pPr>
            <w:r>
              <w:rPr>
                <w:rFonts w:ascii="Arial" w:cs="Arial" w:eastAsia="Arial" w:hAnsi="Arial"/>
                <w:sz w:val="17"/>
                <w:szCs w:val="17"/>
                <w:color w:val="auto"/>
              </w:rPr>
              <w:t>80</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382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3820" w:type="dxa"/>
            <w:vAlign w:val="bottom"/>
            <w:tcBorders>
              <w:bottom w:val="single" w:sz="8" w:color="EEEEEE"/>
            </w:tcBorders>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82" w:name="page83"/>
    <w:bookmarkEnd w:id="82"/>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50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88"/>
        </w:trPr>
        <w:tc>
          <w:tcPr>
            <w:tcW w:w="5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Non-current assets:</w:t>
            </w:r>
          </w:p>
        </w:tc>
        <w:tc>
          <w:tcPr>
            <w:tcW w:w="2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United States</w:t>
            </w:r>
          </w:p>
        </w:tc>
        <w:tc>
          <w:tcPr>
            <w:tcW w:w="2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549,521</w:t>
            </w:r>
          </w:p>
        </w:tc>
        <w:tc>
          <w:tcPr>
            <w:tcW w:w="4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560,623</w:t>
            </w:r>
          </w:p>
        </w:tc>
      </w:tr>
      <w:tr>
        <w:trPr>
          <w:trHeight w:val="19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EMEA</w:t>
            </w:r>
          </w:p>
        </w:tc>
        <w:tc>
          <w:tcPr>
            <w:tcW w:w="2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591,481</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319,339</w:t>
            </w: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Asia/Pacific</w:t>
            </w: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12,351</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2,050</w:t>
            </w:r>
          </w:p>
        </w:tc>
      </w:tr>
      <w:tr>
        <w:trPr>
          <w:trHeight w:val="195"/>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Americas, excluding United States</w:t>
            </w:r>
          </w:p>
        </w:tc>
        <w:tc>
          <w:tcPr>
            <w:tcW w:w="24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51,784</w:t>
            </w:r>
          </w:p>
        </w:tc>
        <w:tc>
          <w:tcPr>
            <w:tcW w:w="4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41,764</w:t>
            </w:r>
          </w:p>
        </w:tc>
      </w:tr>
      <w:tr>
        <w:trPr>
          <w:trHeight w:val="194"/>
        </w:trPr>
        <w:tc>
          <w:tcPr>
            <w:tcW w:w="508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680" w:type="dxa"/>
            <w:vAlign w:val="bottom"/>
            <w:tcBorders>
              <w:bottom w:val="single" w:sz="8" w:color="auto"/>
            </w:tcBorders>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1,205,137</w:t>
            </w:r>
          </w:p>
        </w:tc>
        <w:tc>
          <w:tcPr>
            <w:tcW w:w="480" w:type="dxa"/>
            <w:vAlign w:val="bottom"/>
            <w:tcBorders>
              <w:bottom w:val="single" w:sz="8" w:color="auto"/>
            </w:tcBorders>
          </w:tcPr>
          <w:p>
            <w:pPr>
              <w:jc w:val="right"/>
              <w:ind w:right="37"/>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923,776</w:t>
            </w:r>
          </w:p>
        </w:tc>
      </w:tr>
      <w:tr>
        <w:trPr>
          <w:trHeight w:val="19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United States</w:t>
            </w:r>
          </w:p>
        </w:tc>
        <w:tc>
          <w:tcPr>
            <w:tcW w:w="2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1,909,541</w:t>
            </w:r>
          </w:p>
        </w:tc>
        <w:tc>
          <w:tcPr>
            <w:tcW w:w="4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2,239,479</w:t>
            </w:r>
          </w:p>
        </w:tc>
      </w:tr>
      <w:tr>
        <w:trPr>
          <w:trHeight w:val="19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EMEA</w:t>
            </w:r>
          </w:p>
        </w:tc>
        <w:tc>
          <w:tcPr>
            <w:tcW w:w="2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1,695,200</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1,347,020</w:t>
            </w:r>
          </w:p>
        </w:tc>
      </w:tr>
      <w:tr>
        <w:trPr>
          <w:trHeight w:val="195"/>
        </w:trPr>
        <w:tc>
          <w:tcPr>
            <w:tcW w:w="5080" w:type="dxa"/>
            <w:vAlign w:val="bottom"/>
          </w:tcPr>
          <w:p>
            <w:pPr>
              <w:spacing w:after="0"/>
              <w:rPr>
                <w:sz w:val="20"/>
                <w:szCs w:val="20"/>
                <w:color w:val="auto"/>
              </w:rPr>
            </w:pPr>
            <w:r>
              <w:rPr>
                <w:rFonts w:ascii="Arial" w:cs="Arial" w:eastAsia="Arial" w:hAnsi="Arial"/>
                <w:sz w:val="17"/>
                <w:szCs w:val="17"/>
                <w:color w:val="auto"/>
              </w:rPr>
              <w:t>Asia/Pacific</w:t>
            </w: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922,705</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817,887</w:t>
            </w:r>
          </w:p>
        </w:tc>
      </w:tr>
      <w:tr>
        <w:trPr>
          <w:trHeight w:val="195"/>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Americas, excluding United States</w:t>
            </w:r>
          </w:p>
        </w:tc>
        <w:tc>
          <w:tcPr>
            <w:tcW w:w="24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352,534</w:t>
            </w:r>
          </w:p>
        </w:tc>
        <w:tc>
          <w:tcPr>
            <w:tcW w:w="4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334,891</w:t>
            </w:r>
          </w:p>
        </w:tc>
      </w:tr>
      <w:tr>
        <w:trPr>
          <w:trHeight w:val="194"/>
        </w:trPr>
        <w:tc>
          <w:tcPr>
            <w:tcW w:w="508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auto"/>
              </w:rPr>
              <w:t>Total</w:t>
            </w:r>
          </w:p>
        </w:tc>
        <w:tc>
          <w:tcPr>
            <w:tcW w:w="2680" w:type="dxa"/>
            <w:vAlign w:val="bottom"/>
            <w:tcBorders>
              <w:bottom w:val="single" w:sz="8" w:color="auto"/>
            </w:tcBorders>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line="188" w:lineRule="exact"/>
              <w:rPr>
                <w:sz w:val="20"/>
                <w:szCs w:val="20"/>
                <w:color w:val="auto"/>
              </w:rPr>
            </w:pPr>
            <w:r>
              <w:rPr>
                <w:rFonts w:ascii="Arial" w:cs="Arial" w:eastAsia="Arial" w:hAnsi="Arial"/>
                <w:sz w:val="17"/>
                <w:szCs w:val="17"/>
                <w:color w:val="auto"/>
              </w:rPr>
              <w:t>4,879,980</w:t>
            </w:r>
          </w:p>
        </w:tc>
        <w:tc>
          <w:tcPr>
            <w:tcW w:w="480" w:type="dxa"/>
            <w:vAlign w:val="bottom"/>
            <w:tcBorders>
              <w:bottom w:val="single" w:sz="8" w:color="auto"/>
            </w:tcBorders>
          </w:tcPr>
          <w:p>
            <w:pPr>
              <w:jc w:val="right"/>
              <w:ind w:right="37"/>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4,739,277</w:t>
            </w:r>
          </w:p>
        </w:tc>
      </w:tr>
    </w:tbl>
    <w:p>
      <w:pPr>
        <w:spacing w:after="0" w:line="172" w:lineRule="exact"/>
        <w:rPr>
          <w:sz w:val="20"/>
          <w:szCs w:val="20"/>
          <w:color w:val="auto"/>
        </w:rPr>
      </w:pPr>
    </w:p>
    <w:p>
      <w:pPr>
        <w:ind w:left="220" w:hanging="213"/>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revenue related to the United Kingdom of $6.2 billion, $5.0 billion and $5.2 billion for 2014, 2013 and 2012, respectively.</w:t>
      </w:r>
    </w:p>
    <w:p>
      <w:pPr>
        <w:spacing w:after="0" w:line="103" w:lineRule="exact"/>
        <w:rPr>
          <w:rFonts w:ascii="Arial" w:cs="Arial" w:eastAsia="Arial" w:hAnsi="Arial"/>
          <w:sz w:val="17"/>
          <w:szCs w:val="17"/>
          <w:color w:val="auto"/>
        </w:rPr>
      </w:pPr>
    </w:p>
    <w:p>
      <w:pPr>
        <w:ind w:left="240" w:hanging="233"/>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revenue related to Singapore of $9.7 billion, $10.1 billion and $8.4 billion for 2014, 2013 and 2012,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Customers</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During each of the years presented on the consolidated statements of income and comprehensive income, none of our customers accounted for more than 10% of total consolidated revenue.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Summary Quarterly Information (Unaudited)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unaudited quarterly results for 2014 and 2013 (in thousands, except earnings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ind w:right="38"/>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1320" w:type="dxa"/>
            <w:vAlign w:val="bottom"/>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37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4"/>
                <w:szCs w:val="14"/>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line="197" w:lineRule="exact"/>
              <w:rPr>
                <w:sz w:val="20"/>
                <w:szCs w:val="20"/>
                <w:color w:val="auto"/>
              </w:rPr>
            </w:pPr>
            <w:r>
              <w:rPr>
                <w:rFonts w:ascii="Arial" w:cs="Arial" w:eastAsia="Arial" w:hAnsi="Arial"/>
                <w:sz w:val="22"/>
                <w:szCs w:val="22"/>
                <w:b w:val="1"/>
                <w:bCs w:val="1"/>
                <w:color w:val="auto"/>
                <w:vertAlign w:val="subscript"/>
              </w:rPr>
              <w:t>2014</w:t>
            </w:r>
            <w:r>
              <w:rPr>
                <w:rFonts w:ascii="Arial" w:cs="Arial" w:eastAsia="Arial" w:hAnsi="Arial"/>
                <w:sz w:val="6"/>
                <w:szCs w:val="6"/>
                <w:b w:val="1"/>
                <w:bCs w:val="1"/>
                <w:color w:val="auto"/>
              </w:rPr>
              <w:t xml:space="preserve"> (1)(2)</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60"/>
              <w:spacing w:after="0" w:line="197" w:lineRule="exact"/>
              <w:rPr>
                <w:sz w:val="20"/>
                <w:szCs w:val="20"/>
                <w:color w:val="auto"/>
              </w:rPr>
            </w:pPr>
            <w:r>
              <w:rPr>
                <w:rFonts w:ascii="Arial" w:cs="Arial" w:eastAsia="Arial" w:hAnsi="Arial"/>
                <w:sz w:val="22"/>
                <w:szCs w:val="22"/>
                <w:b w:val="1"/>
                <w:bCs w:val="1"/>
                <w:color w:val="auto"/>
                <w:vertAlign w:val="subscript"/>
              </w:rPr>
              <w:t>2014</w:t>
            </w:r>
            <w:r>
              <w:rPr>
                <w:rFonts w:ascii="Arial" w:cs="Arial" w:eastAsia="Arial" w:hAnsi="Arial"/>
                <w:sz w:val="6"/>
                <w:szCs w:val="6"/>
                <w:b w:val="1"/>
                <w:bCs w:val="1"/>
                <w:color w:val="auto"/>
              </w:rPr>
              <w:t xml:space="preserve"> (1)(2)(3)</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2014</w:t>
            </w:r>
            <w:r>
              <w:rPr>
                <w:rFonts w:ascii="Arial" w:cs="Arial" w:eastAsia="Arial" w:hAnsi="Arial"/>
                <w:sz w:val="6"/>
                <w:szCs w:val="6"/>
                <w:b w:val="1"/>
                <w:bCs w:val="1"/>
                <w:color w:val="auto"/>
              </w:rPr>
              <w:t xml:space="preserve"> (1)(2)(3)(4)</w:t>
            </w:r>
          </w:p>
        </w:tc>
      </w:tr>
      <w:tr>
        <w:trPr>
          <w:trHeight w:val="194"/>
        </w:trPr>
        <w:tc>
          <w:tcPr>
            <w:tcW w:w="374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Revenue</w:t>
            </w:r>
          </w:p>
        </w:tc>
        <w:tc>
          <w:tcPr>
            <w:tcW w:w="580" w:type="dxa"/>
            <w:vAlign w:val="bottom"/>
            <w:tcBorders>
              <w:bottom w:val="single" w:sz="8" w:color="auto"/>
            </w:tcBorders>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10,550,896</w:t>
            </w:r>
          </w:p>
        </w:tc>
        <w:tc>
          <w:tcPr>
            <w:tcW w:w="36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11,342,475</w:t>
            </w:r>
          </w:p>
        </w:tc>
        <w:tc>
          <w:tcPr>
            <w:tcW w:w="32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220"/>
              <w:spacing w:after="0" w:line="188" w:lineRule="exact"/>
              <w:rPr>
                <w:sz w:val="20"/>
                <w:szCs w:val="20"/>
                <w:color w:val="auto"/>
              </w:rPr>
            </w:pPr>
            <w:r>
              <w:rPr>
                <w:rFonts w:ascii="Arial" w:cs="Arial" w:eastAsia="Arial" w:hAnsi="Arial"/>
                <w:sz w:val="17"/>
                <w:szCs w:val="17"/>
                <w:color w:val="auto"/>
              </w:rPr>
              <w:t>11,713,463</w:t>
            </w:r>
          </w:p>
        </w:tc>
        <w:tc>
          <w:tcPr>
            <w:tcW w:w="50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9,779,555</w:t>
            </w:r>
          </w:p>
        </w:tc>
      </w:tr>
      <w:tr>
        <w:trPr>
          <w:trHeight w:val="201"/>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Gross profit</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188,032</w:t>
            </w: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191,516</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214,608</w:t>
            </w: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219,466</w:t>
            </w:r>
          </w:p>
        </w:tc>
      </w:tr>
      <w:tr>
        <w:trPr>
          <w:trHeight w:val="201"/>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income including noncontrolling interest</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50,506</w:t>
            </w:r>
          </w:p>
        </w:tc>
        <w:tc>
          <w:tcPr>
            <w:tcW w:w="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46,384</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54,460</w:t>
            </w:r>
          </w:p>
        </w:tc>
        <w:tc>
          <w:tcPr>
            <w:tcW w:w="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67,057</w:t>
            </w:r>
          </w:p>
        </w:tc>
      </w:tr>
      <w:tr>
        <w:trPr>
          <w:trHeight w:val="201"/>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 attributable to World Fuel</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50,727</w:t>
            </w: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48,226</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55,660</w:t>
            </w: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67,134</w:t>
            </w:r>
          </w:p>
        </w:tc>
      </w:tr>
      <w:tr>
        <w:trPr>
          <w:trHeight w:val="201"/>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Basic earnings per common share (5)</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0.72</w:t>
            </w:r>
          </w:p>
        </w:tc>
        <w:tc>
          <w:tcPr>
            <w:tcW w:w="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0.68</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0.79</w:t>
            </w:r>
          </w:p>
        </w:tc>
        <w:tc>
          <w:tcPr>
            <w:tcW w:w="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0.95</w:t>
            </w:r>
          </w:p>
        </w:tc>
      </w:tr>
      <w:tr>
        <w:trPr>
          <w:trHeight w:val="201"/>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Diluted earnings per common share</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0.71</w:t>
            </w: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0.68</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0.78</w:t>
            </w: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0.94</w:t>
            </w:r>
          </w:p>
        </w:tc>
      </w:tr>
      <w:tr>
        <w:trPr>
          <w:trHeight w:val="621"/>
        </w:trPr>
        <w:tc>
          <w:tcPr>
            <w:tcW w:w="3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ind w:right="38"/>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4"/>
                <w:szCs w:val="24"/>
                <w:color w:val="auto"/>
              </w:rPr>
            </w:pPr>
          </w:p>
        </w:tc>
        <w:tc>
          <w:tcPr>
            <w:tcW w:w="1320" w:type="dxa"/>
            <w:vAlign w:val="bottom"/>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4"/>
        </w:trPr>
        <w:tc>
          <w:tcPr>
            <w:tcW w:w="3740" w:type="dxa"/>
            <w:vAlign w:val="bottom"/>
            <w:tcBorders>
              <w:bottom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Revenue</w:t>
            </w:r>
          </w:p>
        </w:tc>
        <w:tc>
          <w:tcPr>
            <w:tcW w:w="580" w:type="dxa"/>
            <w:vAlign w:val="bottom"/>
            <w:tcBorders>
              <w:bottom w:val="single" w:sz="8" w:color="auto"/>
            </w:tcBorders>
            <w:shd w:val="clear" w:color="auto" w:fill="CCEEFF"/>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line="188" w:lineRule="exact"/>
              <w:rPr>
                <w:sz w:val="20"/>
                <w:szCs w:val="20"/>
                <w:color w:val="auto"/>
              </w:rPr>
            </w:pPr>
            <w:r>
              <w:rPr>
                <w:rFonts w:ascii="Arial" w:cs="Arial" w:eastAsia="Arial" w:hAnsi="Arial"/>
                <w:sz w:val="17"/>
                <w:szCs w:val="17"/>
                <w:color w:val="auto"/>
              </w:rPr>
              <w:t>10,184,029</w:t>
            </w:r>
          </w:p>
        </w:tc>
        <w:tc>
          <w:tcPr>
            <w:tcW w:w="36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10,479,604</w:t>
            </w:r>
          </w:p>
        </w:tc>
        <w:tc>
          <w:tcPr>
            <w:tcW w:w="320" w:type="dxa"/>
            <w:vAlign w:val="bottom"/>
            <w:tcBorders>
              <w:bottom w:val="single" w:sz="8" w:color="auto"/>
            </w:tcBorders>
            <w:shd w:val="clear" w:color="auto" w:fill="CCEEFF"/>
          </w:tcPr>
          <w:p>
            <w:pPr>
              <w:jc w:val="right"/>
              <w:ind w:right="14"/>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220"/>
              <w:spacing w:after="0" w:line="188" w:lineRule="exact"/>
              <w:rPr>
                <w:sz w:val="20"/>
                <w:szCs w:val="20"/>
                <w:color w:val="auto"/>
              </w:rPr>
            </w:pPr>
            <w:r>
              <w:rPr>
                <w:rFonts w:ascii="Arial" w:cs="Arial" w:eastAsia="Arial" w:hAnsi="Arial"/>
                <w:sz w:val="17"/>
                <w:szCs w:val="17"/>
                <w:color w:val="auto"/>
              </w:rPr>
              <w:t>10,493,661</w:t>
            </w:r>
          </w:p>
        </w:tc>
        <w:tc>
          <w:tcPr>
            <w:tcW w:w="500" w:type="dxa"/>
            <w:vAlign w:val="bottom"/>
            <w:tcBorders>
              <w:bottom w:val="single" w:sz="8" w:color="auto"/>
            </w:tcBorders>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10,404,653</w:t>
            </w:r>
          </w:p>
        </w:tc>
      </w:tr>
      <w:tr>
        <w:trPr>
          <w:trHeight w:val="201"/>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Gross profit</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182,379</w:t>
            </w: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188,458</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186,341</w:t>
            </w: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195,580</w:t>
            </w:r>
          </w:p>
        </w:tc>
      </w:tr>
      <w:tr>
        <w:trPr>
          <w:trHeight w:val="201"/>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income including noncontrolling interest</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51,111</w:t>
            </w:r>
          </w:p>
        </w:tc>
        <w:tc>
          <w:tcPr>
            <w:tcW w:w="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52,357</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50,297</w:t>
            </w:r>
          </w:p>
        </w:tc>
        <w:tc>
          <w:tcPr>
            <w:tcW w:w="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53,395</w:t>
            </w:r>
          </w:p>
        </w:tc>
      </w:tr>
      <w:tr>
        <w:trPr>
          <w:trHeight w:val="201"/>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 attributable to World Fuel</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48,725</w:t>
            </w: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51,016</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51,472</w:t>
            </w: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51,862</w:t>
            </w:r>
          </w:p>
        </w:tc>
      </w:tr>
      <w:tr>
        <w:trPr>
          <w:trHeight w:val="201"/>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Basic earnings per common share (5)</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0.68</w:t>
            </w:r>
          </w:p>
        </w:tc>
        <w:tc>
          <w:tcPr>
            <w:tcW w:w="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0.71</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0.72</w:t>
            </w:r>
          </w:p>
        </w:tc>
        <w:tc>
          <w:tcPr>
            <w:tcW w:w="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0.73</w:t>
            </w:r>
          </w:p>
        </w:tc>
      </w:tr>
      <w:tr>
        <w:trPr>
          <w:trHeight w:val="201"/>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Diluted earnings per common share (5)</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0.68</w:t>
            </w: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0.71</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0.72</w:t>
            </w: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0.73</w:t>
            </w:r>
          </w:p>
        </w:tc>
      </w:tr>
    </w:tbl>
    <w:p>
      <w:pPr>
        <w:spacing w:after="0" w:line="172" w:lineRule="exact"/>
        <w:rPr>
          <w:sz w:val="20"/>
          <w:szCs w:val="20"/>
          <w:color w:val="auto"/>
        </w:rPr>
      </w:pPr>
    </w:p>
    <w:p>
      <w:pPr>
        <w:ind w:left="300" w:hanging="293"/>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the Watson Petroleum operations since March 7, 2014 as a result of the acquisition.</w:t>
      </w:r>
    </w:p>
    <w:p>
      <w:pPr>
        <w:spacing w:after="0" w:line="103" w:lineRule="exact"/>
        <w:rPr>
          <w:rFonts w:ascii="Arial" w:cs="Arial" w:eastAsia="Arial" w:hAnsi="Arial"/>
          <w:sz w:val="17"/>
          <w:szCs w:val="17"/>
          <w:color w:val="auto"/>
        </w:rPr>
      </w:pPr>
    </w:p>
    <w:p>
      <w:pPr>
        <w:ind w:left="220" w:hanging="213"/>
        <w:spacing w:after="0" w:line="263"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after-tax executive non-renewal charge of $3.0 million, or $0.04 per basic and diluted share in the second quarter of 2014.</w:t>
      </w:r>
    </w:p>
    <w:p>
      <w:pPr>
        <w:spacing w:after="0" w:line="278" w:lineRule="exact"/>
        <w:rPr>
          <w:rFonts w:ascii="Arial" w:cs="Arial" w:eastAsia="Arial" w:hAnsi="Arial"/>
          <w:sz w:val="17"/>
          <w:szCs w:val="17"/>
          <w:color w:val="auto"/>
        </w:rPr>
      </w:pPr>
    </w:p>
    <w:p>
      <w:pPr>
        <w:ind w:left="380" w:hanging="373"/>
        <w:spacing w:after="0"/>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the Colt operations since July 29, 2014 as a result of the acquisition.</w:t>
      </w:r>
    </w:p>
    <w:p>
      <w:pPr>
        <w:spacing w:after="0" w:line="103" w:lineRule="exact"/>
        <w:rPr>
          <w:rFonts w:ascii="Arial" w:cs="Arial" w:eastAsia="Arial" w:hAnsi="Arial"/>
          <w:sz w:val="17"/>
          <w:szCs w:val="17"/>
          <w:color w:val="auto"/>
        </w:rPr>
      </w:pPr>
    </w:p>
    <w:p>
      <w:pPr>
        <w:ind w:left="220" w:hanging="213"/>
        <w:spacing w:after="0" w:line="286"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after-tax gain on the sale of the crude oil joint venture interests of $9.9 million, or $0.14 per basic and diluted share in the fourth quarter of 2014.</w:t>
      </w:r>
    </w:p>
    <w:p>
      <w:pPr>
        <w:spacing w:after="0" w:line="27" w:lineRule="exact"/>
        <w:rPr>
          <w:rFonts w:ascii="Arial" w:cs="Arial" w:eastAsia="Arial" w:hAnsi="Arial"/>
          <w:sz w:val="17"/>
          <w:szCs w:val="17"/>
          <w:color w:val="auto"/>
        </w:rPr>
      </w:pPr>
    </w:p>
    <w:p>
      <w:pPr>
        <w:jc w:val="both"/>
        <w:ind w:left="220" w:hanging="213"/>
        <w:spacing w:after="0" w:line="263"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Basic and diluted earnings per share are computed independently for each quarter and the full year based upon respective weighted average shares outstanding. Therefore, the sum of the quarterly basic and diluted earnings per share amounts may not equal the annual basic and diluted earnings per share amounts reported.</w:t>
      </w:r>
    </w:p>
    <w:p>
      <w:pPr>
        <w:spacing w:after="0" w:line="14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6502400"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02400" cy="50165"/>
                    </a:xfrm>
                    <a:prstGeom prst="rect">
                      <a:avLst/>
                    </a:prstGeom>
                    <a:noFill/>
                  </pic:spPr>
                </pic:pic>
              </a:graphicData>
            </a:graphic>
          </wp:anchor>
        </w:drawing>
      </w:r>
    </w:p>
    <w:p>
      <w:pPr>
        <w:sectPr>
          <w:pgSz w:w="11900" w:h="16838" w:orient="portrait"/>
          <w:cols w:equalWidth="0" w:num="1">
            <w:col w:w="10180"/>
          </w:cols>
          <w:pgMar w:left="860" w:top="121" w:right="859" w:bottom="1440" w:gutter="0" w:footer="0" w:header="0"/>
        </w:sectPr>
      </w:pPr>
    </w:p>
    <w:bookmarkStart w:id="83" w:name="page84"/>
    <w:bookmarkEnd w:id="83"/>
    <w:p>
      <w:pPr>
        <w:spacing w:after="0"/>
        <w:rPr>
          <w:rFonts w:ascii="Times New Roman" w:cs="Times New Roman" w:eastAsia="Times New Roman" w:hAnsi="Times New Roman"/>
          <w:sz w:val="17"/>
          <w:szCs w:val="17"/>
          <w:u w:val="single" w:color="auto"/>
          <w:color w:val="0563C1"/>
        </w:rPr>
      </w:pPr>
      <w:hyperlink w:anchor="page1">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8" w:lineRule="exact"/>
        <w:rPr>
          <w:sz w:val="20"/>
          <w:szCs w:val="20"/>
          <w:color w:val="auto"/>
        </w:rPr>
      </w:pPr>
    </w:p>
    <w:p>
      <w:pPr>
        <w:ind w:right="20"/>
        <w:spacing w:after="0" w:line="206"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the 12th day of February 2015.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10160</wp:posOffset>
            </wp:positionV>
            <wp:extent cx="26536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3665" cy="8255"/>
                    </a:xfrm>
                    <a:prstGeom prst="rect">
                      <a:avLst/>
                    </a:prstGeom>
                    <a:noFill/>
                  </pic:spPr>
                </pic:pic>
              </a:graphicData>
            </a:graphic>
          </wp:anchor>
        </w:drawing>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Michael J. Kasbar</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Chairman, President and Chief Executive Officer</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10160</wp:posOffset>
            </wp:positionV>
            <wp:extent cx="26536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53665" cy="8255"/>
                    </a:xfrm>
                    <a:prstGeom prst="rect">
                      <a:avLst/>
                    </a:prstGeom>
                    <a:noFill/>
                  </pic:spPr>
                </pic:pic>
              </a:graphicData>
            </a:graphic>
          </wp:anchor>
        </w:drawing>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Ira M. Birns</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Executive Vice President and Chief Financial Officer</w:t>
      </w:r>
    </w:p>
    <w:p>
      <w:pPr>
        <w:spacing w:after="0" w:line="192" w:lineRule="exact"/>
        <w:rPr>
          <w:sz w:val="20"/>
          <w:szCs w:val="20"/>
          <w:color w:val="auto"/>
        </w:rPr>
      </w:pPr>
    </w:p>
    <w:p>
      <w:pPr>
        <w:ind w:right="20"/>
        <w:spacing w:after="0" w:line="206"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the 12th day of February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6900" w:type="dxa"/>
            <w:vAlign w:val="bottom"/>
          </w:tcPr>
          <w:p>
            <w:pPr>
              <w:ind w:left="16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326"/>
        </w:trPr>
        <w:tc>
          <w:tcPr>
            <w:tcW w:w="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 MICHAEL J. KASBAR</w:t>
            </w:r>
          </w:p>
        </w:tc>
        <w:tc>
          <w:tcPr>
            <w:tcW w:w="6900" w:type="dxa"/>
            <w:vAlign w:val="bottom"/>
          </w:tcPr>
          <w:p>
            <w:pPr>
              <w:ind w:left="160"/>
              <w:spacing w:after="0"/>
              <w:rPr>
                <w:sz w:val="20"/>
                <w:szCs w:val="20"/>
                <w:color w:val="auto"/>
              </w:rPr>
            </w:pPr>
            <w:r>
              <w:rPr>
                <w:rFonts w:ascii="Arial" w:cs="Arial" w:eastAsia="Arial" w:hAnsi="Arial"/>
                <w:sz w:val="16"/>
                <w:szCs w:val="16"/>
                <w:color w:val="auto"/>
              </w:rPr>
              <w:t>Chairman, President and Chief Executive Officer</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6900" w:type="dxa"/>
            <w:vAlign w:val="bottom"/>
            <w:vMerge w:val="restart"/>
          </w:tcPr>
          <w:p>
            <w:pPr>
              <w:ind w:left="16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Michael J. Kasbar</w:t>
            </w:r>
          </w:p>
        </w:tc>
        <w:tc>
          <w:tcPr>
            <w:tcW w:w="6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 IRA M. BIRNS</w:t>
            </w:r>
          </w:p>
        </w:tc>
        <w:tc>
          <w:tcPr>
            <w:tcW w:w="6900" w:type="dxa"/>
            <w:vAlign w:val="bottom"/>
          </w:tcPr>
          <w:p>
            <w:pPr>
              <w:ind w:left="160"/>
              <w:spacing w:after="0"/>
              <w:rPr>
                <w:sz w:val="20"/>
                <w:szCs w:val="20"/>
                <w:color w:val="auto"/>
              </w:rPr>
            </w:pPr>
            <w:r>
              <w:rPr>
                <w:rFonts w:ascii="Arial" w:cs="Arial" w:eastAsia="Arial" w:hAnsi="Arial"/>
                <w:sz w:val="16"/>
                <w:szCs w:val="16"/>
                <w:color w:val="auto"/>
              </w:rPr>
              <w:t>Executive Vice President and Chief Financial Officer</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6900" w:type="dxa"/>
            <w:vAlign w:val="bottom"/>
            <w:vMerge w:val="restart"/>
          </w:tcPr>
          <w:p>
            <w:pPr>
              <w:ind w:left="160"/>
              <w:spacing w:after="0"/>
              <w:rPr>
                <w:sz w:val="20"/>
                <w:szCs w:val="20"/>
                <w:color w:val="auto"/>
              </w:rPr>
            </w:pPr>
            <w:r>
              <w:rPr>
                <w:rFonts w:ascii="Arial" w:cs="Arial" w:eastAsia="Arial" w:hAnsi="Arial"/>
                <w:sz w:val="16"/>
                <w:szCs w:val="16"/>
                <w:color w:val="auto"/>
              </w:rPr>
              <w:t>(Principal Financial Officer)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Ira M. Birns</w:t>
            </w:r>
          </w:p>
        </w:tc>
        <w:tc>
          <w:tcPr>
            <w:tcW w:w="6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 CARLOS M. VELAZQUEZ</w:t>
            </w:r>
          </w:p>
        </w:tc>
        <w:tc>
          <w:tcPr>
            <w:tcW w:w="6900" w:type="dxa"/>
            <w:vAlign w:val="bottom"/>
          </w:tcPr>
          <w:p>
            <w:pPr>
              <w:ind w:left="160"/>
              <w:spacing w:after="0"/>
              <w:rPr>
                <w:sz w:val="20"/>
                <w:szCs w:val="20"/>
                <w:color w:val="auto"/>
              </w:rPr>
            </w:pPr>
            <w:r>
              <w:rPr>
                <w:rFonts w:ascii="Arial" w:cs="Arial" w:eastAsia="Arial" w:hAnsi="Arial"/>
                <w:sz w:val="16"/>
                <w:szCs w:val="16"/>
                <w:color w:val="auto"/>
              </w:rPr>
              <w:t>Senior Vice President and Chief Accounting Officer</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6900" w:type="dxa"/>
            <w:vAlign w:val="bottom"/>
            <w:vMerge w:val="restart"/>
          </w:tcPr>
          <w:p>
            <w:pPr>
              <w:ind w:left="160"/>
              <w:spacing w:after="0"/>
              <w:rPr>
                <w:sz w:val="20"/>
                <w:szCs w:val="20"/>
                <w:color w:val="auto"/>
              </w:rPr>
            </w:pPr>
            <w:r>
              <w:rPr>
                <w:rFonts w:ascii="Arial" w:cs="Arial" w:eastAsia="Arial" w:hAnsi="Arial"/>
                <w:sz w:val="16"/>
                <w:szCs w:val="16"/>
                <w:color w:val="auto"/>
              </w:rPr>
              <w:t>(Principal Accounting Officer)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Carlos M. Velazquez</w:t>
            </w:r>
          </w:p>
        </w:tc>
        <w:tc>
          <w:tcPr>
            <w:tcW w:w="6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KEN BAKSHI</w:t>
            </w:r>
          </w:p>
        </w:tc>
        <w:tc>
          <w:tcPr>
            <w:tcW w:w="69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Ken Bakshi</w:t>
            </w: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JORGE L. BENITEZ</w:t>
            </w:r>
          </w:p>
        </w:tc>
        <w:tc>
          <w:tcPr>
            <w:tcW w:w="69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Jorge L. Benitez</w:t>
            </w: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RICHARD A. KASSAR</w:t>
            </w:r>
          </w:p>
        </w:tc>
        <w:tc>
          <w:tcPr>
            <w:tcW w:w="69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Richard A. Kassar</w:t>
            </w: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MYLES KLEIN</w:t>
            </w:r>
          </w:p>
        </w:tc>
        <w:tc>
          <w:tcPr>
            <w:tcW w:w="69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Myles Klein</w:t>
            </w: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L. MANLEY</w:t>
            </w:r>
          </w:p>
        </w:tc>
        <w:tc>
          <w:tcPr>
            <w:tcW w:w="69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John L. Manley</w:t>
            </w: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 THOMAS PRESBY</w:t>
            </w:r>
          </w:p>
        </w:tc>
        <w:tc>
          <w:tcPr>
            <w:tcW w:w="69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J. Thomas Presby</w:t>
            </w: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K. RODDENBERRY</w:t>
            </w:r>
          </w:p>
        </w:tc>
        <w:tc>
          <w:tcPr>
            <w:tcW w:w="69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Stephen K. Roddenberry</w:t>
            </w: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PAUL H. STEBBINS</w:t>
            </w:r>
          </w:p>
        </w:tc>
        <w:tc>
          <w:tcPr>
            <w:tcW w:w="69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Paul H. Stebbins</w:t>
            </w:r>
          </w:p>
        </w:tc>
        <w:tc>
          <w:tcPr>
            <w:tcW w:w="6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8"/>
        </w:trPr>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900" w:type="dxa"/>
            <w:vAlign w:val="bottom"/>
          </w:tcPr>
          <w:p>
            <w:pPr>
              <w:ind w:left="170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6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EEEEEE"/>
            </w:tcBorders>
          </w:tcPr>
          <w:p>
            <w:pPr>
              <w:spacing w:after="0" w:line="20" w:lineRule="exact"/>
              <w:rPr>
                <w:sz w:val="1"/>
                <w:szCs w:val="1"/>
                <w:color w:val="auto"/>
              </w:rPr>
            </w:pPr>
          </w:p>
        </w:tc>
        <w:tc>
          <w:tcPr>
            <w:tcW w:w="3220" w:type="dxa"/>
            <w:vAlign w:val="bottom"/>
            <w:tcBorders>
              <w:bottom w:val="single" w:sz="8" w:color="EEEEEE"/>
            </w:tcBorders>
          </w:tcPr>
          <w:p>
            <w:pPr>
              <w:spacing w:after="0" w:line="20" w:lineRule="exact"/>
              <w:rPr>
                <w:sz w:val="1"/>
                <w:szCs w:val="1"/>
                <w:color w:val="auto"/>
              </w:rPr>
            </w:pPr>
          </w:p>
        </w:tc>
        <w:tc>
          <w:tcPr>
            <w:tcW w:w="69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-36830</wp:posOffset>
            </wp:positionV>
            <wp:extent cx="33655" cy="50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33655" cy="5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10200"/>
          </w:cols>
          <w:pgMar w:left="860" w:top="121" w:right="839" w:bottom="1440" w:gutter="0" w:footer="0" w:header="0"/>
        </w:sectPr>
      </w:pPr>
    </w:p>
    <w:bookmarkStart w:id="84" w:name="page85"/>
    <w:bookmarkEnd w:id="84"/>
    <w:p>
      <w:pPr>
        <w:spacing w:after="0"/>
        <w:rPr>
          <w:sz w:val="20"/>
          <w:szCs w:val="20"/>
          <w:color w:val="auto"/>
        </w:rPr>
      </w:pPr>
      <w:r>
        <w:rPr>
          <w:rFonts w:ascii="Arial" w:cs="Arial" w:eastAsia="Arial" w:hAnsi="Arial"/>
          <w:sz w:val="21"/>
          <w:szCs w:val="21"/>
          <w:color w:val="auto"/>
        </w:rPr>
        <w:t>Exhibit 21.1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THE REGISTRANT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Entity Name</w:t>
            </w:r>
          </w:p>
        </w:tc>
        <w:tc>
          <w:tcPr>
            <w:tcW w:w="34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Jurisdiction</w:t>
            </w:r>
          </w:p>
        </w:tc>
        <w:tc>
          <w:tcPr>
            <w:tcW w:w="20" w:type="dxa"/>
            <w:vAlign w:val="bottom"/>
          </w:tcPr>
          <w:p>
            <w:pPr>
              <w:spacing w:after="0"/>
              <w:rPr>
                <w:sz w:val="15"/>
                <w:szCs w:val="15"/>
                <w:color w:val="auto"/>
              </w:rPr>
            </w:pPr>
          </w:p>
        </w:tc>
      </w:tr>
      <w:tr>
        <w:trPr>
          <w:trHeight w:val="165"/>
        </w:trPr>
        <w:tc>
          <w:tcPr>
            <w:tcW w:w="5760" w:type="dxa"/>
            <w:vAlign w:val="bottom"/>
          </w:tcPr>
          <w:p>
            <w:pPr>
              <w:ind w:left="60"/>
              <w:spacing w:after="0" w:line="165" w:lineRule="exact"/>
              <w:rPr>
                <w:sz w:val="20"/>
                <w:szCs w:val="20"/>
                <w:color w:val="auto"/>
              </w:rPr>
            </w:pPr>
            <w:r>
              <w:rPr>
                <w:rFonts w:ascii="Arial" w:cs="Arial" w:eastAsia="Arial" w:hAnsi="Arial"/>
                <w:sz w:val="17"/>
                <w:szCs w:val="17"/>
                <w:color w:val="auto"/>
              </w:rPr>
              <w:t>Advance Petroleum, Inc.</w:t>
            </w:r>
          </w:p>
        </w:tc>
        <w:tc>
          <w:tcPr>
            <w:tcW w:w="3480" w:type="dxa"/>
            <w:vAlign w:val="bottom"/>
          </w:tcPr>
          <w:p>
            <w:pPr>
              <w:ind w:left="1240"/>
              <w:spacing w:after="0" w:line="165" w:lineRule="exact"/>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4"/>
                <w:szCs w:val="14"/>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AHT Services, LLC</w:t>
            </w:r>
          </w:p>
        </w:tc>
        <w:tc>
          <w:tcPr>
            <w:tcW w:w="3480" w:type="dxa"/>
            <w:vAlign w:val="bottom"/>
          </w:tcPr>
          <w:p>
            <w:pPr>
              <w:ind w:left="1240"/>
              <w:spacing w:after="0"/>
              <w:rPr>
                <w:sz w:val="20"/>
                <w:szCs w:val="20"/>
                <w:color w:val="auto"/>
              </w:rPr>
            </w:pPr>
            <w:r>
              <w:rPr>
                <w:rFonts w:ascii="Arial" w:cs="Arial" w:eastAsia="Arial" w:hAnsi="Arial"/>
                <w:sz w:val="17"/>
                <w:szCs w:val="17"/>
                <w:color w:val="auto"/>
              </w:rPr>
              <w:t>Nevada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Air Petro Corp.</w:t>
            </w:r>
          </w:p>
        </w:tc>
        <w:tc>
          <w:tcPr>
            <w:tcW w:w="3480" w:type="dxa"/>
            <w:vAlign w:val="bottom"/>
          </w:tcPr>
          <w:p>
            <w:pPr>
              <w:ind w:left="1240"/>
              <w:spacing w:after="0"/>
              <w:rPr>
                <w:sz w:val="20"/>
                <w:szCs w:val="20"/>
                <w:color w:val="auto"/>
              </w:rPr>
            </w:pPr>
            <w:r>
              <w:rPr>
                <w:rFonts w:ascii="Arial" w:cs="Arial" w:eastAsia="Arial" w:hAnsi="Arial"/>
                <w:sz w:val="17"/>
                <w:szCs w:val="17"/>
                <w:color w:val="auto"/>
              </w:rPr>
              <w:t>California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Altitude Ventures Holding Inc.</w:t>
            </w:r>
          </w:p>
        </w:tc>
        <w:tc>
          <w:tcPr>
            <w:tcW w:w="348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Amelia Holding AB</w:t>
            </w:r>
          </w:p>
        </w:tc>
        <w:tc>
          <w:tcPr>
            <w:tcW w:w="3480" w:type="dxa"/>
            <w:vAlign w:val="bottom"/>
          </w:tcPr>
          <w:p>
            <w:pPr>
              <w:ind w:left="1240"/>
              <w:spacing w:after="0"/>
              <w:rPr>
                <w:sz w:val="20"/>
                <w:szCs w:val="20"/>
                <w:color w:val="auto"/>
              </w:rPr>
            </w:pPr>
            <w:r>
              <w:rPr>
                <w:rFonts w:ascii="Arial" w:cs="Arial" w:eastAsia="Arial" w:hAnsi="Arial"/>
                <w:sz w:val="17"/>
                <w:szCs w:val="17"/>
                <w:color w:val="auto"/>
              </w:rPr>
              <w:t>Sweden</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Amsterdam Software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ANY-G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ANY-G Services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Ascent Aviation Group, Inc.</w:t>
            </w:r>
          </w:p>
        </w:tc>
        <w:tc>
          <w:tcPr>
            <w:tcW w:w="3480" w:type="dxa"/>
            <w:vAlign w:val="bottom"/>
          </w:tcPr>
          <w:p>
            <w:pPr>
              <w:ind w:left="1240"/>
              <w:spacing w:after="0"/>
              <w:rPr>
                <w:sz w:val="20"/>
                <w:szCs w:val="20"/>
                <w:color w:val="auto"/>
              </w:rPr>
            </w:pPr>
            <w:r>
              <w:rPr>
                <w:rFonts w:ascii="Arial" w:cs="Arial" w:eastAsia="Arial" w:hAnsi="Arial"/>
                <w:sz w:val="17"/>
                <w:szCs w:val="17"/>
                <w:color w:val="auto"/>
              </w:rPr>
              <w:t>New York</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Atlantic Fuel Services, S.R.L.*</w:t>
            </w:r>
          </w:p>
        </w:tc>
        <w:tc>
          <w:tcPr>
            <w:tcW w:w="3480" w:type="dxa"/>
            <w:vAlign w:val="bottom"/>
          </w:tcPr>
          <w:p>
            <w:pPr>
              <w:ind w:left="1240"/>
              <w:spacing w:after="0"/>
              <w:rPr>
                <w:sz w:val="20"/>
                <w:szCs w:val="20"/>
                <w:color w:val="auto"/>
              </w:rPr>
            </w:pPr>
            <w:r>
              <w:rPr>
                <w:rFonts w:ascii="Arial" w:cs="Arial" w:eastAsia="Arial" w:hAnsi="Arial"/>
                <w:sz w:val="17"/>
                <w:szCs w:val="17"/>
                <w:color w:val="auto"/>
              </w:rPr>
              <w:t>Costa Rica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AVCARD Services (BVI), Ltd.</w:t>
            </w:r>
          </w:p>
        </w:tc>
        <w:tc>
          <w:tcPr>
            <w:tcW w:w="3480" w:type="dxa"/>
            <w:vAlign w:val="bottom"/>
          </w:tcPr>
          <w:p>
            <w:pPr>
              <w:ind w:left="1240"/>
              <w:spacing w:after="0"/>
              <w:rPr>
                <w:sz w:val="20"/>
                <w:szCs w:val="20"/>
                <w:color w:val="auto"/>
              </w:rPr>
            </w:pPr>
            <w:r>
              <w:rPr>
                <w:rFonts w:ascii="Arial" w:cs="Arial" w:eastAsia="Arial" w:hAnsi="Arial"/>
                <w:sz w:val="17"/>
                <w:szCs w:val="17"/>
                <w:color w:val="auto"/>
              </w:rPr>
              <w:t>British Virgin Islands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AVCARD Services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Avinode, Inc.</w:t>
            </w:r>
          </w:p>
        </w:tc>
        <w:tc>
          <w:tcPr>
            <w:tcW w:w="348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Avinode Aktiebolag</w:t>
            </w:r>
          </w:p>
        </w:tc>
        <w:tc>
          <w:tcPr>
            <w:tcW w:w="3480" w:type="dxa"/>
            <w:vAlign w:val="bottom"/>
          </w:tcPr>
          <w:p>
            <w:pPr>
              <w:ind w:left="1240"/>
              <w:spacing w:after="0"/>
              <w:rPr>
                <w:sz w:val="20"/>
                <w:szCs w:val="20"/>
                <w:color w:val="auto"/>
              </w:rPr>
            </w:pPr>
            <w:r>
              <w:rPr>
                <w:rFonts w:ascii="Arial" w:cs="Arial" w:eastAsia="Arial" w:hAnsi="Arial"/>
                <w:sz w:val="17"/>
                <w:szCs w:val="17"/>
                <w:color w:val="auto"/>
              </w:rPr>
              <w:t>Sweden</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Avinode Shared Services AB</w:t>
            </w:r>
          </w:p>
        </w:tc>
        <w:tc>
          <w:tcPr>
            <w:tcW w:w="3480" w:type="dxa"/>
            <w:vAlign w:val="bottom"/>
          </w:tcPr>
          <w:p>
            <w:pPr>
              <w:ind w:left="1240"/>
              <w:spacing w:after="0"/>
              <w:rPr>
                <w:sz w:val="20"/>
                <w:szCs w:val="20"/>
                <w:color w:val="auto"/>
              </w:rPr>
            </w:pPr>
            <w:r>
              <w:rPr>
                <w:rFonts w:ascii="Arial" w:cs="Arial" w:eastAsia="Arial" w:hAnsi="Arial"/>
                <w:sz w:val="17"/>
                <w:szCs w:val="17"/>
                <w:color w:val="auto"/>
              </w:rPr>
              <w:t>Sweden</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Baseops International, Inc.</w:t>
            </w:r>
          </w:p>
        </w:tc>
        <w:tc>
          <w:tcPr>
            <w:tcW w:w="3480" w:type="dxa"/>
            <w:vAlign w:val="bottom"/>
          </w:tcPr>
          <w:p>
            <w:pPr>
              <w:ind w:left="1240"/>
              <w:spacing w:after="0"/>
              <w:rPr>
                <w:sz w:val="20"/>
                <w:szCs w:val="20"/>
                <w:color w:val="auto"/>
              </w:rPr>
            </w:pPr>
            <w:r>
              <w:rPr>
                <w:rFonts w:ascii="Arial" w:cs="Arial" w:eastAsia="Arial" w:hAnsi="Arial"/>
                <w:sz w:val="17"/>
                <w:szCs w:val="17"/>
                <w:color w:val="auto"/>
              </w:rPr>
              <w:t>Texas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Casa Petro, S.R.L.</w:t>
            </w:r>
          </w:p>
        </w:tc>
        <w:tc>
          <w:tcPr>
            <w:tcW w:w="3480" w:type="dxa"/>
            <w:vAlign w:val="bottom"/>
          </w:tcPr>
          <w:p>
            <w:pPr>
              <w:ind w:left="1240"/>
              <w:spacing w:after="0"/>
              <w:rPr>
                <w:sz w:val="20"/>
                <w:szCs w:val="20"/>
                <w:color w:val="auto"/>
              </w:rPr>
            </w:pPr>
            <w:r>
              <w:rPr>
                <w:rFonts w:ascii="Arial" w:cs="Arial" w:eastAsia="Arial" w:hAnsi="Arial"/>
                <w:sz w:val="17"/>
                <w:szCs w:val="17"/>
                <w:color w:val="auto"/>
              </w:rPr>
              <w:t>Costa Rica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Chrome Club, Inc.</w:t>
            </w:r>
          </w:p>
        </w:tc>
        <w:tc>
          <w:tcPr>
            <w:tcW w:w="3480" w:type="dxa"/>
            <w:vAlign w:val="bottom"/>
          </w:tcPr>
          <w:p>
            <w:pPr>
              <w:ind w:left="1240"/>
              <w:spacing w:after="0"/>
              <w:rPr>
                <w:sz w:val="20"/>
                <w:szCs w:val="20"/>
                <w:color w:val="auto"/>
              </w:rPr>
            </w:pPr>
            <w:r>
              <w:rPr>
                <w:rFonts w:ascii="Arial" w:cs="Arial" w:eastAsia="Arial" w:hAnsi="Arial"/>
                <w:sz w:val="17"/>
                <w:szCs w:val="17"/>
                <w:color w:val="auto"/>
              </w:rPr>
              <w:t>Minnesota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Colt International, L.L.C.</w:t>
            </w:r>
          </w:p>
        </w:tc>
        <w:tc>
          <w:tcPr>
            <w:tcW w:w="3480" w:type="dxa"/>
            <w:vAlign w:val="bottom"/>
          </w:tcPr>
          <w:p>
            <w:pPr>
              <w:ind w:left="1240"/>
              <w:spacing w:after="0"/>
              <w:rPr>
                <w:sz w:val="20"/>
                <w:szCs w:val="20"/>
                <w:color w:val="auto"/>
              </w:rPr>
            </w:pPr>
            <w:r>
              <w:rPr>
                <w:rFonts w:ascii="Arial" w:cs="Arial" w:eastAsia="Arial" w:hAnsi="Arial"/>
                <w:sz w:val="17"/>
                <w:szCs w:val="17"/>
                <w:color w:val="auto"/>
              </w:rPr>
              <w:t>Texas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Colt International das Américas Serviços de Aviação Ltda.</w:t>
            </w:r>
          </w:p>
        </w:tc>
        <w:tc>
          <w:tcPr>
            <w:tcW w:w="3480" w:type="dxa"/>
            <w:vAlign w:val="bottom"/>
          </w:tcPr>
          <w:p>
            <w:pPr>
              <w:ind w:left="1240"/>
              <w:spacing w:after="0"/>
              <w:rPr>
                <w:sz w:val="20"/>
                <w:szCs w:val="20"/>
                <w:color w:val="auto"/>
              </w:rPr>
            </w:pPr>
            <w:r>
              <w:rPr>
                <w:rFonts w:ascii="Arial" w:cs="Arial" w:eastAsia="Arial" w:hAnsi="Arial"/>
                <w:sz w:val="17"/>
                <w:szCs w:val="17"/>
                <w:color w:val="auto"/>
              </w:rPr>
              <w:t>Brazil</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Colt International Europe SARL</w:t>
            </w:r>
          </w:p>
        </w:tc>
        <w:tc>
          <w:tcPr>
            <w:tcW w:w="3480" w:type="dxa"/>
            <w:vAlign w:val="bottom"/>
          </w:tcPr>
          <w:p>
            <w:pPr>
              <w:ind w:left="1240"/>
              <w:spacing w:after="0"/>
              <w:rPr>
                <w:sz w:val="20"/>
                <w:szCs w:val="20"/>
                <w:color w:val="auto"/>
              </w:rPr>
            </w:pPr>
            <w:r>
              <w:rPr>
                <w:rFonts w:ascii="Arial" w:cs="Arial" w:eastAsia="Arial" w:hAnsi="Arial"/>
                <w:sz w:val="17"/>
                <w:szCs w:val="17"/>
                <w:color w:val="auto"/>
              </w:rPr>
              <w:t>Switzerland</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Colt International Flight Services Ireland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Ireland</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Colt International Hong Kong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Hong Kong</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Colt Risk Management Services, L.L.C.</w:t>
            </w:r>
          </w:p>
        </w:tc>
        <w:tc>
          <w:tcPr>
            <w:tcW w:w="3480" w:type="dxa"/>
            <w:vAlign w:val="bottom"/>
          </w:tcPr>
          <w:p>
            <w:pPr>
              <w:ind w:left="1240"/>
              <w:spacing w:after="0"/>
              <w:rPr>
                <w:sz w:val="20"/>
                <w:szCs w:val="20"/>
                <w:color w:val="auto"/>
              </w:rPr>
            </w:pPr>
            <w:r>
              <w:rPr>
                <w:rFonts w:ascii="Arial" w:cs="Arial" w:eastAsia="Arial" w:hAnsi="Arial"/>
                <w:sz w:val="17"/>
                <w:szCs w:val="17"/>
                <w:color w:val="auto"/>
              </w:rPr>
              <w:t>Texas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Ecuacentair Cia. Ltda.</w:t>
            </w:r>
          </w:p>
        </w:tc>
        <w:tc>
          <w:tcPr>
            <w:tcW w:w="3480" w:type="dxa"/>
            <w:vAlign w:val="bottom"/>
          </w:tcPr>
          <w:p>
            <w:pPr>
              <w:ind w:left="1240"/>
              <w:spacing w:after="0"/>
              <w:rPr>
                <w:sz w:val="20"/>
                <w:szCs w:val="20"/>
                <w:color w:val="auto"/>
              </w:rPr>
            </w:pPr>
            <w:r>
              <w:rPr>
                <w:rFonts w:ascii="Arial" w:cs="Arial" w:eastAsia="Arial" w:hAnsi="Arial"/>
                <w:sz w:val="17"/>
                <w:szCs w:val="17"/>
                <w:color w:val="auto"/>
              </w:rPr>
              <w:t>Ecuador</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Falmouth Oil Services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Falmouth Petroleum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Gib Oil (UK)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Gib Oil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Gibraltar</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Goldcup 10606 AB</w:t>
            </w:r>
          </w:p>
        </w:tc>
        <w:tc>
          <w:tcPr>
            <w:tcW w:w="3480" w:type="dxa"/>
            <w:vAlign w:val="bottom"/>
          </w:tcPr>
          <w:p>
            <w:pPr>
              <w:ind w:left="1240"/>
              <w:spacing w:after="0"/>
              <w:rPr>
                <w:sz w:val="20"/>
                <w:szCs w:val="20"/>
                <w:color w:val="auto"/>
              </w:rPr>
            </w:pPr>
            <w:r>
              <w:rPr>
                <w:rFonts w:ascii="Arial" w:cs="Arial" w:eastAsia="Arial" w:hAnsi="Arial"/>
                <w:sz w:val="17"/>
                <w:szCs w:val="17"/>
                <w:color w:val="auto"/>
              </w:rPr>
              <w:t>Sweden</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Hellenic Aviation Fuel Company S.A.</w:t>
            </w:r>
          </w:p>
        </w:tc>
        <w:tc>
          <w:tcPr>
            <w:tcW w:w="3480" w:type="dxa"/>
            <w:vAlign w:val="bottom"/>
          </w:tcPr>
          <w:p>
            <w:pPr>
              <w:ind w:left="1240"/>
              <w:spacing w:after="0"/>
              <w:rPr>
                <w:sz w:val="20"/>
                <w:szCs w:val="20"/>
                <w:color w:val="auto"/>
              </w:rPr>
            </w:pPr>
            <w:r>
              <w:rPr>
                <w:rFonts w:ascii="Arial" w:cs="Arial" w:eastAsia="Arial" w:hAnsi="Arial"/>
                <w:sz w:val="17"/>
                <w:szCs w:val="17"/>
                <w:color w:val="auto"/>
              </w:rPr>
              <w:t>Greece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Henty Oil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Henty Shipping Services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HG Equipment, LLC</w:t>
            </w:r>
          </w:p>
        </w:tc>
        <w:tc>
          <w:tcPr>
            <w:tcW w:w="3480" w:type="dxa"/>
            <w:vAlign w:val="bottom"/>
          </w:tcPr>
          <w:p>
            <w:pPr>
              <w:ind w:left="12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Intoplane Services (Gibraltar)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Gibraltar</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IRC Oil Technics, Inc.*</w:t>
            </w:r>
          </w:p>
        </w:tc>
        <w:tc>
          <w:tcPr>
            <w:tcW w:w="348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JCP Brazil, LLC</w:t>
            </w:r>
          </w:p>
        </w:tc>
        <w:tc>
          <w:tcPr>
            <w:tcW w:w="3480" w:type="dxa"/>
            <w:vAlign w:val="bottom"/>
          </w:tcPr>
          <w:p>
            <w:pPr>
              <w:ind w:left="1240"/>
              <w:spacing w:after="0"/>
              <w:rPr>
                <w:sz w:val="20"/>
                <w:szCs w:val="20"/>
                <w:color w:val="auto"/>
              </w:rPr>
            </w:pPr>
            <w:r>
              <w:rPr>
                <w:rFonts w:ascii="Arial" w:cs="Arial" w:eastAsia="Arial" w:hAnsi="Arial"/>
                <w:sz w:val="17"/>
                <w:szCs w:val="17"/>
                <w:color w:val="auto"/>
              </w:rPr>
              <w:t>Texas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Kropp Holdings, Inc.</w:t>
            </w:r>
          </w:p>
        </w:tc>
        <w:tc>
          <w:tcPr>
            <w:tcW w:w="3480" w:type="dxa"/>
            <w:vAlign w:val="bottom"/>
          </w:tcPr>
          <w:p>
            <w:pPr>
              <w:ind w:left="1240"/>
              <w:spacing w:after="0"/>
              <w:rPr>
                <w:sz w:val="20"/>
                <w:szCs w:val="20"/>
                <w:color w:val="auto"/>
              </w:rPr>
            </w:pPr>
            <w:r>
              <w:rPr>
                <w:rFonts w:ascii="Arial" w:cs="Arial" w:eastAsia="Arial" w:hAnsi="Arial"/>
                <w:sz w:val="17"/>
                <w:szCs w:val="17"/>
                <w:color w:val="auto"/>
              </w:rPr>
              <w:t>Maryland</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LFO Holdings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Linton Fuel Oils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MH Aviation Services (Pty) Ltd</w:t>
            </w:r>
          </w:p>
        </w:tc>
        <w:tc>
          <w:tcPr>
            <w:tcW w:w="3480" w:type="dxa"/>
            <w:vAlign w:val="bottom"/>
          </w:tcPr>
          <w:p>
            <w:pPr>
              <w:ind w:left="1240"/>
              <w:spacing w:after="0"/>
              <w:rPr>
                <w:sz w:val="20"/>
                <w:szCs w:val="20"/>
                <w:color w:val="auto"/>
              </w:rPr>
            </w:pPr>
            <w:r>
              <w:rPr>
                <w:rFonts w:ascii="Arial" w:cs="Arial" w:eastAsia="Arial" w:hAnsi="Arial"/>
                <w:sz w:val="17"/>
                <w:szCs w:val="17"/>
                <w:color w:val="auto"/>
              </w:rPr>
              <w:t>South Africa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MS Europe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Minster Fuels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Multi Service Aero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Multi Service Comercio, S. de R.L. de C.V.</w:t>
            </w:r>
          </w:p>
        </w:tc>
        <w:tc>
          <w:tcPr>
            <w:tcW w:w="3480" w:type="dxa"/>
            <w:vAlign w:val="bottom"/>
          </w:tcPr>
          <w:p>
            <w:pPr>
              <w:ind w:left="1240"/>
              <w:spacing w:after="0"/>
              <w:rPr>
                <w:sz w:val="20"/>
                <w:szCs w:val="20"/>
                <w:color w:val="auto"/>
              </w:rPr>
            </w:pPr>
            <w:r>
              <w:rPr>
                <w:rFonts w:ascii="Arial" w:cs="Arial" w:eastAsia="Arial" w:hAnsi="Arial"/>
                <w:sz w:val="17"/>
                <w:szCs w:val="17"/>
                <w:color w:val="auto"/>
              </w:rPr>
              <w:t>Mexico</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Multi Service Holding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Multi Service Pre Paid Solutions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Multi Service Private Label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Multi Service PTY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Australia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Multi Service Technology Solutions, Inc.</w:t>
            </w:r>
          </w:p>
        </w:tc>
        <w:tc>
          <w:tcPr>
            <w:tcW w:w="3480" w:type="dxa"/>
            <w:vAlign w:val="bottom"/>
          </w:tcPr>
          <w:p>
            <w:pPr>
              <w:ind w:left="12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235"/>
        </w:trPr>
        <w:tc>
          <w:tcPr>
            <w:tcW w:w="5760" w:type="dxa"/>
            <w:vAlign w:val="bottom"/>
          </w:tcPr>
          <w:p>
            <w:pPr>
              <w:ind w:left="60"/>
              <w:spacing w:after="0"/>
              <w:rPr>
                <w:sz w:val="20"/>
                <w:szCs w:val="20"/>
                <w:color w:val="auto"/>
              </w:rPr>
            </w:pPr>
            <w:r>
              <w:rPr>
                <w:rFonts w:ascii="Arial" w:cs="Arial" w:eastAsia="Arial" w:hAnsi="Arial"/>
                <w:sz w:val="17"/>
                <w:szCs w:val="17"/>
                <w:color w:val="auto"/>
              </w:rPr>
              <w:t>NCS US, Inc.</w:t>
            </w:r>
          </w:p>
        </w:tc>
        <w:tc>
          <w:tcPr>
            <w:tcW w:w="3480" w:type="dxa"/>
            <w:vAlign w:val="bottom"/>
          </w:tcPr>
          <w:p>
            <w:pPr>
              <w:ind w:left="1240"/>
              <w:spacing w:after="0"/>
              <w:rPr>
                <w:sz w:val="20"/>
                <w:szCs w:val="20"/>
                <w:color w:val="auto"/>
              </w:rPr>
            </w:pPr>
            <w:r>
              <w:rPr>
                <w:rFonts w:ascii="Arial" w:cs="Arial" w:eastAsia="Arial" w:hAnsi="Arial"/>
                <w:sz w:val="17"/>
                <w:szCs w:val="17"/>
                <w:color w:val="auto"/>
              </w:rPr>
              <w:t>Virginia</w:t>
            </w:r>
          </w:p>
        </w:tc>
        <w:tc>
          <w:tcPr>
            <w:tcW w:w="20" w:type="dxa"/>
            <w:vAlign w:val="bottom"/>
          </w:tcPr>
          <w:p>
            <w:pPr>
              <w:spacing w:after="0"/>
              <w:rPr>
                <w:sz w:val="20"/>
                <w:szCs w:val="20"/>
                <w:color w:val="auto"/>
              </w:rPr>
            </w:pPr>
          </w:p>
        </w:tc>
      </w:tr>
      <w:tr>
        <w:trPr>
          <w:trHeight w:val="385"/>
        </w:trPr>
        <w:tc>
          <w:tcPr>
            <w:tcW w:w="57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5760" w:type="dxa"/>
            <w:vAlign w:val="bottom"/>
            <w:tcBorders>
              <w:bottom w:val="single" w:sz="8" w:color="EEEEEE"/>
            </w:tcBorders>
          </w:tcPr>
          <w:p>
            <w:pPr>
              <w:spacing w:after="0" w:line="20" w:lineRule="exact"/>
              <w:rPr>
                <w:sz w:val="1"/>
                <w:szCs w:val="1"/>
                <w:color w:val="auto"/>
              </w:rPr>
            </w:pPr>
          </w:p>
        </w:tc>
        <w:tc>
          <w:tcPr>
            <w:tcW w:w="3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5859145</wp:posOffset>
            </wp:positionH>
            <wp:positionV relativeFrom="paragraph">
              <wp:posOffset>-36830</wp:posOffset>
            </wp:positionV>
            <wp:extent cx="33655"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-36830</wp:posOffset>
            </wp:positionV>
            <wp:extent cx="33655" cy="50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9260"/>
          </w:cols>
          <w:pgMar w:left="1340" w:top="108" w:right="12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9"/>
        </w:trPr>
        <w:tc>
          <w:tcPr>
            <w:tcW w:w="5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Entity Name</w:t>
            </w:r>
          </w:p>
        </w:tc>
        <w:tc>
          <w:tcPr>
            <w:tcW w:w="34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Jurisdiction</w:t>
            </w:r>
          </w:p>
        </w:tc>
        <w:tc>
          <w:tcPr>
            <w:tcW w:w="20" w:type="dxa"/>
            <w:vAlign w:val="bottom"/>
          </w:tcPr>
          <w:p>
            <w:pPr>
              <w:spacing w:after="0"/>
              <w:rPr>
                <w:sz w:val="14"/>
                <w:szCs w:val="14"/>
                <w:color w:val="auto"/>
              </w:rPr>
            </w:pPr>
          </w:p>
        </w:tc>
      </w:tr>
      <w:tr>
        <w:trPr>
          <w:trHeight w:val="165"/>
        </w:trPr>
        <w:tc>
          <w:tcPr>
            <w:tcW w:w="5760" w:type="dxa"/>
            <w:vAlign w:val="bottom"/>
          </w:tcPr>
          <w:p>
            <w:pPr>
              <w:ind w:left="60"/>
              <w:spacing w:after="0" w:line="165" w:lineRule="exact"/>
              <w:rPr>
                <w:sz w:val="20"/>
                <w:szCs w:val="20"/>
                <w:color w:val="auto"/>
              </w:rPr>
            </w:pPr>
            <w:r>
              <w:rPr>
                <w:rFonts w:ascii="Arial" w:cs="Arial" w:eastAsia="Arial" w:hAnsi="Arial"/>
                <w:sz w:val="17"/>
                <w:szCs w:val="17"/>
                <w:color w:val="auto"/>
              </w:rPr>
              <w:t>Nordic Camp Supply ApS</w:t>
            </w:r>
          </w:p>
        </w:tc>
        <w:tc>
          <w:tcPr>
            <w:tcW w:w="3480" w:type="dxa"/>
            <w:vAlign w:val="bottom"/>
          </w:tcPr>
          <w:p>
            <w:pPr>
              <w:ind w:left="1240"/>
              <w:spacing w:after="0" w:line="165" w:lineRule="exact"/>
              <w:rPr>
                <w:sz w:val="20"/>
                <w:szCs w:val="20"/>
                <w:color w:val="auto"/>
              </w:rPr>
            </w:pPr>
            <w:r>
              <w:rPr>
                <w:rFonts w:ascii="Arial" w:cs="Arial" w:eastAsia="Arial" w:hAnsi="Arial"/>
                <w:sz w:val="17"/>
                <w:szCs w:val="17"/>
                <w:color w:val="auto"/>
              </w:rPr>
              <w:t>Denmark</w:t>
            </w:r>
          </w:p>
        </w:tc>
        <w:tc>
          <w:tcPr>
            <w:tcW w:w="20" w:type="dxa"/>
            <w:vAlign w:val="bottom"/>
          </w:tcPr>
          <w:p>
            <w:pPr>
              <w:spacing w:after="0"/>
              <w:rPr>
                <w:sz w:val="14"/>
                <w:szCs w:val="14"/>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Nordic Camp Supply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Norse Bunkers AS</w:t>
            </w:r>
          </w:p>
        </w:tc>
        <w:tc>
          <w:tcPr>
            <w:tcW w:w="3480" w:type="dxa"/>
            <w:vAlign w:val="bottom"/>
          </w:tcPr>
          <w:p>
            <w:pPr>
              <w:ind w:left="1240"/>
              <w:spacing w:after="0"/>
              <w:rPr>
                <w:sz w:val="20"/>
                <w:szCs w:val="20"/>
                <w:color w:val="auto"/>
              </w:rPr>
            </w:pPr>
            <w:r>
              <w:rPr>
                <w:rFonts w:ascii="Arial" w:cs="Arial" w:eastAsia="Arial" w:hAnsi="Arial"/>
                <w:sz w:val="17"/>
                <w:szCs w:val="17"/>
                <w:color w:val="auto"/>
              </w:rPr>
              <w:t>Norway</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Oil Shipping (Bunkering) B.V.</w:t>
            </w:r>
          </w:p>
        </w:tc>
        <w:tc>
          <w:tcPr>
            <w:tcW w:w="3480" w:type="dxa"/>
            <w:vAlign w:val="bottom"/>
          </w:tcPr>
          <w:p>
            <w:pPr>
              <w:ind w:left="1240"/>
              <w:spacing w:after="0"/>
              <w:rPr>
                <w:sz w:val="20"/>
                <w:szCs w:val="20"/>
                <w:color w:val="auto"/>
              </w:rPr>
            </w:pPr>
            <w:r>
              <w:rPr>
                <w:rFonts w:ascii="Arial" w:cs="Arial" w:eastAsia="Arial" w:hAnsi="Arial"/>
                <w:sz w:val="17"/>
                <w:szCs w:val="17"/>
                <w:color w:val="auto"/>
              </w:rPr>
              <w:t>Netherlands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Oil Shipping Korea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Korea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Page Avjet Fuel Co., L.L.C.</w:t>
            </w:r>
          </w:p>
        </w:tc>
        <w:tc>
          <w:tcPr>
            <w:tcW w:w="348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Petro Air, Corp.</w:t>
            </w:r>
          </w:p>
        </w:tc>
        <w:tc>
          <w:tcPr>
            <w:tcW w:w="3480" w:type="dxa"/>
            <w:vAlign w:val="bottom"/>
          </w:tcPr>
          <w:p>
            <w:pPr>
              <w:ind w:left="1240"/>
              <w:spacing w:after="0"/>
              <w:rPr>
                <w:sz w:val="20"/>
                <w:szCs w:val="20"/>
                <w:color w:val="auto"/>
              </w:rPr>
            </w:pPr>
            <w:r>
              <w:rPr>
                <w:rFonts w:ascii="Arial" w:cs="Arial" w:eastAsia="Arial" w:hAnsi="Arial"/>
                <w:sz w:val="17"/>
                <w:szCs w:val="17"/>
                <w:color w:val="auto"/>
              </w:rPr>
              <w:t>Puerto Rico</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Petroleum Transport Solutions, LLC</w:t>
            </w:r>
          </w:p>
        </w:tc>
        <w:tc>
          <w:tcPr>
            <w:tcW w:w="3480" w:type="dxa"/>
            <w:vAlign w:val="bottom"/>
          </w:tcPr>
          <w:p>
            <w:pPr>
              <w:ind w:left="1240"/>
              <w:spacing w:after="0"/>
              <w:rPr>
                <w:sz w:val="20"/>
                <w:szCs w:val="20"/>
                <w:color w:val="auto"/>
              </w:rPr>
            </w:pPr>
            <w:r>
              <w:rPr>
                <w:rFonts w:ascii="Arial" w:cs="Arial" w:eastAsia="Arial" w:hAnsi="Arial"/>
                <w:sz w:val="17"/>
                <w:szCs w:val="17"/>
                <w:color w:val="auto"/>
              </w:rPr>
              <w:t>Minnesota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Petromundo Internacional Acquisition Company, Limitada</w:t>
            </w:r>
          </w:p>
        </w:tc>
        <w:tc>
          <w:tcPr>
            <w:tcW w:w="3480" w:type="dxa"/>
            <w:vAlign w:val="bottom"/>
          </w:tcPr>
          <w:p>
            <w:pPr>
              <w:ind w:left="1240"/>
              <w:spacing w:after="0"/>
              <w:rPr>
                <w:sz w:val="20"/>
                <w:szCs w:val="20"/>
                <w:color w:val="auto"/>
              </w:rPr>
            </w:pPr>
            <w:r>
              <w:rPr>
                <w:rFonts w:ascii="Arial" w:cs="Arial" w:eastAsia="Arial" w:hAnsi="Arial"/>
                <w:sz w:val="17"/>
                <w:szCs w:val="17"/>
                <w:color w:val="auto"/>
              </w:rPr>
              <w:t>Costa Rica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PetroServicios de Costa Rica, S.R.L.</w:t>
            </w:r>
          </w:p>
        </w:tc>
        <w:tc>
          <w:tcPr>
            <w:tcW w:w="3480" w:type="dxa"/>
            <w:vAlign w:val="bottom"/>
          </w:tcPr>
          <w:p>
            <w:pPr>
              <w:ind w:left="1240"/>
              <w:spacing w:after="0"/>
              <w:rPr>
                <w:sz w:val="20"/>
                <w:szCs w:val="20"/>
                <w:color w:val="auto"/>
              </w:rPr>
            </w:pPr>
            <w:r>
              <w:rPr>
                <w:rFonts w:ascii="Arial" w:cs="Arial" w:eastAsia="Arial" w:hAnsi="Arial"/>
                <w:sz w:val="17"/>
                <w:szCs w:val="17"/>
                <w:color w:val="auto"/>
              </w:rPr>
              <w:t>Costa Rica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PT Oil Shipping Trans Indonesia</w:t>
            </w:r>
          </w:p>
        </w:tc>
        <w:tc>
          <w:tcPr>
            <w:tcW w:w="3480" w:type="dxa"/>
            <w:vAlign w:val="bottom"/>
          </w:tcPr>
          <w:p>
            <w:pPr>
              <w:ind w:left="1240"/>
              <w:spacing w:after="0"/>
              <w:rPr>
                <w:sz w:val="20"/>
                <w:szCs w:val="20"/>
                <w:color w:val="auto"/>
              </w:rPr>
            </w:pPr>
            <w:r>
              <w:rPr>
                <w:rFonts w:ascii="Arial" w:cs="Arial" w:eastAsia="Arial" w:hAnsi="Arial"/>
                <w:sz w:val="17"/>
                <w:szCs w:val="17"/>
                <w:color w:val="auto"/>
              </w:rPr>
              <w:t>Indonesia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PT Servicios De Guatemala, Limitada</w:t>
            </w:r>
          </w:p>
        </w:tc>
        <w:tc>
          <w:tcPr>
            <w:tcW w:w="3480" w:type="dxa"/>
            <w:vAlign w:val="bottom"/>
          </w:tcPr>
          <w:p>
            <w:pPr>
              <w:ind w:left="1240"/>
              <w:spacing w:after="0"/>
              <w:rPr>
                <w:sz w:val="20"/>
                <w:szCs w:val="20"/>
                <w:color w:val="auto"/>
              </w:rPr>
            </w:pPr>
            <w:r>
              <w:rPr>
                <w:rFonts w:ascii="Arial" w:cs="Arial" w:eastAsia="Arial" w:hAnsi="Arial"/>
                <w:sz w:val="17"/>
                <w:szCs w:val="17"/>
                <w:color w:val="auto"/>
              </w:rPr>
              <w:t>Guatemala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Resource Recovery of America, Inc.*</w:t>
            </w:r>
          </w:p>
        </w:tc>
        <w:tc>
          <w:tcPr>
            <w:tcW w:w="3480" w:type="dxa"/>
            <w:vAlign w:val="bottom"/>
          </w:tcPr>
          <w:p>
            <w:pPr>
              <w:ind w:left="12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Schedaero AB</w:t>
            </w:r>
          </w:p>
        </w:tc>
        <w:tc>
          <w:tcPr>
            <w:tcW w:w="3480" w:type="dxa"/>
            <w:vAlign w:val="bottom"/>
          </w:tcPr>
          <w:p>
            <w:pPr>
              <w:ind w:left="1240"/>
              <w:spacing w:after="0"/>
              <w:rPr>
                <w:sz w:val="20"/>
                <w:szCs w:val="20"/>
                <w:color w:val="auto"/>
              </w:rPr>
            </w:pPr>
            <w:r>
              <w:rPr>
                <w:rFonts w:ascii="Arial" w:cs="Arial" w:eastAsia="Arial" w:hAnsi="Arial"/>
                <w:sz w:val="17"/>
                <w:szCs w:val="17"/>
                <w:color w:val="auto"/>
              </w:rPr>
              <w:t>Sweden</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Schedaero, Inc.</w:t>
            </w:r>
          </w:p>
        </w:tc>
        <w:tc>
          <w:tcPr>
            <w:tcW w:w="348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Servicios Auxiliares de México S.A. de C.V.</w:t>
            </w:r>
          </w:p>
        </w:tc>
        <w:tc>
          <w:tcPr>
            <w:tcW w:w="3480" w:type="dxa"/>
            <w:vAlign w:val="bottom"/>
          </w:tcPr>
          <w:p>
            <w:pPr>
              <w:ind w:left="1240"/>
              <w:spacing w:after="0"/>
              <w:rPr>
                <w:sz w:val="20"/>
                <w:szCs w:val="20"/>
                <w:color w:val="auto"/>
              </w:rPr>
            </w:pPr>
            <w:r>
              <w:rPr>
                <w:rFonts w:ascii="Arial" w:cs="Arial" w:eastAsia="Arial" w:hAnsi="Arial"/>
                <w:sz w:val="17"/>
                <w:szCs w:val="17"/>
                <w:color w:val="auto"/>
              </w:rPr>
              <w:t>Mexico</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Servicios WFSE Ecuador C.L.</w:t>
            </w:r>
          </w:p>
        </w:tc>
        <w:tc>
          <w:tcPr>
            <w:tcW w:w="3480" w:type="dxa"/>
            <w:vAlign w:val="bottom"/>
          </w:tcPr>
          <w:p>
            <w:pPr>
              <w:ind w:left="1240"/>
              <w:spacing w:after="0"/>
              <w:rPr>
                <w:sz w:val="20"/>
                <w:szCs w:val="20"/>
                <w:color w:val="auto"/>
              </w:rPr>
            </w:pPr>
            <w:r>
              <w:rPr>
                <w:rFonts w:ascii="Arial" w:cs="Arial" w:eastAsia="Arial" w:hAnsi="Arial"/>
                <w:sz w:val="17"/>
                <w:szCs w:val="17"/>
                <w:color w:val="auto"/>
              </w:rPr>
              <w:t>Ecuador</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Spire Flight Solutions (Ireland)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Ireland</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Tamlyn Shipping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Tank and Marine Engineering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The Hiller Group Incorporated</w:t>
            </w:r>
          </w:p>
        </w:tc>
        <w:tc>
          <w:tcPr>
            <w:tcW w:w="3480" w:type="dxa"/>
            <w:vAlign w:val="bottom"/>
          </w:tcPr>
          <w:p>
            <w:pPr>
              <w:ind w:left="12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The Lubricant Company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TM Hawkins Brazil, LLC</w:t>
            </w:r>
          </w:p>
        </w:tc>
        <w:tc>
          <w:tcPr>
            <w:tcW w:w="3480" w:type="dxa"/>
            <w:vAlign w:val="bottom"/>
          </w:tcPr>
          <w:p>
            <w:pPr>
              <w:ind w:left="1240"/>
              <w:spacing w:after="0"/>
              <w:rPr>
                <w:sz w:val="20"/>
                <w:szCs w:val="20"/>
                <w:color w:val="auto"/>
              </w:rPr>
            </w:pPr>
            <w:r>
              <w:rPr>
                <w:rFonts w:ascii="Arial" w:cs="Arial" w:eastAsia="Arial" w:hAnsi="Arial"/>
                <w:sz w:val="17"/>
                <w:szCs w:val="17"/>
                <w:color w:val="auto"/>
              </w:rPr>
              <w:t>Texas</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Tobras Distribuidora de Combustíveis Ltda.</w:t>
            </w:r>
          </w:p>
        </w:tc>
        <w:tc>
          <w:tcPr>
            <w:tcW w:w="3480" w:type="dxa"/>
            <w:vAlign w:val="bottom"/>
          </w:tcPr>
          <w:p>
            <w:pPr>
              <w:ind w:left="1240"/>
              <w:spacing w:after="0"/>
              <w:rPr>
                <w:sz w:val="20"/>
                <w:szCs w:val="20"/>
                <w:color w:val="auto"/>
              </w:rPr>
            </w:pPr>
            <w:r>
              <w:rPr>
                <w:rFonts w:ascii="Arial" w:cs="Arial" w:eastAsia="Arial" w:hAnsi="Arial"/>
                <w:sz w:val="17"/>
                <w:szCs w:val="17"/>
                <w:color w:val="auto"/>
              </w:rPr>
              <w:t>Brazil</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Group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Holdings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Oil (Brasil) Ltda.</w:t>
            </w:r>
          </w:p>
        </w:tc>
        <w:tc>
          <w:tcPr>
            <w:tcW w:w="3480" w:type="dxa"/>
            <w:vAlign w:val="bottom"/>
          </w:tcPr>
          <w:p>
            <w:pPr>
              <w:ind w:left="1240"/>
              <w:spacing w:after="0"/>
              <w:rPr>
                <w:sz w:val="20"/>
                <w:szCs w:val="20"/>
                <w:color w:val="auto"/>
              </w:rPr>
            </w:pPr>
            <w:r>
              <w:rPr>
                <w:rFonts w:ascii="Arial" w:cs="Arial" w:eastAsia="Arial" w:hAnsi="Arial"/>
                <w:sz w:val="17"/>
                <w:szCs w:val="17"/>
                <w:color w:val="auto"/>
              </w:rPr>
              <w:t>Brazil</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Oil &amp; Marine (Chile) S.A.</w:t>
            </w:r>
          </w:p>
        </w:tc>
        <w:tc>
          <w:tcPr>
            <w:tcW w:w="3480" w:type="dxa"/>
            <w:vAlign w:val="bottom"/>
          </w:tcPr>
          <w:p>
            <w:pPr>
              <w:ind w:left="1240"/>
              <w:spacing w:after="0"/>
              <w:rPr>
                <w:sz w:val="20"/>
                <w:szCs w:val="20"/>
                <w:color w:val="auto"/>
              </w:rPr>
            </w:pPr>
            <w:r>
              <w:rPr>
                <w:rFonts w:ascii="Arial" w:cs="Arial" w:eastAsia="Arial" w:hAnsi="Arial"/>
                <w:sz w:val="17"/>
                <w:szCs w:val="17"/>
                <w:color w:val="auto"/>
              </w:rPr>
              <w:t>Chile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Oil Distribuidora Ltda.</w:t>
            </w:r>
          </w:p>
        </w:tc>
        <w:tc>
          <w:tcPr>
            <w:tcW w:w="3480" w:type="dxa"/>
            <w:vAlign w:val="bottom"/>
          </w:tcPr>
          <w:p>
            <w:pPr>
              <w:ind w:left="1240"/>
              <w:spacing w:after="0"/>
              <w:rPr>
                <w:sz w:val="20"/>
                <w:szCs w:val="20"/>
                <w:color w:val="auto"/>
              </w:rPr>
            </w:pPr>
            <w:r>
              <w:rPr>
                <w:rFonts w:ascii="Arial" w:cs="Arial" w:eastAsia="Arial" w:hAnsi="Arial"/>
                <w:sz w:val="17"/>
                <w:szCs w:val="17"/>
                <w:color w:val="auto"/>
              </w:rPr>
              <w:t>Brazil</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Oil Germany GmbH &amp; Co KG</w:t>
            </w:r>
          </w:p>
        </w:tc>
        <w:tc>
          <w:tcPr>
            <w:tcW w:w="3480" w:type="dxa"/>
            <w:vAlign w:val="bottom"/>
          </w:tcPr>
          <w:p>
            <w:pPr>
              <w:ind w:left="1240"/>
              <w:spacing w:after="0"/>
              <w:rPr>
                <w:sz w:val="20"/>
                <w:szCs w:val="20"/>
                <w:color w:val="auto"/>
              </w:rPr>
            </w:pPr>
            <w:r>
              <w:rPr>
                <w:rFonts w:ascii="Arial" w:cs="Arial" w:eastAsia="Arial" w:hAnsi="Arial"/>
                <w:sz w:val="17"/>
                <w:szCs w:val="17"/>
                <w:color w:val="auto"/>
              </w:rPr>
              <w:t>Germany</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Oil Schiffahrts-und Handelsgesellschaft mbH &amp; Co.</w:t>
            </w:r>
          </w:p>
        </w:tc>
        <w:tc>
          <w:tcPr>
            <w:tcW w:w="3480" w:type="dxa"/>
            <w:vAlign w:val="bottom"/>
          </w:tcPr>
          <w:p>
            <w:pPr>
              <w:ind w:left="1240"/>
              <w:spacing w:after="0"/>
              <w:rPr>
                <w:sz w:val="20"/>
                <w:szCs w:val="20"/>
                <w:color w:val="auto"/>
              </w:rPr>
            </w:pPr>
            <w:r>
              <w:rPr>
                <w:rFonts w:ascii="Arial" w:cs="Arial" w:eastAsia="Arial" w:hAnsi="Arial"/>
                <w:sz w:val="17"/>
                <w:szCs w:val="17"/>
                <w:color w:val="auto"/>
              </w:rPr>
              <w:t>Germany</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Oil &amp; Marine (Argentina) S.A.</w:t>
            </w:r>
          </w:p>
        </w:tc>
        <w:tc>
          <w:tcPr>
            <w:tcW w:w="3480" w:type="dxa"/>
            <w:vAlign w:val="bottom"/>
          </w:tcPr>
          <w:p>
            <w:pPr>
              <w:ind w:left="1240"/>
              <w:spacing w:after="0"/>
              <w:rPr>
                <w:sz w:val="20"/>
                <w:szCs w:val="20"/>
                <w:color w:val="auto"/>
              </w:rPr>
            </w:pPr>
            <w:r>
              <w:rPr>
                <w:rFonts w:ascii="Arial" w:cs="Arial" w:eastAsia="Arial" w:hAnsi="Arial"/>
                <w:sz w:val="17"/>
                <w:szCs w:val="17"/>
                <w:color w:val="auto"/>
              </w:rPr>
              <w:t>Argentina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Oil &amp; Marine (Chile) S.A.</w:t>
            </w:r>
          </w:p>
        </w:tc>
        <w:tc>
          <w:tcPr>
            <w:tcW w:w="3480" w:type="dxa"/>
            <w:vAlign w:val="bottom"/>
          </w:tcPr>
          <w:p>
            <w:pPr>
              <w:ind w:left="1240"/>
              <w:spacing w:after="0"/>
              <w:rPr>
                <w:sz w:val="20"/>
                <w:szCs w:val="20"/>
                <w:color w:val="auto"/>
              </w:rPr>
            </w:pPr>
            <w:r>
              <w:rPr>
                <w:rFonts w:ascii="Arial" w:cs="Arial" w:eastAsia="Arial" w:hAnsi="Arial"/>
                <w:sz w:val="17"/>
                <w:szCs w:val="17"/>
                <w:color w:val="auto"/>
              </w:rPr>
              <w:t>Chile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Tramp Oil &amp; Marine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Trans-Tec International S.R.L.</w:t>
            </w:r>
          </w:p>
        </w:tc>
        <w:tc>
          <w:tcPr>
            <w:tcW w:w="3480" w:type="dxa"/>
            <w:vAlign w:val="bottom"/>
          </w:tcPr>
          <w:p>
            <w:pPr>
              <w:ind w:left="1240"/>
              <w:spacing w:after="0"/>
              <w:rPr>
                <w:sz w:val="20"/>
                <w:szCs w:val="20"/>
                <w:color w:val="auto"/>
              </w:rPr>
            </w:pPr>
            <w:r>
              <w:rPr>
                <w:rFonts w:ascii="Arial" w:cs="Arial" w:eastAsia="Arial" w:hAnsi="Arial"/>
                <w:sz w:val="17"/>
                <w:szCs w:val="17"/>
                <w:color w:val="auto"/>
              </w:rPr>
              <w:t>Costa Rica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Trans-Tec Mundial Acquisition Company, Limitada</w:t>
            </w:r>
          </w:p>
        </w:tc>
        <w:tc>
          <w:tcPr>
            <w:tcW w:w="3480" w:type="dxa"/>
            <w:vAlign w:val="bottom"/>
          </w:tcPr>
          <w:p>
            <w:pPr>
              <w:ind w:left="1240"/>
              <w:spacing w:after="0"/>
              <w:rPr>
                <w:sz w:val="20"/>
                <w:szCs w:val="20"/>
                <w:color w:val="auto"/>
              </w:rPr>
            </w:pPr>
            <w:r>
              <w:rPr>
                <w:rFonts w:ascii="Arial" w:cs="Arial" w:eastAsia="Arial" w:hAnsi="Arial"/>
                <w:sz w:val="17"/>
                <w:szCs w:val="17"/>
                <w:color w:val="auto"/>
              </w:rPr>
              <w:t>Costa Rica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U.S. Energy Engineering, Inc.</w:t>
            </w:r>
          </w:p>
        </w:tc>
        <w:tc>
          <w:tcPr>
            <w:tcW w:w="3480" w:type="dxa"/>
            <w:vAlign w:val="bottom"/>
          </w:tcPr>
          <w:p>
            <w:pPr>
              <w:ind w:left="1240"/>
              <w:spacing w:after="0"/>
              <w:rPr>
                <w:sz w:val="20"/>
                <w:szCs w:val="20"/>
                <w:color w:val="auto"/>
              </w:rPr>
            </w:pPr>
            <w:r>
              <w:rPr>
                <w:rFonts w:ascii="Arial" w:cs="Arial" w:eastAsia="Arial" w:hAnsi="Arial"/>
                <w:sz w:val="17"/>
                <w:szCs w:val="17"/>
                <w:color w:val="auto"/>
              </w:rPr>
              <w:t>Minnesota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U.S. Energy Services, Inc.</w:t>
            </w:r>
          </w:p>
        </w:tc>
        <w:tc>
          <w:tcPr>
            <w:tcW w:w="3480" w:type="dxa"/>
            <w:vAlign w:val="bottom"/>
          </w:tcPr>
          <w:p>
            <w:pPr>
              <w:ind w:left="1240"/>
              <w:spacing w:after="0"/>
              <w:rPr>
                <w:sz w:val="20"/>
                <w:szCs w:val="20"/>
                <w:color w:val="auto"/>
              </w:rPr>
            </w:pPr>
            <w:r>
              <w:rPr>
                <w:rFonts w:ascii="Arial" w:cs="Arial" w:eastAsia="Arial" w:hAnsi="Arial"/>
                <w:sz w:val="17"/>
                <w:szCs w:val="17"/>
                <w:color w:val="auto"/>
              </w:rPr>
              <w:t>Minnesota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Western Aviation Products LLC*</w:t>
            </w:r>
          </w:p>
        </w:tc>
        <w:tc>
          <w:tcPr>
            <w:tcW w:w="3480" w:type="dxa"/>
            <w:vAlign w:val="bottom"/>
          </w:tcPr>
          <w:p>
            <w:pPr>
              <w:ind w:left="1240"/>
              <w:spacing w:after="0"/>
              <w:rPr>
                <w:sz w:val="20"/>
                <w:szCs w:val="20"/>
                <w:color w:val="auto"/>
              </w:rPr>
            </w:pPr>
            <w:r>
              <w:rPr>
                <w:rFonts w:ascii="Arial" w:cs="Arial" w:eastAsia="Arial" w:hAnsi="Arial"/>
                <w:sz w:val="17"/>
                <w:szCs w:val="17"/>
                <w:color w:val="auto"/>
              </w:rPr>
              <w:t>Minnesota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Western Petroleum Company</w:t>
            </w:r>
          </w:p>
        </w:tc>
        <w:tc>
          <w:tcPr>
            <w:tcW w:w="3480" w:type="dxa"/>
            <w:vAlign w:val="bottom"/>
          </w:tcPr>
          <w:p>
            <w:pPr>
              <w:ind w:left="1240"/>
              <w:spacing w:after="0"/>
              <w:rPr>
                <w:sz w:val="20"/>
                <w:szCs w:val="20"/>
                <w:color w:val="auto"/>
              </w:rPr>
            </w:pPr>
            <w:r>
              <w:rPr>
                <w:rFonts w:ascii="Arial" w:cs="Arial" w:eastAsia="Arial" w:hAnsi="Arial"/>
                <w:sz w:val="17"/>
                <w:szCs w:val="17"/>
                <w:color w:val="auto"/>
              </w:rPr>
              <w:t>Minnesota</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WFL Mozambique Lda</w:t>
            </w:r>
          </w:p>
        </w:tc>
        <w:tc>
          <w:tcPr>
            <w:tcW w:w="3480" w:type="dxa"/>
            <w:vAlign w:val="bottom"/>
          </w:tcPr>
          <w:p>
            <w:pPr>
              <w:ind w:left="1240"/>
              <w:spacing w:after="0"/>
              <w:rPr>
                <w:sz w:val="20"/>
                <w:szCs w:val="20"/>
                <w:color w:val="auto"/>
              </w:rPr>
            </w:pPr>
            <w:r>
              <w:rPr>
                <w:rFonts w:ascii="Arial" w:cs="Arial" w:eastAsia="Arial" w:hAnsi="Arial"/>
                <w:sz w:val="17"/>
                <w:szCs w:val="17"/>
                <w:color w:val="auto"/>
              </w:rPr>
              <w:t>Mozambique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&amp; J Company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Japan</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Agencia de Naves S.A.</w:t>
            </w:r>
          </w:p>
        </w:tc>
        <w:tc>
          <w:tcPr>
            <w:tcW w:w="3480" w:type="dxa"/>
            <w:vAlign w:val="bottom"/>
          </w:tcPr>
          <w:p>
            <w:pPr>
              <w:ind w:left="1240"/>
              <w:spacing w:after="0"/>
              <w:rPr>
                <w:sz w:val="20"/>
                <w:szCs w:val="20"/>
                <w:color w:val="auto"/>
              </w:rPr>
            </w:pPr>
            <w:r>
              <w:rPr>
                <w:rFonts w:ascii="Arial" w:cs="Arial" w:eastAsia="Arial" w:hAnsi="Arial"/>
                <w:sz w:val="17"/>
                <w:szCs w:val="17"/>
                <w:color w:val="auto"/>
              </w:rPr>
              <w:t>Chile</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Danish Holding Company I ApS*</w:t>
            </w:r>
          </w:p>
        </w:tc>
        <w:tc>
          <w:tcPr>
            <w:tcW w:w="3480" w:type="dxa"/>
            <w:vAlign w:val="bottom"/>
          </w:tcPr>
          <w:p>
            <w:pPr>
              <w:ind w:left="1240"/>
              <w:spacing w:after="0"/>
              <w:rPr>
                <w:sz w:val="20"/>
                <w:szCs w:val="20"/>
                <w:color w:val="auto"/>
              </w:rPr>
            </w:pPr>
            <w:r>
              <w:rPr>
                <w:rFonts w:ascii="Arial" w:cs="Arial" w:eastAsia="Arial" w:hAnsi="Arial"/>
                <w:sz w:val="17"/>
                <w:szCs w:val="17"/>
                <w:color w:val="auto"/>
              </w:rPr>
              <w:t>Denmark</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Danish Holding Partnership K/S</w:t>
            </w:r>
          </w:p>
        </w:tc>
        <w:tc>
          <w:tcPr>
            <w:tcW w:w="3480" w:type="dxa"/>
            <w:vAlign w:val="bottom"/>
          </w:tcPr>
          <w:p>
            <w:pPr>
              <w:ind w:left="1240"/>
              <w:spacing w:after="0"/>
              <w:rPr>
                <w:sz w:val="20"/>
                <w:szCs w:val="20"/>
                <w:color w:val="auto"/>
              </w:rPr>
            </w:pPr>
            <w:r>
              <w:rPr>
                <w:rFonts w:ascii="Arial" w:cs="Arial" w:eastAsia="Arial" w:hAnsi="Arial"/>
                <w:sz w:val="17"/>
                <w:szCs w:val="17"/>
                <w:color w:val="auto"/>
              </w:rPr>
              <w:t>Denmark</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WFL (UK)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Shared Services (UK)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UK Holding Company II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UK Holding Company III Limited</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UK Holding Partnership LP</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UK Holding Partnership II LP</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5760" w:type="dxa"/>
            <w:vAlign w:val="bottom"/>
          </w:tcPr>
          <w:p>
            <w:pPr>
              <w:ind w:left="60"/>
              <w:spacing w:after="0"/>
              <w:rPr>
                <w:sz w:val="20"/>
                <w:szCs w:val="20"/>
                <w:color w:val="auto"/>
              </w:rPr>
            </w:pPr>
            <w:r>
              <w:rPr>
                <w:rFonts w:ascii="Arial" w:cs="Arial" w:eastAsia="Arial" w:hAnsi="Arial"/>
                <w:sz w:val="17"/>
                <w:szCs w:val="17"/>
                <w:color w:val="auto"/>
              </w:rPr>
              <w:t>WFS UK Holding Partnership III LP</w:t>
            </w:r>
          </w:p>
        </w:tc>
        <w:tc>
          <w:tcPr>
            <w:tcW w:w="3480" w:type="dxa"/>
            <w:vAlign w:val="bottom"/>
          </w:tcPr>
          <w:p>
            <w:pPr>
              <w:ind w:left="12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235"/>
        </w:trPr>
        <w:tc>
          <w:tcPr>
            <w:tcW w:w="5760" w:type="dxa"/>
            <w:vAlign w:val="bottom"/>
          </w:tcPr>
          <w:p>
            <w:pPr>
              <w:ind w:left="60"/>
              <w:spacing w:after="0"/>
              <w:rPr>
                <w:sz w:val="20"/>
                <w:szCs w:val="20"/>
                <w:color w:val="auto"/>
              </w:rPr>
            </w:pPr>
            <w:r>
              <w:rPr>
                <w:rFonts w:ascii="Arial" w:cs="Arial" w:eastAsia="Arial" w:hAnsi="Arial"/>
                <w:sz w:val="17"/>
                <w:szCs w:val="17"/>
                <w:color w:val="auto"/>
              </w:rPr>
              <w:t>WFS US Holding Company I LLC</w:t>
            </w:r>
          </w:p>
        </w:tc>
        <w:tc>
          <w:tcPr>
            <w:tcW w:w="348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20"/>
                <w:szCs w:val="20"/>
                <w:color w:val="auto"/>
              </w:rPr>
            </w:pPr>
          </w:p>
        </w:tc>
      </w:tr>
      <w:tr>
        <w:trPr>
          <w:trHeight w:val="385"/>
        </w:trPr>
        <w:tc>
          <w:tcPr>
            <w:tcW w:w="57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5760" w:type="dxa"/>
            <w:vAlign w:val="bottom"/>
            <w:tcBorders>
              <w:bottom w:val="single" w:sz="8" w:color="EEEEEE"/>
            </w:tcBorders>
          </w:tcPr>
          <w:p>
            <w:pPr>
              <w:spacing w:after="0" w:line="20" w:lineRule="exact"/>
              <w:rPr>
                <w:sz w:val="1"/>
                <w:szCs w:val="1"/>
                <w:color w:val="auto"/>
              </w:rPr>
            </w:pPr>
          </w:p>
        </w:tc>
        <w:tc>
          <w:tcPr>
            <w:tcW w:w="3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5859145</wp:posOffset>
            </wp:positionH>
            <wp:positionV relativeFrom="paragraph">
              <wp:posOffset>-36830</wp:posOffset>
            </wp:positionV>
            <wp:extent cx="33655" cy="5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-36830</wp:posOffset>
            </wp:positionV>
            <wp:extent cx="33655"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9260"/>
          </w:cols>
          <w:pgMar w:left="1340" w:top="334" w:right="12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9"/>
        </w:trPr>
        <w:tc>
          <w:tcPr>
            <w:tcW w:w="6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Entity Name</w:t>
            </w:r>
          </w:p>
        </w:tc>
        <w:tc>
          <w:tcPr>
            <w:tcW w:w="27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Jurisdiction</w:t>
            </w:r>
          </w:p>
        </w:tc>
        <w:tc>
          <w:tcPr>
            <w:tcW w:w="20" w:type="dxa"/>
            <w:vAlign w:val="bottom"/>
          </w:tcPr>
          <w:p>
            <w:pPr>
              <w:spacing w:after="0"/>
              <w:rPr>
                <w:sz w:val="14"/>
                <w:szCs w:val="14"/>
                <w:color w:val="auto"/>
              </w:rPr>
            </w:pPr>
          </w:p>
        </w:tc>
      </w:tr>
      <w:tr>
        <w:trPr>
          <w:trHeight w:val="165"/>
        </w:trPr>
        <w:tc>
          <w:tcPr>
            <w:tcW w:w="60" w:type="dxa"/>
            <w:vAlign w:val="bottom"/>
          </w:tcPr>
          <w:p>
            <w:pPr>
              <w:spacing w:after="0"/>
              <w:rPr>
                <w:sz w:val="14"/>
                <w:szCs w:val="14"/>
                <w:color w:val="auto"/>
              </w:rPr>
            </w:pPr>
          </w:p>
        </w:tc>
        <w:tc>
          <w:tcPr>
            <w:tcW w:w="6400" w:type="dxa"/>
            <w:vAlign w:val="bottom"/>
            <w:gridSpan w:val="2"/>
          </w:tcPr>
          <w:p>
            <w:pPr>
              <w:spacing w:after="0" w:line="165" w:lineRule="exact"/>
              <w:rPr>
                <w:sz w:val="20"/>
                <w:szCs w:val="20"/>
                <w:color w:val="auto"/>
              </w:rPr>
            </w:pPr>
            <w:r>
              <w:rPr>
                <w:rFonts w:ascii="Arial" w:cs="Arial" w:eastAsia="Arial" w:hAnsi="Arial"/>
                <w:sz w:val="17"/>
                <w:szCs w:val="17"/>
                <w:color w:val="auto"/>
              </w:rPr>
              <w:t>WFS US Holding Company II LLC</w:t>
            </w:r>
          </w:p>
        </w:tc>
        <w:tc>
          <w:tcPr>
            <w:tcW w:w="2780" w:type="dxa"/>
            <w:vAlign w:val="bottom"/>
          </w:tcPr>
          <w:p>
            <w:pPr>
              <w:ind w:left="540"/>
              <w:spacing w:after="0" w:line="165" w:lineRule="exact"/>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4"/>
                <w:szCs w:val="14"/>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WFS US Holding Company III LLC</w:t>
            </w:r>
          </w:p>
        </w:tc>
        <w:tc>
          <w:tcPr>
            <w:tcW w:w="2780" w:type="dxa"/>
            <w:vAlign w:val="bottom"/>
          </w:tcPr>
          <w:p>
            <w:pPr>
              <w:ind w:left="5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WFS US Holding Company IV, LLC</w:t>
            </w:r>
          </w:p>
        </w:tc>
        <w:tc>
          <w:tcPr>
            <w:tcW w:w="2780" w:type="dxa"/>
            <w:vAlign w:val="bottom"/>
          </w:tcPr>
          <w:p>
            <w:pPr>
              <w:ind w:left="5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WFS US Holding Company V, LLC</w:t>
            </w:r>
          </w:p>
        </w:tc>
        <w:tc>
          <w:tcPr>
            <w:tcW w:w="2780" w:type="dxa"/>
            <w:vAlign w:val="bottom"/>
          </w:tcPr>
          <w:p>
            <w:pPr>
              <w:ind w:left="5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WFS US Holding Company VI, LLC</w:t>
            </w:r>
          </w:p>
        </w:tc>
        <w:tc>
          <w:tcPr>
            <w:tcW w:w="2780" w:type="dxa"/>
            <w:vAlign w:val="bottom"/>
          </w:tcPr>
          <w:p>
            <w:pPr>
              <w:ind w:left="5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WFS US Holding Company VII, LLC</w:t>
            </w:r>
          </w:p>
        </w:tc>
        <w:tc>
          <w:tcPr>
            <w:tcW w:w="2780" w:type="dxa"/>
            <w:vAlign w:val="bottom"/>
          </w:tcPr>
          <w:p>
            <w:pPr>
              <w:ind w:left="5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Capital Limited</w:t>
            </w:r>
          </w:p>
        </w:tc>
        <w:tc>
          <w:tcPr>
            <w:tcW w:w="2780" w:type="dxa"/>
            <w:vAlign w:val="bottom"/>
          </w:tcPr>
          <w:p>
            <w:pPr>
              <w:ind w:left="5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Cayman Holding Company I</w:t>
            </w:r>
          </w:p>
        </w:tc>
        <w:tc>
          <w:tcPr>
            <w:tcW w:w="2780" w:type="dxa"/>
            <w:vAlign w:val="bottom"/>
          </w:tcPr>
          <w:p>
            <w:pPr>
              <w:ind w:left="540"/>
              <w:spacing w:after="0"/>
              <w:rPr>
                <w:sz w:val="20"/>
                <w:szCs w:val="20"/>
                <w:color w:val="auto"/>
              </w:rPr>
            </w:pPr>
            <w:r>
              <w:rPr>
                <w:rFonts w:ascii="Arial" w:cs="Arial" w:eastAsia="Arial" w:hAnsi="Arial"/>
                <w:sz w:val="17"/>
                <w:szCs w:val="17"/>
                <w:color w:val="auto"/>
              </w:rPr>
              <w:t>Cayman Islands</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Cayman Holding Company III</w:t>
            </w:r>
          </w:p>
        </w:tc>
        <w:tc>
          <w:tcPr>
            <w:tcW w:w="2780" w:type="dxa"/>
            <w:vAlign w:val="bottom"/>
          </w:tcPr>
          <w:p>
            <w:pPr>
              <w:ind w:left="540"/>
              <w:spacing w:after="0"/>
              <w:rPr>
                <w:sz w:val="20"/>
                <w:szCs w:val="20"/>
                <w:color w:val="auto"/>
              </w:rPr>
            </w:pPr>
            <w:r>
              <w:rPr>
                <w:rFonts w:ascii="Arial" w:cs="Arial" w:eastAsia="Arial" w:hAnsi="Arial"/>
                <w:sz w:val="17"/>
                <w:szCs w:val="17"/>
                <w:color w:val="auto"/>
              </w:rPr>
              <w:t>Cayman Islands</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Cayman Holding Company IV*</w:t>
            </w:r>
          </w:p>
        </w:tc>
        <w:tc>
          <w:tcPr>
            <w:tcW w:w="2780" w:type="dxa"/>
            <w:vAlign w:val="bottom"/>
          </w:tcPr>
          <w:p>
            <w:pPr>
              <w:ind w:left="540"/>
              <w:spacing w:after="0"/>
              <w:rPr>
                <w:sz w:val="20"/>
                <w:szCs w:val="20"/>
                <w:color w:val="auto"/>
              </w:rPr>
            </w:pPr>
            <w:r>
              <w:rPr>
                <w:rFonts w:ascii="Arial" w:cs="Arial" w:eastAsia="Arial" w:hAnsi="Arial"/>
                <w:sz w:val="17"/>
                <w:szCs w:val="17"/>
                <w:color w:val="auto"/>
              </w:rPr>
              <w:t>Cayman Islands</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Cayman Holding Company V*</w:t>
            </w:r>
          </w:p>
        </w:tc>
        <w:tc>
          <w:tcPr>
            <w:tcW w:w="2780" w:type="dxa"/>
            <w:vAlign w:val="bottom"/>
          </w:tcPr>
          <w:p>
            <w:pPr>
              <w:ind w:left="540"/>
              <w:spacing w:after="0"/>
              <w:rPr>
                <w:sz w:val="20"/>
                <w:szCs w:val="20"/>
                <w:color w:val="auto"/>
              </w:rPr>
            </w:pPr>
            <w:r>
              <w:rPr>
                <w:rFonts w:ascii="Arial" w:cs="Arial" w:eastAsia="Arial" w:hAnsi="Arial"/>
                <w:sz w:val="17"/>
                <w:szCs w:val="17"/>
                <w:color w:val="auto"/>
              </w:rPr>
              <w:t>Cayman Islands</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CX, LLC</w:t>
            </w:r>
          </w:p>
        </w:tc>
        <w:tc>
          <w:tcPr>
            <w:tcW w:w="2780" w:type="dxa"/>
            <w:vAlign w:val="bottom"/>
          </w:tcPr>
          <w:p>
            <w:pPr>
              <w:ind w:left="540"/>
              <w:spacing w:after="0"/>
              <w:rPr>
                <w:sz w:val="20"/>
                <w:szCs w:val="20"/>
                <w:color w:val="auto"/>
              </w:rPr>
            </w:pPr>
            <w:r>
              <w:rPr>
                <w:rFonts w:ascii="Arial" w:cs="Arial" w:eastAsia="Arial" w:hAnsi="Arial"/>
                <w:sz w:val="17"/>
                <w:szCs w:val="17"/>
                <w:color w:val="auto"/>
              </w:rPr>
              <w:t>Kansas</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International S.R.L.</w:t>
            </w:r>
          </w:p>
        </w:tc>
        <w:tc>
          <w:tcPr>
            <w:tcW w:w="2780" w:type="dxa"/>
            <w:vAlign w:val="bottom"/>
          </w:tcPr>
          <w:p>
            <w:pPr>
              <w:ind w:left="540"/>
              <w:spacing w:after="0"/>
              <w:rPr>
                <w:sz w:val="20"/>
                <w:szCs w:val="20"/>
                <w:color w:val="auto"/>
              </w:rPr>
            </w:pPr>
            <w:r>
              <w:rPr>
                <w:rFonts w:ascii="Arial" w:cs="Arial" w:eastAsia="Arial" w:hAnsi="Arial"/>
                <w:sz w:val="17"/>
                <w:szCs w:val="17"/>
                <w:color w:val="auto"/>
              </w:rPr>
              <w:t>Costa Rica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(Australia) Pty Ltd</w:t>
            </w:r>
          </w:p>
        </w:tc>
        <w:tc>
          <w:tcPr>
            <w:tcW w:w="2780" w:type="dxa"/>
            <w:vAlign w:val="bottom"/>
          </w:tcPr>
          <w:p>
            <w:pPr>
              <w:ind w:left="540"/>
              <w:spacing w:after="0"/>
              <w:rPr>
                <w:sz w:val="20"/>
                <w:szCs w:val="20"/>
                <w:color w:val="auto"/>
              </w:rPr>
            </w:pPr>
            <w:r>
              <w:rPr>
                <w:rFonts w:ascii="Arial" w:cs="Arial" w:eastAsia="Arial" w:hAnsi="Arial"/>
                <w:sz w:val="17"/>
                <w:szCs w:val="17"/>
                <w:color w:val="auto"/>
              </w:rPr>
              <w:t>Australia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(Bahamas) LLC</w:t>
            </w:r>
          </w:p>
        </w:tc>
        <w:tc>
          <w:tcPr>
            <w:tcW w:w="2780" w:type="dxa"/>
            <w:vAlign w:val="bottom"/>
          </w:tcPr>
          <w:p>
            <w:pPr>
              <w:ind w:left="540"/>
              <w:spacing w:after="0"/>
              <w:rPr>
                <w:sz w:val="20"/>
                <w:szCs w:val="20"/>
                <w:color w:val="auto"/>
              </w:rPr>
            </w:pPr>
            <w:r>
              <w:rPr>
                <w:rFonts w:ascii="Arial" w:cs="Arial" w:eastAsia="Arial" w:hAnsi="Arial"/>
                <w:sz w:val="17"/>
                <w:szCs w:val="17"/>
                <w:color w:val="auto"/>
              </w:rPr>
              <w:t>Bahamas</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(Costa Rica) Limitada*</w:t>
            </w:r>
          </w:p>
        </w:tc>
        <w:tc>
          <w:tcPr>
            <w:tcW w:w="2780" w:type="dxa"/>
            <w:vAlign w:val="bottom"/>
          </w:tcPr>
          <w:p>
            <w:pPr>
              <w:ind w:left="540"/>
              <w:spacing w:after="0"/>
              <w:rPr>
                <w:sz w:val="20"/>
                <w:szCs w:val="20"/>
                <w:color w:val="auto"/>
              </w:rPr>
            </w:pPr>
            <w:r>
              <w:rPr>
                <w:rFonts w:ascii="Arial" w:cs="Arial" w:eastAsia="Arial" w:hAnsi="Arial"/>
                <w:sz w:val="17"/>
                <w:szCs w:val="17"/>
                <w:color w:val="auto"/>
              </w:rPr>
              <w:t>Costa Rica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(Denmark) ApS</w:t>
            </w:r>
          </w:p>
        </w:tc>
        <w:tc>
          <w:tcPr>
            <w:tcW w:w="2780" w:type="dxa"/>
            <w:vAlign w:val="bottom"/>
          </w:tcPr>
          <w:p>
            <w:pPr>
              <w:ind w:left="540"/>
              <w:spacing w:after="0"/>
              <w:rPr>
                <w:sz w:val="20"/>
                <w:szCs w:val="20"/>
                <w:color w:val="auto"/>
              </w:rPr>
            </w:pPr>
            <w:r>
              <w:rPr>
                <w:rFonts w:ascii="Arial" w:cs="Arial" w:eastAsia="Arial" w:hAnsi="Arial"/>
                <w:sz w:val="17"/>
                <w:szCs w:val="17"/>
                <w:color w:val="auto"/>
              </w:rPr>
              <w:t>Denmark</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(KG) Limited Liability Company</w:t>
            </w:r>
          </w:p>
        </w:tc>
        <w:tc>
          <w:tcPr>
            <w:tcW w:w="2780" w:type="dxa"/>
            <w:vAlign w:val="bottom"/>
          </w:tcPr>
          <w:p>
            <w:pPr>
              <w:ind w:left="540"/>
              <w:spacing w:after="0"/>
              <w:rPr>
                <w:sz w:val="20"/>
                <w:szCs w:val="20"/>
                <w:color w:val="auto"/>
              </w:rPr>
            </w:pPr>
            <w:r>
              <w:rPr>
                <w:rFonts w:ascii="Arial" w:cs="Arial" w:eastAsia="Arial" w:hAnsi="Arial"/>
                <w:sz w:val="17"/>
                <w:szCs w:val="17"/>
                <w:color w:val="auto"/>
              </w:rPr>
              <w:t>Kyrgyzstan</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(Panama) LLC*</w:t>
            </w:r>
          </w:p>
        </w:tc>
        <w:tc>
          <w:tcPr>
            <w:tcW w:w="2780" w:type="dxa"/>
            <w:vAlign w:val="bottom"/>
          </w:tcPr>
          <w:p>
            <w:pPr>
              <w:ind w:left="540"/>
              <w:spacing w:after="0"/>
              <w:rPr>
                <w:sz w:val="20"/>
                <w:szCs w:val="20"/>
                <w:color w:val="auto"/>
              </w:rPr>
            </w:pPr>
            <w:r>
              <w:rPr>
                <w:rFonts w:ascii="Arial" w:cs="Arial" w:eastAsia="Arial" w:hAnsi="Arial"/>
                <w:sz w:val="17"/>
                <w:szCs w:val="17"/>
                <w:color w:val="auto"/>
              </w:rPr>
              <w:t>Panama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(Singapore) Pte Ltd</w:t>
            </w:r>
          </w:p>
        </w:tc>
        <w:tc>
          <w:tcPr>
            <w:tcW w:w="2780" w:type="dxa"/>
            <w:vAlign w:val="bottom"/>
          </w:tcPr>
          <w:p>
            <w:pPr>
              <w:ind w:left="540"/>
              <w:spacing w:after="0"/>
              <w:rPr>
                <w:sz w:val="20"/>
                <w:szCs w:val="20"/>
                <w:color w:val="auto"/>
              </w:rPr>
            </w:pPr>
            <w:r>
              <w:rPr>
                <w:rFonts w:ascii="Arial" w:cs="Arial" w:eastAsia="Arial" w:hAnsi="Arial"/>
                <w:sz w:val="17"/>
                <w:szCs w:val="17"/>
                <w:color w:val="auto"/>
              </w:rPr>
              <w:t>Singapore</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(South Africa) (Pty) Ltd</w:t>
            </w:r>
          </w:p>
        </w:tc>
        <w:tc>
          <w:tcPr>
            <w:tcW w:w="2780" w:type="dxa"/>
            <w:vAlign w:val="bottom"/>
          </w:tcPr>
          <w:p>
            <w:pPr>
              <w:ind w:left="540"/>
              <w:spacing w:after="0"/>
              <w:rPr>
                <w:sz w:val="20"/>
                <w:szCs w:val="20"/>
                <w:color w:val="auto"/>
              </w:rPr>
            </w:pPr>
            <w:r>
              <w:rPr>
                <w:rFonts w:ascii="Arial" w:cs="Arial" w:eastAsia="Arial" w:hAnsi="Arial"/>
                <w:sz w:val="17"/>
                <w:szCs w:val="17"/>
                <w:color w:val="auto"/>
              </w:rPr>
              <w:t>South Africa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Argentina S.A.</w:t>
            </w:r>
          </w:p>
        </w:tc>
        <w:tc>
          <w:tcPr>
            <w:tcW w:w="2780" w:type="dxa"/>
            <w:vAlign w:val="bottom"/>
          </w:tcPr>
          <w:p>
            <w:pPr>
              <w:ind w:left="540"/>
              <w:spacing w:after="0"/>
              <w:rPr>
                <w:sz w:val="20"/>
                <w:szCs w:val="20"/>
                <w:color w:val="auto"/>
              </w:rPr>
            </w:pPr>
            <w:r>
              <w:rPr>
                <w:rFonts w:ascii="Arial" w:cs="Arial" w:eastAsia="Arial" w:hAnsi="Arial"/>
                <w:sz w:val="17"/>
                <w:szCs w:val="17"/>
                <w:color w:val="auto"/>
              </w:rPr>
              <w:t>Argentina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Aviation Limited</w:t>
            </w:r>
          </w:p>
        </w:tc>
        <w:tc>
          <w:tcPr>
            <w:tcW w:w="2780" w:type="dxa"/>
            <w:vAlign w:val="bottom"/>
          </w:tcPr>
          <w:p>
            <w:pPr>
              <w:ind w:left="5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Belgium BVBA</w:t>
            </w:r>
          </w:p>
        </w:tc>
        <w:tc>
          <w:tcPr>
            <w:tcW w:w="2780" w:type="dxa"/>
            <w:vAlign w:val="bottom"/>
          </w:tcPr>
          <w:p>
            <w:pPr>
              <w:ind w:left="540"/>
              <w:spacing w:after="0"/>
              <w:rPr>
                <w:sz w:val="20"/>
                <w:szCs w:val="20"/>
                <w:color w:val="auto"/>
              </w:rPr>
            </w:pPr>
            <w:r>
              <w:rPr>
                <w:rFonts w:ascii="Arial" w:cs="Arial" w:eastAsia="Arial" w:hAnsi="Arial"/>
                <w:sz w:val="17"/>
                <w:szCs w:val="17"/>
                <w:color w:val="auto"/>
              </w:rPr>
              <w:t>Belgium</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Canada, Inc.</w:t>
            </w:r>
          </w:p>
        </w:tc>
        <w:tc>
          <w:tcPr>
            <w:tcW w:w="2780" w:type="dxa"/>
            <w:vAlign w:val="bottom"/>
          </w:tcPr>
          <w:p>
            <w:pPr>
              <w:ind w:left="540"/>
              <w:spacing w:after="0"/>
              <w:rPr>
                <w:sz w:val="20"/>
                <w:szCs w:val="20"/>
                <w:color w:val="auto"/>
              </w:rPr>
            </w:pPr>
            <w:r>
              <w:rPr>
                <w:rFonts w:ascii="Arial" w:cs="Arial" w:eastAsia="Arial" w:hAnsi="Arial"/>
                <w:sz w:val="17"/>
                <w:szCs w:val="17"/>
                <w:color w:val="auto"/>
              </w:rPr>
              <w:t>Canada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Canada, Inc.</w:t>
            </w:r>
          </w:p>
        </w:tc>
        <w:tc>
          <w:tcPr>
            <w:tcW w:w="2780" w:type="dxa"/>
            <w:vAlign w:val="bottom"/>
          </w:tcPr>
          <w:p>
            <w:pPr>
              <w:ind w:left="5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Chile, S.A.</w:t>
            </w:r>
          </w:p>
        </w:tc>
        <w:tc>
          <w:tcPr>
            <w:tcW w:w="2780" w:type="dxa"/>
            <w:vAlign w:val="bottom"/>
          </w:tcPr>
          <w:p>
            <w:pPr>
              <w:ind w:left="540"/>
              <w:spacing w:after="0"/>
              <w:rPr>
                <w:sz w:val="20"/>
                <w:szCs w:val="20"/>
                <w:color w:val="auto"/>
              </w:rPr>
            </w:pPr>
            <w:r>
              <w:rPr>
                <w:rFonts w:ascii="Arial" w:cs="Arial" w:eastAsia="Arial" w:hAnsi="Arial"/>
                <w:sz w:val="17"/>
                <w:szCs w:val="17"/>
                <w:color w:val="auto"/>
              </w:rPr>
              <w:t>Chile</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CIS Limited Liability Company</w:t>
            </w:r>
          </w:p>
        </w:tc>
        <w:tc>
          <w:tcPr>
            <w:tcW w:w="2780" w:type="dxa"/>
            <w:vAlign w:val="bottom"/>
          </w:tcPr>
          <w:p>
            <w:pPr>
              <w:ind w:left="540"/>
              <w:spacing w:after="0"/>
              <w:rPr>
                <w:sz w:val="20"/>
                <w:szCs w:val="20"/>
                <w:color w:val="auto"/>
              </w:rPr>
            </w:pPr>
            <w:r>
              <w:rPr>
                <w:rFonts w:ascii="Arial" w:cs="Arial" w:eastAsia="Arial" w:hAnsi="Arial"/>
                <w:sz w:val="17"/>
                <w:szCs w:val="17"/>
                <w:color w:val="auto"/>
              </w:rPr>
              <w:t>Russia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Company, Inc.</w:t>
            </w:r>
          </w:p>
        </w:tc>
        <w:tc>
          <w:tcPr>
            <w:tcW w:w="2780" w:type="dxa"/>
            <w:vAlign w:val="bottom"/>
          </w:tcPr>
          <w:p>
            <w:pPr>
              <w:ind w:left="540"/>
              <w:spacing w:after="0"/>
              <w:rPr>
                <w:sz w:val="20"/>
                <w:szCs w:val="20"/>
                <w:color w:val="auto"/>
              </w:rPr>
            </w:pPr>
            <w:r>
              <w:rPr>
                <w:rFonts w:ascii="Arial" w:cs="Arial" w:eastAsia="Arial" w:hAnsi="Arial"/>
                <w:sz w:val="17"/>
                <w:szCs w:val="17"/>
                <w:color w:val="auto"/>
              </w:rPr>
              <w:t>Florida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Corporate Aviation Support Services, Inc.</w:t>
            </w:r>
          </w:p>
        </w:tc>
        <w:tc>
          <w:tcPr>
            <w:tcW w:w="2780" w:type="dxa"/>
            <w:vAlign w:val="bottom"/>
          </w:tcPr>
          <w:p>
            <w:pPr>
              <w:ind w:left="5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CZ s.r.o.</w:t>
            </w:r>
          </w:p>
        </w:tc>
        <w:tc>
          <w:tcPr>
            <w:tcW w:w="2780" w:type="dxa"/>
            <w:vAlign w:val="bottom"/>
          </w:tcPr>
          <w:p>
            <w:pPr>
              <w:ind w:left="540"/>
              <w:spacing w:after="0"/>
              <w:rPr>
                <w:sz w:val="20"/>
                <w:szCs w:val="20"/>
                <w:color w:val="auto"/>
              </w:rPr>
            </w:pPr>
            <w:r>
              <w:rPr>
                <w:rFonts w:ascii="Arial" w:cs="Arial" w:eastAsia="Arial" w:hAnsi="Arial"/>
                <w:sz w:val="17"/>
                <w:szCs w:val="17"/>
                <w:color w:val="auto"/>
              </w:rPr>
              <w:t>Czech Republic</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Europe, Ltd.</w:t>
            </w:r>
          </w:p>
        </w:tc>
        <w:tc>
          <w:tcPr>
            <w:tcW w:w="2780" w:type="dxa"/>
            <w:vAlign w:val="bottom"/>
          </w:tcPr>
          <w:p>
            <w:pPr>
              <w:ind w:left="5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European Holding Company I, Ltd.</w:t>
            </w:r>
          </w:p>
        </w:tc>
        <w:tc>
          <w:tcPr>
            <w:tcW w:w="2780" w:type="dxa"/>
            <w:vAlign w:val="bottom"/>
          </w:tcPr>
          <w:p>
            <w:pPr>
              <w:ind w:left="5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Finance Company II S.à.r.L.</w:t>
            </w:r>
          </w:p>
        </w:tc>
        <w:tc>
          <w:tcPr>
            <w:tcW w:w="2780" w:type="dxa"/>
            <w:vAlign w:val="bottom"/>
          </w:tcPr>
          <w:p>
            <w:pPr>
              <w:ind w:left="540"/>
              <w:spacing w:after="0"/>
              <w:rPr>
                <w:sz w:val="20"/>
                <w:szCs w:val="20"/>
                <w:color w:val="auto"/>
              </w:rPr>
            </w:pPr>
            <w:r>
              <w:rPr>
                <w:rFonts w:ascii="Arial" w:cs="Arial" w:eastAsia="Arial" w:hAnsi="Arial"/>
                <w:sz w:val="17"/>
                <w:szCs w:val="17"/>
                <w:color w:val="auto"/>
              </w:rPr>
              <w:t>Luxembourg</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Finance Company S.à.r.L.</w:t>
            </w:r>
          </w:p>
        </w:tc>
        <w:tc>
          <w:tcPr>
            <w:tcW w:w="2780" w:type="dxa"/>
            <w:vAlign w:val="bottom"/>
          </w:tcPr>
          <w:p>
            <w:pPr>
              <w:ind w:left="540"/>
              <w:spacing w:after="0"/>
              <w:rPr>
                <w:sz w:val="20"/>
                <w:szCs w:val="20"/>
                <w:color w:val="auto"/>
              </w:rPr>
            </w:pPr>
            <w:r>
              <w:rPr>
                <w:rFonts w:ascii="Arial" w:cs="Arial" w:eastAsia="Arial" w:hAnsi="Arial"/>
                <w:sz w:val="17"/>
                <w:szCs w:val="17"/>
                <w:color w:val="auto"/>
              </w:rPr>
              <w:t>Luxembourg</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International (Panama) LLC*</w:t>
            </w:r>
          </w:p>
        </w:tc>
        <w:tc>
          <w:tcPr>
            <w:tcW w:w="2780" w:type="dxa"/>
            <w:vAlign w:val="bottom"/>
          </w:tcPr>
          <w:p>
            <w:pPr>
              <w:ind w:left="540"/>
              <w:spacing w:after="0"/>
              <w:rPr>
                <w:sz w:val="20"/>
                <w:szCs w:val="20"/>
                <w:color w:val="auto"/>
              </w:rPr>
            </w:pPr>
            <w:r>
              <w:rPr>
                <w:rFonts w:ascii="Arial" w:cs="Arial" w:eastAsia="Arial" w:hAnsi="Arial"/>
                <w:sz w:val="17"/>
                <w:szCs w:val="17"/>
                <w:color w:val="auto"/>
              </w:rPr>
              <w:t>Panama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Japan G.K.</w:t>
            </w:r>
          </w:p>
        </w:tc>
        <w:tc>
          <w:tcPr>
            <w:tcW w:w="2780" w:type="dxa"/>
            <w:vAlign w:val="bottom"/>
          </w:tcPr>
          <w:p>
            <w:pPr>
              <w:ind w:left="540"/>
              <w:spacing w:after="0"/>
              <w:rPr>
                <w:sz w:val="20"/>
                <w:szCs w:val="20"/>
                <w:color w:val="auto"/>
              </w:rPr>
            </w:pPr>
            <w:r>
              <w:rPr>
                <w:rFonts w:ascii="Arial" w:cs="Arial" w:eastAsia="Arial" w:hAnsi="Arial"/>
                <w:sz w:val="17"/>
                <w:szCs w:val="17"/>
                <w:color w:val="auto"/>
              </w:rPr>
              <w:t>Japan</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Kenya Limited</w:t>
            </w:r>
          </w:p>
        </w:tc>
        <w:tc>
          <w:tcPr>
            <w:tcW w:w="2780" w:type="dxa"/>
            <w:vAlign w:val="bottom"/>
          </w:tcPr>
          <w:p>
            <w:pPr>
              <w:ind w:left="540"/>
              <w:spacing w:after="0"/>
              <w:rPr>
                <w:sz w:val="20"/>
                <w:szCs w:val="20"/>
                <w:color w:val="auto"/>
              </w:rPr>
            </w:pPr>
            <w:r>
              <w:rPr>
                <w:rFonts w:ascii="Arial" w:cs="Arial" w:eastAsia="Arial" w:hAnsi="Arial"/>
                <w:sz w:val="17"/>
                <w:szCs w:val="17"/>
                <w:color w:val="auto"/>
              </w:rPr>
              <w:t>Kenya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México, S.A. de C.V.</w:t>
            </w:r>
          </w:p>
        </w:tc>
        <w:tc>
          <w:tcPr>
            <w:tcW w:w="2780" w:type="dxa"/>
            <w:vAlign w:val="bottom"/>
          </w:tcPr>
          <w:p>
            <w:pPr>
              <w:ind w:left="540"/>
              <w:spacing w:after="0"/>
              <w:rPr>
                <w:sz w:val="20"/>
                <w:szCs w:val="20"/>
                <w:color w:val="auto"/>
              </w:rPr>
            </w:pPr>
            <w:r>
              <w:rPr>
                <w:rFonts w:ascii="Arial" w:cs="Arial" w:eastAsia="Arial" w:hAnsi="Arial"/>
                <w:sz w:val="17"/>
                <w:szCs w:val="17"/>
                <w:color w:val="auto"/>
              </w:rPr>
              <w:t>Mexico</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Pakistan (Pvt.) Limited</w:t>
            </w:r>
          </w:p>
        </w:tc>
        <w:tc>
          <w:tcPr>
            <w:tcW w:w="2780" w:type="dxa"/>
            <w:vAlign w:val="bottom"/>
          </w:tcPr>
          <w:p>
            <w:pPr>
              <w:ind w:left="540"/>
              <w:spacing w:after="0"/>
              <w:rPr>
                <w:sz w:val="20"/>
                <w:szCs w:val="20"/>
                <w:color w:val="auto"/>
              </w:rPr>
            </w:pPr>
            <w:r>
              <w:rPr>
                <w:rFonts w:ascii="Arial" w:cs="Arial" w:eastAsia="Arial" w:hAnsi="Arial"/>
                <w:sz w:val="17"/>
                <w:szCs w:val="17"/>
                <w:color w:val="auto"/>
              </w:rPr>
              <w:t>Pakistan</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Peru S.R.L.</w:t>
            </w:r>
          </w:p>
        </w:tc>
        <w:tc>
          <w:tcPr>
            <w:tcW w:w="2780" w:type="dxa"/>
            <w:vAlign w:val="bottom"/>
          </w:tcPr>
          <w:p>
            <w:pPr>
              <w:ind w:left="540"/>
              <w:spacing w:after="0"/>
              <w:rPr>
                <w:sz w:val="20"/>
                <w:szCs w:val="20"/>
                <w:color w:val="auto"/>
              </w:rPr>
            </w:pPr>
            <w:r>
              <w:rPr>
                <w:rFonts w:ascii="Arial" w:cs="Arial" w:eastAsia="Arial" w:hAnsi="Arial"/>
                <w:sz w:val="17"/>
                <w:szCs w:val="17"/>
                <w:color w:val="auto"/>
              </w:rPr>
              <w:t>Peru</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Private Limited</w:t>
            </w:r>
          </w:p>
        </w:tc>
        <w:tc>
          <w:tcPr>
            <w:tcW w:w="2780" w:type="dxa"/>
            <w:vAlign w:val="bottom"/>
          </w:tcPr>
          <w:p>
            <w:pPr>
              <w:ind w:left="540"/>
              <w:spacing w:after="0"/>
              <w:rPr>
                <w:sz w:val="20"/>
                <w:szCs w:val="20"/>
                <w:color w:val="auto"/>
              </w:rPr>
            </w:pPr>
            <w:r>
              <w:rPr>
                <w:rFonts w:ascii="Arial" w:cs="Arial" w:eastAsia="Arial" w:hAnsi="Arial"/>
                <w:sz w:val="17"/>
                <w:szCs w:val="17"/>
                <w:color w:val="auto"/>
              </w:rPr>
              <w:t>India</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Trading DMCC</w:t>
            </w:r>
          </w:p>
        </w:tc>
        <w:tc>
          <w:tcPr>
            <w:tcW w:w="2780" w:type="dxa"/>
            <w:vAlign w:val="bottom"/>
          </w:tcPr>
          <w:p>
            <w:pPr>
              <w:ind w:left="540"/>
              <w:spacing w:after="0"/>
              <w:rPr>
                <w:sz w:val="20"/>
                <w:szCs w:val="20"/>
                <w:color w:val="auto"/>
              </w:rPr>
            </w:pPr>
            <w:r>
              <w:rPr>
                <w:rFonts w:ascii="Arial" w:cs="Arial" w:eastAsia="Arial" w:hAnsi="Arial"/>
                <w:sz w:val="17"/>
                <w:szCs w:val="17"/>
                <w:color w:val="auto"/>
              </w:rPr>
              <w:t>United Arab Emirates</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Turkey Petrol Urunleri Dagitim Ve Ticaret Limited Sirketi</w:t>
            </w:r>
          </w:p>
        </w:tc>
        <w:tc>
          <w:tcPr>
            <w:tcW w:w="2780" w:type="dxa"/>
            <w:vAlign w:val="bottom"/>
          </w:tcPr>
          <w:p>
            <w:pPr>
              <w:ind w:left="540"/>
              <w:spacing w:after="0"/>
              <w:rPr>
                <w:sz w:val="20"/>
                <w:szCs w:val="20"/>
                <w:color w:val="auto"/>
              </w:rPr>
            </w:pPr>
            <w:r>
              <w:rPr>
                <w:rFonts w:ascii="Arial" w:cs="Arial" w:eastAsia="Arial" w:hAnsi="Arial"/>
                <w:sz w:val="17"/>
                <w:szCs w:val="17"/>
                <w:color w:val="auto"/>
              </w:rPr>
              <w:t>Turkey</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Services, Inc.</w:t>
            </w:r>
          </w:p>
        </w:tc>
        <w:tc>
          <w:tcPr>
            <w:tcW w:w="2780" w:type="dxa"/>
            <w:vAlign w:val="bottom"/>
          </w:tcPr>
          <w:p>
            <w:pPr>
              <w:ind w:left="540"/>
              <w:spacing w:after="0"/>
              <w:rPr>
                <w:sz w:val="20"/>
                <w:szCs w:val="20"/>
                <w:color w:val="auto"/>
              </w:rPr>
            </w:pPr>
            <w:r>
              <w:rPr>
                <w:rFonts w:ascii="Arial" w:cs="Arial" w:eastAsia="Arial" w:hAnsi="Arial"/>
                <w:sz w:val="17"/>
                <w:szCs w:val="17"/>
                <w:color w:val="auto"/>
              </w:rPr>
              <w:t>Texas</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Singapore Holding Company I Pte Ltd</w:t>
            </w:r>
          </w:p>
        </w:tc>
        <w:tc>
          <w:tcPr>
            <w:tcW w:w="2780" w:type="dxa"/>
            <w:vAlign w:val="bottom"/>
          </w:tcPr>
          <w:p>
            <w:pPr>
              <w:ind w:left="540"/>
              <w:spacing w:after="0"/>
              <w:rPr>
                <w:sz w:val="20"/>
                <w:szCs w:val="20"/>
                <w:color w:val="auto"/>
              </w:rPr>
            </w:pPr>
            <w:r>
              <w:rPr>
                <w:rFonts w:ascii="Arial" w:cs="Arial" w:eastAsia="Arial" w:hAnsi="Arial"/>
                <w:sz w:val="17"/>
                <w:szCs w:val="17"/>
                <w:color w:val="auto"/>
              </w:rPr>
              <w:t>Singapore</w:t>
            </w:r>
          </w:p>
        </w:tc>
        <w:tc>
          <w:tcPr>
            <w:tcW w:w="2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World Fuel Singapore Holding Company II Pte Ltd</w:t>
            </w:r>
          </w:p>
        </w:tc>
        <w:tc>
          <w:tcPr>
            <w:tcW w:w="2780" w:type="dxa"/>
            <w:vAlign w:val="bottom"/>
          </w:tcPr>
          <w:p>
            <w:pPr>
              <w:ind w:left="540"/>
              <w:spacing w:after="0"/>
              <w:rPr>
                <w:sz w:val="20"/>
                <w:szCs w:val="20"/>
                <w:color w:val="auto"/>
              </w:rPr>
            </w:pPr>
            <w:r>
              <w:rPr>
                <w:rFonts w:ascii="Arial" w:cs="Arial" w:eastAsia="Arial" w:hAnsi="Arial"/>
                <w:sz w:val="17"/>
                <w:szCs w:val="17"/>
                <w:color w:val="auto"/>
              </w:rPr>
              <w:t>Singapore</w:t>
            </w:r>
          </w:p>
        </w:tc>
        <w:tc>
          <w:tcPr>
            <w:tcW w:w="20" w:type="dxa"/>
            <w:vAlign w:val="bottom"/>
          </w:tcPr>
          <w:p>
            <w:pPr>
              <w:spacing w:after="0"/>
              <w:rPr>
                <w:sz w:val="16"/>
                <w:szCs w:val="16"/>
                <w:color w:val="auto"/>
              </w:rPr>
            </w:pPr>
          </w:p>
        </w:tc>
      </w:tr>
      <w:tr>
        <w:trPr>
          <w:trHeight w:val="235"/>
        </w:trPr>
        <w:tc>
          <w:tcPr>
            <w:tcW w:w="6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Yacht Fuel Services Limited</w:t>
            </w:r>
          </w:p>
        </w:tc>
        <w:tc>
          <w:tcPr>
            <w:tcW w:w="2780" w:type="dxa"/>
            <w:vAlign w:val="bottom"/>
          </w:tcPr>
          <w:p>
            <w:pPr>
              <w:ind w:left="54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20"/>
                <w:szCs w:val="20"/>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41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34"/>
        </w:trPr>
        <w:tc>
          <w:tcPr>
            <w:tcW w:w="6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6400" w:type="dxa"/>
            <w:vAlign w:val="bottom"/>
            <w:gridSpan w:val="2"/>
          </w:tcPr>
          <w:p>
            <w:pPr>
              <w:ind w:left="520"/>
              <w:spacing w:after="0"/>
              <w:rPr>
                <w:sz w:val="20"/>
                <w:szCs w:val="20"/>
                <w:color w:val="auto"/>
              </w:rPr>
            </w:pPr>
            <w:r>
              <w:rPr>
                <w:rFonts w:ascii="Arial" w:cs="Arial" w:eastAsia="Arial" w:hAnsi="Arial"/>
                <w:sz w:val="17"/>
                <w:szCs w:val="17"/>
                <w:color w:val="auto"/>
              </w:rPr>
              <w:t>These entities are inactive.</w:t>
            </w: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60" w:type="dxa"/>
            <w:vAlign w:val="bottom"/>
            <w:tcBorders>
              <w:bottom w:val="single" w:sz="8" w:color="9A9A9A"/>
            </w:tcBorders>
          </w:tcPr>
          <w:p>
            <w:pPr>
              <w:spacing w:after="0"/>
              <w:rPr>
                <w:sz w:val="16"/>
                <w:szCs w:val="16"/>
                <w:color w:val="auto"/>
              </w:rPr>
            </w:pPr>
          </w:p>
        </w:tc>
        <w:tc>
          <w:tcPr>
            <w:tcW w:w="2260" w:type="dxa"/>
            <w:vAlign w:val="bottom"/>
            <w:tcBorders>
              <w:bottom w:val="single" w:sz="8" w:color="9A9A9A"/>
            </w:tcBorders>
          </w:tcPr>
          <w:p>
            <w:pPr>
              <w:spacing w:after="0"/>
              <w:rPr>
                <w:sz w:val="16"/>
                <w:szCs w:val="16"/>
                <w:color w:val="auto"/>
              </w:rPr>
            </w:pPr>
          </w:p>
        </w:tc>
        <w:tc>
          <w:tcPr>
            <w:tcW w:w="4140" w:type="dxa"/>
            <w:vAlign w:val="bottom"/>
            <w:tcBorders>
              <w:bottom w:val="single" w:sz="8" w:color="9A9A9A"/>
            </w:tcBorders>
          </w:tcPr>
          <w:p>
            <w:pPr>
              <w:spacing w:after="0"/>
              <w:rPr>
                <w:sz w:val="16"/>
                <w:szCs w:val="16"/>
                <w:color w:val="auto"/>
              </w:rPr>
            </w:pPr>
          </w:p>
        </w:tc>
        <w:tc>
          <w:tcPr>
            <w:tcW w:w="27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r>
        <w:trPr>
          <w:trHeight w:val="20"/>
        </w:trPr>
        <w:tc>
          <w:tcPr>
            <w:tcW w:w="6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414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-382905</wp:posOffset>
            </wp:positionV>
            <wp:extent cx="1508760" cy="50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08760" cy="50165"/>
                    </a:xfrm>
                    <a:prstGeom prst="rect">
                      <a:avLst/>
                    </a:prstGeom>
                    <a:noFill/>
                  </pic:spPr>
                </pic:pic>
              </a:graphicData>
            </a:graphic>
          </wp:anchor>
        </w:drawing>
        <w:drawing>
          <wp:anchor simplePos="0" relativeHeight="251657728" behindDoc="1" locked="0" layoutInCell="0" allowOverlap="1">
            <wp:simplePos x="0" y="0"/>
            <wp:positionH relativeFrom="column">
              <wp:posOffset>5859145</wp:posOffset>
            </wp:positionH>
            <wp:positionV relativeFrom="paragraph">
              <wp:posOffset>-36830</wp:posOffset>
            </wp:positionV>
            <wp:extent cx="33655" cy="5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-36830</wp:posOffset>
            </wp:positionV>
            <wp:extent cx="33655"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9260"/>
          </w:cols>
          <w:pgMar w:left="1340" w:top="321" w:right="1299" w:bottom="1440" w:gutter="0" w:footer="0" w:header="0"/>
        </w:sectPr>
      </w:pPr>
    </w:p>
    <w:bookmarkStart w:id="87" w:name="page88"/>
    <w:bookmarkEnd w:id="87"/>
    <w:p>
      <w:pPr>
        <w:spacing w:after="0"/>
        <w:rPr>
          <w:sz w:val="20"/>
          <w:szCs w:val="20"/>
          <w:color w:val="auto"/>
        </w:rPr>
      </w:pPr>
      <w:r>
        <w:rPr>
          <w:rFonts w:ascii="Arial" w:cs="Arial" w:eastAsia="Arial" w:hAnsi="Arial"/>
          <w:sz w:val="21"/>
          <w:szCs w:val="21"/>
          <w:color w:val="auto"/>
        </w:rPr>
        <w:t>Exhibit 23.1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CERTIFIED PUBLIC ACCOUNTING FIRM</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333-161099, No. 333-144379, No. 333-130528 and No. 333-68276) of World Fuel Services Corporation of our report dated February 12, 2015 relating to the consolidated financial statements and the effectiveness of internal control over financial reporting, which appears in this Form 10-K.</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Miami, Florida</w:t>
      </w:r>
    </w:p>
    <w:p>
      <w:pPr>
        <w:spacing w:after="0"/>
        <w:rPr>
          <w:sz w:val="20"/>
          <w:szCs w:val="20"/>
          <w:color w:val="auto"/>
        </w:rPr>
      </w:pPr>
      <w:r>
        <w:rPr>
          <w:rFonts w:ascii="Arial" w:cs="Arial" w:eastAsia="Arial" w:hAnsi="Arial"/>
          <w:sz w:val="17"/>
          <w:szCs w:val="17"/>
          <w:color w:val="auto"/>
        </w:rPr>
        <w:t>February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374650</wp:posOffset>
            </wp:positionV>
            <wp:extent cx="5909310"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09310" cy="50165"/>
                    </a:xfrm>
                    <a:prstGeom prst="rect">
                      <a:avLst/>
                    </a:prstGeom>
                    <a:noFill/>
                  </pic:spPr>
                </pic:pic>
              </a:graphicData>
            </a:graphic>
          </wp:anchor>
        </w:drawing>
      </w:r>
    </w:p>
    <w:p>
      <w:pPr>
        <w:sectPr>
          <w:pgSz w:w="11900" w:h="16838" w:orient="portrait"/>
          <w:cols w:equalWidth="0" w:num="1">
            <w:col w:w="9240"/>
          </w:cols>
          <w:pgMar w:left="1340" w:top="108" w:right="1319" w:bottom="1440" w:gutter="0" w:footer="0" w:header="0"/>
        </w:sectPr>
      </w:pPr>
    </w:p>
    <w:bookmarkStart w:id="88" w:name="page89"/>
    <w:bookmarkEnd w:id="88"/>
    <w:p>
      <w:pPr>
        <w:ind w:left="6"/>
        <w:spacing w:after="0"/>
        <w:rPr>
          <w:sz w:val="20"/>
          <w:szCs w:val="20"/>
          <w:color w:val="auto"/>
        </w:rPr>
      </w:pPr>
      <w:r>
        <w:rPr>
          <w:rFonts w:ascii="Arial" w:cs="Arial" w:eastAsia="Arial" w:hAnsi="Arial"/>
          <w:sz w:val="21"/>
          <w:szCs w:val="21"/>
          <w:color w:val="auto"/>
        </w:rPr>
        <w:t>Exhibit 31.1</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19" w:lineRule="exact"/>
        <w:rPr>
          <w:sz w:val="20"/>
          <w:szCs w:val="20"/>
          <w:color w:val="auto"/>
        </w:rPr>
      </w:pPr>
    </w:p>
    <w:p>
      <w:pPr>
        <w:ind w:left="6"/>
        <w:spacing w:after="0" w:line="196" w:lineRule="exact"/>
        <w:rPr>
          <w:sz w:val="20"/>
          <w:szCs w:val="20"/>
          <w:color w:val="auto"/>
        </w:rPr>
      </w:pPr>
      <w:r>
        <w:rPr>
          <w:rFonts w:ascii="Arial" w:cs="Arial" w:eastAsia="Arial" w:hAnsi="Arial"/>
          <w:sz w:val="17"/>
          <w:szCs w:val="17"/>
          <w:color w:val="auto"/>
        </w:rPr>
        <w:t>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Rule 15d</w:t>
      </w:r>
      <w:r>
        <w:rPr>
          <w:rFonts w:ascii="MS PGothic" w:cs="MS PGothic" w:eastAsia="MS PGothic" w:hAnsi="MS PGothic"/>
          <w:sz w:val="17"/>
          <w:szCs w:val="17"/>
          <w:color w:val="auto"/>
        </w:rPr>
        <w:t>‑</w:t>
      </w:r>
      <w:r>
        <w:rPr>
          <w:rFonts w:ascii="Arial" w:cs="Arial" w:eastAsia="Arial" w:hAnsi="Arial"/>
          <w:sz w:val="17"/>
          <w:szCs w:val="17"/>
          <w:color w:val="auto"/>
        </w:rPr>
        <w:t>14(a)</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17"/>
          <w:szCs w:val="17"/>
          <w:color w:val="auto"/>
        </w:rPr>
        <w:t>I, Michael J. Kasbar, certify that:</w:t>
      </w:r>
    </w:p>
    <w:p>
      <w:pPr>
        <w:spacing w:after="0" w:line="159" w:lineRule="exact"/>
        <w:rPr>
          <w:sz w:val="20"/>
          <w:szCs w:val="20"/>
          <w:color w:val="auto"/>
        </w:rPr>
      </w:pPr>
    </w:p>
    <w:p>
      <w:pPr>
        <w:ind w:left="666" w:hanging="666"/>
        <w:spacing w:after="0" w:line="196" w:lineRule="exact"/>
        <w:tabs>
          <w:tab w:leader="none" w:pos="66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World Fuel Services Corporation;</w:t>
      </w:r>
    </w:p>
    <w:p>
      <w:pPr>
        <w:spacing w:after="0" w:line="189" w:lineRule="exact"/>
        <w:rPr>
          <w:rFonts w:ascii="Arial" w:cs="Arial" w:eastAsia="Arial" w:hAnsi="Arial"/>
          <w:sz w:val="17"/>
          <w:szCs w:val="17"/>
          <w:color w:val="auto"/>
        </w:rPr>
      </w:pPr>
    </w:p>
    <w:p>
      <w:pPr>
        <w:jc w:val="both"/>
        <w:ind w:left="626" w:right="20" w:hanging="626"/>
        <w:spacing w:after="0" w:line="263" w:lineRule="auto"/>
        <w:tabs>
          <w:tab w:leader="none" w:pos="666"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7"/>
          <w:szCs w:val="17"/>
          <w:color w:val="auto"/>
        </w:rPr>
      </w:pPr>
    </w:p>
    <w:p>
      <w:pPr>
        <w:jc w:val="both"/>
        <w:ind w:left="626" w:right="20" w:hanging="626"/>
        <w:spacing w:after="0" w:line="263" w:lineRule="auto"/>
        <w:tabs>
          <w:tab w:leader="none" w:pos="666"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7"/>
          <w:szCs w:val="17"/>
          <w:color w:val="auto"/>
        </w:rPr>
      </w:pPr>
    </w:p>
    <w:p>
      <w:pPr>
        <w:jc w:val="both"/>
        <w:ind w:left="626" w:hanging="626"/>
        <w:spacing w:after="0" w:line="213" w:lineRule="exact"/>
        <w:tabs>
          <w:tab w:leader="none" w:pos="66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14" w:lineRule="exact"/>
        <w:rPr>
          <w:rFonts w:ascii="Arial" w:cs="Arial" w:eastAsia="Arial" w:hAnsi="Arial"/>
          <w:sz w:val="17"/>
          <w:szCs w:val="17"/>
          <w:color w:val="auto"/>
        </w:rPr>
      </w:pPr>
    </w:p>
    <w:p>
      <w:pPr>
        <w:jc w:val="both"/>
        <w:ind w:left="1246" w:hanging="623"/>
        <w:spacing w:after="0" w:line="255" w:lineRule="auto"/>
        <w:tabs>
          <w:tab w:leader="none" w:pos="1286"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7"/>
          <w:szCs w:val="17"/>
          <w:color w:val="auto"/>
        </w:rPr>
      </w:pPr>
    </w:p>
    <w:p>
      <w:pPr>
        <w:jc w:val="both"/>
        <w:ind w:left="1246" w:right="20" w:hanging="623"/>
        <w:spacing w:after="0" w:line="255" w:lineRule="auto"/>
        <w:tabs>
          <w:tab w:leader="none" w:pos="1286"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7"/>
          <w:szCs w:val="17"/>
          <w:color w:val="auto"/>
        </w:rPr>
      </w:pPr>
    </w:p>
    <w:p>
      <w:pPr>
        <w:jc w:val="both"/>
        <w:ind w:left="1246" w:right="20" w:hanging="623"/>
        <w:spacing w:after="0" w:line="263" w:lineRule="auto"/>
        <w:tabs>
          <w:tab w:leader="none" w:pos="1277"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7"/>
          <w:szCs w:val="17"/>
          <w:color w:val="auto"/>
        </w:rPr>
      </w:pPr>
    </w:p>
    <w:p>
      <w:pPr>
        <w:jc w:val="both"/>
        <w:ind w:left="1246" w:right="20" w:hanging="623"/>
        <w:spacing w:after="0" w:line="255" w:lineRule="auto"/>
        <w:tabs>
          <w:tab w:leader="none" w:pos="1286"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7"/>
          <w:szCs w:val="17"/>
          <w:color w:val="auto"/>
        </w:rPr>
      </w:pPr>
    </w:p>
    <w:p>
      <w:pPr>
        <w:jc w:val="both"/>
        <w:ind w:left="626" w:hanging="626"/>
        <w:spacing w:after="0" w:line="263" w:lineRule="auto"/>
        <w:tabs>
          <w:tab w:leader="none" w:pos="66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7"/>
          <w:szCs w:val="17"/>
          <w:color w:val="auto"/>
        </w:rPr>
      </w:pPr>
    </w:p>
    <w:p>
      <w:pPr>
        <w:jc w:val="both"/>
        <w:ind w:left="1246" w:hanging="623"/>
        <w:spacing w:after="0" w:line="263" w:lineRule="auto"/>
        <w:tabs>
          <w:tab w:leader="none" w:pos="1286"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7"/>
          <w:szCs w:val="17"/>
          <w:color w:val="auto"/>
        </w:rPr>
      </w:pPr>
    </w:p>
    <w:p>
      <w:pPr>
        <w:ind w:left="1246" w:right="20" w:hanging="623"/>
        <w:spacing w:after="0" w:line="286" w:lineRule="auto"/>
        <w:tabs>
          <w:tab w:leader="none" w:pos="1286"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7"/>
          <w:szCs w:val="17"/>
          <w:color w:val="auto"/>
        </w:rPr>
        <w:t>Date: February 12, 2015</w:t>
      </w:r>
    </w:p>
    <w:p>
      <w:pPr>
        <w:spacing w:after="0" w:line="147" w:lineRule="exact"/>
        <w:rPr>
          <w:sz w:val="20"/>
          <w:szCs w:val="20"/>
          <w:color w:val="auto"/>
        </w:rPr>
      </w:pPr>
    </w:p>
    <w:p>
      <w:pPr>
        <w:ind w:left="66"/>
        <w:spacing w:after="0"/>
        <w:rPr>
          <w:sz w:val="20"/>
          <w:szCs w:val="20"/>
          <w:color w:val="auto"/>
        </w:rPr>
      </w:pPr>
      <w:r>
        <w:rPr>
          <w:rFonts w:ascii="Arial" w:cs="Arial" w:eastAsia="Arial" w:hAnsi="Arial"/>
          <w:sz w:val="16"/>
          <w:szCs w:val="16"/>
          <w:color w:val="auto"/>
        </w:rPr>
        <w:t>/s/ MICHAEL J. KASBAR</w:t>
      </w:r>
    </w:p>
    <w:p>
      <w:pPr>
        <w:spacing w:after="0" w:line="37" w:lineRule="exact"/>
        <w:rPr>
          <w:sz w:val="20"/>
          <w:szCs w:val="20"/>
          <w:color w:val="auto"/>
        </w:rPr>
      </w:pPr>
    </w:p>
    <w:p>
      <w:pPr>
        <w:ind w:left="246"/>
        <w:spacing w:after="0"/>
        <w:rPr>
          <w:sz w:val="20"/>
          <w:szCs w:val="20"/>
          <w:color w:val="auto"/>
        </w:rPr>
      </w:pPr>
      <w:r>
        <w:rPr>
          <w:rFonts w:ascii="Arial" w:cs="Arial" w:eastAsia="Arial" w:hAnsi="Arial"/>
          <w:sz w:val="16"/>
          <w:szCs w:val="16"/>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25463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ind w:left="326"/>
        <w:spacing w:after="0"/>
        <w:rPr>
          <w:sz w:val="20"/>
          <w:szCs w:val="20"/>
          <w:color w:val="auto"/>
        </w:rPr>
      </w:pPr>
      <w:r>
        <w:rPr>
          <w:rFonts w:ascii="Arial" w:cs="Arial" w:eastAsia="Arial" w:hAnsi="Arial"/>
          <w:sz w:val="16"/>
          <w:szCs w:val="16"/>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5909310" cy="50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09310" cy="50165"/>
                    </a:xfrm>
                    <a:prstGeom prst="rect">
                      <a:avLst/>
                    </a:prstGeom>
                    <a:noFill/>
                  </pic:spPr>
                </pic:pic>
              </a:graphicData>
            </a:graphic>
          </wp:anchor>
        </w:drawing>
      </w:r>
    </w:p>
    <w:p>
      <w:pPr>
        <w:sectPr>
          <w:pgSz w:w="11900" w:h="16838" w:orient="portrait"/>
          <w:cols w:equalWidth="0" w:num="1">
            <w:col w:w="9246"/>
          </w:cols>
          <w:pgMar w:left="1334" w:top="108" w:right="1319" w:bottom="1440" w:gutter="0" w:footer="0" w:header="0"/>
        </w:sectPr>
      </w:pPr>
    </w:p>
    <w:bookmarkStart w:id="89" w:name="page90"/>
    <w:bookmarkEnd w:id="89"/>
    <w:p>
      <w:pPr>
        <w:ind w:left="6"/>
        <w:spacing w:after="0"/>
        <w:rPr>
          <w:sz w:val="20"/>
          <w:szCs w:val="20"/>
          <w:color w:val="auto"/>
        </w:rPr>
      </w:pPr>
      <w:r>
        <w:rPr>
          <w:rFonts w:ascii="Arial" w:cs="Arial" w:eastAsia="Arial" w:hAnsi="Arial"/>
          <w:sz w:val="21"/>
          <w:szCs w:val="21"/>
          <w:color w:val="auto"/>
        </w:rPr>
        <w:t>Exhibit 31.2</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19" w:lineRule="exact"/>
        <w:rPr>
          <w:sz w:val="20"/>
          <w:szCs w:val="20"/>
          <w:color w:val="auto"/>
        </w:rPr>
      </w:pPr>
    </w:p>
    <w:p>
      <w:pPr>
        <w:ind w:left="6"/>
        <w:spacing w:after="0" w:line="196" w:lineRule="exact"/>
        <w:rPr>
          <w:sz w:val="20"/>
          <w:szCs w:val="20"/>
          <w:color w:val="auto"/>
        </w:rPr>
      </w:pPr>
      <w:r>
        <w:rPr>
          <w:rFonts w:ascii="Arial" w:cs="Arial" w:eastAsia="Arial" w:hAnsi="Arial"/>
          <w:sz w:val="17"/>
          <w:szCs w:val="17"/>
          <w:color w:val="auto"/>
        </w:rPr>
        <w:t>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Rule 15d</w:t>
      </w:r>
      <w:r>
        <w:rPr>
          <w:rFonts w:ascii="MS PGothic" w:cs="MS PGothic" w:eastAsia="MS PGothic" w:hAnsi="MS PGothic"/>
          <w:sz w:val="17"/>
          <w:szCs w:val="17"/>
          <w:color w:val="auto"/>
        </w:rPr>
        <w:t>‑</w:t>
      </w:r>
      <w:r>
        <w:rPr>
          <w:rFonts w:ascii="Arial" w:cs="Arial" w:eastAsia="Arial" w:hAnsi="Arial"/>
          <w:sz w:val="17"/>
          <w:szCs w:val="17"/>
          <w:color w:val="auto"/>
        </w:rPr>
        <w:t>14(a)</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17"/>
          <w:szCs w:val="17"/>
          <w:color w:val="auto"/>
        </w:rPr>
        <w:t>I, Ira M. Birns, certify that:</w:t>
      </w:r>
    </w:p>
    <w:p>
      <w:pPr>
        <w:spacing w:after="0" w:line="159" w:lineRule="exact"/>
        <w:rPr>
          <w:sz w:val="20"/>
          <w:szCs w:val="20"/>
          <w:color w:val="auto"/>
        </w:rPr>
      </w:pPr>
    </w:p>
    <w:p>
      <w:pPr>
        <w:ind w:left="666" w:hanging="666"/>
        <w:spacing w:after="0" w:line="196" w:lineRule="exact"/>
        <w:tabs>
          <w:tab w:leader="none" w:pos="6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World Fuel Services Corporation;</w:t>
      </w:r>
    </w:p>
    <w:p>
      <w:pPr>
        <w:spacing w:after="0" w:line="189" w:lineRule="exact"/>
        <w:rPr>
          <w:rFonts w:ascii="Arial" w:cs="Arial" w:eastAsia="Arial" w:hAnsi="Arial"/>
          <w:sz w:val="17"/>
          <w:szCs w:val="17"/>
          <w:color w:val="auto"/>
        </w:rPr>
      </w:pPr>
    </w:p>
    <w:p>
      <w:pPr>
        <w:jc w:val="both"/>
        <w:ind w:left="626" w:right="20" w:hanging="626"/>
        <w:spacing w:after="0" w:line="263" w:lineRule="auto"/>
        <w:tabs>
          <w:tab w:leader="none" w:pos="6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7"/>
          <w:szCs w:val="17"/>
          <w:color w:val="auto"/>
        </w:rPr>
      </w:pPr>
    </w:p>
    <w:p>
      <w:pPr>
        <w:jc w:val="both"/>
        <w:ind w:left="626" w:right="20" w:hanging="626"/>
        <w:spacing w:after="0" w:line="263" w:lineRule="auto"/>
        <w:tabs>
          <w:tab w:leader="none" w:pos="6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7"/>
          <w:szCs w:val="17"/>
          <w:color w:val="auto"/>
        </w:rPr>
      </w:pPr>
    </w:p>
    <w:p>
      <w:pPr>
        <w:jc w:val="both"/>
        <w:ind w:left="626" w:hanging="626"/>
        <w:spacing w:after="0" w:line="213" w:lineRule="exact"/>
        <w:tabs>
          <w:tab w:leader="none" w:pos="6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14" w:lineRule="exact"/>
        <w:rPr>
          <w:rFonts w:ascii="Arial" w:cs="Arial" w:eastAsia="Arial" w:hAnsi="Arial"/>
          <w:sz w:val="17"/>
          <w:szCs w:val="17"/>
          <w:color w:val="auto"/>
        </w:rPr>
      </w:pPr>
    </w:p>
    <w:p>
      <w:pPr>
        <w:jc w:val="both"/>
        <w:ind w:left="1246" w:hanging="623"/>
        <w:spacing w:after="0" w:line="255" w:lineRule="auto"/>
        <w:tabs>
          <w:tab w:leader="none" w:pos="1286"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7"/>
          <w:szCs w:val="17"/>
          <w:color w:val="auto"/>
        </w:rPr>
      </w:pPr>
    </w:p>
    <w:p>
      <w:pPr>
        <w:jc w:val="both"/>
        <w:ind w:left="1246" w:right="20" w:hanging="623"/>
        <w:spacing w:after="0" w:line="255" w:lineRule="auto"/>
        <w:tabs>
          <w:tab w:leader="none" w:pos="1286"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7"/>
          <w:szCs w:val="17"/>
          <w:color w:val="auto"/>
        </w:rPr>
      </w:pPr>
    </w:p>
    <w:p>
      <w:pPr>
        <w:jc w:val="both"/>
        <w:ind w:left="1246" w:hanging="623"/>
        <w:spacing w:after="0" w:line="263" w:lineRule="auto"/>
        <w:tabs>
          <w:tab w:leader="none" w:pos="1277"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7"/>
          <w:szCs w:val="17"/>
          <w:color w:val="auto"/>
        </w:rPr>
      </w:pPr>
    </w:p>
    <w:p>
      <w:pPr>
        <w:jc w:val="both"/>
        <w:ind w:left="1246" w:right="20" w:hanging="623"/>
        <w:spacing w:after="0" w:line="255" w:lineRule="auto"/>
        <w:tabs>
          <w:tab w:leader="none" w:pos="1286"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7"/>
          <w:szCs w:val="17"/>
          <w:color w:val="auto"/>
        </w:rPr>
      </w:pPr>
    </w:p>
    <w:p>
      <w:pPr>
        <w:jc w:val="both"/>
        <w:ind w:left="626" w:hanging="626"/>
        <w:spacing w:after="0" w:line="263" w:lineRule="auto"/>
        <w:tabs>
          <w:tab w:leader="none" w:pos="6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7"/>
          <w:szCs w:val="17"/>
          <w:color w:val="auto"/>
        </w:rPr>
      </w:pPr>
    </w:p>
    <w:p>
      <w:pPr>
        <w:jc w:val="both"/>
        <w:ind w:left="1246" w:hanging="623"/>
        <w:spacing w:after="0" w:line="263" w:lineRule="auto"/>
        <w:tabs>
          <w:tab w:leader="none" w:pos="1286"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7"/>
          <w:szCs w:val="17"/>
          <w:color w:val="auto"/>
        </w:rPr>
      </w:pPr>
    </w:p>
    <w:p>
      <w:pPr>
        <w:ind w:left="1246" w:right="20" w:hanging="623"/>
        <w:spacing w:after="0" w:line="286" w:lineRule="auto"/>
        <w:tabs>
          <w:tab w:leader="none" w:pos="1286"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7"/>
          <w:szCs w:val="17"/>
          <w:color w:val="auto"/>
        </w:rPr>
        <w:t>Date: February 12, 2015</w:t>
      </w:r>
    </w:p>
    <w:p>
      <w:pPr>
        <w:spacing w:after="0" w:line="121" w:lineRule="exact"/>
        <w:rPr>
          <w:sz w:val="20"/>
          <w:szCs w:val="20"/>
          <w:color w:val="auto"/>
        </w:rPr>
      </w:pPr>
    </w:p>
    <w:p>
      <w:pPr>
        <w:ind w:left="66"/>
        <w:spacing w:after="0"/>
        <w:rPr>
          <w:sz w:val="20"/>
          <w:szCs w:val="20"/>
          <w:color w:val="auto"/>
        </w:rPr>
      </w:pPr>
      <w:r>
        <w:rPr>
          <w:rFonts w:ascii="Arial" w:cs="Arial" w:eastAsia="Arial" w:hAnsi="Arial"/>
          <w:sz w:val="16"/>
          <w:szCs w:val="16"/>
          <w:color w:val="auto"/>
        </w:rPr>
        <w:t>/s/ IRA M. BIRNS</w:t>
      </w:r>
    </w:p>
    <w:p>
      <w:pPr>
        <w:spacing w:after="0" w:line="37" w:lineRule="exact"/>
        <w:rPr>
          <w:sz w:val="20"/>
          <w:szCs w:val="20"/>
          <w:color w:val="auto"/>
        </w:rPr>
      </w:pPr>
    </w:p>
    <w:p>
      <w:pPr>
        <w:ind w:left="246"/>
        <w:spacing w:after="0"/>
        <w:rPr>
          <w:sz w:val="20"/>
          <w:szCs w:val="20"/>
          <w:color w:val="auto"/>
        </w:rPr>
      </w:pPr>
      <w:r>
        <w:rPr>
          <w:rFonts w:ascii="Arial" w:cs="Arial" w:eastAsia="Arial" w:hAnsi="Arial"/>
          <w:sz w:val="16"/>
          <w:szCs w:val="16"/>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3041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41015" cy="8255"/>
                    </a:xfrm>
                    <a:prstGeom prst="rect">
                      <a:avLst/>
                    </a:prstGeom>
                    <a:noFill/>
                  </pic:spPr>
                </pic:pic>
              </a:graphicData>
            </a:graphic>
          </wp:anchor>
        </w:drawing>
      </w:r>
    </w:p>
    <w:p>
      <w:pPr>
        <w:ind w:left="246"/>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248285</wp:posOffset>
            </wp:positionV>
            <wp:extent cx="5909310"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09310" cy="50165"/>
                    </a:xfrm>
                    <a:prstGeom prst="rect">
                      <a:avLst/>
                    </a:prstGeom>
                    <a:noFill/>
                  </pic:spPr>
                </pic:pic>
              </a:graphicData>
            </a:graphic>
          </wp:anchor>
        </w:drawing>
      </w:r>
    </w:p>
    <w:p>
      <w:pPr>
        <w:sectPr>
          <w:pgSz w:w="11900" w:h="16838" w:orient="portrait"/>
          <w:cols w:equalWidth="0" w:num="1">
            <w:col w:w="9246"/>
          </w:cols>
          <w:pgMar w:left="1334" w:top="108" w:right="1319" w:bottom="1440" w:gutter="0" w:footer="0" w:header="0"/>
        </w:sectPr>
      </w:pPr>
    </w:p>
    <w:bookmarkStart w:id="90" w:name="page91"/>
    <w:bookmarkEnd w:id="90"/>
    <w:p>
      <w:pPr>
        <w:spacing w:after="0"/>
        <w:rPr>
          <w:sz w:val="20"/>
          <w:szCs w:val="20"/>
          <w:color w:val="auto"/>
        </w:rPr>
      </w:pPr>
      <w:r>
        <w:rPr>
          <w:rFonts w:ascii="Arial" w:cs="Arial" w:eastAsia="Arial" w:hAnsi="Arial"/>
          <w:sz w:val="21"/>
          <w:szCs w:val="21"/>
          <w:color w:val="auto"/>
        </w:rPr>
        <w:t>Exhibit 32.1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CHIEF EXECUTIVE OFFICER AND CHIEF FINANCIAL OFFICER</w:t>
      </w:r>
    </w:p>
    <w:p>
      <w:pPr>
        <w:spacing w:after="0" w:line="1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under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(18 U.S.C. Section 1350)</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Each of Michael J. Kasbar, the Chairman, President and Chief Executive Officer of World Fuel Services Corporation (the “Company”), and Ira M. Birns, Executive Vice President and Chief Financial Officer of the Company, hereby certifies for the purposes of Section 1350 of Chapter 63 of Title 18 of the United States Code that, to the best of his knowledge,</w:t>
      </w:r>
    </w:p>
    <w:p>
      <w:pPr>
        <w:spacing w:after="0" w:line="127" w:lineRule="exact"/>
        <w:rPr>
          <w:sz w:val="20"/>
          <w:szCs w:val="20"/>
          <w:color w:val="auto"/>
        </w:rPr>
      </w:pPr>
    </w:p>
    <w:p>
      <w:pPr>
        <w:jc w:val="both"/>
        <w:ind w:left="1240" w:right="20" w:hanging="623"/>
        <w:spacing w:after="0" w:line="216" w:lineRule="exact"/>
        <w:tabs>
          <w:tab w:leader="none" w:pos="123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Company for the fiscal year ended December 31, 2014 (the “Report”), fully complies with the requirements of Section 13(a) or Section 15(d) of the Securities Exchange Act of 1934, and</w:t>
      </w:r>
    </w:p>
    <w:p>
      <w:pPr>
        <w:spacing w:after="0" w:line="168" w:lineRule="exact"/>
        <w:rPr>
          <w:rFonts w:ascii="Arial" w:cs="Arial" w:eastAsia="Arial" w:hAnsi="Arial"/>
          <w:sz w:val="17"/>
          <w:szCs w:val="17"/>
          <w:color w:val="auto"/>
        </w:rPr>
      </w:pPr>
    </w:p>
    <w:p>
      <w:pPr>
        <w:ind w:left="1240" w:hanging="623"/>
        <w:spacing w:after="0" w:line="286" w:lineRule="auto"/>
        <w:tabs>
          <w:tab w:leader="none" w:pos="12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12, 2015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MICHAEL J. KASBAR</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2744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Chairman, President and Chief Executive Officer</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IRA M. BIRNS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2744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495935</wp:posOffset>
            </wp:positionV>
            <wp:extent cx="5909310" cy="50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09310" cy="50165"/>
                    </a:xfrm>
                    <a:prstGeom prst="rect">
                      <a:avLst/>
                    </a:prstGeom>
                    <a:noFill/>
                  </pic:spPr>
                </pic:pic>
              </a:graphicData>
            </a:graphic>
          </wp:anchor>
        </w:drawing>
      </w:r>
    </w:p>
    <w:sectPr>
      <w:pgSz w:w="11900" w:h="16838" w:orient="portrait"/>
      <w:cols w:equalWidth="0" w:num="1">
        <w:col w:w="9240"/>
      </w:cols>
      <w:pgMar w:left="1340" w:top="108"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lowerRoman"/>
      <w:start w:val="2"/>
    </w:lvl>
  </w:abstractNum>
  <w:abstractNum w:abstractNumId="16">
    <w:nsid w:val="8EDBDAB"/>
    <w:multiLevelType w:val="hybridMultilevel"/>
    <w:lvl w:ilvl="0">
      <w:lvlJc w:val="left"/>
      <w:lvlText w:val="(%1)"/>
      <w:numFmt w:val="lowerRoman"/>
      <w:start w:val="3"/>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4"/>
    </w:lvl>
    <w:lvl w:ilvl="1">
      <w:lvlJc w:val="left"/>
      <w:lvlText w:val="%2)"/>
      <w:numFmt w:val="lowerRoman"/>
      <w:start w:val="4"/>
    </w:lvl>
  </w:abstractNum>
  <w:abstractNum w:abstractNumId="21">
    <w:nsid w:val="54E49EB4"/>
    <w:multiLevelType w:val="hybridMultilevel"/>
    <w:lvl w:ilvl="0">
      <w:lvlJc w:val="left"/>
      <w:lvlText w:val="(%1)"/>
      <w:numFmt w:val="lowerRoman"/>
      <w:start w:val="2"/>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decimal"/>
      <w:start w:val="10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lowerRoman"/>
      <w:start w:val="2"/>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2019-12-29T19:28:04Z</dcterms:created>
  <dcterms:modified xsi:type="dcterms:W3CDTF">2019-12-29T19:28:04Z</dcterms:modified>
</cp:coreProperties>
</file>