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RAU JOHN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Aviation, Land &amp; Marine</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118,552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1,448</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117,104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1,640</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3,393</w:t>
            </w:r>
            <w:r>
              <w:rPr>
                <w:rFonts w:ascii="Times;serif" w:hAnsi="Times;serif"/>
                <w:color w:val="008000"/>
                <w:position w:val="7"/>
                <w:sz w:val="16"/>
                <w:sz w:val="20"/>
                <w:shd w:fill="FFFFFF" w:val="clear"/>
              </w:rPr>
              <w:t>(5)</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112,071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1,306 restricted stock units held by the reporting person vested and settled on March 15,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of the issuer's common stock on the NYSE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5,945 restricted stock units held by the reporting person vested and settled on March 15,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6,042 restricted stock units held by the reporting person vested and settled on March 15, 2024.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8,622 restricted stock units held by the reporting person vested and settled on March 15, 2024. The issuer withheld the reported shares to cover the reporting person's tax liability associated with these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Quintana Avalos,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63999" TargetMode="External"/><Relationship Id="rId4" Type="http://schemas.openxmlformats.org/officeDocument/2006/relationships/hyperlink" Target="http://www.sec.gov/cgi-bin/browse-edgar?action=getcompany&amp;CIK=00007894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4070</Characters>
  <CharactersWithSpaces>4740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