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68" w:before="0" w:after="0"/>
        <w:jc w:val="left"/>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60" w:after="6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60" w:after="240"/>
        <w:jc w:val="center"/>
        <w:rPr/>
      </w:pPr>
      <w:r>
        <w:rPr>
          <w:rFonts w:ascii="Times New Roman;sans-serif" w:hAnsi="Times New Roman;sans-serif"/>
          <w:b/>
          <w:color w:val="000000"/>
          <w:sz w:val="24"/>
        </w:rPr>
        <w:t>WASHINGTON,  D.C. 20549</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260"/>
        <w:jc w:val="center"/>
        <w:rPr/>
      </w:pPr>
      <w:r>
        <w:rPr>
          <w:color w:val="000000"/>
        </w:rPr>
        <w:t> </w:t>
      </w:r>
      <w:r>
        <w:rPr>
          <w:rFonts w:ascii="Times New Roman;sans-serif" w:hAnsi="Times New Roman;sans-serif"/>
          <w:b/>
          <w:color w:val="000000"/>
          <w:sz w:val="24"/>
        </w:rPr>
        <w:t>CURRENT REPORT</w:t>
      </w:r>
    </w:p>
    <w:p>
      <w:pPr>
        <w:pStyle w:val="TextBody"/>
        <w:bidi w:val="0"/>
        <w:spacing w:lineRule="auto" w:line="288" w:before="120" w:after="120"/>
        <w:jc w:val="center"/>
        <w:rPr/>
      </w:pPr>
      <w:r>
        <w:rPr>
          <w:color w:val="000000"/>
        </w:rPr>
        <w:t> </w:t>
      </w:r>
      <w:r>
        <w:rPr>
          <w:rFonts w:ascii="Times New Roman;sans-serif" w:hAnsi="Times New Roman;sans-serif"/>
          <w:b/>
          <w:color w:val="000000"/>
          <w:sz w:val="24"/>
        </w:rPr>
        <w:t>PURSUANT TO SECTION 13 OR 15(d) 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w:t>
      </w:r>
    </w:p>
    <w:p>
      <w:pPr>
        <w:pStyle w:val="TextBody"/>
        <w:bidi w:val="0"/>
        <w:spacing w:lineRule="auto" w:line="288" w:before="120" w:after="120"/>
        <w:ind w:left="0" w:right="0" w:firstLine="1260"/>
        <w:jc w:val="center"/>
        <w:rPr/>
      </w:pPr>
      <w:r>
        <w:rPr>
          <w:color w:val="000000"/>
        </w:rPr>
        <w:t>  </w:t>
      </w:r>
      <w:r>
        <w:rPr>
          <w:rFonts w:ascii="Times New Roman;sans-serif" w:hAnsi="Times New Roman;sans-serif"/>
          <w:b/>
          <w:color w:val="000000"/>
          <w:sz w:val="22"/>
        </w:rPr>
        <w:t>Date of Report (Date of earliest event reported): April 25, 2024</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center"/>
        <w:rPr>
          <w:rFonts w:ascii="Times New Roman;sans-serif" w:hAnsi="Times New Roman;sans-serif"/>
          <w:b/>
          <w:color w:val="000000"/>
          <w:sz w:val="44"/>
        </w:rPr>
      </w:pPr>
      <w:r>
        <w:rPr>
          <w:rFonts w:ascii="Times New Roman;sans-serif" w:hAnsi="Times New Roman;sans-serif"/>
          <w:b/>
          <w:color w:val="000000"/>
          <w:sz w:val="44"/>
        </w:rPr>
        <w:t>WORLD KINECT CORPORATION</w:t>
      </w:r>
    </w:p>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59" w:type="dxa"/>
        <w:jc w:val="center"/>
        <w:tblInd w:w="0" w:type="dxa"/>
        <w:tblLayout w:type="fixed"/>
        <w:tblCellMar>
          <w:top w:w="28" w:type="dxa"/>
          <w:left w:w="28" w:type="dxa"/>
          <w:bottom w:w="28" w:type="dxa"/>
          <w:right w:w="28" w:type="dxa"/>
        </w:tblCellMar>
      </w:tblPr>
      <w:tblGrid>
        <w:gridCol w:w="1220"/>
        <w:gridCol w:w="1073"/>
        <w:gridCol w:w="1082"/>
        <w:gridCol w:w="679"/>
        <w:gridCol w:w="679"/>
        <w:gridCol w:w="682"/>
        <w:gridCol w:w="803"/>
        <w:gridCol w:w="803"/>
        <w:gridCol w:w="1138"/>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Florida</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001-09533</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59-2459427</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5381" w:type="dxa"/>
        <w:jc w:val="center"/>
        <w:tblInd w:w="0" w:type="dxa"/>
        <w:tblLayout w:type="fixed"/>
        <w:tblCellMar>
          <w:top w:w="28" w:type="dxa"/>
          <w:left w:w="28" w:type="dxa"/>
          <w:bottom w:w="28" w:type="dxa"/>
          <w:right w:w="28" w:type="dxa"/>
        </w:tblCellMar>
      </w:tblPr>
      <w:tblGrid>
        <w:gridCol w:w="863"/>
        <w:gridCol w:w="757"/>
        <w:gridCol w:w="764"/>
        <w:gridCol w:w="274"/>
        <w:gridCol w:w="274"/>
        <w:gridCol w:w="276"/>
        <w:gridCol w:w="285"/>
        <w:gridCol w:w="285"/>
        <w:gridCol w:w="286"/>
        <w:gridCol w:w="109"/>
        <w:gridCol w:w="109"/>
        <w:gridCol w:w="109"/>
        <w:gridCol w:w="290"/>
        <w:gridCol w:w="290"/>
        <w:gridCol w:w="410"/>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9800 N.W. 41st Street,</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Miami,</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33178</w:t>
            </w:r>
          </w:p>
        </w:tc>
      </w:tr>
      <w:tr>
        <w:trPr/>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120" w:after="120"/>
        <w:ind w:left="0" w:right="0" w:firstLine="1260"/>
        <w:jc w:val="center"/>
        <w:rPr/>
      </w:pPr>
      <w:r>
        <w:rPr>
          <w:rFonts w:ascii="Times New Roman;sans-serif" w:hAnsi="Times New Roman;sans-serif"/>
          <w:b/>
          <w:color w:val="000000"/>
          <w:sz w:val="20"/>
        </w:rPr>
        <w:t>Registrant’s telephone number, including area code:</w:t>
      </w:r>
      <w:r>
        <w:rPr>
          <w:color w:val="000000"/>
        </w:rPr>
        <w:t xml:space="preserve"> </w:t>
      </w:r>
      <w:r>
        <w:rPr>
          <w:rFonts w:ascii="Times New Roman;sans-serif" w:hAnsi="Times New Roman;sans-serif"/>
          <w:b/>
          <w:color w:val="000000"/>
          <w:sz w:val="20"/>
        </w:rPr>
        <w:t xml:space="preserve">(305) 428-8000 </w:t>
      </w:r>
      <w:r>
        <w:rPr>
          <w:color w:val="000000"/>
        </w:rPr>
        <w:t> </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60" w:after="60"/>
        <w:jc w:val="both"/>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40"/>
        <w:jc w:val="both"/>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178" w:type="dxa"/>
        <w:jc w:val="left"/>
        <w:tblInd w:w="0" w:type="dxa"/>
        <w:tblLayout w:type="fixed"/>
        <w:tblCellMar>
          <w:top w:w="28" w:type="dxa"/>
          <w:left w:w="28" w:type="dxa"/>
          <w:bottom w:w="28" w:type="dxa"/>
          <w:right w:w="28" w:type="dxa"/>
        </w:tblCellMar>
      </w:tblPr>
      <w:tblGrid>
        <w:gridCol w:w="1322"/>
        <w:gridCol w:w="1162"/>
        <w:gridCol w:w="1175"/>
        <w:gridCol w:w="564"/>
        <w:gridCol w:w="564"/>
        <w:gridCol w:w="566"/>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WKC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25, 2024, World Kinect Corporation issued a press release reporting its financial results for the first quarter of 2024. A copy of the press release is attached hereto as Exhibit 99.1.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9.01.  Financial Statements and Exhibits</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6030" w:type="dxa"/>
        <w:jc w:val="left"/>
        <w:tblInd w:w="0" w:type="dxa"/>
        <w:tblLayout w:type="fixed"/>
        <w:tblCellMar>
          <w:top w:w="28" w:type="dxa"/>
          <w:left w:w="28" w:type="dxa"/>
          <w:bottom w:w="28" w:type="dxa"/>
          <w:right w:w="28" w:type="dxa"/>
        </w:tblCellMar>
      </w:tblPr>
      <w:tblGrid>
        <w:gridCol w:w="391"/>
        <w:gridCol w:w="344"/>
        <w:gridCol w:w="345"/>
        <w:gridCol w:w="1446"/>
        <w:gridCol w:w="1446"/>
        <w:gridCol w:w="205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8-kexx991earnings.htm">
              <w:r>
                <w:rPr>
                  <w:rStyle w:val="InternetLink"/>
                  <w:rFonts w:ascii="Times New Roman;sans-serif" w:hAnsi="Times New Roman;sans-serif"/>
                  <w:b w:val="false"/>
                  <w:color w:val="0000FF"/>
                  <w:sz w:val="20"/>
                  <w:u w:val="single"/>
                </w:rPr>
                <w:t>99.1</w:t>
              </w:r>
            </w:hyperlink>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Press Release, dated April 25, 2024</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w:t>
            </w:r>
          </w:p>
        </w:tc>
      </w:tr>
    </w:tbl>
    <w:p>
      <w:pPr>
        <w:pStyle w:val="TextBody"/>
        <w:bidi w:val="0"/>
        <w:spacing w:before="120" w:after="120"/>
        <w:ind w:left="0" w:right="0" w:firstLine="14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551"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300"/>
        <w:gridCol w:w="1300"/>
        <w:gridCol w:w="184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World Kinect Corporation</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Ira M. Birns</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Ira M. Birns</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40"/>
        <w:jc w:val="right"/>
        <w:rPr>
          <w:rFonts w:ascii="Times New Roman;sans-serif" w:hAnsi="Times New Roman;sans-serif"/>
          <w:b/>
          <w:color w:val="000000"/>
          <w:sz w:val="24"/>
        </w:rPr>
      </w:pPr>
      <w:r>
        <w:rPr>
          <w:rFonts w:ascii="Times New Roman;sans-serif" w:hAnsi="Times New Roman;sans-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before="240" w:after="20"/>
        <w:jc w:val="left"/>
        <w:rPr/>
      </w:pPr>
      <w:r>
        <w:rPr/>
        <w:drawing>
          <wp:inline distT="0" distB="0" distL="0" distR="0">
            <wp:extent cx="1419225" cy="752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19225" cy="752475"/>
                    </a:xfrm>
                    <a:prstGeom prst="rect">
                      <a:avLst/>
                    </a:prstGeom>
                  </pic:spPr>
                </pic:pic>
              </a:graphicData>
            </a:graphic>
          </wp:inline>
        </w:drawing>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World Kinect Corporation Reports First Quarter 2024 Results</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MIAMI—April 25, 2024—World Kinect Corporation (NYSE: WKC) today reported financial results for the first quarter of 2024.</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Results compared to the same period last year are as follows (unaudited - in millions, except percentages and per share data):</w:t>
      </w:r>
    </w:p>
    <w:tbl>
      <w:tblPr>
        <w:tblW w:w="8568" w:type="dxa"/>
        <w:jc w:val="left"/>
        <w:tblInd w:w="0" w:type="dxa"/>
        <w:tblLayout w:type="fixed"/>
        <w:tblCellMar>
          <w:top w:w="28" w:type="dxa"/>
          <w:left w:w="28" w:type="dxa"/>
          <w:bottom w:w="28" w:type="dxa"/>
          <w:right w:w="28" w:type="dxa"/>
        </w:tblCellMar>
      </w:tblPr>
      <w:tblGrid>
        <w:gridCol w:w="1379"/>
        <w:gridCol w:w="1214"/>
        <w:gridCol w:w="1216"/>
        <w:gridCol w:w="109"/>
        <w:gridCol w:w="109"/>
        <w:gridCol w:w="109"/>
        <w:gridCol w:w="320"/>
        <w:gridCol w:w="382"/>
        <w:gridCol w:w="294"/>
        <w:gridCol w:w="165"/>
        <w:gridCol w:w="165"/>
        <w:gridCol w:w="165"/>
        <w:gridCol w:w="320"/>
        <w:gridCol w:w="382"/>
        <w:gridCol w:w="294"/>
        <w:gridCol w:w="165"/>
        <w:gridCol w:w="165"/>
        <w:gridCol w:w="165"/>
        <w:gridCol w:w="250"/>
        <w:gridCol w:w="250"/>
        <w:gridCol w:w="251"/>
        <w:gridCol w:w="109"/>
        <w:gridCol w:w="109"/>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Volume</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4,414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10,951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0.45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0.47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gallons and gallon equivalents converted as described in the table below.</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"We remain focused on driving growth and profitability across our three business segments and progressing toward our medium-term adjusted EBITDA, adjusted operating margin and cash flow targets," said Michael J. Kasbar, Chairman and Chief Executive Officer. "While weather-related headwinds impacted our land results in the first quarter, aviation and marine performed well and our outlook for the balance of the year remains strong."</w:t>
      </w:r>
    </w:p>
    <w:p>
      <w:pPr>
        <w:pStyle w:val="TextBody"/>
        <w:bidi w:val="0"/>
        <w:spacing w:lineRule="auto" w:line="288" w:before="24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"We started the year with solid operating cash flow, further strengthening our balance sheet," said Ira M. Birns, Executive Vice President and Chief Financial Officer. "Our strong liquidity position provides us with the capital needed to drive organic growth and fund strategic investments in our core business activities, and we remain focused on delivering shareholder returns, as evidenced by our recent dividend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3055"/>
                <wp:effectExtent l="0" t="0" r="0" b="0"/>
                <wp:wrapNone/>
                <wp:docPr id="5" name="Frame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48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First Quarter 2024 Compared to 2023</w:t>
      </w:r>
    </w:p>
    <w:p>
      <w:pPr>
        <w:pStyle w:val="TextBody"/>
        <w:bidi w:val="0"/>
        <w:spacing w:lineRule="auto" w:line="288" w:before="24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Year-Over-Year Highlights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Revenue of $11.0 billion, a decrease of 12%.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Gross profit of $254.1 million, a decrease of 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Net income of $27.4 million, an increase of 20%.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Adjusted EBITDA of $85.9 million, a decrease of 1%.</w:t>
      </w:r>
    </w:p>
    <w:p>
      <w:pPr>
        <w:pStyle w:val="TextBody"/>
        <w:bidi w:val="0"/>
        <w:spacing w:lineRule="auto" w:line="288" w:before="24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Year-Over-Year Segment Profitability</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Aviation – Gross profit of $108.4 million, an increase of 8%, driven by stronger performance in our inventory business and our continued focus on improving returns in an elevated interest rate environment, primarily in North America and Europe.</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Land – Gross profit of $97.3 million, a decrease of 12%, primarily driven by weather-related reductions in gross profit from our natural gas and U.K. business activities as well as a decline in profitability from sustainability-related offerings partially offset by improved performance in our liquid fuel business in North America.</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2"/>
        </w:rPr>
        <w:t>Marine – Gross profit of $48.4 million, a decrease of 7%, driven principally by the reduction in market volatility when compared to the heightened volatility experienced throughout 2022 and into the first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Earnings Conference Call</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An investor conference call will be held today, April 25, 2024, at 5:00 PM Eastern Time to discuss first quarter results. Participants can access the live webcast or participate by phone by visiting our website at https://ir.worldkinect.com. To join the conference call by phone, participants must preregister and will then receive dial-in information and a PIN enabling access to the call. A replay of the webcast will be available and can be accessed in the same manner as the live webcast on our website through May 8, 2024.</w:t>
      </w: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About World Kinect Corporation</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Headquartered in Miami, Florida, World Kinect Corporation (NYSE: WKC) is a global energy management company offering fulfillment and related services to more than 150,000 customers across the aviation, marine, and land-based transportation sectors. We also supply natural gas and power in the United States and Europe along with a growing suite of other sustainability-related products and services. </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more information, visit https://corp.worldkinect.com.</w:t>
      </w: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Contacts: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Ira M. Birns, Executive Vice President &amp; Chief Financial Officer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Elsa Ballard, Vice President of Investor Relations &amp; Communications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investor@worldkinect.com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Definitions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2"/>
        </w:rPr>
        <w:t>"Net income" means net income (loss) attributable to World Kinect as presented in the Statements of Income and Comprehensive Income.</w:t>
      </w:r>
    </w:p>
    <w:p>
      <w:pPr>
        <w:pStyle w:val="TextBody"/>
        <w:bidi w:val="0"/>
        <w:spacing w:before="240" w:after="24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3055"/>
                <wp:effectExtent l="0" t="0" r="0" b="0"/>
                <wp:wrapNone/>
                <wp:docPr id="6" name="Frame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120"/>
        <w:ind w:left="0" w:right="0" w:hanging="360"/>
        <w:jc w:val="both"/>
        <w:rPr/>
      </w:pPr>
      <w:r>
        <w:rPr>
          <w:strike/>
          <w:color w:val="000000"/>
        </w:rPr>
        <w:t>•</w:t>
      </w:r>
      <w:r>
        <w:rPr>
          <w:rFonts w:ascii="Times New Roman;sans-serif" w:hAnsi="Times New Roman;sans-serif"/>
          <w:b w:val="false"/>
          <w:color w:val="000000"/>
          <w:sz w:val="22"/>
        </w:rPr>
        <w:t>"Operating margin" means income from operations as a percentage of gross profit.</w:t>
      </w:r>
    </w:p>
    <w:p>
      <w:pPr>
        <w:pStyle w:val="TextBody"/>
        <w:bidi w:val="0"/>
        <w:spacing w:lineRule="auto" w:line="288" w:before="120" w:after="120"/>
        <w:jc w:val="left"/>
        <w:rPr>
          <w:rFonts w:ascii="Times New Roman;sans-serif" w:hAnsi="Times New Roman;sans-serif"/>
          <w:b/>
          <w:color w:val="000000"/>
          <w:sz w:val="22"/>
          <w:u w:val="single"/>
        </w:rPr>
      </w:pPr>
      <w:r>
        <w:rPr>
          <w:rFonts w:ascii="Times New Roman;sans-serif" w:hAnsi="Times New Roman;sans-serif"/>
          <w:b/>
          <w:color w:val="000000"/>
          <w:sz w:val="22"/>
          <w:u w:val="single"/>
        </w:rPr>
        <w:t>Non-GAAP Financial Measures</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the non-GAAP financial measures, when considered in conjunction with our financial information prepared in accordance with GAAP, are useful to investors to further aid in evaluating our ongoing financial performance and to provide greater transparency as supplemental information to our GAAP results.</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Non-GAAP financial measures should not be considered in isolation from, or as a substitute for, financial information prepared in accordance with GAAP. In addition, our presentation of the non-GAAP financial measures may not be comparable to the presentation of such metrics by other companies. </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non-GAAP financial measures exclude acquisition and divestiture related expenses, restructuring charges, impairments, gains or losses on the extinguishment of debt, gains or losses on sale of businesses, integration costs associated with our acquisitions, and non-operating legal settlements, primarily because we do not believe they are reflective of our core operating results. We also exclude costs associated with a previously disclosed erroneous bid made in the Finnish power market (the "Finnish bid error") that resulted in the extraordinary losses. </w:t>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We use the following non-GAAP measures: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net income attributable to World Kinect</w:t>
      </w:r>
      <w:r>
        <w:rPr>
          <w:color w:val="000000"/>
        </w:rPr>
        <w:t xml:space="preserve"> </w:t>
      </w:r>
      <w:r>
        <w:rPr>
          <w:rFonts w:ascii="Times New Roman;sans-serif" w:hAnsi="Times New Roman;sans-serif"/>
          <w:b/>
          <w:color w:val="000000"/>
          <w:sz w:val="22"/>
        </w:rPr>
        <w:t>("Adjusted net income")</w:t>
      </w:r>
      <w:r>
        <w:rPr>
          <w:color w:val="000000"/>
        </w:rPr>
        <w:t xml:space="preserve"> </w:t>
      </w:r>
      <w:r>
        <w:rPr>
          <w:rFonts w:ascii="Times New Roman;sans-serif" w:hAnsi="Times New Roman;sans-serif"/>
          <w:b w:val="false"/>
          <w:color w:val="000000"/>
          <w:sz w:val="22"/>
        </w:rPr>
        <w:t>is defined as net income excluding the impact of acquisition and divestiture related expenses, restructuring charges, impairments, gains or losses on the extinguishment of debt, gains or losses on sale of businesses, integration costs, non-operating legal settlements, and costs associated with the Finnish bid error.</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diluted earnings per common share</w:t>
      </w:r>
      <w:r>
        <w:rPr>
          <w:color w:val="000000"/>
        </w:rPr>
        <w:t xml:space="preserve"> </w:t>
      </w:r>
      <w:r>
        <w:rPr>
          <w:rFonts w:ascii="Times New Roman;sans-serif" w:hAnsi="Times New Roman;sans-serif"/>
          <w:b w:val="false"/>
          <w:color w:val="000000"/>
          <w:sz w:val="22"/>
        </w:rPr>
        <w:t>is computed by dividing adjusted net income by the sum of the weighted average number of shares of common stock outstanding for the period and the number of additional shares of common stock that would have been outstanding if our outstanding potentially dilutive securities had been issued. Potentially dilutive securities include share-based compensation awards, such as non-vested restricted stock units, performance stock units where the performance requirements have been met, and settled stock appreciation rights awards.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earnings before interest, taxes, depreciation and amortization ("Adjusted EBITDA")</w:t>
      </w:r>
      <w:r>
        <w:rPr>
          <w:color w:val="000000"/>
        </w:rPr>
        <w:t xml:space="preserve"> </w:t>
      </w:r>
      <w:r>
        <w:rPr>
          <w:rFonts w:ascii="Times New Roman;sans-serif" w:hAnsi="Times New Roman;sans-serif"/>
          <w:b w:val="false"/>
          <w:color w:val="000000"/>
          <w:sz w:val="22"/>
        </w:rPr>
        <w:t>is defined as net income including noncontrolling interest and excluding the impact of interest, income taxes, and depreciation and amortization, in addition to acquisition and divestiture related expenses, restructuring charges, impairments, gains or losses on sale of businesses, integration costs, non-operating legal settlements, and costs associated with the Finnish bid error.</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income from operations</w:t>
      </w:r>
      <w:r>
        <w:rPr>
          <w:color w:val="000000"/>
        </w:rPr>
        <w:t xml:space="preserve"> </w:t>
      </w:r>
      <w:r>
        <w:rPr>
          <w:rFonts w:ascii="Times New Roman;sans-serif" w:hAnsi="Times New Roman;sans-serif"/>
          <w:b w:val="false"/>
          <w:color w:val="000000"/>
          <w:sz w:val="22"/>
        </w:rPr>
        <w:t xml:space="preserve">is defined as income from operations excluding the impact of acquisition and divestiture related expenses, restructuring charges, impairments, integration costs, and costs associated with the Finnish bid error. </w:t>
      </w:r>
    </w:p>
    <w:p>
      <w:pPr>
        <w:pStyle w:val="TextBody"/>
        <w:bidi w:val="0"/>
        <w:spacing w:lineRule="auto" w:line="288" w:before="0" w:after="120"/>
        <w:ind w:left="0" w:right="0" w:hanging="360"/>
        <w:jc w:val="both"/>
        <w:rPr/>
      </w:pPr>
      <w:r>
        <w:rPr>
          <w:strike/>
          <w:color w:val="000000"/>
        </w:rPr>
        <w:t>•</w:t>
      </w:r>
      <w:r>
        <w:rPr>
          <w:rFonts w:ascii="Times New Roman;sans-serif" w:hAnsi="Times New Roman;sans-serif"/>
          <w:b/>
          <w:color w:val="000000"/>
          <w:sz w:val="22"/>
        </w:rPr>
        <w:t xml:space="preserve">Adjusted income from operations as a percentage of adjusted gross profit ("Adjusted operating margin") </w:t>
      </w:r>
      <w:r>
        <w:rPr>
          <w:rFonts w:ascii="Times New Roman;sans-serif" w:hAnsi="Times New Roman;sans-serif"/>
          <w:b w:val="false"/>
          <w:color w:val="000000"/>
          <w:sz w:val="22"/>
        </w:rPr>
        <w:t xml:space="preserve">is computed by dividing Adjusted income from operations by Adjusted gross profit (as defined below).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Adjusted operating expenses</w:t>
      </w:r>
      <w:r>
        <w:rPr>
          <w:color w:val="000000"/>
        </w:rPr>
        <w:t xml:space="preserve"> </w:t>
      </w:r>
      <w:r>
        <w:rPr>
          <w:rFonts w:ascii="Times New Roman;sans-serif" w:hAnsi="Times New Roman;sans-serif"/>
          <w:b w:val="false"/>
          <w:color w:val="000000"/>
          <w:sz w:val="22"/>
        </w:rPr>
        <w:t>is defined as operating expenses excluding the impact of acquisition and divestiture related expenses, restructuring charges, impairments, integration costs, and costs associated with the Finnish bid error.</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2"/>
        </w:rPr>
        <w:t>Consolidated and Land Adjusted gross profit</w:t>
      </w:r>
      <w:r>
        <w:rPr>
          <w:color w:val="000000"/>
        </w:rPr>
        <w:t xml:space="preserve"> </w:t>
      </w:r>
      <w:r>
        <w:rPr>
          <w:rFonts w:ascii="Times New Roman;sans-serif" w:hAnsi="Times New Roman;sans-serif"/>
          <w:b w:val="false"/>
          <w:color w:val="000000"/>
          <w:sz w:val="22"/>
        </w:rPr>
        <w:t>is defined as gross profit excluding the impact of costs associated with the Finnish bid error.</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Investors are encouraged to review the reconciliation of these non-GAAP financial measures to their most directly comparable GAAP financial measures in this press release and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3055"/>
                <wp:effectExtent l="0" t="0" r="0" b="0"/>
                <wp:wrapNone/>
                <wp:docPr id="7" name="Frame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480" w:after="240"/>
        <w:jc w:val="left"/>
        <w:rPr>
          <w:rFonts w:ascii="Times New Roman;sans-serif" w:hAnsi="Times New Roman;sans-serif"/>
          <w:b/>
          <w:color w:val="000000"/>
          <w:sz w:val="22"/>
          <w:u w:val="single"/>
        </w:rPr>
      </w:pPr>
      <w:r>
        <w:rPr>
          <w:rFonts w:ascii="Times New Roman;sans-serif" w:hAnsi="Times New Roman;sans-serif"/>
          <w:b/>
          <w:color w:val="000000"/>
          <w:sz w:val="22"/>
          <w:u w:val="single"/>
        </w:rPr>
        <w:t>Information Relating to Forward-Looking Statements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release includes forward-looking statements regarding improved operating efficiencies and the targeted effect on shareholder returns. Our forward-looking statements are qualified in their entirety by cautionary statements and risk factor disclosures contained in our Securities and Exchange Commission ("SEC") filings, including our most recent Annual Report on Form 10-K filed with the SEC. Actual results may differ materially from any forward-looking statements due to risks and uncertainties, including, but not limited to: customer and counterparty creditworthiness and our ability to collect accounts receivable and settle derivative contracts; changes in the market prices of energy or commodities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and other information security related incidents; changes in the political, economic or regulatory environment generally and in the markets in which we operate, such as the current conflicts in Eastern Europe and the Middle East;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tariffs or other arrangements between or among sovereign nations; our ability to comply with U.S. and international laws and regulations, including those related to anti-corruption, economic sanction programs and environmental matters; the outcome of litigation, regulatory investigations and other legal matters, including the associated legal and other costs; and other risks described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pStyle w:val="TextBody"/>
        <w:bidi w:val="0"/>
        <w:spacing w:lineRule="auto" w:line="288" w:before="240" w:after="140"/>
        <w:jc w:val="center"/>
        <w:rPr>
          <w:rFonts w:ascii="Times New Roman;sans-serif" w:hAnsi="Times New Roman;sans-serif"/>
          <w:b w:val="false"/>
          <w:color w:val="000000"/>
          <w:sz w:val="22"/>
        </w:rPr>
      </w:pPr>
      <w:r>
        <w:rPr>
          <w:rFonts w:ascii="Times New Roman;sans-serif" w:hAnsi="Times New Roman;sans-serif"/>
          <w:b w:val="false"/>
          <w:color w:val="000000"/>
          <w:sz w:val="22"/>
        </w:rPr>
        <w:t>-- Some amounts in this press release may not add due to rounding. All percentages have been calculated using unrounded amounts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3055"/>
                <wp:effectExtent l="0" t="0" r="0" b="0"/>
                <wp:wrapNone/>
                <wp:docPr id="8" name="Frame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2549"/>
        <w:gridCol w:w="2072"/>
        <w:gridCol w:w="2030"/>
        <w:gridCol w:w="109"/>
        <w:gridCol w:w="109"/>
        <w:gridCol w:w="109"/>
        <w:gridCol w:w="242"/>
        <w:gridCol w:w="882"/>
        <w:gridCol w:w="125"/>
        <w:gridCol w:w="109"/>
        <w:gridCol w:w="109"/>
        <w:gridCol w:w="109"/>
        <w:gridCol w:w="269"/>
        <w:gridCol w:w="977"/>
        <w:gridCol w:w="138"/>
        <w:gridCol w:w="109"/>
        <w:gridCol w:w="158"/>
      </w:tblGrid>
      <w:tr>
        <w:trPr/>
        <w:tc>
          <w:tcPr>
            <w:tcW w:w="254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$20.0 million and $18.3 million as of March 31,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derivative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derivative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0.1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 shares authorized, 59.9 and 59.8 issued and outstanding as of March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World Kinect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3055"/>
                <wp:effectExtent l="0" t="0" r="0" b="0"/>
                <wp:wrapNone/>
                <wp:docPr id="9" name="Frame8"/>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 except per share data)</w:t>
      </w:r>
    </w:p>
    <w:tbl>
      <w:tblPr>
        <w:tblW w:w="10205" w:type="dxa"/>
        <w:jc w:val="left"/>
        <w:tblInd w:w="0" w:type="dxa"/>
        <w:tblLayout w:type="fixed"/>
        <w:tblCellMar>
          <w:top w:w="28" w:type="dxa"/>
          <w:left w:w="28" w:type="dxa"/>
          <w:bottom w:w="28" w:type="dxa"/>
          <w:right w:w="28" w:type="dxa"/>
        </w:tblCellMar>
      </w:tblPr>
      <w:tblGrid>
        <w:gridCol w:w="2404"/>
        <w:gridCol w:w="1992"/>
        <w:gridCol w:w="1933"/>
        <w:gridCol w:w="109"/>
        <w:gridCol w:w="109"/>
        <w:gridCol w:w="109"/>
        <w:gridCol w:w="238"/>
        <w:gridCol w:w="986"/>
        <w:gridCol w:w="123"/>
        <w:gridCol w:w="123"/>
        <w:gridCol w:w="123"/>
        <w:gridCol w:w="123"/>
        <w:gridCol w:w="238"/>
        <w:gridCol w:w="986"/>
        <w:gridCol w:w="123"/>
        <w:gridCol w:w="109"/>
        <w:gridCol w:w="109"/>
        <w:gridCol w:w="109"/>
        <w:gridCol w:w="159"/>
      </w:tblGrid>
      <w:tr>
        <w:trPr/>
        <w:tc>
          <w:tcPr>
            <w:tcW w:w="2404"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World Kinect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hedges, net of income tax expense (benefit) of ($0.5) and ($0.7) for the three months ended March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including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World Kinect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3055"/>
                <wp:effectExtent l="0" t="0" r="0" b="0"/>
                <wp:wrapNone/>
                <wp:docPr id="10" name="Frame9"/>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 In millions)</w:t>
      </w:r>
    </w:p>
    <w:tbl>
      <w:tblPr>
        <w:tblW w:w="10205" w:type="dxa"/>
        <w:jc w:val="left"/>
        <w:tblInd w:w="0" w:type="dxa"/>
        <w:tblLayout w:type="fixed"/>
        <w:tblCellMar>
          <w:top w:w="28" w:type="dxa"/>
          <w:left w:w="28" w:type="dxa"/>
          <w:bottom w:w="28" w:type="dxa"/>
          <w:right w:w="28" w:type="dxa"/>
        </w:tblCellMar>
      </w:tblPr>
      <w:tblGrid>
        <w:gridCol w:w="2294"/>
        <w:gridCol w:w="1851"/>
        <w:gridCol w:w="1856"/>
        <w:gridCol w:w="109"/>
        <w:gridCol w:w="109"/>
        <w:gridCol w:w="109"/>
        <w:gridCol w:w="203"/>
        <w:gridCol w:w="203"/>
        <w:gridCol w:w="203"/>
        <w:gridCol w:w="203"/>
        <w:gridCol w:w="393"/>
        <w:gridCol w:w="1149"/>
        <w:gridCol w:w="203"/>
        <w:gridCol w:w="109"/>
        <w:gridCol w:w="109"/>
        <w:gridCol w:w="109"/>
        <w:gridCol w:w="212"/>
        <w:gridCol w:w="621"/>
        <w:gridCol w:w="160"/>
      </w:tblGrid>
      <w:tr>
        <w:trPr/>
        <w:tc>
          <w:tcPr>
            <w:tcW w:w="229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0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320" w:type="dxa"/>
            <w:gridSpan w:val="6"/>
            <w:tcBorders/>
          </w:tcPr>
          <w:p>
            <w:pPr>
              <w:pStyle w:val="TableContents"/>
              <w:bidi w:val="0"/>
              <w:spacing w:before="0" w:after="283"/>
              <w:jc w:val="left"/>
              <w:rPr>
                <w:sz w:val="4"/>
                <w:szCs w:val="4"/>
              </w:rPr>
            </w:pPr>
            <w:r>
              <w:rPr>
                <w:sz w:val="4"/>
                <w:szCs w:val="4"/>
              </w:rPr>
            </w:r>
          </w:p>
        </w:tc>
      </w:tr>
      <w:tr>
        <w:trPr/>
        <w:tc>
          <w:tcPr>
            <w:tcW w:w="60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including noncontrolling interest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award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 and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with counterparties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 assets and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6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6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60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consideration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reclassified as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as of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as of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3055"/>
                <wp:effectExtent l="0" t="0" r="0" b="0"/>
                <wp:wrapNone/>
                <wp:docPr id="11" name="Frame10"/>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BUSINESS SEGMENTS INFORMATION</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w:t>
      </w:r>
    </w:p>
    <w:tbl>
      <w:tblPr>
        <w:tblW w:w="8339" w:type="dxa"/>
        <w:jc w:val="left"/>
        <w:tblInd w:w="0" w:type="dxa"/>
        <w:tblLayout w:type="fixed"/>
        <w:tblCellMar>
          <w:top w:w="28" w:type="dxa"/>
          <w:left w:w="28" w:type="dxa"/>
          <w:bottom w:w="28" w:type="dxa"/>
          <w:right w:w="28" w:type="dxa"/>
        </w:tblCellMar>
      </w:tblPr>
      <w:tblGrid>
        <w:gridCol w:w="1084"/>
        <w:gridCol w:w="956"/>
        <w:gridCol w:w="960"/>
        <w:gridCol w:w="109"/>
        <w:gridCol w:w="109"/>
        <w:gridCol w:w="109"/>
        <w:gridCol w:w="231"/>
        <w:gridCol w:w="231"/>
        <w:gridCol w:w="231"/>
        <w:gridCol w:w="231"/>
        <w:gridCol w:w="447"/>
        <w:gridCol w:w="1847"/>
        <w:gridCol w:w="231"/>
        <w:gridCol w:w="109"/>
        <w:gridCol w:w="109"/>
        <w:gridCol w:w="109"/>
        <w:gridCol w:w="211"/>
        <w:gridCol w:w="871"/>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563"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Marine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 unallocated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SALES VOLUME SUPPLEMENTAL INFORMATION</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(Unaudited - In millions)</w:t>
      </w:r>
    </w:p>
    <w:tbl>
      <w:tblPr>
        <w:tblW w:w="6802" w:type="dxa"/>
        <w:jc w:val="left"/>
        <w:tblInd w:w="0" w:type="dxa"/>
        <w:tblLayout w:type="fixed"/>
        <w:tblCellMar>
          <w:top w:w="28" w:type="dxa"/>
          <w:left w:w="28" w:type="dxa"/>
          <w:bottom w:w="28" w:type="dxa"/>
          <w:right w:w="28" w:type="dxa"/>
        </w:tblCellMar>
      </w:tblPr>
      <w:tblGrid>
        <w:gridCol w:w="615"/>
        <w:gridCol w:w="538"/>
        <w:gridCol w:w="541"/>
        <w:gridCol w:w="109"/>
        <w:gridCol w:w="109"/>
        <w:gridCol w:w="109"/>
        <w:gridCol w:w="493"/>
        <w:gridCol w:w="493"/>
        <w:gridCol w:w="493"/>
        <w:gridCol w:w="493"/>
        <w:gridCol w:w="493"/>
        <w:gridCol w:w="493"/>
        <w:gridCol w:w="493"/>
        <w:gridCol w:w="109"/>
        <w:gridCol w:w="109"/>
        <w:gridCol w:w="109"/>
        <w:gridCol w:w="383"/>
        <w:gridCol w:w="383"/>
        <w:gridCol w:w="237"/>
      </w:tblGrid>
      <w:tr>
        <w:trPr/>
        <w:tc>
          <w:tcPr>
            <w:tcW w:w="61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330" w:type="dxa"/>
            <w:gridSpan w:val="6"/>
            <w:tcBorders/>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(Gallons):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Land Segment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1,598.1 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Marine Segment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4,414.5 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4,471.7 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gallons and gallon equivalents of British Thermal Units (BTU) for our natural gas sales and Kilowatt Hours (kWh) for our power business.</w:t>
      </w:r>
    </w:p>
    <w:p>
      <w:pPr>
        <w:pStyle w:val="TextBody"/>
        <w:bidi w:val="0"/>
        <w:spacing w:lineRule="auto" w:line="288" w:before="120" w:after="12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Converted from metric tons to gallons at a rate of 264 gallons per metric ton. Marine segment metric tons were 4.3 and 4.3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3055"/>
                <wp:effectExtent l="0" t="0" r="0" b="0"/>
                <wp:wrapNone/>
                <wp:docPr id="12" name="Frame11"/>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WORLD KINECT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 In millions,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78"/>
        <w:gridCol w:w="860"/>
        <w:gridCol w:w="864"/>
        <w:gridCol w:w="109"/>
        <w:gridCol w:w="109"/>
        <w:gridCol w:w="109"/>
        <w:gridCol w:w="149"/>
        <w:gridCol w:w="149"/>
        <w:gridCol w:w="218"/>
        <w:gridCol w:w="206"/>
        <w:gridCol w:w="149"/>
        <w:gridCol w:w="149"/>
        <w:gridCol w:w="149"/>
        <w:gridCol w:w="149"/>
        <w:gridCol w:w="289"/>
        <w:gridCol w:w="721"/>
        <w:gridCol w:w="149"/>
        <w:gridCol w:w="109"/>
        <w:gridCol w:w="109"/>
        <w:gridCol w:w="109"/>
        <w:gridCol w:w="343"/>
        <w:gridCol w:w="855"/>
        <w:gridCol w:w="177"/>
        <w:gridCol w:w="109"/>
        <w:gridCol w:w="109"/>
        <w:gridCol w:w="109"/>
        <w:gridCol w:w="228"/>
        <w:gridCol w:w="569"/>
        <w:gridCol w:w="117"/>
        <w:gridCol w:w="109"/>
        <w:gridCol w:w="109"/>
        <w:gridCol w:w="109"/>
        <w:gridCol w:w="336"/>
        <w:gridCol w:w="839"/>
        <w:gridCol w:w="2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0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4699" w:type="dxa"/>
            <w:gridSpan w:val="18"/>
            <w:tcBorders/>
          </w:tcPr>
          <w:p>
            <w:pPr>
              <w:pStyle w:val="TableContents"/>
              <w:bidi w:val="0"/>
              <w:spacing w:before="0" w:after="283"/>
              <w:jc w:val="left"/>
              <w:rPr>
                <w:sz w:val="4"/>
                <w:szCs w:val="4"/>
              </w:rPr>
            </w:pPr>
            <w:r>
              <w:rPr>
                <w:sz w:val="4"/>
                <w:szCs w:val="4"/>
              </w:rPr>
            </w:r>
          </w:p>
        </w:tc>
      </w:tr>
      <w:tr>
        <w:trPr/>
        <w:tc>
          <w:tcPr>
            <w:tcW w:w="270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997" w:type="dxa"/>
            <w:gridSpan w:val="12"/>
            <w:tcBorders/>
          </w:tcPr>
          <w:p>
            <w:pPr>
              <w:pStyle w:val="TableContents"/>
              <w:bidi w:val="0"/>
              <w:spacing w:before="0" w:after="283"/>
              <w:jc w:val="left"/>
              <w:rPr>
                <w:sz w:val="4"/>
                <w:szCs w:val="4"/>
              </w:rPr>
            </w:pPr>
            <w:r>
              <w:rPr>
                <w:sz w:val="4"/>
                <w:szCs w:val="4"/>
              </w:rPr>
            </w:r>
          </w:p>
        </w:tc>
      </w:tr>
      <w:tr>
        <w:trPr/>
        <w:tc>
          <w:tcPr>
            <w:tcW w:w="270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0.45</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0.36</w:t>
            </w: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Finnish bid error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2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non-GAAP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0.47</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0.36</w:t>
            </w:r>
            <w:r>
              <w:rPr>
                <w:color w:val="000000"/>
              </w:rPr>
              <w: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01" w:type="dxa"/>
        <w:jc w:val="left"/>
        <w:tblInd w:w="0" w:type="dxa"/>
        <w:tblLayout w:type="fixed"/>
        <w:tblCellMar>
          <w:top w:w="28" w:type="dxa"/>
          <w:left w:w="28" w:type="dxa"/>
          <w:bottom w:w="28" w:type="dxa"/>
          <w:right w:w="28" w:type="dxa"/>
        </w:tblCellMar>
      </w:tblPr>
      <w:tblGrid>
        <w:gridCol w:w="1813"/>
        <w:gridCol w:w="1594"/>
        <w:gridCol w:w="1602"/>
        <w:gridCol w:w="109"/>
        <w:gridCol w:w="109"/>
        <w:gridCol w:w="109"/>
        <w:gridCol w:w="293"/>
        <w:gridCol w:w="293"/>
        <w:gridCol w:w="293"/>
        <w:gridCol w:w="293"/>
        <w:gridCol w:w="567"/>
        <w:gridCol w:w="1415"/>
        <w:gridCol w:w="293"/>
        <w:gridCol w:w="109"/>
        <w:gridCol w:w="109"/>
        <w:gridCol w:w="109"/>
        <w:gridCol w:w="211"/>
        <w:gridCol w:w="52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218" w:type="dxa"/>
            <w:gridSpan w:val="6"/>
            <w:tcBorders/>
          </w:tcPr>
          <w:p>
            <w:pPr>
              <w:pStyle w:val="TableContents"/>
              <w:bidi w:val="0"/>
              <w:spacing w:before="0" w:after="283"/>
              <w:jc w:val="left"/>
              <w:rPr>
                <w:sz w:val="4"/>
                <w:szCs w:val="4"/>
              </w:rPr>
            </w:pPr>
            <w:r>
              <w:rPr>
                <w:sz w:val="4"/>
                <w:szCs w:val="4"/>
              </w:rPr>
            </w:r>
          </w:p>
        </w:tc>
      </w:tr>
      <w:tr>
        <w:trPr/>
        <w:tc>
          <w:tcPr>
            <w:tcW w:w="500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including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w:t>
            </w:r>
            <w:r>
              <w:rPr>
                <w:color w:val="000000"/>
              </w:rPr>
              <w:t>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financing costs,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Finnish bid error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85.9</w:t>
            </w:r>
            <w:r>
              <w:rPr>
                <w:color w:val="000000"/>
              </w:rPr>
              <w:t>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2"/>
        <w:gridCol w:w="564"/>
        <w:gridCol w:w="567"/>
        <w:gridCol w:w="109"/>
        <w:gridCol w:w="109"/>
        <w:gridCol w:w="109"/>
        <w:gridCol w:w="109"/>
        <w:gridCol w:w="109"/>
        <w:gridCol w:w="213"/>
        <w:gridCol w:w="638"/>
        <w:gridCol w:w="110"/>
        <w:gridCol w:w="109"/>
        <w:gridCol w:w="109"/>
        <w:gridCol w:w="109"/>
        <w:gridCol w:w="230"/>
        <w:gridCol w:w="690"/>
        <w:gridCol w:w="119"/>
        <w:gridCol w:w="109"/>
        <w:gridCol w:w="109"/>
        <w:gridCol w:w="109"/>
        <w:gridCol w:w="246"/>
        <w:gridCol w:w="615"/>
        <w:gridCol w:w="128"/>
        <w:gridCol w:w="109"/>
        <w:gridCol w:w="109"/>
        <w:gridCol w:w="109"/>
        <w:gridCol w:w="109"/>
        <w:gridCol w:w="109"/>
        <w:gridCol w:w="213"/>
        <w:gridCol w:w="638"/>
        <w:gridCol w:w="110"/>
        <w:gridCol w:w="109"/>
        <w:gridCol w:w="109"/>
        <w:gridCol w:w="109"/>
        <w:gridCol w:w="230"/>
        <w:gridCol w:w="690"/>
        <w:gridCol w:w="119"/>
        <w:gridCol w:w="109"/>
        <w:gridCol w:w="109"/>
        <w:gridCol w:w="109"/>
        <w:gridCol w:w="244"/>
        <w:gridCol w:w="611"/>
        <w:gridCol w:w="190"/>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7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5"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1372" w:type="dxa"/>
            <w:gridSpan w:val="6"/>
            <w:tcBorders/>
          </w:tcPr>
          <w:p>
            <w:pPr>
              <w:pStyle w:val="TableContents"/>
              <w:bidi w:val="0"/>
              <w:spacing w:before="0" w:after="283"/>
              <w:jc w:val="left"/>
              <w:rPr>
                <w:sz w:val="4"/>
                <w:szCs w:val="4"/>
              </w:rPr>
            </w:pPr>
            <w:r>
              <w:rPr>
                <w:sz w:val="4"/>
                <w:szCs w:val="4"/>
              </w:rPr>
            </w:r>
          </w:p>
        </w:tc>
      </w:tr>
      <w:tr>
        <w:trPr/>
        <w:tc>
          <w:tcPr>
            <w:tcW w:w="1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4244" w:type="dxa"/>
            <w:gridSpan w:val="20"/>
            <w:tcBorders/>
          </w:tcPr>
          <w:p>
            <w:pPr>
              <w:pStyle w:val="TableContents"/>
              <w:bidi w:val="0"/>
              <w:spacing w:before="0" w:after="283"/>
              <w:jc w:val="left"/>
              <w:rPr>
                <w:sz w:val="4"/>
                <w:szCs w:val="4"/>
              </w:rPr>
            </w:pPr>
            <w:r>
              <w:rPr>
                <w:sz w:val="4"/>
                <w:szCs w:val="4"/>
              </w:rPr>
            </w:r>
          </w:p>
        </w:tc>
      </w:tr>
      <w:tr>
        <w:trPr/>
        <w:tc>
          <w:tcPr>
            <w:tcW w:w="17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254.1</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63.3</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w:t>
            </w: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Finnish bid error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254.1</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189.7</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64.4</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262.7</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198.2</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64.6</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3055"/>
                <wp:effectExtent l="0" t="0" r="0" b="0"/>
                <wp:wrapNone/>
                <wp:docPr id="13" name="Frame12"/>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3671</Words>
  <Characters>21198</Characters>
  <CharactersWithSpaces>24453</CharactersWithSpaces>
  <Paragraphs>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