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3"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9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229235</wp:posOffset>
            </wp:positionH>
            <wp:positionV relativeFrom="paragraph">
              <wp:posOffset>165100</wp:posOffset>
            </wp:positionV>
            <wp:extent cx="6887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721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684530</wp:posOffset>
            </wp:positionH>
            <wp:positionV relativeFrom="paragraph">
              <wp:posOffset>102870</wp:posOffset>
            </wp:positionV>
            <wp:extent cx="6516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637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16"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0"/>
          <w:szCs w:val="20"/>
          <w:b w:val="1"/>
          <w:bCs w:val="1"/>
          <w:color w:val="auto"/>
        </w:rPr>
        <w:t>PURSUANT TO SECTION 13 OR 15(d) OF</w:t>
      </w:r>
    </w:p>
    <w:p>
      <w:pPr>
        <w:spacing w:after="0" w:line="11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120"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October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684530</wp:posOffset>
            </wp:positionH>
            <wp:positionV relativeFrom="paragraph">
              <wp:posOffset>96520</wp:posOffset>
            </wp:positionV>
            <wp:extent cx="6516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6370" cy="8255"/>
                    </a:xfrm>
                    <a:prstGeom prst="rect">
                      <a:avLst/>
                    </a:prstGeom>
                    <a:noFill/>
                  </pic:spPr>
                </pic:pic>
              </a:graphicData>
            </a:graphic>
          </wp:anchor>
        </w:drawing>
      </w:r>
    </w:p>
    <w:p>
      <w:pPr>
        <w:spacing w:after="0" w:line="33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8"/>
          <w:szCs w:val="38"/>
          <w:b w:val="1"/>
          <w:bCs w:val="1"/>
          <w:color w:val="auto"/>
        </w:rPr>
        <w:t>WORLD KINECT CORPORATION</w:t>
      </w:r>
    </w:p>
    <w:p>
      <w:pPr>
        <w:spacing w:after="0" w:line="13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229235</wp:posOffset>
            </wp:positionH>
            <wp:positionV relativeFrom="paragraph">
              <wp:posOffset>97790</wp:posOffset>
            </wp:positionV>
            <wp:extent cx="6887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7210" cy="825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p>
      <w:pPr>
        <w:spacing w:after="0" w:line="200" w:lineRule="exact"/>
        <w:rPr>
          <w:sz w:val="24"/>
          <w:szCs w:val="24"/>
          <w:color w:val="auto"/>
        </w:rPr>
      </w:pPr>
    </w:p>
    <w:p>
      <w:pPr>
        <w:spacing w:after="0" w:line="398"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20"/>
          <w:szCs w:val="20"/>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8"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20"/>
          <w:szCs w:val="20"/>
          <w:b w:val="1"/>
          <w:bCs w:val="1"/>
          <w:color w:val="auto"/>
        </w:rPr>
        <w:t>001-09533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59-2459427</w:t>
      </w:r>
    </w:p>
    <w:p>
      <w:pPr>
        <w:spacing w:after="0" w:line="41" w:lineRule="exact"/>
        <w:rPr>
          <w:sz w:val="24"/>
          <w:szCs w:val="24"/>
          <w:color w:val="auto"/>
        </w:rPr>
      </w:pPr>
    </w:p>
    <w:p>
      <w:pPr>
        <w:sectPr>
          <w:pgSz w:w="11900" w:h="16838" w:orient="portrait"/>
          <w:cols w:equalWidth="0" w:num="3">
            <w:col w:w="4740" w:space="720"/>
            <w:col w:w="2960" w:space="720"/>
            <w:col w:w="2100"/>
          </w:cols>
          <w:pgMar w:left="320" w:top="1145" w:right="3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400" w:space="720"/>
            <w:col w:w="2760" w:space="720"/>
            <w:col w:w="2640"/>
          </w:cols>
          <w:pgMar w:left="320" w:top="1145" w:right="339" w:bottom="1440" w:gutter="0" w:footer="0" w:header="0"/>
          <w:type w:val="continuous"/>
        </w:sectPr>
      </w:pPr>
    </w:p>
    <w:p>
      <w:pPr>
        <w:spacing w:after="0" w:line="46"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9800 N.W. 41st Street,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Miami,</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Florida</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33178</w:t>
      </w:r>
    </w:p>
    <w:p>
      <w:pPr>
        <w:spacing w:after="0" w:line="91" w:lineRule="exact"/>
        <w:rPr>
          <w:sz w:val="24"/>
          <w:szCs w:val="24"/>
          <w:color w:val="auto"/>
        </w:rPr>
      </w:pPr>
    </w:p>
    <w:p>
      <w:pPr>
        <w:sectPr>
          <w:pgSz w:w="11900" w:h="16838" w:orient="portrait"/>
          <w:cols w:equalWidth="0" w:num="4">
            <w:col w:w="5160" w:space="480"/>
            <w:col w:w="640" w:space="320"/>
            <w:col w:w="640" w:space="640"/>
            <w:col w:w="3360"/>
          </w:cols>
          <w:pgMar w:left="320" w:top="1145" w:right="339" w:bottom="1440" w:gutter="0" w:footer="0" w:header="0"/>
          <w:type w:val="continuous"/>
        </w:sectPr>
      </w:pPr>
    </w:p>
    <w:p>
      <w:pPr>
        <w:spacing w:after="0" w:line="4"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200" w:lineRule="exact"/>
        <w:rPr>
          <w:sz w:val="24"/>
          <w:szCs w:val="24"/>
          <w:color w:val="auto"/>
        </w:rPr>
      </w:pPr>
    </w:p>
    <w:p>
      <w:pPr>
        <w:sectPr>
          <w:pgSz w:w="11900" w:h="16838" w:orient="portrait"/>
          <w:cols w:equalWidth="0" w:num="2">
            <w:col w:w="7060" w:space="720"/>
            <w:col w:w="3460"/>
          </w:cols>
          <w:pgMar w:left="320" w:top="1145" w:right="339" w:bottom="1440" w:gutter="0" w:footer="0" w:header="0"/>
          <w:type w:val="continuous"/>
        </w:sectPr>
      </w:pPr>
    </w:p>
    <w:p>
      <w:pPr>
        <w:spacing w:after="0" w:line="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(305) 428-8000</w:t>
      </w:r>
    </w:p>
    <w:p>
      <w:pPr>
        <w:spacing w:after="0" w:line="116" w:lineRule="exact"/>
        <w:rPr>
          <w:sz w:val="24"/>
          <w:szCs w:val="24"/>
          <w:color w:val="auto"/>
        </w:rPr>
      </w:pPr>
    </w:p>
    <w:p>
      <w:pPr>
        <w:ind w:firstLine="307"/>
        <w:spacing w:after="0" w:line="262"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500" w:hanging="190"/>
        <w:spacing w:after="0"/>
        <w:tabs>
          <w:tab w:leader="none" w:pos="5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60" w:lineRule="exact"/>
        <w:rPr>
          <w:rFonts w:ascii="MS PGothic" w:cs="MS PGothic" w:eastAsia="MS PGothic" w:hAnsi="MS PGothic"/>
          <w:sz w:val="17"/>
          <w:szCs w:val="17"/>
          <w:color w:val="auto"/>
        </w:rPr>
      </w:pPr>
    </w:p>
    <w:p>
      <w:pPr>
        <w:ind w:left="500" w:hanging="190"/>
        <w:spacing w:after="0"/>
        <w:tabs>
          <w:tab w:leader="none" w:pos="5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60" w:lineRule="exact"/>
        <w:rPr>
          <w:rFonts w:ascii="MS PGothic" w:cs="MS PGothic" w:eastAsia="MS PGothic" w:hAnsi="MS PGothic"/>
          <w:sz w:val="17"/>
          <w:szCs w:val="17"/>
          <w:color w:val="auto"/>
        </w:rPr>
      </w:pPr>
    </w:p>
    <w:p>
      <w:pPr>
        <w:ind w:left="500" w:hanging="190"/>
        <w:spacing w:after="0"/>
        <w:tabs>
          <w:tab w:leader="none" w:pos="5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60" w:lineRule="exact"/>
        <w:rPr>
          <w:rFonts w:ascii="MS PGothic" w:cs="MS PGothic" w:eastAsia="MS PGothic" w:hAnsi="MS PGothic"/>
          <w:sz w:val="17"/>
          <w:szCs w:val="17"/>
          <w:color w:val="auto"/>
        </w:rPr>
      </w:pPr>
    </w:p>
    <w:p>
      <w:pPr>
        <w:ind w:left="500" w:hanging="190"/>
        <w:spacing w:after="0"/>
        <w:tabs>
          <w:tab w:leader="none" w:pos="5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1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409"/>
        </w:trPr>
        <w:tc>
          <w:tcPr>
            <w:tcW w:w="1620" w:type="dxa"/>
            <w:vAlign w:val="bottom"/>
          </w:tcPr>
          <w:p>
            <w:pPr>
              <w:spacing w:after="0"/>
              <w:rPr>
                <w:sz w:val="24"/>
                <w:szCs w:val="24"/>
                <w:color w:val="auto"/>
              </w:rPr>
            </w:pPr>
          </w:p>
        </w:tc>
        <w:tc>
          <w:tcPr>
            <w:tcW w:w="3320" w:type="dxa"/>
            <w:vAlign w:val="bottom"/>
            <w:gridSpan w:val="2"/>
          </w:tcPr>
          <w:p>
            <w:pPr>
              <w:jc w:val="center"/>
              <w:ind w:right="204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2440" w:type="dxa"/>
            <w:vAlign w:val="bottom"/>
            <w:gridSpan w:val="2"/>
          </w:tcPr>
          <w:p>
            <w:pPr>
              <w:jc w:val="center"/>
              <w:ind w:right="1080"/>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3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Name of each exchange on which registered</w:t>
            </w:r>
          </w:p>
        </w:tc>
      </w:tr>
      <w:tr>
        <w:trPr>
          <w:trHeight w:val="20"/>
        </w:trPr>
        <w:tc>
          <w:tcPr>
            <w:tcW w:w="16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327"/>
        </w:trPr>
        <w:tc>
          <w:tcPr>
            <w:tcW w:w="494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Common Stock, par value $0.01 per share</w:t>
            </w:r>
          </w:p>
        </w:tc>
        <w:tc>
          <w:tcPr>
            <w:tcW w:w="2440" w:type="dxa"/>
            <w:vAlign w:val="bottom"/>
            <w:gridSpan w:val="2"/>
          </w:tcPr>
          <w:p>
            <w:pPr>
              <w:jc w:val="center"/>
              <w:ind w:right="1100"/>
              <w:spacing w:after="0"/>
              <w:rPr>
                <w:sz w:val="20"/>
                <w:szCs w:val="20"/>
                <w:color w:val="auto"/>
              </w:rPr>
            </w:pPr>
            <w:r>
              <w:rPr>
                <w:rFonts w:ascii="Times New Roman" w:cs="Times New Roman" w:eastAsia="Times New Roman" w:hAnsi="Times New Roman"/>
                <w:sz w:val="17"/>
                <w:szCs w:val="17"/>
                <w:b w:val="1"/>
                <w:bCs w:val="1"/>
                <w:color w:val="auto"/>
                <w:w w:val="98"/>
              </w:rPr>
              <w:t>WKC</w:t>
            </w:r>
          </w:p>
        </w:tc>
        <w:tc>
          <w:tcPr>
            <w:tcW w:w="3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New York Stock Exchange</w:t>
            </w:r>
          </w:p>
        </w:tc>
      </w:tr>
    </w:tbl>
    <w:p>
      <w:pPr>
        <w:spacing w:after="0" w:line="162" w:lineRule="exact"/>
        <w:rPr>
          <w:sz w:val="24"/>
          <w:szCs w:val="24"/>
          <w:color w:val="auto"/>
        </w:rPr>
      </w:pPr>
    </w:p>
    <w:p>
      <w:pPr>
        <w:ind w:firstLine="307"/>
        <w:spacing w:after="0" w:line="284"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ind w:left="3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50" w:lineRule="exact"/>
        <w:rPr>
          <w:sz w:val="24"/>
          <w:szCs w:val="24"/>
          <w:color w:val="auto"/>
        </w:rPr>
      </w:pPr>
    </w:p>
    <w:p>
      <w:pPr>
        <w:ind w:firstLine="307"/>
        <w:spacing w:after="0" w:line="22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636905</wp:posOffset>
            </wp:positionV>
            <wp:extent cx="716470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18" w:lineRule="exact"/>
        <w:rPr>
          <w:sz w:val="20"/>
          <w:szCs w:val="20"/>
          <w:color w:val="auto"/>
        </w:rPr>
      </w:pPr>
    </w:p>
    <w:p>
      <w:pPr>
        <w:jc w:val="both"/>
        <w:ind w:firstLine="307"/>
        <w:spacing w:after="0" w:line="284" w:lineRule="auto"/>
        <w:rPr>
          <w:sz w:val="20"/>
          <w:szCs w:val="20"/>
          <w:color w:val="auto"/>
        </w:rPr>
      </w:pPr>
      <w:r>
        <w:rPr>
          <w:rFonts w:ascii="Times New Roman" w:cs="Times New Roman" w:eastAsia="Times New Roman" w:hAnsi="Times New Roman"/>
          <w:sz w:val="17"/>
          <w:szCs w:val="17"/>
          <w:color w:val="auto"/>
        </w:rPr>
        <w:t>On October 23, 2025, World Kinect Corporation issued a press release reporting its financial results for the third quarter of 2025. A copy of the press release is attached hereto as Exhibit 99.1.</w:t>
      </w:r>
    </w:p>
    <w:p>
      <w:pPr>
        <w:spacing w:after="0" w:line="50" w:lineRule="exact"/>
        <w:rPr>
          <w:sz w:val="20"/>
          <w:szCs w:val="20"/>
          <w:color w:val="auto"/>
        </w:rPr>
      </w:pPr>
    </w:p>
    <w:p>
      <w:pPr>
        <w:jc w:val="both"/>
        <w:ind w:firstLine="307"/>
        <w:spacing w:after="0" w:line="267" w:lineRule="auto"/>
        <w:rPr>
          <w:sz w:val="20"/>
          <w:szCs w:val="20"/>
          <w:color w:val="auto"/>
        </w:rPr>
      </w:pPr>
      <w:r>
        <w:rPr>
          <w:rFonts w:ascii="Times New Roman" w:cs="Times New Roman" w:eastAsia="Times New Roman" w:hAnsi="Times New Roman"/>
          <w:sz w:val="17"/>
          <w:szCs w:val="17"/>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60" w:type="dxa"/>
            <w:vAlign w:val="bottom"/>
            <w:gridSpan w:val="4"/>
          </w:tcPr>
          <w:p>
            <w:pPr>
              <w:ind w:left="300"/>
              <w:spacing w:after="0"/>
              <w:rPr>
                <w:sz w:val="20"/>
                <w:szCs w:val="20"/>
                <w:color w:val="auto"/>
              </w:rPr>
            </w:pPr>
            <w:r>
              <w:rPr>
                <w:rFonts w:ascii="Times New Roman" w:cs="Times New Roman" w:eastAsia="Times New Roman" w:hAnsi="Times New Roman"/>
                <w:sz w:val="17"/>
                <w:szCs w:val="17"/>
                <w:color w:val="auto"/>
              </w:rPr>
              <w:t>(d) Exhibits</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40" w:type="dxa"/>
            <w:vAlign w:val="bottom"/>
          </w:tcPr>
          <w:p>
            <w:pPr>
              <w:spacing w:after="0"/>
              <w:rPr>
                <w:sz w:val="19"/>
                <w:szCs w:val="19"/>
                <w:color w:val="auto"/>
              </w:rPr>
            </w:pPr>
          </w:p>
        </w:tc>
      </w:tr>
      <w:tr>
        <w:trPr>
          <w:trHeight w:val="307"/>
        </w:trPr>
        <w:tc>
          <w:tcPr>
            <w:tcW w:w="3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9680" w:type="dxa"/>
            <w:vAlign w:val="bottom"/>
            <w:gridSpan w:val="3"/>
          </w:tcPr>
          <w:p>
            <w:pPr>
              <w:ind w:left="40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0"/>
        </w:trPr>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r>
      <w:tr>
        <w:trPr>
          <w:trHeight w:val="198"/>
        </w:trPr>
        <w:tc>
          <w:tcPr>
            <w:tcW w:w="32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99.</w:t>
            </w:r>
            <w:r>
              <w:rPr>
                <w:rFonts w:ascii="Times New Roman" w:cs="Times New Roman" w:eastAsia="Times New Roman" w:hAnsi="Times New Roman"/>
                <w:sz w:val="17"/>
                <w:szCs w:val="17"/>
                <w:u w:val="single" w:color="auto"/>
                <w:color w:val="0000FF"/>
              </w:rPr>
              <w:t>1</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Press Release, dated October 23, 2025</w:t>
            </w:r>
          </w:p>
        </w:tc>
      </w:tr>
      <w:tr>
        <w:trPr>
          <w:trHeight w:val="237"/>
        </w:trPr>
        <w:tc>
          <w:tcPr>
            <w:tcW w:w="32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color w:val="auto"/>
              </w:rPr>
              <w:t>104</w:t>
            </w: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8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Cover Page Interactive Data File, formatted in inline XBRL</w:t>
            </w:r>
          </w:p>
        </w:tc>
      </w:tr>
      <w:tr>
        <w:trPr>
          <w:trHeight w:val="1362"/>
        </w:trPr>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23" w:lineRule="exact"/>
        <w:rPr>
          <w:sz w:val="20"/>
          <w:szCs w:val="20"/>
          <w:color w:val="auto"/>
        </w:rPr>
      </w:pPr>
    </w:p>
    <w:p>
      <w:pPr>
        <w:ind w:firstLine="307"/>
        <w:spacing w:after="0" w:line="28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340" w:lineRule="exact"/>
        <w:rPr>
          <w:sz w:val="20"/>
          <w:szCs w:val="20"/>
          <w:color w:val="auto"/>
        </w:rPr>
      </w:pPr>
    </w:p>
    <w:p>
      <w:pPr>
        <w:ind w:left="320"/>
        <w:spacing w:after="0"/>
        <w:tabs>
          <w:tab w:leader="none" w:pos="4700" w:val="left"/>
        </w:tabs>
        <w:rPr>
          <w:sz w:val="20"/>
          <w:szCs w:val="20"/>
          <w:color w:val="auto"/>
        </w:rPr>
      </w:pPr>
      <w:r>
        <w:rPr>
          <w:rFonts w:ascii="Times New Roman" w:cs="Times New Roman" w:eastAsia="Times New Roman" w:hAnsi="Times New Roman"/>
          <w:sz w:val="17"/>
          <w:szCs w:val="17"/>
          <w:color w:val="auto"/>
        </w:rPr>
        <w:t>Date: October 23, 2025</w:t>
      </w:r>
      <w:r>
        <w:rPr>
          <w:sz w:val="20"/>
          <w:szCs w:val="20"/>
          <w:color w:val="auto"/>
        </w:rPr>
        <w:tab/>
      </w:r>
      <w:r>
        <w:rPr>
          <w:rFonts w:ascii="Times New Roman" w:cs="Times New Roman" w:eastAsia="Times New Roman" w:hAnsi="Times New Roman"/>
          <w:sz w:val="16"/>
          <w:szCs w:val="16"/>
          <w:b w:val="1"/>
          <w:bCs w:val="1"/>
          <w:color w:val="auto"/>
        </w:rPr>
        <w:t>World Kinect Corporation</w:t>
      </w:r>
    </w:p>
    <w:p>
      <w:pPr>
        <w:spacing w:after="0" w:line="24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16510</wp:posOffset>
            </wp:positionV>
            <wp:extent cx="3472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color w:val="auto"/>
        </w:rPr>
        <w:t>Ira M. Birns</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color w:val="auto"/>
        </w:rPr>
        <w:t>President and Chief Financial Officer</w:t>
      </w:r>
    </w:p>
    <w:p>
      <w:pPr>
        <w:sectPr>
          <w:pgSz w:w="11900" w:h="16838" w:orient="portrait"/>
          <w:cols w:equalWidth="0" w:num="1">
            <w:col w:w="11240"/>
          </w:cols>
          <w:pgMar w:left="320" w:top="105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612775</wp:posOffset>
            </wp:positionV>
            <wp:extent cx="1211580" cy="642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11580"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World Kinect Corporation Reports Third Quarter 2025 Results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MIAMI—October 23, 2025—World Kinect Corporation (NYSE: WKC) today reported financial results for the third quarter of 2025.</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Third Quarter 2025 Highlights</w:t>
      </w:r>
    </w:p>
    <w:p>
      <w:pPr>
        <w:spacing w:after="0" w:line="221" w:lineRule="exact"/>
        <w:rPr>
          <w:sz w:val="20"/>
          <w:szCs w:val="20"/>
          <w:color w:val="auto"/>
        </w:rPr>
      </w:pPr>
    </w:p>
    <w:p>
      <w:pPr>
        <w:ind w:left="600" w:hanging="290"/>
        <w:spacing w:after="0"/>
        <w:tabs>
          <w:tab w:leader="none" w:pos="6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Gross profit of $250 million</w:t>
      </w:r>
    </w:p>
    <w:p>
      <w:pPr>
        <w:spacing w:after="0" w:line="19"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GAAP net income of $26 million, or $0.46 per diluted share</w:t>
      </w:r>
    </w:p>
    <w:p>
      <w:pPr>
        <w:spacing w:after="0" w:line="4"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Adjusted net income of $30 million, or $0.54 per diluted share</w:t>
      </w:r>
    </w:p>
    <w:p>
      <w:pPr>
        <w:spacing w:after="0" w:line="6"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Adjusted EBITDA of $94 million</w:t>
      </w:r>
    </w:p>
    <w:p>
      <w:pPr>
        <w:spacing w:after="0" w:line="17" w:lineRule="exact"/>
        <w:rPr>
          <w:rFonts w:ascii="Times New Roman" w:cs="Times New Roman" w:eastAsia="Times New Roman" w:hAnsi="Times New Roman"/>
          <w:sz w:val="19"/>
          <w:szCs w:val="19"/>
          <w:color w:val="auto"/>
        </w:rPr>
      </w:pPr>
    </w:p>
    <w:p>
      <w:pPr>
        <w:ind w:left="620" w:hanging="310"/>
        <w:spacing w:after="0"/>
        <w:tabs>
          <w:tab w:leader="none" w:pos="6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19"/>
          <w:szCs w:val="19"/>
          <w:color w:val="auto"/>
        </w:rPr>
        <w:t>Generated $116 million of operating cash flow</w:t>
      </w:r>
    </w:p>
    <w:p>
      <w:pPr>
        <w:spacing w:after="0" w:line="20" w:lineRule="exact"/>
        <w:rPr>
          <w:rFonts w:ascii="Arial" w:cs="Arial" w:eastAsia="Arial" w:hAnsi="Arial"/>
          <w:sz w:val="20"/>
          <w:szCs w:val="20"/>
          <w:color w:val="auto"/>
        </w:rPr>
      </w:pPr>
    </w:p>
    <w:p>
      <w:pPr>
        <w:ind w:left="600" w:hanging="290"/>
        <w:spacing w:after="0"/>
        <w:tabs>
          <w:tab w:leader="none" w:pos="6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Free cash flow of $102 million</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u w:val="single" w:color="auto"/>
          <w:color w:val="auto"/>
        </w:rPr>
        <w:t>Year-Over-Year Segment Profitability</w:t>
      </w:r>
    </w:p>
    <w:p>
      <w:pPr>
        <w:spacing w:after="0" w:line="230" w:lineRule="exact"/>
        <w:rPr>
          <w:sz w:val="20"/>
          <w:szCs w:val="20"/>
          <w:color w:val="auto"/>
        </w:rPr>
      </w:pPr>
    </w:p>
    <w:p>
      <w:pPr>
        <w:ind w:left="620" w:hanging="310"/>
        <w:spacing w:after="0" w:line="253" w:lineRule="auto"/>
        <w:tabs>
          <w:tab w:leader="none" w:pos="615" w:val="left"/>
        </w:tabs>
        <w:numPr>
          <w:ilvl w:val="0"/>
          <w:numId w:val="3"/>
        </w:numPr>
        <w:rPr>
          <w:rFonts w:ascii="Arial" w:cs="Arial" w:eastAsia="Arial" w:hAnsi="Arial"/>
          <w:sz w:val="20"/>
          <w:szCs w:val="20"/>
          <w:color w:val="auto"/>
        </w:rPr>
      </w:pPr>
      <w:r>
        <w:rPr>
          <w:rFonts w:ascii="Times New Roman" w:cs="Times New Roman" w:eastAsia="Times New Roman" w:hAnsi="Times New Roman"/>
          <w:sz w:val="19"/>
          <w:szCs w:val="19"/>
          <w:color w:val="auto"/>
        </w:rPr>
        <w:t>Aviation – Gross profit of $143 million, an increase of 11%, primarily attributable to higher profit contribution from our operated airport locations in Europe, increased government sales, and our business and general aviation activities.</w:t>
      </w:r>
    </w:p>
    <w:p>
      <w:pPr>
        <w:spacing w:after="0" w:line="180" w:lineRule="exact"/>
        <w:rPr>
          <w:rFonts w:ascii="Arial" w:cs="Arial" w:eastAsia="Arial" w:hAnsi="Arial"/>
          <w:sz w:val="20"/>
          <w:szCs w:val="20"/>
          <w:color w:val="auto"/>
        </w:rPr>
      </w:pPr>
    </w:p>
    <w:p>
      <w:pPr>
        <w:jc w:val="both"/>
        <w:ind w:left="620" w:hanging="310"/>
        <w:spacing w:after="0" w:line="245"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Land – Gross profit of $81 million, a decrease of 20%, primarily attributable to lower profit contribution from our liquid fuel business in North America, principally as a result of unfavorable market conditions, the sale of our U.K. land fuels and Brazil businesses, as well as the exit from certain North American land operations.</w:t>
      </w:r>
    </w:p>
    <w:p>
      <w:pPr>
        <w:spacing w:after="0" w:line="188" w:lineRule="exact"/>
        <w:rPr>
          <w:rFonts w:ascii="Times New Roman" w:cs="Times New Roman" w:eastAsia="Times New Roman" w:hAnsi="Times New Roman"/>
          <w:sz w:val="19"/>
          <w:szCs w:val="19"/>
          <w:color w:val="auto"/>
        </w:rPr>
      </w:pPr>
    </w:p>
    <w:p>
      <w:pPr>
        <w:ind w:left="620" w:right="80" w:hanging="310"/>
        <w:spacing w:after="0" w:line="266"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Marine – Gross profit of $25 million, a decrease of 32%, principally due to lower bunker fuel prices and further reduced market volatility, as well as a lower profit contribution from certain physical locations.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23" w:right="339" w:bottom="1440" w:gutter="0" w:footer="0" w:header="0"/>
        </w:sectPr>
      </w:pPr>
    </w:p>
    <w:bookmarkStart w:id="4" w:name="page5"/>
    <w:bookmarkEnd w:id="4"/>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Financial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(Unaudited - in millions, except per share data)</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60" w:type="dxa"/>
            <w:vAlign w:val="bottom"/>
            <w:gridSpan w:val="7"/>
          </w:tcPr>
          <w:p>
            <w:pPr>
              <w:ind w:left="2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40" w:type="dxa"/>
            <w:vAlign w:val="bottom"/>
          </w:tcPr>
          <w:p>
            <w:pPr>
              <w:spacing w:after="0"/>
              <w:rPr>
                <w:sz w:val="19"/>
                <w:szCs w:val="19"/>
                <w:color w:val="auto"/>
              </w:rPr>
            </w:pPr>
          </w:p>
        </w:tc>
        <w:tc>
          <w:tcPr>
            <w:tcW w:w="3320" w:type="dxa"/>
            <w:vAlign w:val="bottom"/>
            <w:gridSpan w:val="6"/>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0"/>
        </w:trPr>
        <w:tc>
          <w:tcPr>
            <w:tcW w:w="39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i w:val="1"/>
                <w:iCs w:val="1"/>
                <w:color w:val="auto"/>
              </w:rPr>
              <w:t>Change</w:t>
            </w: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tcBorders>
              <w:top w:val="single" w:sz="8" w:color="auto"/>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i w:val="1"/>
                <w:iCs w:val="1"/>
                <w:color w:val="auto"/>
              </w:rPr>
              <w:t>Change</w:t>
            </w:r>
          </w:p>
        </w:tc>
      </w:tr>
      <w:tr>
        <w:trPr>
          <w:trHeight w:val="210"/>
        </w:trPr>
        <w:tc>
          <w:tcPr>
            <w:tcW w:w="39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Volume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4,283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4,443</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12,680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13,230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(4)%</w:t>
            </w:r>
          </w:p>
        </w:tc>
      </w:tr>
      <w:tr>
        <w:trPr>
          <w:trHeight w:val="218"/>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9,392</w:t>
            </w:r>
          </w:p>
        </w:tc>
        <w:tc>
          <w:tcPr>
            <w:tcW w:w="16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10,491</w:t>
            </w:r>
          </w:p>
        </w:tc>
        <w:tc>
          <w:tcPr>
            <w:tcW w:w="1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(10)%</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27,888</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32,407</w:t>
            </w:r>
          </w:p>
        </w:tc>
        <w:tc>
          <w:tcPr>
            <w:tcW w:w="1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(14)%</w:t>
            </w:r>
          </w:p>
        </w:tc>
      </w:tr>
      <w:tr>
        <w:trPr>
          <w:trHeight w:val="218"/>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268</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712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767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(7)%</w:t>
            </w:r>
          </w:p>
        </w:tc>
      </w:tr>
      <w:tr>
        <w:trPr>
          <w:trHeight w:val="218"/>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187</w:t>
            </w:r>
          </w:p>
        </w:tc>
        <w:tc>
          <w:tcPr>
            <w:tcW w:w="16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196</w:t>
            </w:r>
          </w:p>
        </w:tc>
        <w:tc>
          <w:tcPr>
            <w:tcW w:w="1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(5)%</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1,001</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587</w:t>
            </w:r>
          </w:p>
        </w:tc>
        <w:tc>
          <w:tcPr>
            <w:tcW w:w="1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71%</w:t>
            </w:r>
          </w:p>
        </w:tc>
      </w:tr>
      <w:tr>
        <w:trPr>
          <w:trHeight w:val="218"/>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operating expenses</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195</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531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576</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(8)%</w:t>
            </w:r>
          </w:p>
        </w:tc>
      </w:tr>
      <w:tr>
        <w:trPr>
          <w:trHeight w:val="218"/>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63</w:t>
            </w:r>
          </w:p>
        </w:tc>
        <w:tc>
          <w:tcPr>
            <w:tcW w:w="16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72</w:t>
            </w:r>
          </w:p>
        </w:tc>
        <w:tc>
          <w:tcPr>
            <w:tcW w:w="1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(13)%</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(289)</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181</w:t>
            </w:r>
          </w:p>
        </w:tc>
        <w:tc>
          <w:tcPr>
            <w:tcW w:w="1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(260)%</w:t>
            </w:r>
          </w:p>
        </w:tc>
      </w:tr>
      <w:tr>
        <w:trPr>
          <w:trHeight w:val="218"/>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Operating margin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i w:val="1"/>
                <w:iCs w:val="1"/>
                <w:color w:val="auto"/>
              </w:rPr>
              <w:t>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27%</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i w:val="1"/>
                <w:iCs w:val="1"/>
                <w:color w:val="auto"/>
              </w:rPr>
              <w:t>(41)%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24%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8"/>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income from operations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69</w:t>
            </w:r>
          </w:p>
        </w:tc>
        <w:tc>
          <w:tcPr>
            <w:tcW w:w="16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73</w:t>
            </w:r>
          </w:p>
        </w:tc>
        <w:tc>
          <w:tcPr>
            <w:tcW w:w="1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(7)%</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181</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191</w:t>
            </w:r>
          </w:p>
        </w:tc>
        <w:tc>
          <w:tcPr>
            <w:tcW w:w="1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(5)%</w:t>
            </w:r>
          </w:p>
        </w:tc>
      </w:tr>
      <w:tr>
        <w:trPr>
          <w:trHeight w:val="218"/>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Adjusted operating margin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i w:val="1"/>
                <w:iCs w:val="1"/>
                <w:color w:val="auto"/>
              </w:rPr>
              <w:t>27%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27%</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i w:val="1"/>
                <w:iCs w:val="1"/>
                <w:color w:val="auto"/>
              </w:rPr>
              <w:t>25%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25%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8"/>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including noncontrolling interest</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28</w:t>
            </w:r>
          </w:p>
        </w:tc>
        <w:tc>
          <w:tcPr>
            <w:tcW w:w="16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(20)%</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(332)</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169</w:t>
            </w:r>
          </w:p>
        </w:tc>
        <w:tc>
          <w:tcPr>
            <w:tcW w:w="1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(296)%</w:t>
            </w:r>
          </w:p>
        </w:tc>
      </w:tr>
      <w:tr>
        <w:trPr>
          <w:trHeight w:val="218"/>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262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267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(2)%</w:t>
            </w:r>
          </w:p>
        </w:tc>
      </w:tr>
      <w:tr>
        <w:trPr>
          <w:trHeight w:val="218"/>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earnings (loss) per common share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0.46</w:t>
            </w:r>
          </w:p>
        </w:tc>
        <w:tc>
          <w:tcPr>
            <w:tcW w:w="16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0.57</w:t>
            </w:r>
          </w:p>
        </w:tc>
        <w:tc>
          <w:tcPr>
            <w:tcW w:w="1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(19)%</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(5.95)</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2.82</w:t>
            </w:r>
          </w:p>
        </w:tc>
        <w:tc>
          <w:tcPr>
            <w:tcW w:w="1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(311)%</w:t>
            </w:r>
          </w:p>
        </w:tc>
      </w:tr>
      <w:tr>
        <w:trPr>
          <w:trHeight w:val="218"/>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diluted earnings per common share</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0.54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0.62</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(13)%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1.56</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3%</w:t>
            </w:r>
          </w:p>
        </w:tc>
      </w:tr>
    </w:tbl>
    <w:p>
      <w:pPr>
        <w:spacing w:after="0" w:line="145" w:lineRule="exact"/>
        <w:rPr>
          <w:sz w:val="20"/>
          <w:szCs w:val="20"/>
          <w:color w:val="auto"/>
        </w:rPr>
      </w:pPr>
    </w:p>
    <w:p>
      <w:pPr>
        <w:ind w:left="300" w:hanging="298"/>
        <w:spacing w:after="0"/>
        <w:tabs>
          <w:tab w:leader="none" w:pos="30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gallons and gallon equivalents converted as described in the table below.</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"I'm proud of what we've achieved during my tenure, and this quarter's results reflect our financial discipline and the strength of our team," said Michael J. Kasbar, Chairman and Chief Executive Officer. "As I will soon be stepping back from day-to-day operations, I'm confident in Ira and our leadership team to carry our strategy forward. I look forward to supporting the company's long-term vision as Executive Chairman and helping ensure we remain focused on delivering value to shareholders."</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"We delivered another quarter of strong cash flow and solid results in our Aviation segment. With the announced acquisition of Universal Trip Support, we're poised to further strengthen our Aviation portfolio," said Ira M. Birns, President and Chief Financial Officer. "While we continue to navigate market pressures in Land and Marine, we remain focused on sharpening our portfolio to focus on areas with the greatest long-term value. I'm excited to lead World Kinect as we build on this foundation and pursue new opportunities to enhance shareholder value."</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Earnings Conference Call</w:t>
      </w:r>
    </w:p>
    <w:p>
      <w:pPr>
        <w:spacing w:after="0" w:line="20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An investor conference call will be held today, October 23, 2025, at 5:00 PM Eastern Time to discuss third quarter results. Participants can access the live webcast by visiting our website at ir.worldkinect.com. An on-demand replay of the webcast will be available shortly after the call.</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About World Kinect Corporation</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Headquartered in Miami, Florida, World Kinect Corporation (NYSE: WKC) is a global energy management company offering fulfillment and related services to customers across the aviation, marine, and land-based transportation sectors. The company also supplies natural gas and power in the United States and Europe along with a broad suite of other sustainability-related products and services.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more information, visit world-kinect.com.</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Contacts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Braulio Medrano, Senior Director FP&amp;A and Investor Relations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investor@worldkinect.com</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Definitions</w:t>
      </w:r>
    </w:p>
    <w:p>
      <w:pPr>
        <w:spacing w:after="0" w:line="208" w:lineRule="exact"/>
        <w:rPr>
          <w:sz w:val="20"/>
          <w:szCs w:val="20"/>
          <w:color w:val="auto"/>
        </w:rPr>
      </w:pPr>
    </w:p>
    <w:p>
      <w:pPr>
        <w:ind w:left="620" w:hanging="310"/>
        <w:spacing w:after="0" w:line="280" w:lineRule="auto"/>
        <w:tabs>
          <w:tab w:leader="none" w:pos="60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income (loss)" means net income (loss) attributable to World Kinect as presented in the Statements of Income and Comprehensive Income.</w:t>
      </w:r>
    </w:p>
    <w:p>
      <w:pPr>
        <w:spacing w:after="0" w:line="53"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5"/>
        </w:numPr>
        <w:rPr>
          <w:rFonts w:ascii="Times New Roman" w:cs="Times New Roman" w:eastAsia="Times New Roman" w:hAnsi="Times New Roman"/>
          <w:sz w:val="15"/>
          <w:szCs w:val="15"/>
          <w:i w:val="1"/>
          <w:iCs w:val="1"/>
          <w:color w:val="auto"/>
          <w:strike w:val="1"/>
        </w:rPr>
      </w:pPr>
      <w:r>
        <w:rPr>
          <w:rFonts w:ascii="Times New Roman" w:cs="Times New Roman" w:eastAsia="Times New Roman" w:hAnsi="Times New Roman"/>
          <w:sz w:val="19"/>
          <w:szCs w:val="19"/>
          <w:color w:val="auto"/>
        </w:rPr>
        <w:t>"Operating margin" means income (loss) from operations as a percentage of gross profit.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Non-GAAP Financial Measures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We believe that the non-GAAP financial measures, when considered in conjunction with our financial information prepared in accordance with GAAP, are useful to investors to further aid in evaluating our ongoing financial performance and to provide supplemental information to our GAAP results.</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Non-GAAP financial measures should not be considered in isolation from, or as a substitute for, financial information prepared in accordance with GAAP. In addition, our presentation of the non-GAAP financial measures may not be comparable to the presentation of such metrics by other companies.</w:t>
      </w:r>
    </w:p>
    <w:p>
      <w:pPr>
        <w:spacing w:after="0" w:line="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Our non-GAAP financial measures exclude acquisition and divestiture related expenses, costs associated with restructuring activities (including all costs associated with exit activities), impairments, gains or losses on the extinguishment of debt, gains or losses on sale of businesses, integration costs associated with our acquisitions, and non-operating legal settlements, primarily because we do not believe they are reflective of our core operating results. We also exclude costs associated with a previously disclosed erroneous bid made in the Finnish power market (the "Finnish bid error") that resulted in the extraordinary losses.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use the following non-GAAP measures:</w:t>
      </w:r>
    </w:p>
    <w:p>
      <w:pPr>
        <w:spacing w:after="0" w:line="19" w:lineRule="exact"/>
        <w:rPr>
          <w:sz w:val="20"/>
          <w:szCs w:val="20"/>
          <w:color w:val="auto"/>
        </w:rPr>
      </w:pPr>
    </w:p>
    <w:p>
      <w:pPr>
        <w:jc w:val="both"/>
        <w:ind w:left="620" w:hanging="310"/>
        <w:spacing w:after="0" w:line="250" w:lineRule="auto"/>
        <w:tabs>
          <w:tab w:leader="none" w:pos="60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Adjusted net income attributable to World Kinect ("Adjusted net income") </w:t>
      </w:r>
      <w:r>
        <w:rPr>
          <w:rFonts w:ascii="Times New Roman" w:cs="Times New Roman" w:eastAsia="Times New Roman" w:hAnsi="Times New Roman"/>
          <w:sz w:val="19"/>
          <w:szCs w:val="19"/>
          <w:color w:val="auto"/>
        </w:rPr>
        <w:t>is defined as net income excluding the impact of acquisition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divestiture related expenses, costs associated with restructuring activities (including all costs associated with exit activities), impairments, gains or losses on the extinguishment of debt, gains or losses on sale of businesses, integration costs, non-operating legal settlements, and costs associated with the Finnish bid error.</w:t>
      </w:r>
    </w:p>
    <w:p>
      <w:pPr>
        <w:spacing w:after="0" w:line="77" w:lineRule="exact"/>
        <w:rPr>
          <w:rFonts w:ascii="Times New Roman" w:cs="Times New Roman" w:eastAsia="Times New Roman" w:hAnsi="Times New Roman"/>
          <w:sz w:val="19"/>
          <w:szCs w:val="19"/>
          <w:color w:val="auto"/>
        </w:rPr>
      </w:pPr>
    </w:p>
    <w:p>
      <w:pPr>
        <w:jc w:val="both"/>
        <w:ind w:left="620" w:hanging="310"/>
        <w:spacing w:after="0" w:line="251" w:lineRule="auto"/>
        <w:tabs>
          <w:tab w:leader="none" w:pos="60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Adjusted diluted earnings per common share ("Adjusted EPS") </w:t>
      </w:r>
      <w:r>
        <w:rPr>
          <w:rFonts w:ascii="Times New Roman" w:cs="Times New Roman" w:eastAsia="Times New Roman" w:hAnsi="Times New Roman"/>
          <w:sz w:val="19"/>
          <w:szCs w:val="19"/>
          <w:color w:val="auto"/>
        </w:rPr>
        <w:t>is computed by dividing adjusted net income by the sum of the weighted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average number of shares of common stock outstanding for the period and the number of additional shares of common stock that would have been outstanding if our outstanding potentially dilutive securities had been issued. For the purpose of calculating Adjusted EPS, the weighted average number of shares of common stock outstanding is adjusted to include the convertible note hedges. Potentially dilutive securities include share-based compensation awards, such as non-vested restricted stock units, performance stock units where the performance requirements have been met, settled stock appreciation rights awards, and the convertible notes.</w:t>
      </w:r>
    </w:p>
    <w:p>
      <w:pPr>
        <w:spacing w:after="0" w:line="76" w:lineRule="exact"/>
        <w:rPr>
          <w:rFonts w:ascii="Times New Roman" w:cs="Times New Roman" w:eastAsia="Times New Roman" w:hAnsi="Times New Roman"/>
          <w:sz w:val="19"/>
          <w:szCs w:val="19"/>
          <w:color w:val="auto"/>
        </w:rPr>
      </w:pPr>
    </w:p>
    <w:p>
      <w:pPr>
        <w:jc w:val="both"/>
        <w:ind w:left="620" w:hanging="310"/>
        <w:spacing w:after="0" w:line="259" w:lineRule="auto"/>
        <w:tabs>
          <w:tab w:leader="none" w:pos="60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Adjusted earnings before interest, taxes, depreciation and amortization ("Adjusted EBITDA") </w:t>
      </w:r>
      <w:r>
        <w:rPr>
          <w:rFonts w:ascii="Times New Roman" w:cs="Times New Roman" w:eastAsia="Times New Roman" w:hAnsi="Times New Roman"/>
          <w:sz w:val="19"/>
          <w:szCs w:val="19"/>
          <w:color w:val="auto"/>
        </w:rPr>
        <w:t>is defined as net income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noncontrolling interest and excluding the impact of interest, income taxes, and depreciation and amortization, in addition to acquisition and divestiture related expenses, costs associated with restructuring activities (including all costs associated with exit activities), impairments, gains or losses on sale of businesses, integration costs, non-operating legal settlements, and costs associated with the Finnish bid error.</w:t>
      </w:r>
    </w:p>
    <w:p>
      <w:pPr>
        <w:spacing w:after="0" w:line="55" w:lineRule="exact"/>
        <w:rPr>
          <w:rFonts w:ascii="Times New Roman" w:cs="Times New Roman" w:eastAsia="Times New Roman" w:hAnsi="Times New Roman"/>
          <w:sz w:val="19"/>
          <w:szCs w:val="19"/>
          <w:color w:val="auto"/>
        </w:rPr>
      </w:pPr>
    </w:p>
    <w:p>
      <w:pPr>
        <w:jc w:val="both"/>
        <w:ind w:left="620" w:hanging="310"/>
        <w:spacing w:after="0" w:line="269" w:lineRule="auto"/>
        <w:tabs>
          <w:tab w:leader="none" w:pos="60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Adjusted income from operations </w:t>
      </w:r>
      <w:r>
        <w:rPr>
          <w:rFonts w:ascii="Times New Roman" w:cs="Times New Roman" w:eastAsia="Times New Roman" w:hAnsi="Times New Roman"/>
          <w:sz w:val="19"/>
          <w:szCs w:val="19"/>
          <w:color w:val="auto"/>
        </w:rPr>
        <w:t>is defined as income (loss) from operations excluding the impact of acquisition and divestiture related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expenses, costs associated with restructuring activities (including all costs associated with exit activities), impairments, integration costs, and costs associated with the Finnish bid error.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ind w:left="620" w:hanging="310"/>
        <w:spacing w:after="0" w:line="284" w:lineRule="auto"/>
        <w:tabs>
          <w:tab w:leader="none" w:pos="609" w:val="left"/>
        </w:tabs>
        <w:numPr>
          <w:ilvl w:val="0"/>
          <w:numId w:val="7"/>
        </w:numPr>
        <w:rPr>
          <w:rFonts w:ascii="Times New Roman" w:cs="Times New Roman" w:eastAsia="Times New Roman" w:hAnsi="Times New Roman"/>
          <w:sz w:val="15"/>
          <w:szCs w:val="15"/>
          <w:i w:val="1"/>
          <w:iCs w:val="1"/>
          <w:color w:val="auto"/>
          <w:strike w:val="1"/>
        </w:rPr>
      </w:pPr>
      <w:r>
        <w:rPr>
          <w:rFonts w:ascii="Times New Roman" w:cs="Times New Roman" w:eastAsia="Times New Roman" w:hAnsi="Times New Roman"/>
          <w:sz w:val="19"/>
          <w:szCs w:val="19"/>
          <w:b w:val="1"/>
          <w:bCs w:val="1"/>
          <w:color w:val="auto"/>
        </w:rPr>
        <w:t xml:space="preserve">Adjusted income from operations as a percentage of adjusted gross profit ("Adjusted operating margin") </w:t>
      </w:r>
      <w:r>
        <w:rPr>
          <w:rFonts w:ascii="Times New Roman" w:cs="Times New Roman" w:eastAsia="Times New Roman" w:hAnsi="Times New Roman"/>
          <w:sz w:val="19"/>
          <w:szCs w:val="19"/>
          <w:color w:val="auto"/>
        </w:rPr>
        <w:t>is computed by dividing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Adjusted income from operations by Adjusted gross profit (as defined below).</w:t>
      </w:r>
    </w:p>
    <w:p>
      <w:pPr>
        <w:spacing w:after="0" w:line="33" w:lineRule="exact"/>
        <w:rPr>
          <w:rFonts w:ascii="Times New Roman" w:cs="Times New Roman" w:eastAsia="Times New Roman" w:hAnsi="Times New Roman"/>
          <w:sz w:val="15"/>
          <w:szCs w:val="15"/>
          <w:i w:val="1"/>
          <w:iCs w:val="1"/>
          <w:color w:val="auto"/>
          <w:strike w:val="1"/>
        </w:rPr>
      </w:pPr>
    </w:p>
    <w:p>
      <w:pPr>
        <w:jc w:val="both"/>
        <w:ind w:left="620" w:hanging="310"/>
        <w:spacing w:after="0" w:line="261" w:lineRule="auto"/>
        <w:tabs>
          <w:tab w:leader="none" w:pos="609"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Adjusted operating expenses </w:t>
      </w:r>
      <w:r>
        <w:rPr>
          <w:rFonts w:ascii="Times New Roman" w:cs="Times New Roman" w:eastAsia="Times New Roman" w:hAnsi="Times New Roman"/>
          <w:sz w:val="19"/>
          <w:szCs w:val="19"/>
          <w:color w:val="auto"/>
        </w:rPr>
        <w:t>is defined as operating expenses excluding the impact of acquisition and divestiture related expenses, costs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associated with restructuring activities (including all costs associated with exit activities), impairments, integration costs, and costs associated with the Finnish bid error.</w:t>
      </w:r>
    </w:p>
    <w:p>
      <w:pPr>
        <w:spacing w:after="0" w:line="68"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Consolidated and Land Adjusted gross profit </w:t>
      </w:r>
      <w:r>
        <w:rPr>
          <w:rFonts w:ascii="Times New Roman" w:cs="Times New Roman" w:eastAsia="Times New Roman" w:hAnsi="Times New Roman"/>
          <w:sz w:val="18"/>
          <w:szCs w:val="18"/>
          <w:color w:val="auto"/>
        </w:rPr>
        <w:t>is defined as gross profit excluding the impact of costs associated with the Finnish bid error.</w:t>
      </w:r>
    </w:p>
    <w:p>
      <w:pPr>
        <w:spacing w:after="0" w:line="125" w:lineRule="exact"/>
        <w:rPr>
          <w:rFonts w:ascii="Times New Roman" w:cs="Times New Roman" w:eastAsia="Times New Roman" w:hAnsi="Times New Roman"/>
          <w:sz w:val="18"/>
          <w:szCs w:val="18"/>
          <w:color w:val="auto"/>
        </w:rPr>
      </w:pPr>
    </w:p>
    <w:p>
      <w:pPr>
        <w:ind w:left="600" w:hanging="290"/>
        <w:spacing w:after="0"/>
        <w:tabs>
          <w:tab w:leader="none" w:pos="6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Free cash flow </w:t>
      </w:r>
      <w:r>
        <w:rPr>
          <w:rFonts w:ascii="Times New Roman" w:cs="Times New Roman" w:eastAsia="Times New Roman" w:hAnsi="Times New Roman"/>
          <w:sz w:val="19"/>
          <w:szCs w:val="19"/>
          <w:color w:val="auto"/>
        </w:rPr>
        <w:t>is defined as operating cash flow minus total capital expenditures.</w:t>
      </w:r>
    </w:p>
    <w:p>
      <w:pPr>
        <w:spacing w:after="0" w:line="10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Investors are encouraged to review the reconciliation of these non-GAAP financial measures to their most directly comparable GAAP financial measures in this press release and on our website.</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Information Relating to Forward-Looking Statements</w:t>
      </w:r>
    </w:p>
    <w:p>
      <w:pPr>
        <w:spacing w:after="0" w:line="2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This release includes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"plan," or words or phrases of similar meaning. Specifically, this release includes forward-looking statements regarding the expected benefits of our executive leadership transition and our future performance. Our forward-looking statements are qualified in their entirety by cautionary statements and risk factor disclosures contained in our Securities and Exchange Commission ("SEC") filings, including our most recent Annual Report on Form 10-K filed with the SEC. Our actual results may differ materially from the future results, performance or achievements expressed or implied by the forward-looking statements. Important factors that could cause actual results to differ materially from the results and events anticipated by such forward-looking statements include, but are not limited to: the effects of tariffs and other trade restrictions, which can lead to continuing uncertainty and volatility in global financial and commodity markets, declining consumer confidence, lower personal and business travel and consequent demand for our fuel products; customer and counterparty creditworthiness and our ability to collect accounts receivable and settle derivative contracts; changes in the market prices of energy or commodities or extremely high or low fuel prices that continue for an extended period of time; adverse conditions in the industries in which our customers operate; our inability to effectively mitigate certain financial risks and other risks associated with derivatives and our physical fuel products; our ability to achieve the expected level of benefit from our restructuring activities and cost reduction initiatives; relationships with our employees and potential labor disputes associated with employees covered by collective bargaining agreements; our failure to comply with restrictions and covenants governing our outstanding indebtedness; the impact of cyber and other information technology or security related incidents on us, our customers or other parties; changes in the political, economic or regulatory environment generally and in the markets in which we operate, including as a result of geopolitical conflicts, including the current conflicts in Eastern Europe and the Middle East, and the actions of the U.S. presidential administration; greenhouse gas reduction programs and other environmental and climate change legislation adopted by governments around the world, including cap and trade regimes, carbon taxes, increased efficiency standards and mandates for renewable energy, each of which could increase our operating and compliance costs as well as adversely impact our sales of fuel products; changes in credit terms extended to us from our suppliers; non-performance of suppliers on their sale commitments and customers on their purchase commitments; non-performance of third-party service providers; our ability to effectively integrate and derive benefits from acquired businesses; our ability to meet financial forecasts associated with our operating plan; lower than expected cash flows and revenues, which could impair our ability to realize the value of recorded intangible assets and goodwill; the availability of cash and sufficient liquidity to fund our working capital and strategic investment needs; currency exchange fluctuations; inflationary pressures and their impact on our customers or the global economy, including sudden or significant increases in interest rates or a global recession; our ability to effectively leverage technology and operating systems and realize the anticipated benefits; failure to meet fuel and other product specifications agreed with our customers; environmental and other risks associated with the storage, transportation and delivery of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293" w:right="339" w:bottom="1440" w:gutter="0" w:footer="0" w:header="0"/>
        </w:sectPr>
      </w:pPr>
    </w:p>
    <w:bookmarkStart w:id="7" w:name="page8"/>
    <w:bookmarkEnd w:id="7"/>
    <w:p>
      <w:pPr>
        <w:jc w:val="both"/>
        <w:spacing w:after="0" w:line="249" w:lineRule="auto"/>
        <w:rPr>
          <w:sz w:val="20"/>
          <w:szCs w:val="20"/>
          <w:color w:val="auto"/>
        </w:rPr>
      </w:pPr>
      <w:r>
        <w:rPr>
          <w:rFonts w:ascii="Times New Roman" w:cs="Times New Roman" w:eastAsia="Times New Roman" w:hAnsi="Times New Roman"/>
          <w:sz w:val="19"/>
          <w:szCs w:val="19"/>
          <w:color w:val="auto"/>
        </w:rPr>
        <w:t>petroleum products; reputational harm from adverse publicity arising out of spills, environmental contamination or public perception about the impacts on climate change by us or other companies in our industry; risks associated with operating in high-risk locations, including supply disruptions, border closures and other logistical difficulties that arise when working in these areas; uninsured or underinsured losses; seasonal variability that adversely affects our revenues and operating results, as well as the impact of natural disasters, such as earthquakes, hurricanes and wildfires; declines in the value and liquidity of cash equivalents and investments; our ability to retain and attract senior management and other key employees; changes in U.S. or foreign tax laws, including changes resulting from the One Big Beautiful Bill Act, interpretations of such laws, changes in the mix of taxable income among different tax jurisdictions, or adverse results of tax audits, assessments, or disputes; our failure to generate sufficient future taxable income in jurisdictions with material deferred tax assets and net operating loss carryforwards; changes in multilateral conventions, treaties or other arrangements between or among sovereign nations; our ability to comply with U.S. and international laws and regulations, including those related to anti-corruption, economic sanction programs and environmental matters; the outcome of litigation, regulatory investigations and other legal matters, including the associated legal and other costs; and other risks described from time to time in our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 except as required by law.</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 Some amounts in this press release may not add due to rounding. All percentages have been calculated using unrounded amounts --</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29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WORLD KINECT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(Unaudited - In millions, except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160" w:type="dxa"/>
            <w:vAlign w:val="bottom"/>
          </w:tcPr>
          <w:p>
            <w:pPr>
              <w:spacing w:after="0"/>
              <w:rPr>
                <w:sz w:val="19"/>
                <w:szCs w:val="19"/>
                <w:color w:val="auto"/>
              </w:rPr>
            </w:pPr>
          </w:p>
        </w:tc>
        <w:tc>
          <w:tcPr>
            <w:tcW w:w="17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10"/>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18"/>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8"/>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382.9</w:t>
            </w:r>
          </w:p>
        </w:tc>
      </w:tr>
      <w:tr>
        <w:trPr>
          <w:trHeight w:val="166"/>
        </w:trPr>
        <w:tc>
          <w:tcPr>
            <w:tcW w:w="738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Accounts receivable, net of allowance for credit losses of $19.9 million and $22.5 million as of</w:t>
            </w: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30"/>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September 30, 2025 and December 31, 2024, respectively</w:t>
            </w: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2,078.7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2,432.6</w:t>
            </w:r>
          </w:p>
        </w:tc>
      </w:tr>
      <w:tr>
        <w:trPr>
          <w:trHeight w:val="218"/>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Inventories</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513.5</w:t>
            </w:r>
          </w:p>
        </w:tc>
      </w:tr>
      <w:tr>
        <w:trPr>
          <w:trHeight w:val="218"/>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expenses</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w:t>
            </w:r>
          </w:p>
        </w:tc>
      </w:tr>
      <w:tr>
        <w:trPr>
          <w:trHeight w:val="218"/>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Short-term derivative assets, net</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176.5</w:t>
            </w:r>
          </w:p>
        </w:tc>
      </w:tr>
      <w:tr>
        <w:trPr>
          <w:trHeight w:val="218"/>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current assets</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382.2</w:t>
            </w:r>
          </w:p>
        </w:tc>
      </w:tr>
      <w:tr>
        <w:trPr>
          <w:trHeight w:val="210"/>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3,959.2</w:t>
            </w:r>
          </w:p>
        </w:tc>
      </w:tr>
      <w:tr>
        <w:trPr>
          <w:trHeight w:val="218"/>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513.3</w:t>
            </w:r>
          </w:p>
        </w:tc>
      </w:tr>
      <w:tr>
        <w:trPr>
          <w:trHeight w:val="21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1,181.7</w:t>
            </w:r>
          </w:p>
        </w:tc>
      </w:tr>
      <w:tr>
        <w:trPr>
          <w:trHeight w:val="218"/>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Identifiable intangible assets, net</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261.2</w:t>
            </w:r>
          </w:p>
        </w:tc>
      </w:tr>
      <w:tr>
        <w:trPr>
          <w:trHeight w:val="21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816.4</w:t>
            </w:r>
          </w:p>
        </w:tc>
      </w:tr>
      <w:tr>
        <w:trPr>
          <w:trHeight w:val="210"/>
        </w:trPr>
        <w:tc>
          <w:tcPr>
            <w:tcW w:w="7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6,060.4</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6,731.8</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83"/>
        </w:trPr>
        <w:tc>
          <w:tcPr>
            <w:tcW w:w="7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Liabilities:</w:t>
            </w:r>
          </w:p>
        </w:tc>
        <w:tc>
          <w:tcPr>
            <w:tcW w:w="1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18"/>
        </w:trPr>
        <w:tc>
          <w:tcPr>
            <w:tcW w:w="7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liabilities:</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8"/>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w:t>
            </w:r>
          </w:p>
        </w:tc>
      </w:tr>
      <w:tr>
        <w:trPr>
          <w:trHeight w:val="218"/>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2,726.5</w:t>
            </w:r>
          </w:p>
        </w:tc>
      </w:tr>
      <w:tr>
        <w:trPr>
          <w:trHeight w:val="218"/>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Short-term derivative liabilities, net</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w:t>
            </w:r>
          </w:p>
        </w:tc>
      </w:tr>
      <w:tr>
        <w:trPr>
          <w:trHeight w:val="218"/>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535.8</w:t>
            </w:r>
          </w:p>
        </w:tc>
      </w:tr>
      <w:tr>
        <w:trPr>
          <w:trHeight w:val="210"/>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3,437.8</w:t>
            </w:r>
          </w:p>
        </w:tc>
      </w:tr>
      <w:tr>
        <w:trPr>
          <w:trHeight w:val="218"/>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796.8</w:t>
            </w:r>
          </w:p>
        </w:tc>
      </w:tr>
      <w:tr>
        <w:trPr>
          <w:trHeight w:val="21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541.2</w:t>
            </w:r>
          </w:p>
        </w:tc>
      </w:tr>
      <w:tr>
        <w:trPr>
          <w:trHeight w:val="210"/>
        </w:trPr>
        <w:tc>
          <w:tcPr>
            <w:tcW w:w="7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4,433.9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4,775.8</w:t>
            </w:r>
          </w:p>
        </w:tc>
      </w:tr>
      <w:tr>
        <w:trPr>
          <w:trHeight w:val="19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8"/>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World Kinect shareholders' equity:</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8"/>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Preferred stock, $1.00 par value; 0.1 shares authorized, none issued</w:t>
            </w:r>
          </w:p>
        </w:tc>
        <w:tc>
          <w:tcPr>
            <w:tcW w:w="16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6"/>
        </w:trPr>
        <w:tc>
          <w:tcPr>
            <w:tcW w:w="7380" w:type="dxa"/>
            <w:vAlign w:val="bottom"/>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Common stock, $0.01 par value; 100.0 shares authorized, 55.6 and 56.7 issued and outstanding as of</w:t>
            </w:r>
          </w:p>
        </w:tc>
        <w:tc>
          <w:tcPr>
            <w:tcW w:w="1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September 30, 2025 and December 31, 2024, respectively</w:t>
            </w: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18"/>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in excess of par value</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218"/>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2,009.2</w:t>
            </w:r>
          </w:p>
        </w:tc>
      </w:tr>
      <w:tr>
        <w:trPr>
          <w:trHeight w:val="218"/>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(91.0)</w:t>
            </w:r>
          </w:p>
        </w:tc>
      </w:tr>
      <w:tr>
        <w:trPr>
          <w:trHeight w:val="210"/>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World Kinect shareholders' equity</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1,948.7</w:t>
            </w:r>
          </w:p>
        </w:tc>
      </w:tr>
      <w:tr>
        <w:trPr>
          <w:trHeight w:val="218"/>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10"/>
        </w:trPr>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equity</w:t>
            </w: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1,626.5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1,955.9</w:t>
            </w:r>
          </w:p>
        </w:tc>
      </w:tr>
      <w:tr>
        <w:trPr>
          <w:trHeight w:val="210"/>
        </w:trPr>
        <w:tc>
          <w:tcPr>
            <w:tcW w:w="7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6,060.4</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6,731.8</w:t>
            </w: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29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WORLD KINECT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 AND COMPREHENSIVE INCOME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(Unaudited – In millions, except per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260" w:type="dxa"/>
            <w:vAlign w:val="bottom"/>
          </w:tcPr>
          <w:p>
            <w:pPr>
              <w:spacing w:after="0"/>
              <w:rPr>
                <w:sz w:val="17"/>
                <w:szCs w:val="17"/>
                <w:color w:val="auto"/>
              </w:rPr>
            </w:pPr>
          </w:p>
        </w:tc>
        <w:tc>
          <w:tcPr>
            <w:tcW w:w="2580" w:type="dxa"/>
            <w:vAlign w:val="bottom"/>
            <w:gridSpan w:val="4"/>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c>
          <w:tcPr>
            <w:tcW w:w="0" w:type="dxa"/>
            <w:vAlign w:val="bottom"/>
          </w:tcPr>
          <w:p>
            <w:pPr>
              <w:spacing w:after="0"/>
              <w:rPr>
                <w:sz w:val="1"/>
                <w:szCs w:val="1"/>
                <w:color w:val="auto"/>
              </w:rPr>
            </w:pPr>
          </w:p>
        </w:tc>
      </w:tr>
      <w:tr>
        <w:trPr>
          <w:trHeight w:val="228"/>
        </w:trPr>
        <w:tc>
          <w:tcPr>
            <w:tcW w:w="5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9,391.8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27,887.6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32,407.5</w:t>
            </w:r>
          </w:p>
        </w:tc>
        <w:tc>
          <w:tcPr>
            <w:tcW w:w="0" w:type="dxa"/>
            <w:vAlign w:val="bottom"/>
          </w:tcPr>
          <w:p>
            <w:pPr>
              <w:spacing w:after="0"/>
              <w:rPr>
                <w:sz w:val="1"/>
                <w:szCs w:val="1"/>
                <w:color w:val="auto"/>
              </w:rPr>
            </w:pPr>
          </w:p>
        </w:tc>
      </w:tr>
      <w:tr>
        <w:trPr>
          <w:trHeight w:val="218"/>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9,142.2</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10,222.8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27,175.2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31,640.0</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712.4</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767.5</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357.7</w:t>
            </w:r>
          </w:p>
        </w:tc>
        <w:tc>
          <w:tcPr>
            <w:tcW w:w="0" w:type="dxa"/>
            <w:vAlign w:val="bottom"/>
          </w:tcPr>
          <w:p>
            <w:pPr>
              <w:spacing w:after="0"/>
              <w:rPr>
                <w:sz w:val="1"/>
                <w:szCs w:val="1"/>
                <w:color w:val="auto"/>
              </w:rPr>
            </w:pPr>
          </w:p>
        </w:tc>
      </w:tr>
      <w:tr>
        <w:trPr>
          <w:trHeight w:val="218"/>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219.7</w:t>
            </w: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Goodwill and other asset impairments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18"/>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Restructuring charges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186.8</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1,001.2</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586.7</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180.7</w:t>
            </w:r>
          </w:p>
        </w:tc>
        <w:tc>
          <w:tcPr>
            <w:tcW w:w="0" w:type="dxa"/>
            <w:vAlign w:val="bottom"/>
          </w:tcPr>
          <w:p>
            <w:pPr>
              <w:spacing w:after="0"/>
              <w:rPr>
                <w:sz w:val="1"/>
                <w:szCs w:val="1"/>
                <w:color w:val="auto"/>
              </w:rPr>
            </w:pPr>
          </w:p>
        </w:tc>
      </w:tr>
      <w:tr>
        <w:trPr>
          <w:trHeight w:val="19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Non-operating income (expenses), net: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 and other financing costs, net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non-operating income (expense), net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196.7</w:t>
            </w:r>
          </w:p>
        </w:tc>
        <w:tc>
          <w:tcPr>
            <w:tcW w:w="0" w:type="dxa"/>
            <w:vAlign w:val="bottom"/>
          </w:tcPr>
          <w:p>
            <w:pPr>
              <w:spacing w:after="0"/>
              <w:rPr>
                <w:sz w:val="1"/>
                <w:szCs w:val="1"/>
                <w:color w:val="auto"/>
              </w:rPr>
            </w:pPr>
          </w:p>
        </w:tc>
      </w:tr>
      <w:tr>
        <w:trPr>
          <w:trHeight w:val="218"/>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including noncontrolling interest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w:t>
            </w:r>
          </w:p>
        </w:tc>
        <w:tc>
          <w:tcPr>
            <w:tcW w:w="0" w:type="dxa"/>
            <w:vAlign w:val="bottom"/>
          </w:tcPr>
          <w:p>
            <w:pPr>
              <w:spacing w:after="0"/>
              <w:rPr>
                <w:sz w:val="1"/>
                <w:szCs w:val="1"/>
                <w:color w:val="auto"/>
              </w:rPr>
            </w:pPr>
          </w:p>
        </w:tc>
      </w:tr>
      <w:tr>
        <w:trPr>
          <w:trHeight w:val="218"/>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35"/>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World Kinect</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(334.7)</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169.2</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4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Basic earnings (loss) per common share</w:t>
            </w:r>
          </w:p>
        </w:tc>
        <w:tc>
          <w:tcPr>
            <w:tcW w:w="220" w:type="dxa"/>
            <w:vAlign w:val="bottom"/>
            <w:tcBorders>
              <w:bottom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0.46</w:t>
            </w:r>
          </w:p>
        </w:tc>
        <w:tc>
          <w:tcPr>
            <w:tcW w:w="140" w:type="dxa"/>
            <w:vAlign w:val="bottom"/>
          </w:tcPr>
          <w:p>
            <w:pPr>
              <w:spacing w:after="0"/>
              <w:rPr>
                <w:sz w:val="16"/>
                <w:szCs w:val="16"/>
                <w:color w:val="auto"/>
              </w:rPr>
            </w:pPr>
          </w:p>
        </w:tc>
        <w:tc>
          <w:tcPr>
            <w:tcW w:w="480" w:type="dxa"/>
            <w:vAlign w:val="bottom"/>
            <w:tcBorders>
              <w:bottom w:val="single" w:sz="8" w:color="auto"/>
            </w:tcBorders>
          </w:tcPr>
          <w:p>
            <w:pPr>
              <w:jc w:val="right"/>
              <w:ind w:right="295"/>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0.57</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75"/>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(5.95)</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295"/>
              <w:spacing w:after="0" w:line="189"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2.84</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weighted average common shares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4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Diluted earnings (loss) per common share</w:t>
            </w:r>
          </w:p>
        </w:tc>
        <w:tc>
          <w:tcPr>
            <w:tcW w:w="220" w:type="dxa"/>
            <w:vAlign w:val="bottom"/>
            <w:tcBorders>
              <w:bottom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0.46</w:t>
            </w:r>
          </w:p>
        </w:tc>
        <w:tc>
          <w:tcPr>
            <w:tcW w:w="140" w:type="dxa"/>
            <w:vAlign w:val="bottom"/>
          </w:tcPr>
          <w:p>
            <w:pPr>
              <w:spacing w:after="0"/>
              <w:rPr>
                <w:sz w:val="16"/>
                <w:szCs w:val="16"/>
                <w:color w:val="auto"/>
              </w:rPr>
            </w:pPr>
          </w:p>
        </w:tc>
        <w:tc>
          <w:tcPr>
            <w:tcW w:w="480" w:type="dxa"/>
            <w:vAlign w:val="bottom"/>
            <w:tcBorders>
              <w:bottom w:val="single" w:sz="8" w:color="auto"/>
            </w:tcBorders>
          </w:tcPr>
          <w:p>
            <w:pPr>
              <w:jc w:val="right"/>
              <w:ind w:right="295"/>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0.57</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75"/>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(5.95)</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295"/>
              <w:spacing w:after="0" w:line="189"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2.82</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common shares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including noncontrolling interest</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(332.2)</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166"/>
        </w:trPr>
        <w:tc>
          <w:tcPr>
            <w:tcW w:w="544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Cash flow hedges, net of income tax expense (benefit) of ($0.1) and ($2.1)</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4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for the three months ended September 30, 2025 and 2024, respectively, and</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44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net of income tax expense (benefit) of $(0.6) and $(3.2) for the nine</w:t>
            </w:r>
          </w:p>
        </w:tc>
        <w:tc>
          <w:tcPr>
            <w:tcW w:w="2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18"/>
        </w:trPr>
        <w:tc>
          <w:tcPr>
            <w:tcW w:w="5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months ended September 30, 2025 and 2024, respectively</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other comprehensive income (loss)</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10"/>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 (loss) including noncontrolling interest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176.9</w:t>
            </w: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 (loss) attributable to noncontrolling interest</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0"/>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 (loss) attributable to World Kinect</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40" w:type="dxa"/>
            <w:vAlign w:val="bottom"/>
          </w:tcPr>
          <w:p>
            <w:pPr>
              <w:spacing w:after="0"/>
              <w:rPr>
                <w:sz w:val="18"/>
                <w:szCs w:val="18"/>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(262.2)</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29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WORLD KINECT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 -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260" w:type="dxa"/>
            <w:vAlign w:val="bottom"/>
          </w:tcPr>
          <w:p>
            <w:pPr>
              <w:spacing w:after="0"/>
              <w:rPr>
                <w:sz w:val="17"/>
                <w:szCs w:val="17"/>
                <w:color w:val="auto"/>
              </w:rPr>
            </w:pPr>
          </w:p>
        </w:tc>
        <w:tc>
          <w:tcPr>
            <w:tcW w:w="2580" w:type="dxa"/>
            <w:vAlign w:val="bottom"/>
            <w:gridSpan w:val="4"/>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r>
      <w:tr>
        <w:trPr>
          <w:trHeight w:val="228"/>
        </w:trPr>
        <w:tc>
          <w:tcPr>
            <w:tcW w:w="5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r>
      <w:tr>
        <w:trPr>
          <w:trHeight w:val="213"/>
        </w:trPr>
        <w:tc>
          <w:tcPr>
            <w:tcW w:w="54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1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8"/>
        </w:trPr>
        <w:tc>
          <w:tcPr>
            <w:tcW w:w="5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 (loss) including noncontrolling interest</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40" w:type="dxa"/>
            <w:vAlign w:val="bottom"/>
          </w:tcPr>
          <w:p>
            <w:pPr>
              <w:spacing w:after="0"/>
              <w:rPr>
                <w:sz w:val="18"/>
                <w:szCs w:val="18"/>
                <w:color w:val="auto"/>
              </w:rPr>
            </w:pP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(332.2)</w:t>
            </w:r>
          </w:p>
        </w:tc>
        <w:tc>
          <w:tcPr>
            <w:tcW w:w="120" w:type="dxa"/>
            <w:vAlign w:val="bottom"/>
          </w:tcPr>
          <w:p>
            <w:pPr>
              <w:spacing w:after="0"/>
              <w:rPr>
                <w:sz w:val="18"/>
                <w:szCs w:val="18"/>
                <w:color w:val="auto"/>
              </w:rPr>
            </w:pPr>
          </w:p>
        </w:tc>
        <w:tc>
          <w:tcPr>
            <w:tcW w:w="5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169.1</w:t>
            </w:r>
          </w:p>
        </w:tc>
      </w:tr>
      <w:tr>
        <w:trPr>
          <w:trHeight w:val="166"/>
        </w:trPr>
        <w:tc>
          <w:tcPr>
            <w:tcW w:w="5460" w:type="dxa"/>
            <w:vAlign w:val="bottom"/>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Adjustments to reconcile net income including noncontrolling interest to</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18"/>
        </w:trPr>
        <w:tc>
          <w:tcPr>
            <w:tcW w:w="5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Unrealized (gain) loss on derivatives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r>
      <w:tr>
        <w:trPr>
          <w:trHeight w:val="218"/>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loss on sale of business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w:t>
            </w:r>
          </w:p>
        </w:tc>
      </w:tr>
      <w:tr>
        <w:trPr>
          <w:trHeight w:val="218"/>
        </w:trPr>
        <w:tc>
          <w:tcPr>
            <w:tcW w:w="5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w:t>
            </w:r>
          </w:p>
        </w:tc>
      </w:tr>
      <w:tr>
        <w:trPr>
          <w:trHeight w:val="218"/>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operating lease expense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18"/>
        </w:trPr>
        <w:tc>
          <w:tcPr>
            <w:tcW w:w="5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18"/>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payment award compensation costs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r>
      <w:tr>
        <w:trPr>
          <w:trHeight w:val="218"/>
        </w:trPr>
        <w:tc>
          <w:tcPr>
            <w:tcW w:w="5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income tax expense (benefit)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r>
      <w:tr>
        <w:trPr>
          <w:trHeight w:val="218"/>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Unrealized foreign currency (gains) losses, net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18"/>
        </w:trPr>
        <w:tc>
          <w:tcPr>
            <w:tcW w:w="5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Goodwill and other asset impairment charges</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8"/>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r>
      <w:tr>
        <w:trPr>
          <w:trHeight w:val="218"/>
        </w:trPr>
        <w:tc>
          <w:tcPr>
            <w:tcW w:w="5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assets and liabilities, net of acquisitions and divestitures: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8"/>
        </w:trPr>
        <w:tc>
          <w:tcPr>
            <w:tcW w:w="5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252.2</w:t>
            </w:r>
          </w:p>
        </w:tc>
      </w:tr>
      <w:tr>
        <w:trPr>
          <w:trHeight w:val="218"/>
        </w:trPr>
        <w:tc>
          <w:tcPr>
            <w:tcW w:w="54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Inventories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w:t>
            </w:r>
          </w:p>
        </w:tc>
      </w:tr>
      <w:tr>
        <w:trPr>
          <w:trHeight w:val="218"/>
        </w:trPr>
        <w:tc>
          <w:tcPr>
            <w:tcW w:w="5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Prepaid expenses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18"/>
        </w:trPr>
        <w:tc>
          <w:tcPr>
            <w:tcW w:w="54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current assets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8"/>
        </w:trPr>
        <w:tc>
          <w:tcPr>
            <w:tcW w:w="5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collateral with counterparties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w:t>
            </w:r>
          </w:p>
        </w:tc>
      </w:tr>
      <w:tr>
        <w:trPr>
          <w:trHeight w:val="218"/>
        </w:trPr>
        <w:tc>
          <w:tcPr>
            <w:tcW w:w="54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w:t>
            </w:r>
          </w:p>
        </w:tc>
      </w:tr>
      <w:tr>
        <w:trPr>
          <w:trHeight w:val="218"/>
        </w:trPr>
        <w:tc>
          <w:tcPr>
            <w:tcW w:w="5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 in derivative assets and liabilities, net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8"/>
        </w:trPr>
        <w:tc>
          <w:tcPr>
            <w:tcW w:w="54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(353.6)</w:t>
            </w:r>
          </w:p>
        </w:tc>
      </w:tr>
      <w:tr>
        <w:trPr>
          <w:trHeight w:val="218"/>
        </w:trPr>
        <w:tc>
          <w:tcPr>
            <w:tcW w:w="5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r>
      <w:tr>
        <w:trPr>
          <w:trHeight w:val="218"/>
        </w:trPr>
        <w:tc>
          <w:tcPr>
            <w:tcW w:w="5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w:t>
            </w:r>
          </w:p>
        </w:tc>
      </w:tr>
      <w:tr>
        <w:trPr>
          <w:trHeight w:val="210"/>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Net cash provided by (used in)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1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258.7</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w:t>
            </w:r>
          </w:p>
        </w:tc>
      </w:tr>
      <w:tr>
        <w:trPr>
          <w:trHeight w:val="210"/>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8"/>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business, net of divested cash</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200.1</w:t>
            </w:r>
          </w:p>
        </w:tc>
      </w:tr>
      <w:tr>
        <w:trPr>
          <w:trHeight w:val="218"/>
        </w:trPr>
        <w:tc>
          <w:tcPr>
            <w:tcW w:w="5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r>
      <w:tr>
        <w:trPr>
          <w:trHeight w:val="218"/>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investing activities, net</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r>
      <w:tr>
        <w:trPr>
          <w:trHeight w:val="210"/>
        </w:trPr>
        <w:tc>
          <w:tcPr>
            <w:tcW w:w="5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Net cash provided by (used in) investing activities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w:t>
            </w:r>
          </w:p>
        </w:tc>
      </w:tr>
      <w:tr>
        <w:trPr>
          <w:trHeight w:val="21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8"/>
        </w:trPr>
        <w:tc>
          <w:tcPr>
            <w:tcW w:w="5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Borrowings of debt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2,201.0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2,747.0</w:t>
            </w:r>
          </w:p>
        </w:tc>
      </w:tr>
      <w:tr>
        <w:trPr>
          <w:trHeight w:val="218"/>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Repayments of debt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(2,281.7)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(2,766.1)</w:t>
            </w:r>
          </w:p>
        </w:tc>
      </w:tr>
      <w:tr>
        <w:trPr>
          <w:trHeight w:val="218"/>
        </w:trPr>
        <w:tc>
          <w:tcPr>
            <w:tcW w:w="5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r>
      <w:tr>
        <w:trPr>
          <w:trHeight w:val="218"/>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w:t>
            </w:r>
          </w:p>
        </w:tc>
      </w:tr>
      <w:tr>
        <w:trPr>
          <w:trHeight w:val="218"/>
        </w:trPr>
        <w:tc>
          <w:tcPr>
            <w:tcW w:w="5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of deferred consideration for acquisitions</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r>
      <w:tr>
        <w:trPr>
          <w:trHeight w:val="218"/>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financing activities, net</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10"/>
        </w:trPr>
        <w:tc>
          <w:tcPr>
            <w:tcW w:w="5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(162.6)</w:t>
            </w:r>
          </w:p>
        </w:tc>
      </w:tr>
      <w:tr>
        <w:trPr>
          <w:trHeight w:val="210"/>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10"/>
        </w:trPr>
        <w:tc>
          <w:tcPr>
            <w:tcW w:w="54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Net increase (decrease) in cash and cash equivalents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w:t>
            </w:r>
          </w:p>
        </w:tc>
      </w:tr>
      <w:tr>
        <w:trPr>
          <w:trHeight w:val="21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beginning of the period</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403.2</w:t>
            </w:r>
          </w:p>
        </w:tc>
        <w:tc>
          <w:tcPr>
            <w:tcW w:w="1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382.9</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304.3</w:t>
            </w:r>
          </w:p>
        </w:tc>
      </w:tr>
      <w:tr>
        <w:trPr>
          <w:trHeight w:val="210"/>
        </w:trPr>
        <w:tc>
          <w:tcPr>
            <w:tcW w:w="54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Cash and cash equivalents, as of the end of the period</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473.6</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473.6</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373.8</w:t>
            </w:r>
          </w:p>
        </w:tc>
      </w:tr>
      <w:tr>
        <w:trPr>
          <w:trHeight w:val="20"/>
        </w:trPr>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297" w:right="339" w:bottom="1440" w:gutter="0" w:footer="0" w:header="0"/>
        </w:sectPr>
      </w:pPr>
    </w:p>
    <w:bookmarkStart w:id="11" w:name="page12"/>
    <w:bookmarkEnd w:id="11"/>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WORLD KINECT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BUSINESS SEGMENTS INFORMATION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(Unaudited -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260" w:type="dxa"/>
            <w:vAlign w:val="bottom"/>
          </w:tcPr>
          <w:p>
            <w:pPr>
              <w:spacing w:after="0"/>
              <w:rPr>
                <w:sz w:val="17"/>
                <w:szCs w:val="17"/>
                <w:color w:val="auto"/>
              </w:rPr>
            </w:pPr>
          </w:p>
        </w:tc>
        <w:tc>
          <w:tcPr>
            <w:tcW w:w="2580" w:type="dxa"/>
            <w:vAlign w:val="bottom"/>
            <w:gridSpan w:val="4"/>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c>
          <w:tcPr>
            <w:tcW w:w="0" w:type="dxa"/>
            <w:vAlign w:val="bottom"/>
          </w:tcPr>
          <w:p>
            <w:pPr>
              <w:spacing w:after="0"/>
              <w:rPr>
                <w:sz w:val="1"/>
                <w:szCs w:val="1"/>
                <w:color w:val="auto"/>
              </w:rPr>
            </w:pPr>
          </w:p>
        </w:tc>
      </w:tr>
      <w:tr>
        <w:trPr>
          <w:trHeight w:val="226"/>
        </w:trPr>
        <w:tc>
          <w:tcPr>
            <w:tcW w:w="5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Aviation segment</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4,868.1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14,247.4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15,731.3</w:t>
            </w:r>
          </w:p>
        </w:tc>
        <w:tc>
          <w:tcPr>
            <w:tcW w:w="0" w:type="dxa"/>
            <w:vAlign w:val="bottom"/>
          </w:tcPr>
          <w:p>
            <w:pPr>
              <w:spacing w:after="0"/>
              <w:rPr>
                <w:sz w:val="1"/>
                <w:szCs w:val="1"/>
                <w:color w:val="auto"/>
              </w:rPr>
            </w:pPr>
          </w:p>
        </w:tc>
      </w:tr>
      <w:tr>
        <w:trPr>
          <w:trHeight w:val="218"/>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Land segment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2,535.6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7,825.9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9,860.6</w:t>
            </w: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Marine segment</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1,988.1</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2,121.0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5,814.3</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6,815.6</w:t>
            </w:r>
          </w:p>
        </w:tc>
        <w:tc>
          <w:tcPr>
            <w:tcW w:w="0" w:type="dxa"/>
            <w:vAlign w:val="bottom"/>
          </w:tcPr>
          <w:p>
            <w:pPr>
              <w:spacing w:after="0"/>
              <w:rPr>
                <w:sz w:val="1"/>
                <w:szCs w:val="1"/>
                <w:color w:val="auto"/>
              </w:rPr>
            </w:pPr>
          </w:p>
        </w:tc>
      </w:tr>
      <w:tr>
        <w:trPr>
          <w:trHeight w:val="210"/>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9,391.8</w:t>
            </w:r>
          </w:p>
        </w:tc>
        <w:tc>
          <w:tcPr>
            <w:tcW w:w="140" w:type="dxa"/>
            <w:vAlign w:val="bottom"/>
          </w:tcPr>
          <w:p>
            <w:pPr>
              <w:spacing w:after="0"/>
              <w:rPr>
                <w:sz w:val="18"/>
                <w:szCs w:val="18"/>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10,490.9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27,887.6</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32,407.5</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Aviation segment</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w:t>
            </w:r>
          </w:p>
        </w:tc>
        <w:tc>
          <w:tcPr>
            <w:tcW w:w="140" w:type="dxa"/>
            <w:vAlign w:val="bottom"/>
          </w:tcPr>
          <w:p>
            <w:pPr>
              <w:spacing w:after="0"/>
              <w:rPr>
                <w:sz w:val="18"/>
                <w:szCs w:val="18"/>
                <w:color w:val="auto"/>
              </w:rPr>
            </w:pP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w:t>
            </w:r>
          </w:p>
        </w:tc>
        <w:tc>
          <w:tcPr>
            <w:tcW w:w="12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396.4</w:t>
            </w:r>
          </w:p>
        </w:tc>
        <w:tc>
          <w:tcPr>
            <w:tcW w:w="120" w:type="dxa"/>
            <w:vAlign w:val="bottom"/>
          </w:tcPr>
          <w:p>
            <w:pPr>
              <w:spacing w:after="0"/>
              <w:rPr>
                <w:sz w:val="18"/>
                <w:szCs w:val="18"/>
                <w:color w:val="auto"/>
              </w:rPr>
            </w:pPr>
          </w:p>
        </w:tc>
        <w:tc>
          <w:tcPr>
            <w:tcW w:w="5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365.2</w:t>
            </w: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Land segment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280.1</w:t>
            </w:r>
          </w:p>
        </w:tc>
        <w:tc>
          <w:tcPr>
            <w:tcW w:w="0" w:type="dxa"/>
            <w:vAlign w:val="bottom"/>
          </w:tcPr>
          <w:p>
            <w:pPr>
              <w:spacing w:after="0"/>
              <w:rPr>
                <w:sz w:val="1"/>
                <w:szCs w:val="1"/>
                <w:color w:val="auto"/>
              </w:rPr>
            </w:pPr>
          </w:p>
        </w:tc>
      </w:tr>
      <w:tr>
        <w:trPr>
          <w:trHeight w:val="218"/>
        </w:trPr>
        <w:tc>
          <w:tcPr>
            <w:tcW w:w="5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Marine segment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122.2</w:t>
            </w:r>
          </w:p>
        </w:tc>
        <w:tc>
          <w:tcPr>
            <w:tcW w:w="0" w:type="dxa"/>
            <w:vAlign w:val="bottom"/>
          </w:tcPr>
          <w:p>
            <w:pPr>
              <w:spacing w:after="0"/>
              <w:rPr>
                <w:sz w:val="1"/>
                <w:szCs w:val="1"/>
                <w:color w:val="auto"/>
              </w:rPr>
            </w:pPr>
          </w:p>
        </w:tc>
      </w:tr>
      <w:tr>
        <w:trPr>
          <w:trHeight w:val="235"/>
        </w:trPr>
        <w:tc>
          <w:tcPr>
            <w:tcW w:w="5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gross profit</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Aviation segment</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180.6</w:t>
            </w:r>
          </w:p>
        </w:tc>
        <w:tc>
          <w:tcPr>
            <w:tcW w:w="0" w:type="dxa"/>
            <w:vAlign w:val="bottom"/>
          </w:tcPr>
          <w:p>
            <w:pPr>
              <w:spacing w:after="0"/>
              <w:rPr>
                <w:sz w:val="1"/>
                <w:szCs w:val="1"/>
                <w:color w:val="auto"/>
              </w:rPr>
            </w:pPr>
          </w:p>
        </w:tc>
      </w:tr>
      <w:tr>
        <w:trPr>
          <w:trHeight w:val="218"/>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Land segment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Marine segment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0" w:type="dxa"/>
            <w:vAlign w:val="bottom"/>
          </w:tcPr>
          <w:p>
            <w:pPr>
              <w:spacing w:after="0"/>
              <w:rPr>
                <w:sz w:val="1"/>
                <w:szCs w:val="1"/>
                <w:color w:val="auto"/>
              </w:rPr>
            </w:pPr>
          </w:p>
        </w:tc>
      </w:tr>
      <w:tr>
        <w:trPr>
          <w:trHeight w:val="218"/>
        </w:trPr>
        <w:tc>
          <w:tcPr>
            <w:tcW w:w="5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Corporate overhead - unallocated</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0" w:type="dxa"/>
            <w:vAlign w:val="bottom"/>
          </w:tcPr>
          <w:p>
            <w:pPr>
              <w:spacing w:after="0"/>
              <w:rPr>
                <w:sz w:val="1"/>
                <w:szCs w:val="1"/>
                <w:color w:val="auto"/>
              </w:rPr>
            </w:pPr>
          </w:p>
        </w:tc>
      </w:tr>
      <w:tr>
        <w:trPr>
          <w:trHeight w:val="235"/>
        </w:trPr>
        <w:tc>
          <w:tcPr>
            <w:tcW w:w="5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income (loss) from operations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SALES VOLUME SUPPLEMENTAL INFORMATION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(Unaudited -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40" w:type="dxa"/>
            <w:vAlign w:val="bottom"/>
          </w:tcPr>
          <w:p>
            <w:pPr>
              <w:spacing w:after="0"/>
              <w:rPr>
                <w:sz w:val="16"/>
                <w:szCs w:val="16"/>
                <w:color w:val="auto"/>
              </w:rPr>
            </w:pPr>
          </w:p>
        </w:tc>
        <w:tc>
          <w:tcPr>
            <w:tcW w:w="2960" w:type="dxa"/>
            <w:vAlign w:val="bottom"/>
            <w:gridSpan w:val="5"/>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284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r>
      <w:tr>
        <w:trPr>
          <w:trHeight w:val="226"/>
        </w:trPr>
        <w:tc>
          <w:tcPr>
            <w:tcW w:w="5440" w:type="dxa"/>
            <w:vAlign w:val="bottom"/>
          </w:tcPr>
          <w:p>
            <w:pPr>
              <w:spacing w:after="0"/>
              <w:rPr>
                <w:sz w:val="19"/>
                <w:szCs w:val="19"/>
                <w:color w:val="auto"/>
              </w:rPr>
            </w:pPr>
          </w:p>
        </w:tc>
        <w:tc>
          <w:tcPr>
            <w:tcW w:w="1960" w:type="dxa"/>
            <w:vAlign w:val="bottom"/>
            <w:tcBorders>
              <w:bottom w:val="single" w:sz="8" w:color="auto"/>
            </w:tcBorders>
            <w:gridSpan w:val="3"/>
          </w:tcPr>
          <w:p>
            <w:pPr>
              <w:jc w:val="center"/>
              <w:ind w:left="79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Borders>
              <w:bottom w:val="single" w:sz="8" w:color="auto"/>
            </w:tcBorders>
            <w:gridSpan w:val="3"/>
          </w:tcPr>
          <w:p>
            <w:pPr>
              <w:jc w:val="center"/>
              <w:ind w:left="77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r>
      <w:tr>
        <w:trPr>
          <w:trHeight w:val="215"/>
        </w:trPr>
        <w:tc>
          <w:tcPr>
            <w:tcW w:w="5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Volume (Gallons):</w:t>
            </w:r>
          </w:p>
        </w:tc>
        <w:tc>
          <w:tcPr>
            <w:tcW w:w="13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10"/>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Aviation Segment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1,904.6</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5,385.3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5,402.7</w:t>
            </w:r>
          </w:p>
        </w:tc>
      </w:tr>
      <w:tr>
        <w:trPr>
          <w:trHeight w:val="218"/>
        </w:trPr>
        <w:tc>
          <w:tcPr>
            <w:tcW w:w="5440" w:type="dxa"/>
            <w:vAlign w:val="bottom"/>
          </w:tcPr>
          <w:p>
            <w:pPr>
              <w:ind w:left="120"/>
              <w:spacing w:after="0" w:line="218" w:lineRule="exact"/>
              <w:rPr>
                <w:sz w:val="20"/>
                <w:szCs w:val="20"/>
                <w:color w:val="auto"/>
              </w:rPr>
            </w:pPr>
            <w:r>
              <w:rPr>
                <w:rFonts w:ascii="Times New Roman" w:cs="Times New Roman" w:eastAsia="Times New Roman" w:hAnsi="Times New Roman"/>
                <w:sz w:val="17"/>
                <w:szCs w:val="17"/>
                <w:color w:val="auto"/>
              </w:rPr>
              <w:t xml:space="preserve">Land Segment </w:t>
            </w:r>
            <w:r>
              <w:rPr>
                <w:rFonts w:ascii="Times New Roman" w:cs="Times New Roman" w:eastAsia="Times New Roman" w:hAnsi="Times New Roman"/>
                <w:sz w:val="22"/>
                <w:szCs w:val="22"/>
                <w:color w:val="auto"/>
                <w:vertAlign w:val="superscript"/>
              </w:rPr>
              <w:t>(1)</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1,382.5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1,495.6</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4,542.9</w:t>
            </w:r>
          </w:p>
        </w:tc>
      </w:tr>
      <w:tr>
        <w:trPr>
          <w:trHeight w:val="218"/>
        </w:trPr>
        <w:tc>
          <w:tcPr>
            <w:tcW w:w="5440" w:type="dxa"/>
            <w:vAlign w:val="bottom"/>
            <w:shd w:val="clear" w:color="auto" w:fill="CCEEFF"/>
          </w:tcPr>
          <w:p>
            <w:pPr>
              <w:ind w:left="120"/>
              <w:spacing w:after="0" w:line="218" w:lineRule="exact"/>
              <w:rPr>
                <w:sz w:val="20"/>
                <w:szCs w:val="20"/>
                <w:color w:val="auto"/>
              </w:rPr>
            </w:pPr>
            <w:r>
              <w:rPr>
                <w:rFonts w:ascii="Times New Roman" w:cs="Times New Roman" w:eastAsia="Times New Roman" w:hAnsi="Times New Roman"/>
                <w:sz w:val="17"/>
                <w:szCs w:val="17"/>
                <w:color w:val="auto"/>
              </w:rPr>
              <w:t xml:space="preserve">Marine Segment </w:t>
            </w:r>
            <w:r>
              <w:rPr>
                <w:rFonts w:ascii="Times New Roman" w:cs="Times New Roman" w:eastAsia="Times New Roman" w:hAnsi="Times New Roman"/>
                <w:sz w:val="22"/>
                <w:szCs w:val="22"/>
                <w:color w:val="auto"/>
                <w:vertAlign w:val="superscript"/>
              </w:rPr>
              <w:t>(2)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1,071.4</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1,043.0</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3,074.4</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3,284.6</w:t>
            </w:r>
          </w:p>
        </w:tc>
      </w:tr>
      <w:tr>
        <w:trPr>
          <w:trHeight w:val="210"/>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Consolidated 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4,282.9</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4,443.2</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12,679.7</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13,230.2</w:t>
            </w:r>
          </w:p>
        </w:tc>
      </w:tr>
      <w:tr>
        <w:trPr>
          <w:trHeight w:val="20"/>
        </w:trPr>
        <w:tc>
          <w:tcPr>
            <w:tcW w:w="5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00" w:hanging="298"/>
        <w:spacing w:after="0"/>
        <w:tabs>
          <w:tab w:leader="none" w:pos="30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gallons and gallon equivalents of British Thermal Units (BTU) for our natural gas sales and Kilowatt Hours (kWh) for our power business.</w:t>
      </w:r>
    </w:p>
    <w:p>
      <w:pPr>
        <w:spacing w:after="0" w:line="85" w:lineRule="exact"/>
        <w:rPr>
          <w:rFonts w:ascii="Times New Roman" w:cs="Times New Roman" w:eastAsia="Times New Roman" w:hAnsi="Times New Roman"/>
          <w:sz w:val="22"/>
          <w:szCs w:val="22"/>
          <w:color w:val="auto"/>
          <w:vertAlign w:val="superscript"/>
        </w:rPr>
      </w:pPr>
    </w:p>
    <w:p>
      <w:pPr>
        <w:ind w:left="300" w:hanging="298"/>
        <w:spacing w:after="0" w:line="228" w:lineRule="auto"/>
        <w:tabs>
          <w:tab w:leader="none" w:pos="288"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Converted from metric tons to gallons at a rate of 264 gallons per metric ton. Marine segment metric tons were 4.1 and 4.0 for the three months ended September 30, 2025 and 2024, respectively; and 11.6 and 12.4 for the nine months ended September 30, 2025 and 2024, respectively.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WORLD KINECT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 - In millions,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60" w:type="dxa"/>
            <w:vAlign w:val="bottom"/>
            <w:gridSpan w:val="11"/>
          </w:tcPr>
          <w:p>
            <w:pPr>
              <w:ind w:left="280"/>
              <w:spacing w:after="0"/>
              <w:rPr>
                <w:sz w:val="20"/>
                <w:szCs w:val="20"/>
                <w:color w:val="auto"/>
              </w:rPr>
            </w:pPr>
            <w:r>
              <w:rPr>
                <w:rFonts w:ascii="Times New Roman" w:cs="Times New Roman" w:eastAsia="Times New Roman" w:hAnsi="Times New Roman"/>
                <w:sz w:val="17"/>
                <w:szCs w:val="17"/>
                <w:b w:val="1"/>
                <w:bCs w:val="1"/>
                <w:color w:val="auto"/>
              </w:rPr>
              <w:t>For the Three Months Ended September 30,</w:t>
            </w:r>
          </w:p>
        </w:tc>
        <w:tc>
          <w:tcPr>
            <w:tcW w:w="180" w:type="dxa"/>
            <w:vAlign w:val="bottom"/>
          </w:tcPr>
          <w:p>
            <w:pPr>
              <w:spacing w:after="0"/>
              <w:rPr>
                <w:sz w:val="19"/>
                <w:szCs w:val="19"/>
                <w:color w:val="auto"/>
              </w:rPr>
            </w:pPr>
          </w:p>
        </w:tc>
        <w:tc>
          <w:tcPr>
            <w:tcW w:w="3940" w:type="dxa"/>
            <w:vAlign w:val="bottom"/>
            <w:gridSpan w:val="10"/>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For the Nine Months Ended September 30,</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7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7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GAAP to non-</w:t>
            </w:r>
          </w:p>
        </w:tc>
        <w:tc>
          <w:tcPr>
            <w:tcW w:w="10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spacing w:after="0"/>
              <w:rPr>
                <w:sz w:val="24"/>
                <w:szCs w:val="2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Diluted</w:t>
            </w: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spacing w:after="0"/>
              <w:rPr>
                <w:sz w:val="24"/>
                <w:szCs w:val="2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7"/>
              </w:rPr>
              <w:t>Diluted</w:t>
            </w:r>
          </w:p>
        </w:tc>
        <w:tc>
          <w:tcPr>
            <w:tcW w:w="10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spacing w:after="0"/>
              <w:rPr>
                <w:sz w:val="24"/>
                <w:szCs w:val="2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7"/>
              </w:rPr>
              <w:t>Diluted</w:t>
            </w:r>
          </w:p>
        </w:tc>
        <w:tc>
          <w:tcPr>
            <w:tcW w:w="10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Pr>
          <w:p>
            <w:pPr>
              <w:spacing w:after="0"/>
              <w:rPr>
                <w:sz w:val="24"/>
                <w:szCs w:val="24"/>
                <w:color w:val="auto"/>
              </w:rPr>
            </w:pPr>
          </w:p>
        </w:tc>
        <w:tc>
          <w:tcPr>
            <w:tcW w:w="78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Diluted</w:t>
            </w:r>
          </w:p>
        </w:tc>
        <w:tc>
          <w:tcPr>
            <w:tcW w:w="0" w:type="dxa"/>
            <w:vAlign w:val="bottom"/>
          </w:tcPr>
          <w:p>
            <w:pPr>
              <w:spacing w:after="0"/>
              <w:rPr>
                <w:sz w:val="1"/>
                <w:szCs w:val="1"/>
                <w:color w:val="auto"/>
              </w:rPr>
            </w:pPr>
          </w:p>
        </w:tc>
      </w:tr>
      <w:tr>
        <w:trPr>
          <w:trHeight w:val="166"/>
        </w:trPr>
        <w:tc>
          <w:tcPr>
            <w:tcW w:w="2900" w:type="dxa"/>
            <w:vAlign w:val="bottom"/>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60" w:type="dxa"/>
            <w:vAlign w:val="bottom"/>
            <w:gridSpan w:val="3"/>
          </w:tcPr>
          <w:p>
            <w:pPr>
              <w:jc w:val="center"/>
              <w:ind w:right="120"/>
              <w:spacing w:after="0" w:line="167" w:lineRule="exact"/>
              <w:rPr>
                <w:sz w:val="20"/>
                <w:szCs w:val="20"/>
                <w:color w:val="auto"/>
              </w:rPr>
            </w:pPr>
            <w:r>
              <w:rPr>
                <w:rFonts w:ascii="Times New Roman" w:cs="Times New Roman" w:eastAsia="Times New Roman" w:hAnsi="Times New Roman"/>
                <w:sz w:val="17"/>
                <w:szCs w:val="17"/>
                <w:color w:val="auto"/>
                <w:w w:val="99"/>
              </w:rPr>
              <w:t>Earnings per</w:t>
            </w:r>
          </w:p>
        </w:tc>
        <w:tc>
          <w:tcPr>
            <w:tcW w:w="1060" w:type="dxa"/>
            <w:vAlign w:val="bottom"/>
            <w:gridSpan w:val="3"/>
            <w:vMerge w:val="continue"/>
          </w:tcPr>
          <w:p>
            <w:pPr>
              <w:spacing w:after="0"/>
              <w:rPr>
                <w:sz w:val="14"/>
                <w:szCs w:val="14"/>
                <w:color w:val="auto"/>
              </w:rPr>
            </w:pPr>
          </w:p>
        </w:tc>
        <w:tc>
          <w:tcPr>
            <w:tcW w:w="1060" w:type="dxa"/>
            <w:vAlign w:val="bottom"/>
            <w:gridSpan w:val="3"/>
          </w:tcPr>
          <w:p>
            <w:pPr>
              <w:jc w:val="center"/>
              <w:ind w:right="120"/>
              <w:spacing w:after="0" w:line="167" w:lineRule="exact"/>
              <w:rPr>
                <w:sz w:val="20"/>
                <w:szCs w:val="20"/>
                <w:color w:val="auto"/>
              </w:rPr>
            </w:pPr>
            <w:r>
              <w:rPr>
                <w:rFonts w:ascii="Times New Roman" w:cs="Times New Roman" w:eastAsia="Times New Roman" w:hAnsi="Times New Roman"/>
                <w:sz w:val="17"/>
                <w:szCs w:val="17"/>
                <w:color w:val="auto"/>
                <w:w w:val="99"/>
              </w:rPr>
              <w:t>Earnings per</w:t>
            </w:r>
          </w:p>
        </w:tc>
        <w:tc>
          <w:tcPr>
            <w:tcW w:w="1060" w:type="dxa"/>
            <w:vAlign w:val="bottom"/>
            <w:gridSpan w:val="3"/>
            <w:vMerge w:val="continue"/>
          </w:tcPr>
          <w:p>
            <w:pPr>
              <w:spacing w:after="0"/>
              <w:rPr>
                <w:sz w:val="14"/>
                <w:szCs w:val="14"/>
                <w:color w:val="auto"/>
              </w:rPr>
            </w:pPr>
          </w:p>
        </w:tc>
        <w:tc>
          <w:tcPr>
            <w:tcW w:w="1060" w:type="dxa"/>
            <w:vAlign w:val="bottom"/>
            <w:gridSpan w:val="3"/>
          </w:tcPr>
          <w:p>
            <w:pPr>
              <w:jc w:val="center"/>
              <w:ind w:right="120"/>
              <w:spacing w:after="0" w:line="167" w:lineRule="exact"/>
              <w:rPr>
                <w:sz w:val="20"/>
                <w:szCs w:val="20"/>
                <w:color w:val="auto"/>
              </w:rPr>
            </w:pPr>
            <w:r>
              <w:rPr>
                <w:rFonts w:ascii="Times New Roman" w:cs="Times New Roman" w:eastAsia="Times New Roman" w:hAnsi="Times New Roman"/>
                <w:sz w:val="17"/>
                <w:szCs w:val="17"/>
                <w:color w:val="auto"/>
                <w:w w:val="99"/>
              </w:rPr>
              <w:t>Earnings per</w:t>
            </w:r>
          </w:p>
        </w:tc>
        <w:tc>
          <w:tcPr>
            <w:tcW w:w="1080" w:type="dxa"/>
            <w:vAlign w:val="bottom"/>
            <w:gridSpan w:val="3"/>
            <w:vMerge w:val="continue"/>
          </w:tcPr>
          <w:p>
            <w:pPr>
              <w:spacing w:after="0"/>
              <w:rPr>
                <w:sz w:val="14"/>
                <w:szCs w:val="14"/>
                <w:color w:val="auto"/>
              </w:rPr>
            </w:pPr>
          </w:p>
        </w:tc>
        <w:tc>
          <w:tcPr>
            <w:tcW w:w="92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7"/>
                <w:szCs w:val="17"/>
                <w:color w:val="auto"/>
              </w:rPr>
              <w:t>Earnings per</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GAAP financial measures:</w:t>
            </w:r>
          </w:p>
        </w:tc>
        <w:tc>
          <w:tcPr>
            <w:tcW w:w="16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w:t>
            </w:r>
          </w:p>
        </w:tc>
        <w:tc>
          <w:tcPr>
            <w:tcW w:w="160" w:type="dxa"/>
            <w:vAlign w:val="bottom"/>
          </w:tcPr>
          <w:p>
            <w:pPr>
              <w:spacing w:after="0"/>
              <w:rPr>
                <w:sz w:val="20"/>
                <w:szCs w:val="20"/>
                <w:color w:val="auto"/>
              </w:rPr>
            </w:pPr>
          </w:p>
        </w:tc>
        <w:tc>
          <w:tcPr>
            <w:tcW w:w="900" w:type="dxa"/>
            <w:vAlign w:val="bottom"/>
            <w:gridSpan w:val="2"/>
          </w:tcPr>
          <w:p>
            <w:pPr>
              <w:jc w:val="center"/>
              <w:ind w:right="280"/>
              <w:spacing w:after="0" w:line="230" w:lineRule="exact"/>
              <w:rPr>
                <w:sz w:val="20"/>
                <w:szCs w:val="20"/>
                <w:color w:val="auto"/>
              </w:rPr>
            </w:pPr>
            <w:r>
              <w:rPr>
                <w:rFonts w:ascii="Times New Roman" w:cs="Times New Roman" w:eastAsia="Times New Roman" w:hAnsi="Times New Roman"/>
                <w:sz w:val="17"/>
                <w:szCs w:val="17"/>
                <w:color w:val="auto"/>
                <w:w w:val="89"/>
              </w:rPr>
              <w:t xml:space="preserve">Share </w:t>
            </w:r>
            <w:r>
              <w:rPr>
                <w:rFonts w:ascii="Times New Roman" w:cs="Times New Roman" w:eastAsia="Times New Roman" w:hAnsi="Times New Roman"/>
                <w:sz w:val="22"/>
                <w:szCs w:val="22"/>
                <w:color w:val="auto"/>
                <w:w w:val="89"/>
                <w:vertAlign w:val="superscript"/>
              </w:rPr>
              <w:t>(1)</w:t>
            </w:r>
          </w:p>
        </w:tc>
        <w:tc>
          <w:tcPr>
            <w:tcW w:w="18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6"/>
              </w:rPr>
              <w:t>(Loss)</w:t>
            </w:r>
          </w:p>
        </w:tc>
        <w:tc>
          <w:tcPr>
            <w:tcW w:w="160" w:type="dxa"/>
            <w:vAlign w:val="bottom"/>
          </w:tcPr>
          <w:p>
            <w:pPr>
              <w:spacing w:after="0"/>
              <w:rPr>
                <w:sz w:val="20"/>
                <w:szCs w:val="20"/>
                <w:color w:val="auto"/>
              </w:rPr>
            </w:pPr>
          </w:p>
        </w:tc>
        <w:tc>
          <w:tcPr>
            <w:tcW w:w="900" w:type="dxa"/>
            <w:vAlign w:val="bottom"/>
            <w:gridSpan w:val="2"/>
          </w:tcPr>
          <w:p>
            <w:pPr>
              <w:jc w:val="center"/>
              <w:ind w:right="280"/>
              <w:spacing w:after="0" w:line="230" w:lineRule="exact"/>
              <w:rPr>
                <w:sz w:val="20"/>
                <w:szCs w:val="20"/>
                <w:color w:val="auto"/>
              </w:rPr>
            </w:pPr>
            <w:r>
              <w:rPr>
                <w:rFonts w:ascii="Times New Roman" w:cs="Times New Roman" w:eastAsia="Times New Roman" w:hAnsi="Times New Roman"/>
                <w:sz w:val="17"/>
                <w:szCs w:val="17"/>
                <w:color w:val="auto"/>
                <w:w w:val="89"/>
              </w:rPr>
              <w:t xml:space="preserve">Share </w:t>
            </w:r>
            <w:r>
              <w:rPr>
                <w:rFonts w:ascii="Times New Roman" w:cs="Times New Roman" w:eastAsia="Times New Roman" w:hAnsi="Times New Roman"/>
                <w:sz w:val="22"/>
                <w:szCs w:val="22"/>
                <w:color w:val="auto"/>
                <w:w w:val="89"/>
                <w:vertAlign w:val="superscript"/>
              </w:rPr>
              <w:t>(1)</w:t>
            </w:r>
          </w:p>
        </w:tc>
        <w:tc>
          <w:tcPr>
            <w:tcW w:w="18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6"/>
              </w:rPr>
              <w:t>(Loss)</w:t>
            </w:r>
          </w:p>
        </w:tc>
        <w:tc>
          <w:tcPr>
            <w:tcW w:w="160" w:type="dxa"/>
            <w:vAlign w:val="bottom"/>
          </w:tcPr>
          <w:p>
            <w:pPr>
              <w:spacing w:after="0"/>
              <w:rPr>
                <w:sz w:val="20"/>
                <w:szCs w:val="20"/>
                <w:color w:val="auto"/>
              </w:rPr>
            </w:pPr>
          </w:p>
        </w:tc>
        <w:tc>
          <w:tcPr>
            <w:tcW w:w="900" w:type="dxa"/>
            <w:vAlign w:val="bottom"/>
            <w:gridSpan w:val="2"/>
          </w:tcPr>
          <w:p>
            <w:pPr>
              <w:jc w:val="center"/>
              <w:ind w:right="280"/>
              <w:spacing w:after="0" w:line="230" w:lineRule="exact"/>
              <w:rPr>
                <w:sz w:val="20"/>
                <w:szCs w:val="20"/>
                <w:color w:val="auto"/>
              </w:rPr>
            </w:pPr>
            <w:r>
              <w:rPr>
                <w:rFonts w:ascii="Times New Roman" w:cs="Times New Roman" w:eastAsia="Times New Roman" w:hAnsi="Times New Roman"/>
                <w:sz w:val="17"/>
                <w:szCs w:val="17"/>
                <w:color w:val="auto"/>
                <w:w w:val="89"/>
              </w:rPr>
              <w:t xml:space="preserve">Share </w:t>
            </w:r>
            <w:r>
              <w:rPr>
                <w:rFonts w:ascii="Times New Roman" w:cs="Times New Roman" w:eastAsia="Times New Roman" w:hAnsi="Times New Roman"/>
                <w:sz w:val="22"/>
                <w:szCs w:val="22"/>
                <w:color w:val="auto"/>
                <w:w w:val="89"/>
                <w:vertAlign w:val="superscript"/>
              </w:rPr>
              <w:t>(1)</w:t>
            </w:r>
          </w:p>
        </w:tc>
        <w:tc>
          <w:tcPr>
            <w:tcW w:w="180" w:type="dxa"/>
            <w:vAlign w:val="bottom"/>
          </w:tcPr>
          <w:p>
            <w:pPr>
              <w:spacing w:after="0"/>
              <w:rPr>
                <w:sz w:val="20"/>
                <w:szCs w:val="20"/>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(Loss)</w:t>
            </w:r>
          </w:p>
        </w:tc>
        <w:tc>
          <w:tcPr>
            <w:tcW w:w="140" w:type="dxa"/>
            <w:vAlign w:val="bottom"/>
          </w:tcPr>
          <w:p>
            <w:pPr>
              <w:spacing w:after="0"/>
              <w:rPr>
                <w:sz w:val="20"/>
                <w:szCs w:val="20"/>
                <w:color w:val="auto"/>
              </w:rPr>
            </w:pPr>
          </w:p>
        </w:tc>
        <w:tc>
          <w:tcPr>
            <w:tcW w:w="780" w:type="dxa"/>
            <w:vAlign w:val="bottom"/>
          </w:tcPr>
          <w:p>
            <w:pPr>
              <w:jc w:val="center"/>
              <w:ind w:right="55"/>
              <w:spacing w:after="0" w:line="230" w:lineRule="exact"/>
              <w:rPr>
                <w:sz w:val="20"/>
                <w:szCs w:val="20"/>
                <w:color w:val="auto"/>
              </w:rPr>
            </w:pPr>
            <w:r>
              <w:rPr>
                <w:rFonts w:ascii="Times New Roman" w:cs="Times New Roman" w:eastAsia="Times New Roman" w:hAnsi="Times New Roman"/>
                <w:sz w:val="17"/>
                <w:szCs w:val="17"/>
                <w:color w:val="auto"/>
                <w:w w:val="93"/>
              </w:rPr>
              <w:t xml:space="preserve">Share </w:t>
            </w:r>
            <w:r>
              <w:rPr>
                <w:rFonts w:ascii="Times New Roman" w:cs="Times New Roman" w:eastAsia="Times New Roman" w:hAnsi="Times New Roman"/>
                <w:sz w:val="22"/>
                <w:szCs w:val="22"/>
                <w:color w:val="auto"/>
                <w:w w:val="93"/>
                <w:vertAlign w:val="superscript"/>
              </w:rPr>
              <w:t>(1)</w:t>
            </w:r>
          </w:p>
        </w:tc>
        <w:tc>
          <w:tcPr>
            <w:tcW w:w="0" w:type="dxa"/>
            <w:vAlign w:val="bottom"/>
          </w:tcPr>
          <w:p>
            <w:pPr>
              <w:spacing w:after="0"/>
              <w:rPr>
                <w:sz w:val="1"/>
                <w:szCs w:val="1"/>
                <w:color w:val="auto"/>
              </w:rPr>
            </w:pPr>
          </w:p>
        </w:tc>
      </w:tr>
      <w:tr>
        <w:trPr>
          <w:trHeight w:val="210"/>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GAAP measure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0.46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0.57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(334.7)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top w:val="single" w:sz="8" w:color="auto"/>
            </w:tcBorders>
            <w:shd w:val="clear" w:color="auto" w:fill="CCEEFF"/>
          </w:tcPr>
          <w:p>
            <w:pPr>
              <w:jc w:val="center"/>
              <w:ind w:left="235"/>
              <w:spacing w:after="0"/>
              <w:rPr>
                <w:sz w:val="20"/>
                <w:szCs w:val="20"/>
                <w:color w:val="auto"/>
              </w:rPr>
            </w:pPr>
            <w:r>
              <w:rPr>
                <w:rFonts w:ascii="Times New Roman" w:cs="Times New Roman" w:eastAsia="Times New Roman" w:hAnsi="Times New Roman"/>
                <w:sz w:val="17"/>
                <w:szCs w:val="17"/>
                <w:b w:val="1"/>
                <w:bCs w:val="1"/>
                <w:color w:val="auto"/>
              </w:rPr>
              <w:t>(5.95)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169.2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2.82</w:t>
            </w:r>
          </w:p>
        </w:tc>
        <w:tc>
          <w:tcPr>
            <w:tcW w:w="0" w:type="dxa"/>
            <w:vAlign w:val="bottom"/>
          </w:tcPr>
          <w:p>
            <w:pPr>
              <w:spacing w:after="0"/>
              <w:rPr>
                <w:sz w:val="1"/>
                <w:szCs w:val="1"/>
                <w:color w:val="auto"/>
              </w:rPr>
            </w:pPr>
          </w:p>
        </w:tc>
      </w:tr>
      <w:tr>
        <w:trPr>
          <w:trHeight w:val="166"/>
        </w:trPr>
        <w:tc>
          <w:tcPr>
            <w:tcW w:w="2900" w:type="dxa"/>
            <w:vAlign w:val="bottom"/>
          </w:tcPr>
          <w:p>
            <w:pPr>
              <w:ind w:left="120"/>
              <w:spacing w:after="0" w:line="167" w:lineRule="exact"/>
              <w:rPr>
                <w:sz w:val="20"/>
                <w:szCs w:val="20"/>
                <w:color w:val="auto"/>
              </w:rPr>
            </w:pPr>
            <w:r>
              <w:rPr>
                <w:rFonts w:ascii="Times New Roman" w:cs="Times New Roman" w:eastAsia="Times New Roman" w:hAnsi="Times New Roman"/>
                <w:sz w:val="17"/>
                <w:szCs w:val="17"/>
                <w:color w:val="auto"/>
              </w:rPr>
              <w:t>Impact of adjustments to weighted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20"/>
              <w:spacing w:after="0" w:line="230" w:lineRule="exact"/>
              <w:rPr>
                <w:sz w:val="20"/>
                <w:szCs w:val="20"/>
                <w:color w:val="auto"/>
              </w:rPr>
            </w:pPr>
            <w:r>
              <w:rPr>
                <w:rFonts w:ascii="Times New Roman" w:cs="Times New Roman" w:eastAsia="Times New Roman" w:hAnsi="Times New Roman"/>
                <w:sz w:val="17"/>
                <w:szCs w:val="17"/>
                <w:color w:val="auto"/>
              </w:rPr>
              <w:t xml:space="preserve">average diluted shares outstanding </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80" w:type="dxa"/>
            <w:vAlign w:val="bottom"/>
          </w:tcPr>
          <w:p>
            <w:pPr>
              <w:jc w:val="center"/>
              <w:ind w:left="275"/>
              <w:spacing w:after="0"/>
              <w:rPr>
                <w:sz w:val="20"/>
                <w:szCs w:val="20"/>
                <w:color w:val="auto"/>
              </w:rPr>
            </w:pPr>
            <w:r>
              <w:rPr>
                <w:rFonts w:ascii="Times New Roman" w:cs="Times New Roman" w:eastAsia="Times New Roman" w:hAnsi="Times New Roman"/>
                <w:sz w:val="17"/>
                <w:szCs w:val="17"/>
                <w:color w:val="auto"/>
              </w:rPr>
              <w:t>0.04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loss on sale of business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left="275"/>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18"/>
        </w:trPr>
        <w:tc>
          <w:tcPr>
            <w:tcW w:w="2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Goodwill and other asset impairments</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center"/>
              <w:ind w:left="275"/>
              <w:spacing w:after="0"/>
              <w:rPr>
                <w:sz w:val="20"/>
                <w:szCs w:val="20"/>
                <w:color w:val="auto"/>
              </w:rPr>
            </w:pPr>
            <w:r>
              <w:rPr>
                <w:rFonts w:ascii="Times New Roman" w:cs="Times New Roman" w:eastAsia="Times New Roman" w:hAnsi="Times New Roman"/>
                <w:sz w:val="17"/>
                <w:szCs w:val="17"/>
                <w:color w:val="auto"/>
              </w:rPr>
              <w:t>7.82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0" w:type="dxa"/>
            <w:vAlign w:val="bottom"/>
          </w:tcPr>
          <w:p>
            <w:pPr>
              <w:spacing w:after="0"/>
              <w:rPr>
                <w:sz w:val="1"/>
                <w:szCs w:val="1"/>
                <w:color w:val="auto"/>
              </w:rPr>
            </w:pPr>
          </w:p>
        </w:tc>
      </w:tr>
      <w:tr>
        <w:trPr>
          <w:trHeight w:val="218"/>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Exit costs - provision for credit losses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left="275"/>
              <w:spacing w:after="0"/>
              <w:rPr>
                <w:sz w:val="20"/>
                <w:szCs w:val="20"/>
                <w:color w:val="auto"/>
              </w:rPr>
            </w:pPr>
            <w:r>
              <w:rPr>
                <w:rFonts w:ascii="Times New Roman" w:cs="Times New Roman" w:eastAsia="Times New Roman" w:hAnsi="Times New Roman"/>
                <w:sz w:val="17"/>
                <w:szCs w:val="17"/>
                <w:color w:val="auto"/>
              </w:rPr>
              <w:t>0.01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2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Finnish bid error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center"/>
              <w:ind w:left="275"/>
              <w:spacing w:after="0"/>
              <w:rPr>
                <w:sz w:val="20"/>
                <w:szCs w:val="20"/>
                <w:color w:val="auto"/>
              </w:rPr>
            </w:pPr>
            <w:r>
              <w:rPr>
                <w:rFonts w:ascii="Times New Roman" w:cs="Times New Roman" w:eastAsia="Times New Roman" w:hAnsi="Times New Roman"/>
                <w:sz w:val="17"/>
                <w:szCs w:val="17"/>
                <w:color w:val="auto"/>
              </w:rPr>
              <w:t>0.01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0" w:type="dxa"/>
            <w:vAlign w:val="bottom"/>
          </w:tcPr>
          <w:p>
            <w:pPr>
              <w:spacing w:after="0"/>
              <w:rPr>
                <w:sz w:val="1"/>
                <w:szCs w:val="1"/>
                <w:color w:val="auto"/>
              </w:rPr>
            </w:pPr>
          </w:p>
        </w:tc>
      </w:tr>
      <w:tr>
        <w:trPr>
          <w:trHeight w:val="218"/>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Restructuring charges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left="275"/>
              <w:spacing w:after="0"/>
              <w:rPr>
                <w:sz w:val="20"/>
                <w:szCs w:val="20"/>
                <w:color w:val="auto"/>
              </w:rPr>
            </w:pPr>
            <w:r>
              <w:rPr>
                <w:rFonts w:ascii="Times New Roman" w:cs="Times New Roman" w:eastAsia="Times New Roman" w:hAnsi="Times New Roman"/>
                <w:sz w:val="17"/>
                <w:szCs w:val="17"/>
                <w:color w:val="auto"/>
              </w:rPr>
              <w:t>0.46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218"/>
        </w:trPr>
        <w:tc>
          <w:tcPr>
            <w:tcW w:w="2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Income tax impacts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left="235"/>
              <w:spacing w:after="0"/>
              <w:rPr>
                <w:sz w:val="20"/>
                <w:szCs w:val="20"/>
                <w:color w:val="auto"/>
              </w:rPr>
            </w:pPr>
            <w:r>
              <w:rPr>
                <w:rFonts w:ascii="Times New Roman" w:cs="Times New Roman" w:eastAsia="Times New Roman" w:hAnsi="Times New Roman"/>
                <w:sz w:val="17"/>
                <w:szCs w:val="17"/>
                <w:color w:val="auto"/>
              </w:rPr>
              <w:t>(2.24)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0" w:type="dxa"/>
            <w:vAlign w:val="bottom"/>
          </w:tcPr>
          <w:p>
            <w:pPr>
              <w:spacing w:after="0"/>
              <w:rPr>
                <w:sz w:val="1"/>
                <w:szCs w:val="1"/>
                <w:color w:val="auto"/>
              </w:rPr>
            </w:pPr>
          </w:p>
        </w:tc>
      </w:tr>
      <w:tr>
        <w:trPr>
          <w:trHeight w:val="235"/>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non-GAAP measure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bottom w:val="single" w:sz="8" w:color="auto"/>
            </w:tcBorders>
            <w:shd w:val="clear" w:color="auto" w:fill="CCEEFF"/>
          </w:tcPr>
          <w:p>
            <w:pPr>
              <w:jc w:val="center"/>
              <w:ind w:left="275"/>
              <w:spacing w:after="0"/>
              <w:rPr>
                <w:sz w:val="20"/>
                <w:szCs w:val="20"/>
                <w:color w:val="auto"/>
              </w:rPr>
            </w:pPr>
            <w:r>
              <w:rPr>
                <w:rFonts w:ascii="Times New Roman" w:cs="Times New Roman" w:eastAsia="Times New Roman" w:hAnsi="Times New Roman"/>
                <w:sz w:val="17"/>
                <w:szCs w:val="17"/>
                <w:b w:val="1"/>
                <w:bCs w:val="1"/>
                <w:color w:val="auto"/>
              </w:rPr>
              <w:t>1.60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93.6</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1.56</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300" w:hanging="298"/>
        <w:spacing w:after="0" w:line="224" w:lineRule="auto"/>
        <w:tabs>
          <w:tab w:leader="none" w:pos="288"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9"/>
          <w:szCs w:val="19"/>
          <w:color w:val="auto"/>
        </w:rPr>
        <w:t>For the nine months ended September 30, 2025, Adjusted diluted earnings per share was calculated considering the impact of dilutive shares that were not considered for GAAP purposes as this period was in a net loss position. For the nine months ended September 30, 2025, GAAP weighted-average shares outstanding were 56.2 million and, for non-GAAP purposes, were adjusted by 0.4 million dilutive shares resulting in non-GAAP weighted average shares outstanding of 56.6 million. There were no adjustments made to diluted weighted-average shares outstanding for any other period presented.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260" w:type="dxa"/>
            <w:vAlign w:val="bottom"/>
          </w:tcPr>
          <w:p>
            <w:pPr>
              <w:spacing w:after="0"/>
              <w:rPr>
                <w:sz w:val="16"/>
                <w:szCs w:val="16"/>
                <w:color w:val="auto"/>
              </w:rPr>
            </w:pPr>
          </w:p>
        </w:tc>
        <w:tc>
          <w:tcPr>
            <w:tcW w:w="2560" w:type="dxa"/>
            <w:vAlign w:val="bottom"/>
            <w:gridSpan w:val="4"/>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r>
      <w:tr>
        <w:trPr>
          <w:trHeight w:val="226"/>
        </w:trPr>
        <w:tc>
          <w:tcPr>
            <w:tcW w:w="5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r>
      <w:tr>
        <w:trPr>
          <w:trHeight w:val="228"/>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GAAP to non-GAAP financial measures: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1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including noncontrolling interest</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(332.2)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169.1</w:t>
            </w:r>
          </w:p>
        </w:tc>
      </w:tr>
      <w:tr>
        <w:trPr>
          <w:trHeight w:val="218"/>
        </w:trPr>
        <w:tc>
          <w:tcPr>
            <w:tcW w:w="5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 and other financing costs, net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w:t>
            </w:r>
          </w:p>
        </w:tc>
      </w:tr>
      <w:tr>
        <w:trPr>
          <w:trHeight w:val="218"/>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r>
      <w:tr>
        <w:trPr>
          <w:trHeight w:val="218"/>
        </w:trPr>
        <w:tc>
          <w:tcPr>
            <w:tcW w:w="5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75.3</w:t>
            </w:r>
          </w:p>
        </w:tc>
      </w:tr>
      <w:tr>
        <w:trPr>
          <w:trHeight w:val="21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352.4</w:t>
            </w:r>
          </w:p>
        </w:tc>
      </w:tr>
      <w:tr>
        <w:trPr>
          <w:trHeight w:val="218"/>
        </w:trPr>
        <w:tc>
          <w:tcPr>
            <w:tcW w:w="5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loss on sale of business</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w:t>
            </w:r>
          </w:p>
        </w:tc>
      </w:tr>
      <w:tr>
        <w:trPr>
          <w:trHeight w:val="218"/>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Goodwill and other asset impairments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8"/>
        </w:trPr>
        <w:tc>
          <w:tcPr>
            <w:tcW w:w="5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Exit costs - provision for credit losses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Finnish bid error</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8"/>
        </w:trPr>
        <w:tc>
          <w:tcPr>
            <w:tcW w:w="5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 charges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35"/>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94.0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266.9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29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5"/>
        </w:trPr>
        <w:tc>
          <w:tcPr>
            <w:tcW w:w="3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gridSpan w:val="14"/>
          </w:tcPr>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For the Three Months Ended September 30,</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23"/>
        </w:trPr>
        <w:tc>
          <w:tcPr>
            <w:tcW w:w="3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159"/>
        </w:trPr>
        <w:tc>
          <w:tcPr>
            <w:tcW w:w="3220" w:type="dxa"/>
            <w:vAlign w:val="bottom"/>
          </w:tcPr>
          <w:p>
            <w:pPr>
              <w:ind w:left="20"/>
              <w:spacing w:after="0" w:line="159" w:lineRule="exact"/>
              <w:rPr>
                <w:sz w:val="20"/>
                <w:szCs w:val="20"/>
                <w:color w:val="auto"/>
              </w:rPr>
            </w:pPr>
            <w:r>
              <w:rPr>
                <w:rFonts w:ascii="Times New Roman" w:cs="Times New Roman" w:eastAsia="Times New Roman" w:hAnsi="Times New Roman"/>
                <w:sz w:val="17"/>
                <w:szCs w:val="17"/>
                <w:b w:val="1"/>
                <w:bCs w:val="1"/>
                <w:color w:val="auto"/>
              </w:rPr>
              <w:t>Reconciliation of GAAP to non-GAAP</w:t>
            </w: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120"/>
              <w:spacing w:after="0" w:line="159" w:lineRule="exact"/>
              <w:rPr>
                <w:sz w:val="20"/>
                <w:szCs w:val="20"/>
                <w:color w:val="auto"/>
              </w:rPr>
            </w:pPr>
            <w:r>
              <w:rPr>
                <w:rFonts w:ascii="Times New Roman" w:cs="Times New Roman" w:eastAsia="Times New Roman" w:hAnsi="Times New Roman"/>
                <w:sz w:val="17"/>
                <w:szCs w:val="17"/>
                <w:color w:val="auto"/>
              </w:rPr>
              <w:t>Operating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4"/>
          </w:tcPr>
          <w:p>
            <w:pPr>
              <w:jc w:val="center"/>
              <w:spacing w:after="0" w:line="159" w:lineRule="exact"/>
              <w:rPr>
                <w:sz w:val="20"/>
                <w:szCs w:val="20"/>
                <w:color w:val="auto"/>
              </w:rPr>
            </w:pPr>
            <w:r>
              <w:rPr>
                <w:rFonts w:ascii="Times New Roman" w:cs="Times New Roman" w:eastAsia="Times New Roman" w:hAnsi="Times New Roman"/>
                <w:sz w:val="17"/>
                <w:szCs w:val="17"/>
                <w:color w:val="auto"/>
              </w:rPr>
              <w:t>Operating Income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7"/>
                <w:szCs w:val="17"/>
                <w:color w:val="auto"/>
                <w:w w:val="99"/>
              </w:rPr>
              <w:t>Operating</w:t>
            </w:r>
          </w:p>
        </w:tc>
        <w:tc>
          <w:tcPr>
            <w:tcW w:w="136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7"/>
                <w:szCs w:val="17"/>
                <w:color w:val="auto"/>
              </w:rPr>
              <w:t>Operating Income</w:t>
            </w: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measures:</w:t>
            </w: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Gross Profit</w:t>
            </w:r>
          </w:p>
        </w:tc>
        <w:tc>
          <w:tcPr>
            <w:tcW w:w="20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Expenses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rPr>
              <w:t>(Loss)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9"/>
              </w:rPr>
              <w:t>Expenses</w:t>
            </w:r>
          </w:p>
        </w:tc>
        <w:tc>
          <w:tcPr>
            <w:tcW w:w="460" w:type="dxa"/>
            <w:vAlign w:val="bottom"/>
          </w:tcPr>
          <w:p>
            <w:pPr>
              <w:spacing w:after="0"/>
              <w:rPr>
                <w:sz w:val="20"/>
                <w:szCs w:val="20"/>
                <w:color w:val="auto"/>
              </w:rPr>
            </w:pPr>
          </w:p>
        </w:tc>
        <w:tc>
          <w:tcPr>
            <w:tcW w:w="900" w:type="dxa"/>
            <w:vAlign w:val="bottom"/>
          </w:tcPr>
          <w:p>
            <w:pPr>
              <w:jc w:val="center"/>
              <w:ind w:right="375"/>
              <w:spacing w:after="0"/>
              <w:rPr>
                <w:sz w:val="20"/>
                <w:szCs w:val="20"/>
                <w:color w:val="auto"/>
              </w:rPr>
            </w:pPr>
            <w:r>
              <w:rPr>
                <w:rFonts w:ascii="Times New Roman" w:cs="Times New Roman" w:eastAsia="Times New Roman" w:hAnsi="Times New Roman"/>
                <w:sz w:val="17"/>
                <w:szCs w:val="17"/>
                <w:color w:val="auto"/>
              </w:rPr>
              <w:t>(Loss)</w:t>
            </w:r>
          </w:p>
        </w:tc>
      </w:tr>
      <w:tr>
        <w:trPr>
          <w:trHeight w:val="210"/>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GAAP measure</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249.6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186.8</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62.9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268.1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195.8</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72.3</w:t>
            </w:r>
          </w:p>
        </w:tc>
      </w:tr>
      <w:tr>
        <w:trPr>
          <w:trHeight w:val="218"/>
        </w:trPr>
        <w:tc>
          <w:tcPr>
            <w:tcW w:w="3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Goodwill and other asset impairments</w:t>
            </w:r>
          </w:p>
        </w:tc>
        <w:tc>
          <w:tcPr>
            <w:tcW w:w="4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2"/>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8"/>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Exit costs - provision for credit losses</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3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Finnish bid error</w:t>
            </w:r>
          </w:p>
        </w:tc>
        <w:tc>
          <w:tcPr>
            <w:tcW w:w="4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Restructuring charges</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non-GAAP measure</w:t>
            </w:r>
          </w:p>
        </w:tc>
        <w:tc>
          <w:tcPr>
            <w:tcW w:w="4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249.6</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181.0</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68.6</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268.1</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194.7</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73.5</w:t>
            </w:r>
          </w:p>
        </w:tc>
      </w:tr>
      <w:tr>
        <w:trPr>
          <w:trHeight w:val="20"/>
        </w:trPr>
        <w:tc>
          <w:tcPr>
            <w:tcW w:w="3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52"/>
        </w:trPr>
        <w:tc>
          <w:tcPr>
            <w:tcW w:w="32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13"/>
          </w:tcPr>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For the Nine Months Ended September 30,</w:t>
            </w: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3"/>
        </w:trPr>
        <w:tc>
          <w:tcPr>
            <w:tcW w:w="3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159"/>
        </w:trPr>
        <w:tc>
          <w:tcPr>
            <w:tcW w:w="3220" w:type="dxa"/>
            <w:vAlign w:val="bottom"/>
          </w:tcPr>
          <w:p>
            <w:pPr>
              <w:ind w:left="20"/>
              <w:spacing w:after="0" w:line="159" w:lineRule="exact"/>
              <w:rPr>
                <w:sz w:val="20"/>
                <w:szCs w:val="20"/>
                <w:color w:val="auto"/>
              </w:rPr>
            </w:pPr>
            <w:r>
              <w:rPr>
                <w:rFonts w:ascii="Times New Roman" w:cs="Times New Roman" w:eastAsia="Times New Roman" w:hAnsi="Times New Roman"/>
                <w:sz w:val="17"/>
                <w:szCs w:val="17"/>
                <w:b w:val="1"/>
                <w:bCs w:val="1"/>
                <w:color w:val="auto"/>
              </w:rPr>
              <w:t>Reconciliation of GAAP to non-GAAP</w:t>
            </w: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120"/>
              <w:spacing w:after="0" w:line="159" w:lineRule="exact"/>
              <w:rPr>
                <w:sz w:val="20"/>
                <w:szCs w:val="20"/>
                <w:color w:val="auto"/>
              </w:rPr>
            </w:pPr>
            <w:r>
              <w:rPr>
                <w:rFonts w:ascii="Times New Roman" w:cs="Times New Roman" w:eastAsia="Times New Roman" w:hAnsi="Times New Roman"/>
                <w:sz w:val="17"/>
                <w:szCs w:val="17"/>
                <w:color w:val="auto"/>
              </w:rPr>
              <w:t>Operating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4"/>
          </w:tcPr>
          <w:p>
            <w:pPr>
              <w:jc w:val="center"/>
              <w:spacing w:after="0" w:line="159" w:lineRule="exact"/>
              <w:rPr>
                <w:sz w:val="20"/>
                <w:szCs w:val="20"/>
                <w:color w:val="auto"/>
              </w:rPr>
            </w:pPr>
            <w:r>
              <w:rPr>
                <w:rFonts w:ascii="Times New Roman" w:cs="Times New Roman" w:eastAsia="Times New Roman" w:hAnsi="Times New Roman"/>
                <w:sz w:val="17"/>
                <w:szCs w:val="17"/>
                <w:color w:val="auto"/>
              </w:rPr>
              <w:t>Operating Income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7"/>
                <w:szCs w:val="17"/>
                <w:color w:val="auto"/>
                <w:w w:val="99"/>
              </w:rPr>
              <w:t>Operating</w:t>
            </w:r>
          </w:p>
        </w:tc>
        <w:tc>
          <w:tcPr>
            <w:tcW w:w="136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7"/>
                <w:szCs w:val="17"/>
                <w:color w:val="auto"/>
              </w:rPr>
              <w:t>Operating Income</w:t>
            </w: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measures:</w:t>
            </w: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Gross Profit</w:t>
            </w:r>
          </w:p>
        </w:tc>
        <w:tc>
          <w:tcPr>
            <w:tcW w:w="20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Expenses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rPr>
              <w:t>(Loss)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9"/>
              </w:rPr>
              <w:t>Expenses</w:t>
            </w:r>
          </w:p>
        </w:tc>
        <w:tc>
          <w:tcPr>
            <w:tcW w:w="460" w:type="dxa"/>
            <w:vAlign w:val="bottom"/>
          </w:tcPr>
          <w:p>
            <w:pPr>
              <w:spacing w:after="0"/>
              <w:rPr>
                <w:sz w:val="20"/>
                <w:szCs w:val="20"/>
                <w:color w:val="auto"/>
              </w:rPr>
            </w:pPr>
          </w:p>
        </w:tc>
        <w:tc>
          <w:tcPr>
            <w:tcW w:w="900" w:type="dxa"/>
            <w:vAlign w:val="bottom"/>
          </w:tcPr>
          <w:p>
            <w:pPr>
              <w:jc w:val="center"/>
              <w:ind w:right="375"/>
              <w:spacing w:after="0"/>
              <w:rPr>
                <w:sz w:val="20"/>
                <w:szCs w:val="20"/>
                <w:color w:val="auto"/>
              </w:rPr>
            </w:pPr>
            <w:r>
              <w:rPr>
                <w:rFonts w:ascii="Times New Roman" w:cs="Times New Roman" w:eastAsia="Times New Roman" w:hAnsi="Times New Roman"/>
                <w:sz w:val="17"/>
                <w:szCs w:val="17"/>
                <w:color w:val="auto"/>
              </w:rPr>
              <w:t>(Loss)</w:t>
            </w:r>
          </w:p>
        </w:tc>
      </w:tr>
      <w:tr>
        <w:trPr>
          <w:trHeight w:val="210"/>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GAAP measure</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712.4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1,001.2</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(288.8)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767.5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586.7</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180.7</w:t>
            </w:r>
          </w:p>
        </w:tc>
      </w:tr>
      <w:tr>
        <w:trPr>
          <w:trHeight w:val="218"/>
        </w:trPr>
        <w:tc>
          <w:tcPr>
            <w:tcW w:w="3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Goodwill and other asset impairments</w:t>
            </w:r>
          </w:p>
        </w:tc>
        <w:tc>
          <w:tcPr>
            <w:tcW w:w="4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443.1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8"/>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Exit costs - provision for credit losses</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3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Finnish bid error</w:t>
            </w:r>
          </w:p>
        </w:tc>
        <w:tc>
          <w:tcPr>
            <w:tcW w:w="4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8"/>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Restructuring charges</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non-GAAP measure</w:t>
            </w:r>
          </w:p>
        </w:tc>
        <w:tc>
          <w:tcPr>
            <w:tcW w:w="4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712.4</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531.3</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181.1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767.5</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576.0</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191.4</w:t>
            </w:r>
          </w:p>
        </w:tc>
      </w:tr>
      <w:tr>
        <w:trPr>
          <w:trHeight w:val="20"/>
        </w:trPr>
        <w:tc>
          <w:tcPr>
            <w:tcW w:w="3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381"/>
        </w:trPr>
        <w:tc>
          <w:tcPr>
            <w:tcW w:w="3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9"/>
          </w:tcPr>
          <w:p>
            <w:pPr>
              <w:ind w:left="10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220" w:type="dxa"/>
            <w:vAlign w:val="bottom"/>
          </w:tcPr>
          <w:p>
            <w:pPr>
              <w:spacing w:after="0"/>
              <w:rPr>
                <w:sz w:val="24"/>
                <w:szCs w:val="24"/>
                <w:color w:val="auto"/>
              </w:rPr>
            </w:pPr>
          </w:p>
        </w:tc>
        <w:tc>
          <w:tcPr>
            <w:tcW w:w="2620" w:type="dxa"/>
            <w:vAlign w:val="bottom"/>
            <w:gridSpan w:val="4"/>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r>
      <w:tr>
        <w:trPr>
          <w:trHeight w:val="225"/>
        </w:trPr>
        <w:tc>
          <w:tcPr>
            <w:tcW w:w="3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23"/>
        </w:trPr>
        <w:tc>
          <w:tcPr>
            <w:tcW w:w="43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GAAP to non-GAAP financial measure:</w:t>
            </w: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55"/>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1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(used in) operating activities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116.1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258.7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139.6</w:t>
            </w:r>
          </w:p>
        </w:tc>
      </w:tr>
      <w:tr>
        <w:trPr>
          <w:trHeight w:val="218"/>
        </w:trPr>
        <w:tc>
          <w:tcPr>
            <w:tcW w:w="3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Capital expenditures</w:t>
            </w:r>
          </w:p>
        </w:tc>
        <w:tc>
          <w:tcPr>
            <w:tcW w:w="4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w:t>
            </w:r>
          </w:p>
        </w:tc>
      </w:tr>
      <w:tr>
        <w:trPr>
          <w:trHeight w:val="235"/>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Free cash flow</w:t>
            </w:r>
          </w:p>
        </w:tc>
        <w:tc>
          <w:tcPr>
            <w:tcW w:w="4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102.0</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214.5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89.3</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sectPr>
      <w:pgSz w:w="11900" w:h="16838" w:orient="portrait"/>
      <w:cols w:equalWidth="0" w:num="1">
        <w:col w:w="11240"/>
      </w:cols>
      <w:pgMar w:left="320" w:top="13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2025-10-23T15:38:24Z</dcterms:created>
  <dcterms:modified xsi:type="dcterms:W3CDTF">2025-10-23T15:38:24Z</dcterms:modified>
</cp:coreProperties>
</file>