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-592455</wp:posOffset>
            </wp:positionV>
            <wp:extent cx="8255" cy="593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309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-600075</wp:posOffset>
            </wp:positionV>
            <wp:extent cx="8255"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071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-576580</wp:posOffset>
            </wp:positionV>
            <wp:extent cx="1266190" cy="553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5308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25400</wp:posOffset>
            </wp:positionV>
            <wp:extent cx="6971030" cy="1706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706880"/>
                    </a:xfrm>
                    <a:prstGeom prst="rect">
                      <a:avLst/>
                    </a:prstGeom>
                    <a:noFill/>
                  </pic:spPr>
                </pic:pic>
              </a:graphicData>
            </a:graphic>
          </wp:anchor>
        </w:drawing>
      </w:r>
    </w:p>
    <w:p>
      <w:pPr>
        <w:spacing w:after="0" w:line="84"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RAU JOHN PETER</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right="260"/>
        <w:spacing w:after="0" w:line="360" w:lineRule="auto"/>
        <w:rPr>
          <w:sz w:val="20"/>
          <w:szCs w:val="20"/>
          <w:color w:val="auto"/>
        </w:rPr>
      </w:pPr>
      <w:r>
        <w:rPr>
          <w:rFonts w:ascii="Arial" w:cs="Arial" w:eastAsia="Arial" w:hAnsi="Arial"/>
          <w:sz w:val="16"/>
          <w:szCs w:val="16"/>
          <w:color w:val="0000FF"/>
        </w:rPr>
        <w:t>C/O WORLD FUEL SERVICES CORPORATION 9800 N.W. 41ST STREET</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Arial" w:cs="Arial" w:eastAsia="Arial" w:hAnsi="Arial"/>
                <w:sz w:val="16"/>
                <w:szCs w:val="16"/>
                <w:color w:val="0000FF"/>
              </w:rPr>
              <w:t>MIAMI</w:t>
            </w:r>
          </w:p>
        </w:tc>
        <w:tc>
          <w:tcPr>
            <w:tcW w:w="1160" w:type="dxa"/>
            <w:vAlign w:val="bottom"/>
          </w:tcPr>
          <w:p>
            <w:pPr>
              <w:ind w:left="360"/>
              <w:spacing w:after="0"/>
              <w:rPr>
                <w:sz w:val="20"/>
                <w:szCs w:val="20"/>
                <w:color w:val="auto"/>
              </w:rPr>
            </w:pPr>
            <w:r>
              <w:rPr>
                <w:rFonts w:ascii="Arial" w:cs="Arial" w:eastAsia="Arial" w:hAnsi="Arial"/>
                <w:sz w:val="16"/>
                <w:szCs w:val="16"/>
                <w:color w:val="0000FF"/>
              </w:rPr>
              <w:t>FL</w:t>
            </w:r>
          </w:p>
        </w:tc>
        <w:tc>
          <w:tcPr>
            <w:tcW w:w="1600" w:type="dxa"/>
            <w:vAlign w:val="bottom"/>
          </w:tcPr>
          <w:p>
            <w:pPr>
              <w:ind w:left="420"/>
              <w:spacing w:after="0"/>
              <w:rPr>
                <w:sz w:val="20"/>
                <w:szCs w:val="20"/>
                <w:color w:val="auto"/>
              </w:rPr>
            </w:pPr>
            <w:r>
              <w:rPr>
                <w:rFonts w:ascii="Arial" w:cs="Arial" w:eastAsia="Arial" w:hAnsi="Arial"/>
                <w:sz w:val="16"/>
                <w:szCs w:val="16"/>
                <w:color w:val="0000FF"/>
              </w:rPr>
              <w:t>33178</w:t>
            </w:r>
          </w:p>
        </w:tc>
      </w:tr>
      <w:tr>
        <w:trPr>
          <w:trHeight w:val="147"/>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2"/>
          </w:tcPr>
          <w:p>
            <w:pPr>
              <w:ind w:left="60"/>
              <w:spacing w:after="0" w:line="135"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WORLD FUEL SERVICES CORP</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INT</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180" w:type="dxa"/>
            <w:vAlign w:val="bottom"/>
            <w:tcBorders>
              <w:bottom w:val="single" w:sz="8" w:color="2C2C2C"/>
            </w:tcBorders>
          </w:tcPr>
          <w:p>
            <w:pPr>
              <w:spacing w:after="0"/>
              <w:rPr>
                <w:sz w:val="15"/>
                <w:szCs w:val="15"/>
                <w:color w:val="auto"/>
              </w:rPr>
            </w:pPr>
          </w:p>
        </w:tc>
        <w:tc>
          <w:tcPr>
            <w:tcW w:w="3640" w:type="dxa"/>
            <w:vAlign w:val="bottom"/>
            <w:tcBorders>
              <w:bottom w:val="single" w:sz="8" w:color="2C2C2C"/>
            </w:tcBorders>
          </w:tcPr>
          <w:p>
            <w:pPr>
              <w:spacing w:after="0"/>
              <w:rPr>
                <w:sz w:val="15"/>
                <w:szCs w:val="15"/>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line="126"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120"/>
              <w:spacing w:after="0"/>
              <w:rPr>
                <w:sz w:val="20"/>
                <w:szCs w:val="20"/>
                <w:color w:val="auto"/>
              </w:rPr>
            </w:pPr>
            <w:r>
              <w:rPr>
                <w:rFonts w:ascii="Arial" w:cs="Arial" w:eastAsia="Arial" w:hAnsi="Arial"/>
                <w:sz w:val="16"/>
                <w:szCs w:val="16"/>
                <w:color w:val="0000FF"/>
              </w:rPr>
              <w:t>EVP, Global Aviation &amp; Marine</w:t>
            </w:r>
          </w:p>
        </w:tc>
        <w:tc>
          <w:tcPr>
            <w:tcW w:w="0" w:type="dxa"/>
            <w:vAlign w:val="bottom"/>
          </w:tcPr>
          <w:p>
            <w:pPr>
              <w:spacing w:after="0"/>
              <w:rPr>
                <w:sz w:val="1"/>
                <w:szCs w:val="1"/>
                <w:color w:val="auto"/>
              </w:rPr>
            </w:pPr>
          </w:p>
        </w:tc>
      </w:tr>
      <w:tr>
        <w:trPr>
          <w:trHeight w:val="208"/>
        </w:trPr>
        <w:tc>
          <w:tcPr>
            <w:tcW w:w="3820" w:type="dxa"/>
            <w:vAlign w:val="bottom"/>
            <w:gridSpan w:val="2"/>
          </w:tcPr>
          <w:p>
            <w:pPr>
              <w:ind w:left="60"/>
              <w:spacing w:after="0"/>
              <w:rPr>
                <w:sz w:val="20"/>
                <w:szCs w:val="20"/>
                <w:color w:val="auto"/>
              </w:rPr>
            </w:pPr>
            <w:r>
              <w:rPr>
                <w:rFonts w:ascii="Arial" w:cs="Arial" w:eastAsia="Arial" w:hAnsi="Arial"/>
                <w:sz w:val="16"/>
                <w:szCs w:val="16"/>
                <w:color w:val="0000FF"/>
              </w:rPr>
              <w:t>03/15/2021</w:t>
            </w: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3"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201930</wp:posOffset>
            </wp:positionV>
            <wp:extent cx="6971030" cy="1691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030" cy="1691005"/>
                    </a:xfrm>
                    <a:prstGeom prst="rect">
                      <a:avLst/>
                    </a:prstGeom>
                    <a:noFill/>
                  </pic:spPr>
                </pic:pic>
              </a:graphicData>
            </a:graphic>
          </wp:anchor>
        </w:drawing>
      </w:r>
    </w:p>
    <w:p>
      <w:pPr>
        <w:spacing w:after="0" w:line="376" w:lineRule="exact"/>
        <w:rPr>
          <w:sz w:val="24"/>
          <w:szCs w:val="24"/>
          <w:color w:val="auto"/>
        </w:rPr>
      </w:pPr>
    </w:p>
    <w:p>
      <w:pPr>
        <w:sectPr>
          <w:pgSz w:w="11900" w:h="16838" w:orient="portrait"/>
          <w:cols w:equalWidth="0" w:num="2">
            <w:col w:w="3740" w:space="10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00"/>
              <w:spacing w:after="0" w:line="123"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20" w:type="dxa"/>
            <w:vAlign w:val="bottom"/>
            <w:gridSpan w:val="2"/>
          </w:tcPr>
          <w:p>
            <w:pPr>
              <w:jc w:val="center"/>
              <w:ind w:left="532"/>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6"/>
                <w:szCs w:val="16"/>
                <w:color w:val="0000FF"/>
                <w:w w:val="92"/>
              </w:rPr>
              <w:t>03/15/2021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6"/>
                <w:szCs w:val="16"/>
                <w:color w:val="0000FF"/>
                <w:w w:val="87"/>
              </w:rPr>
              <w:t>2,675</w:t>
            </w:r>
            <w:r>
              <w:rPr>
                <w:rFonts w:ascii="Arial" w:cs="Arial" w:eastAsia="Arial" w:hAnsi="Arial"/>
                <w:sz w:val="21"/>
                <w:szCs w:val="21"/>
                <w:color w:val="008000"/>
                <w:w w:val="87"/>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35.74</w:t>
            </w:r>
            <w:r>
              <w:rPr>
                <w:rFonts w:ascii="Arial" w:cs="Arial" w:eastAsia="Arial" w:hAnsi="Arial"/>
                <w:sz w:val="21"/>
                <w:szCs w:val="21"/>
                <w:color w:val="008000"/>
                <w:w w:val="87"/>
                <w:vertAlign w:val="superscript"/>
              </w:rPr>
              <w:t>(2)</w:t>
            </w:r>
          </w:p>
        </w:tc>
        <w:tc>
          <w:tcPr>
            <w:tcW w:w="1240" w:type="dxa"/>
            <w:vAlign w:val="bottom"/>
            <w:tcBorders>
              <w:bottom w:val="single" w:sz="8" w:color="2C2C2C"/>
            </w:tcBorders>
            <w:gridSpan w:val="3"/>
          </w:tcPr>
          <w:p>
            <w:pPr>
              <w:jc w:val="right"/>
              <w:ind w:right="343"/>
              <w:spacing w:after="0"/>
              <w:rPr>
                <w:sz w:val="20"/>
                <w:szCs w:val="20"/>
                <w:color w:val="auto"/>
              </w:rPr>
            </w:pPr>
            <w:r>
              <w:rPr>
                <w:rFonts w:ascii="Arial" w:cs="Arial" w:eastAsia="Arial" w:hAnsi="Arial"/>
                <w:sz w:val="16"/>
                <w:szCs w:val="16"/>
                <w:color w:val="0000FF"/>
              </w:rPr>
              <w:t>85,143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6"/>
                <w:szCs w:val="16"/>
                <w:color w:val="0000FF"/>
                <w:w w:val="92"/>
              </w:rPr>
              <w:t>03/15/2021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6"/>
                <w:szCs w:val="16"/>
                <w:color w:val="0000FF"/>
                <w:w w:val="86"/>
              </w:rPr>
              <w:t>736</w:t>
            </w:r>
            <w:r>
              <w:rPr>
                <w:rFonts w:ascii="Arial" w:cs="Arial" w:eastAsia="Arial" w:hAnsi="Arial"/>
                <w:sz w:val="21"/>
                <w:szCs w:val="21"/>
                <w:color w:val="008000"/>
                <w:w w:val="86"/>
                <w:vertAlign w:val="superscript"/>
              </w:rPr>
              <w:t>(3)</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35.74</w:t>
            </w:r>
            <w:r>
              <w:rPr>
                <w:rFonts w:ascii="Arial" w:cs="Arial" w:eastAsia="Arial" w:hAnsi="Arial"/>
                <w:sz w:val="21"/>
                <w:szCs w:val="21"/>
                <w:color w:val="008000"/>
                <w:w w:val="87"/>
                <w:vertAlign w:val="superscript"/>
              </w:rPr>
              <w:t>(2)</w:t>
            </w:r>
          </w:p>
        </w:tc>
        <w:tc>
          <w:tcPr>
            <w:tcW w:w="1240" w:type="dxa"/>
            <w:vAlign w:val="bottom"/>
            <w:tcBorders>
              <w:bottom w:val="single" w:sz="8" w:color="2C2C2C"/>
            </w:tcBorders>
            <w:gridSpan w:val="3"/>
          </w:tcPr>
          <w:p>
            <w:pPr>
              <w:jc w:val="right"/>
              <w:ind w:right="343"/>
              <w:spacing w:after="0"/>
              <w:rPr>
                <w:sz w:val="20"/>
                <w:szCs w:val="20"/>
                <w:color w:val="auto"/>
              </w:rPr>
            </w:pPr>
            <w:r>
              <w:rPr>
                <w:rFonts w:ascii="Arial" w:cs="Arial" w:eastAsia="Arial" w:hAnsi="Arial"/>
                <w:sz w:val="16"/>
                <w:szCs w:val="16"/>
                <w:color w:val="0000FF"/>
              </w:rPr>
              <w:t>84,407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6"/>
                <w:szCs w:val="16"/>
                <w:color w:val="0000FF"/>
                <w:w w:val="92"/>
              </w:rPr>
              <w:t>03/15/2021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6"/>
                <w:szCs w:val="16"/>
                <w:color w:val="0000FF"/>
                <w:w w:val="87"/>
              </w:rPr>
              <w:t>2,086</w:t>
            </w:r>
            <w:r>
              <w:rPr>
                <w:rFonts w:ascii="Arial" w:cs="Arial" w:eastAsia="Arial" w:hAnsi="Arial"/>
                <w:sz w:val="21"/>
                <w:szCs w:val="21"/>
                <w:color w:val="008000"/>
                <w:w w:val="87"/>
                <w:vertAlign w:val="superscript"/>
              </w:rPr>
              <w:t>(4)</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D</w:t>
            </w:r>
          </w:p>
        </w:tc>
        <w:tc>
          <w:tcPr>
            <w:tcW w:w="74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35.74</w:t>
            </w:r>
            <w:r>
              <w:rPr>
                <w:rFonts w:ascii="Arial" w:cs="Arial" w:eastAsia="Arial" w:hAnsi="Arial"/>
                <w:sz w:val="21"/>
                <w:szCs w:val="21"/>
                <w:color w:val="008000"/>
                <w:w w:val="87"/>
                <w:vertAlign w:val="superscript"/>
              </w:rPr>
              <w:t>(2)</w:t>
            </w:r>
          </w:p>
        </w:tc>
        <w:tc>
          <w:tcPr>
            <w:tcW w:w="1240" w:type="dxa"/>
            <w:vAlign w:val="bottom"/>
            <w:tcBorders>
              <w:bottom w:val="single" w:sz="8" w:color="2C2C2C"/>
            </w:tcBorders>
            <w:gridSpan w:val="3"/>
          </w:tcPr>
          <w:p>
            <w:pPr>
              <w:jc w:val="right"/>
              <w:ind w:right="343"/>
              <w:spacing w:after="0"/>
              <w:rPr>
                <w:sz w:val="20"/>
                <w:szCs w:val="20"/>
                <w:color w:val="auto"/>
              </w:rPr>
            </w:pPr>
            <w:r>
              <w:rPr>
                <w:rFonts w:ascii="Arial" w:cs="Arial" w:eastAsia="Arial" w:hAnsi="Arial"/>
                <w:sz w:val="16"/>
                <w:szCs w:val="16"/>
                <w:color w:val="0000FF"/>
              </w:rPr>
              <w:t>82,321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6"/>
                <w:szCs w:val="16"/>
                <w:color w:val="0000FF"/>
                <w:w w:val="92"/>
              </w:rPr>
              <w:t>03/15/2021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left="112"/>
              <w:spacing w:after="0"/>
              <w:rPr>
                <w:sz w:val="20"/>
                <w:szCs w:val="20"/>
                <w:color w:val="auto"/>
              </w:rPr>
            </w:pPr>
            <w:r>
              <w:rPr>
                <w:rFonts w:ascii="Arial" w:cs="Arial" w:eastAsia="Arial" w:hAnsi="Arial"/>
                <w:sz w:val="16"/>
                <w:szCs w:val="16"/>
                <w:color w:val="0000FF"/>
                <w:w w:val="87"/>
              </w:rPr>
              <w:t>3,918</w:t>
            </w:r>
            <w:r>
              <w:rPr>
                <w:rFonts w:ascii="Arial" w:cs="Arial" w:eastAsia="Arial" w:hAnsi="Arial"/>
                <w:sz w:val="21"/>
                <w:szCs w:val="21"/>
                <w:color w:val="008000"/>
                <w:w w:val="87"/>
                <w:vertAlign w:val="superscript"/>
              </w:rPr>
              <w:t>(5)</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700" w:type="dxa"/>
            <w:vAlign w:val="bottom"/>
            <w:tcBorders>
              <w:bottom w:val="single" w:sz="8" w:color="2C2C2C"/>
            </w:tcBorders>
          </w:tcPr>
          <w:p>
            <w:pPr>
              <w:jc w:val="center"/>
              <w:ind w:left="89"/>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343"/>
              <w:spacing w:after="0"/>
              <w:rPr>
                <w:sz w:val="20"/>
                <w:szCs w:val="20"/>
                <w:color w:val="auto"/>
              </w:rPr>
            </w:pPr>
            <w:r>
              <w:rPr>
                <w:rFonts w:ascii="Arial" w:cs="Arial" w:eastAsia="Arial" w:hAnsi="Arial"/>
                <w:sz w:val="16"/>
                <w:szCs w:val="16"/>
                <w:color w:val="0000FF"/>
              </w:rPr>
              <w:t>86,239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jc w:val="center"/>
              <w:ind w:right="20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00" w:type="dxa"/>
            <w:vAlign w:val="bottom"/>
            <w:gridSpan w:val="11"/>
          </w:tcPr>
          <w:p>
            <w:pPr>
              <w:jc w:val="center"/>
              <w:ind w:left="35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0"/>
                <w:szCs w:val="10"/>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3"/>
          </w:tcPr>
          <w:p>
            <w:pPr>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tcPr>
          <w:p>
            <w:pPr>
              <w:ind w:left="60"/>
              <w:spacing w:after="0" w:line="139" w:lineRule="exact"/>
              <w:rPr>
                <w:sz w:val="20"/>
                <w:szCs w:val="20"/>
                <w:color w:val="auto"/>
              </w:rPr>
            </w:pPr>
            <w:r>
              <w:rPr>
                <w:rFonts w:ascii="Arial" w:cs="Arial" w:eastAsia="Arial" w:hAnsi="Arial"/>
                <w:sz w:val="13"/>
                <w:szCs w:val="13"/>
                <w:color w:val="0000FF"/>
              </w:rPr>
              <w:t>Settled</w:t>
            </w:r>
          </w:p>
        </w:tc>
        <w:tc>
          <w:tcPr>
            <w:tcW w:w="760" w:type="dxa"/>
            <w:vAlign w:val="bottom"/>
            <w:vMerge w:val="restart"/>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27.52</w:t>
            </w:r>
            <w:r>
              <w:rPr>
                <w:rFonts w:ascii="Arial" w:cs="Arial" w:eastAsia="Arial" w:hAnsi="Arial"/>
                <w:sz w:val="21"/>
                <w:szCs w:val="21"/>
                <w:color w:val="008000"/>
                <w:vertAlign w:val="superscript"/>
              </w:rPr>
              <w:t>(6)</w:t>
            </w: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vMerge w:val="restart"/>
          </w:tcPr>
          <w:p>
            <w:pPr>
              <w:ind w:left="20"/>
              <w:spacing w:after="0"/>
              <w:rPr>
                <w:sz w:val="20"/>
                <w:szCs w:val="20"/>
                <w:color w:val="auto"/>
              </w:rPr>
            </w:pPr>
            <w:r>
              <w:rPr>
                <w:rFonts w:ascii="Arial" w:cs="Arial" w:eastAsia="Arial" w:hAnsi="Arial"/>
                <w:sz w:val="13"/>
                <w:szCs w:val="13"/>
                <w:color w:val="0000FF"/>
                <w:w w:val="98"/>
              </w:rPr>
              <w:t>Common</w:t>
            </w:r>
          </w:p>
        </w:tc>
        <w:tc>
          <w:tcPr>
            <w:tcW w:w="700" w:type="dxa"/>
            <w:vAlign w:val="bottom"/>
            <w:vMerge w:val="restart"/>
          </w:tcPr>
          <w:p>
            <w:pPr>
              <w:ind w:left="60"/>
              <w:spacing w:after="0"/>
              <w:rPr>
                <w:sz w:val="20"/>
                <w:szCs w:val="20"/>
                <w:color w:val="auto"/>
              </w:rPr>
            </w:pPr>
            <w:r>
              <w:rPr>
                <w:rFonts w:ascii="Arial" w:cs="Arial" w:eastAsia="Arial" w:hAnsi="Arial"/>
                <w:sz w:val="16"/>
                <w:szCs w:val="16"/>
                <w:color w:val="0000FF"/>
                <w:w w:val="93"/>
              </w:rPr>
              <w:t>27,986</w:t>
            </w:r>
            <w:r>
              <w:rPr>
                <w:rFonts w:ascii="Arial" w:cs="Arial" w:eastAsia="Arial" w:hAnsi="Arial"/>
                <w:sz w:val="21"/>
                <w:szCs w:val="21"/>
                <w:color w:val="008000"/>
                <w:w w:val="93"/>
                <w:vertAlign w:val="superscript"/>
              </w:rPr>
              <w:t>(7)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20" w:type="dxa"/>
            <w:vAlign w:val="bottom"/>
          </w:tcPr>
          <w:p>
            <w:pPr>
              <w:jc w:val="right"/>
              <w:ind w:right="142"/>
              <w:spacing w:after="0" w:line="123" w:lineRule="exact"/>
              <w:rPr>
                <w:sz w:val="20"/>
                <w:szCs w:val="20"/>
                <w:color w:val="auto"/>
              </w:rPr>
            </w:pPr>
            <w:r>
              <w:rPr>
                <w:rFonts w:ascii="Arial" w:cs="Arial" w:eastAsia="Arial" w:hAnsi="Arial"/>
                <w:sz w:val="13"/>
                <w:szCs w:val="13"/>
                <w:color w:val="0000FF"/>
              </w:rPr>
              <w:t>03/15/2021</w:t>
            </w:r>
          </w:p>
        </w:tc>
        <w:tc>
          <w:tcPr>
            <w:tcW w:w="1100" w:type="dxa"/>
            <w:vAlign w:val="bottom"/>
          </w:tcPr>
          <w:p>
            <w:pPr>
              <w:spacing w:after="0"/>
              <w:rPr>
                <w:sz w:val="10"/>
                <w:szCs w:val="10"/>
                <w:color w:val="auto"/>
              </w:rPr>
            </w:pPr>
          </w:p>
        </w:tc>
        <w:tc>
          <w:tcPr>
            <w:tcW w:w="620" w:type="dxa"/>
            <w:vAlign w:val="bottom"/>
          </w:tcPr>
          <w:p>
            <w:pPr>
              <w:ind w:left="160"/>
              <w:spacing w:after="0" w:line="123" w:lineRule="exact"/>
              <w:rPr>
                <w:sz w:val="20"/>
                <w:szCs w:val="20"/>
                <w:color w:val="auto"/>
              </w:rPr>
            </w:pPr>
            <w:r>
              <w:rPr>
                <w:rFonts w:ascii="Arial" w:cs="Arial" w:eastAsia="Arial" w:hAnsi="Arial"/>
                <w:sz w:val="13"/>
                <w:szCs w:val="13"/>
                <w:color w:val="0000FF"/>
              </w:rPr>
              <w:t>A</w:t>
            </w:r>
          </w:p>
        </w:tc>
        <w:tc>
          <w:tcPr>
            <w:tcW w:w="160" w:type="dxa"/>
            <w:vAlign w:val="bottom"/>
          </w:tcPr>
          <w:p>
            <w:pPr>
              <w:spacing w:after="0"/>
              <w:rPr>
                <w:sz w:val="10"/>
                <w:szCs w:val="10"/>
                <w:color w:val="auto"/>
              </w:rPr>
            </w:pPr>
          </w:p>
        </w:tc>
        <w:tc>
          <w:tcPr>
            <w:tcW w:w="540" w:type="dxa"/>
            <w:vAlign w:val="bottom"/>
          </w:tcPr>
          <w:p>
            <w:pPr>
              <w:ind w:left="80"/>
              <w:spacing w:after="0" w:line="123" w:lineRule="exact"/>
              <w:rPr>
                <w:sz w:val="20"/>
                <w:szCs w:val="20"/>
                <w:color w:val="auto"/>
              </w:rPr>
            </w:pPr>
            <w:r>
              <w:rPr>
                <w:rFonts w:ascii="Arial" w:cs="Arial" w:eastAsia="Arial" w:hAnsi="Arial"/>
                <w:sz w:val="13"/>
                <w:szCs w:val="13"/>
                <w:color w:val="0000FF"/>
              </w:rPr>
              <w:t>27,986</w:t>
            </w:r>
          </w:p>
        </w:tc>
        <w:tc>
          <w:tcPr>
            <w:tcW w:w="300" w:type="dxa"/>
            <w:vAlign w:val="bottom"/>
          </w:tcPr>
          <w:p>
            <w:pPr>
              <w:spacing w:after="0"/>
              <w:rPr>
                <w:sz w:val="10"/>
                <w:szCs w:val="10"/>
                <w:color w:val="auto"/>
              </w:rPr>
            </w:pPr>
          </w:p>
        </w:tc>
        <w:tc>
          <w:tcPr>
            <w:tcW w:w="760" w:type="dxa"/>
            <w:vAlign w:val="bottom"/>
            <w:gridSpan w:val="2"/>
          </w:tcPr>
          <w:p>
            <w:pPr>
              <w:ind w:left="40"/>
              <w:spacing w:after="0" w:line="123" w:lineRule="exact"/>
              <w:rPr>
                <w:sz w:val="20"/>
                <w:szCs w:val="20"/>
                <w:color w:val="auto"/>
              </w:rPr>
            </w:pPr>
            <w:r>
              <w:rPr>
                <w:rFonts w:ascii="Arial" w:cs="Arial" w:eastAsia="Arial" w:hAnsi="Arial"/>
                <w:sz w:val="13"/>
                <w:szCs w:val="13"/>
                <w:color w:val="0000FF"/>
              </w:rPr>
              <w:t>03/15/2021</w:t>
            </w:r>
          </w:p>
        </w:tc>
        <w:tc>
          <w:tcPr>
            <w:tcW w:w="720" w:type="dxa"/>
            <w:vAlign w:val="bottom"/>
          </w:tcPr>
          <w:p>
            <w:pPr>
              <w:ind w:left="20"/>
              <w:spacing w:after="0" w:line="123" w:lineRule="exact"/>
              <w:rPr>
                <w:sz w:val="20"/>
                <w:szCs w:val="20"/>
                <w:color w:val="auto"/>
              </w:rPr>
            </w:pPr>
            <w:r>
              <w:rPr>
                <w:rFonts w:ascii="Arial" w:cs="Arial" w:eastAsia="Arial" w:hAnsi="Arial"/>
                <w:sz w:val="13"/>
                <w:szCs w:val="13"/>
                <w:color w:val="0000FF"/>
              </w:rPr>
              <w:t>03/15/2023</w:t>
            </w:r>
          </w:p>
        </w:tc>
        <w:tc>
          <w:tcPr>
            <w:tcW w:w="5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40"/>
              <w:spacing w:after="0" w:line="123" w:lineRule="exact"/>
              <w:rPr>
                <w:sz w:val="20"/>
                <w:szCs w:val="20"/>
                <w:color w:val="auto"/>
              </w:rPr>
            </w:pPr>
            <w:r>
              <w:rPr>
                <w:rFonts w:ascii="Arial" w:cs="Arial" w:eastAsia="Arial" w:hAnsi="Arial"/>
                <w:sz w:val="13"/>
                <w:szCs w:val="13"/>
                <w:color w:val="0000FF"/>
              </w:rPr>
              <w:t>27,986</w:t>
            </w: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w w:val="96"/>
              </w:rPr>
              <w:t>Appreciation</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ind w:left="100"/>
              <w:spacing w:after="0" w:line="139"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-1842770</wp:posOffset>
            </wp:positionV>
            <wp:extent cx="7035165" cy="1979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19792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Right</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32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aggregate of 6,797 restricted stock units held by the reporting person vested and settled on March 15, 2021. The issuer withheld the reported shares to cover the reporting person's tax liability associated with these restricted stock units.</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of the issuer's common stock on the NYSE on March 15, 2021.</w:t>
      </w:r>
    </w:p>
    <w:p>
      <w:pPr>
        <w:spacing w:after="0" w:line="39" w:lineRule="exact"/>
        <w:rPr>
          <w:rFonts w:ascii="Arial" w:cs="Arial" w:eastAsia="Arial" w:hAnsi="Arial"/>
          <w:sz w:val="13"/>
          <w:szCs w:val="13"/>
          <w:color w:val="008000"/>
        </w:rPr>
      </w:pPr>
    </w:p>
    <w:p>
      <w:pPr>
        <w:ind w:left="40" w:right="32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aggregate of 1,870 restricted stock units held by the reporting person vested and settled on March 15, 2021. The issuer withheld the reported shares to cover the reporting person's tax liability associated with these restricted stock units.</w:t>
      </w:r>
    </w:p>
    <w:p>
      <w:pPr>
        <w:spacing w:after="0" w:line="29" w:lineRule="exact"/>
        <w:rPr>
          <w:rFonts w:ascii="Arial" w:cs="Arial" w:eastAsia="Arial" w:hAnsi="Arial"/>
          <w:sz w:val="13"/>
          <w:szCs w:val="13"/>
          <w:color w:val="008000"/>
        </w:rPr>
      </w:pPr>
    </w:p>
    <w:p>
      <w:pPr>
        <w:ind w:left="40" w:right="32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aggregate of 5,301 restricted stock units held by the reporting person vested and settled on March 15, 2021. The issuer withheld the reported shares to cover the reporting person's tax liability associated with these restricted stock units.</w:t>
      </w:r>
    </w:p>
    <w:p>
      <w:pPr>
        <w:spacing w:after="0" w:line="29" w:lineRule="exact"/>
        <w:rPr>
          <w:rFonts w:ascii="Arial" w:cs="Arial" w:eastAsia="Arial" w:hAnsi="Arial"/>
          <w:sz w:val="13"/>
          <w:szCs w:val="13"/>
          <w:color w:val="008000"/>
        </w:rPr>
      </w:pPr>
    </w:p>
    <w:p>
      <w:pPr>
        <w:ind w:left="40" w:right="18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earned by the reporting person based on the level of performance criteria met for fiscal year 2020. These restricted stock units will vest in three equal annual installments beginning on March 15, 2022.</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for the issuer's common stock on the NYSE on March 15, 2018, with a premium of 15%.</w:t>
      </w:r>
    </w:p>
    <w:p>
      <w:pPr>
        <w:spacing w:after="0" w:line="39"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stock-settled stock appreciation rights ("SSARs") earned by the reporting person based on the level of performance criteria satisfied under certain performance-based SSARs.</w:t>
      </w:r>
    </w:p>
    <w:p>
      <w:pPr>
        <w:sectPr>
          <w:pgSz w:w="11900" w:h="16838" w:orient="portrait"/>
          <w:cols w:equalWidth="0" w:num="1">
            <w:col w:w="11080"/>
          </w:cols>
          <w:pgMar w:left="460" w:top="219" w:right="359" w:bottom="144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40"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Amy A. Quintana,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0</wp:posOffset>
            </wp:positionV>
            <wp:extent cx="13252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16"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271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1780" cy="8255"/>
                    </a:xfrm>
                    <a:prstGeom prst="rect">
                      <a:avLst/>
                    </a:prstGeom>
                    <a:noFill/>
                  </pic:spPr>
                </pic:pic>
              </a:graphicData>
            </a:graphic>
          </wp:anchor>
        </w:drawing>
      </w:r>
    </w:p>
    <w:p>
      <w:pPr>
        <w:spacing w:after="0" w:line="5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4"/>
          <w:szCs w:val="14"/>
          <w:color w:val="0000FF"/>
        </w:rPr>
        <w:t>03/17/2021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743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0" w:lineRule="exact"/>
        <w:rPr>
          <w:sz w:val="24"/>
          <w:szCs w:val="24"/>
          <w:color w:val="auto"/>
        </w:rPr>
      </w:pPr>
    </w:p>
    <w:p>
      <w:pPr>
        <w:sectPr>
          <w:pgSz w:w="11900" w:h="16838" w:orient="portrait"/>
          <w:cols w:equalWidth="0" w:num="2">
            <w:col w:w="8680" w:space="120"/>
            <w:col w:w="228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63999"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2021-03-17T20:44:27Z</dcterms:created>
  <dcterms:modified xsi:type="dcterms:W3CDTF">2021-03-17T20:44:27Z</dcterms:modified>
</cp:coreProperties>
</file>