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131445</wp:posOffset>
            </wp:positionH>
            <wp:positionV relativeFrom="paragraph">
              <wp:posOffset>165100</wp:posOffset>
            </wp:positionV>
            <wp:extent cx="6887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684530</wp:posOffset>
            </wp:positionH>
            <wp:positionV relativeFrom="paragraph">
              <wp:posOffset>102870</wp:posOffset>
            </wp:positionV>
            <wp:extent cx="6516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637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1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11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12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July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684530</wp:posOffset>
            </wp:positionH>
            <wp:positionV relativeFrom="paragraph">
              <wp:posOffset>96520</wp:posOffset>
            </wp:positionV>
            <wp:extent cx="6516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6370" cy="8255"/>
                    </a:xfrm>
                    <a:prstGeom prst="rect">
                      <a:avLst/>
                    </a:prstGeom>
                    <a:noFill/>
                  </pic:spPr>
                </pic:pic>
              </a:graphicData>
            </a:graphic>
          </wp:anchor>
        </w:drawing>
      </w: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WORLD KINECT CORPORATION</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6887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p>
      <w:pPr>
        <w:spacing w:after="0" w:line="200" w:lineRule="exact"/>
        <w:rPr>
          <w:sz w:val="24"/>
          <w:szCs w:val="24"/>
          <w:color w:val="auto"/>
        </w:rPr>
      </w:pPr>
    </w:p>
    <w:p>
      <w:pPr>
        <w:spacing w:after="0" w:line="39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20"/>
          <w:szCs w:val="20"/>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8"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20"/>
          <w:szCs w:val="20"/>
          <w:b w:val="1"/>
          <w:bCs w:val="1"/>
          <w:color w:val="auto"/>
        </w:rPr>
        <w:t>001-09533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59-2459427</w:t>
      </w:r>
    </w:p>
    <w:p>
      <w:pPr>
        <w:spacing w:after="0" w:line="41" w:lineRule="exact"/>
        <w:rPr>
          <w:sz w:val="24"/>
          <w:szCs w:val="24"/>
          <w:color w:val="auto"/>
        </w:rPr>
      </w:pPr>
    </w:p>
    <w:p>
      <w:pPr>
        <w:sectPr>
          <w:pgSz w:w="11900" w:h="16838" w:orient="portrait"/>
          <w:cols w:equalWidth="0" w:num="3">
            <w:col w:w="4460" w:space="720"/>
            <w:col w:w="2960" w:space="720"/>
            <w:col w:w="2380"/>
          </w:cols>
          <w:pgMar w:left="320" w:top="1145"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120" w:space="720"/>
            <w:col w:w="2760" w:space="720"/>
            <w:col w:w="2920"/>
          </w:cols>
          <w:pgMar w:left="320" w:top="1145" w:right="339" w:bottom="1440" w:gutter="0" w:footer="0" w:header="0"/>
          <w:type w:val="continuous"/>
        </w:sectPr>
      </w:pPr>
    </w:p>
    <w:p>
      <w:pPr>
        <w:spacing w:after="0" w:line="46"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9800 N.W. 41st Street,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Miami,</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Florida</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33178</w:t>
      </w:r>
    </w:p>
    <w:p>
      <w:pPr>
        <w:spacing w:after="0" w:line="91" w:lineRule="exact"/>
        <w:rPr>
          <w:sz w:val="24"/>
          <w:szCs w:val="24"/>
          <w:color w:val="auto"/>
        </w:rPr>
      </w:pPr>
    </w:p>
    <w:p>
      <w:pPr>
        <w:sectPr>
          <w:pgSz w:w="11900" w:h="16838" w:orient="portrait"/>
          <w:cols w:equalWidth="0" w:num="4">
            <w:col w:w="5000" w:space="500"/>
            <w:col w:w="620" w:space="320"/>
            <w:col w:w="660" w:space="620"/>
            <w:col w:w="3520"/>
          </w:cols>
          <w:pgMar w:left="320" w:top="1145" w:right="339" w:bottom="1440" w:gutter="0" w:footer="0" w:header="0"/>
          <w:type w:val="continuous"/>
        </w:sectPr>
      </w:pPr>
    </w:p>
    <w:p>
      <w:pPr>
        <w:spacing w:after="0" w:line="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200" w:lineRule="exact"/>
        <w:rPr>
          <w:sz w:val="24"/>
          <w:szCs w:val="24"/>
          <w:color w:val="auto"/>
        </w:rPr>
      </w:pPr>
    </w:p>
    <w:p>
      <w:pPr>
        <w:sectPr>
          <w:pgSz w:w="11900" w:h="16838" w:orient="portrait"/>
          <w:cols w:equalWidth="0" w:num="2">
            <w:col w:w="6900" w:space="720"/>
            <w:col w:w="3620"/>
          </w:cols>
          <w:pgMar w:left="320" w:top="1145" w:right="339" w:bottom="1440" w:gutter="0" w:footer="0" w:header="0"/>
          <w:type w:val="continuous"/>
        </w:sectPr>
      </w:pPr>
    </w:p>
    <w:p>
      <w:pPr>
        <w:spacing w:after="0" w:line="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(305) 428-8000</w:t>
      </w:r>
    </w:p>
    <w:p>
      <w:pPr>
        <w:spacing w:after="0" w:line="116"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60"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60"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60"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09"/>
        </w:trPr>
        <w:tc>
          <w:tcPr>
            <w:tcW w:w="1620" w:type="dxa"/>
            <w:vAlign w:val="bottom"/>
          </w:tcPr>
          <w:p>
            <w:pPr>
              <w:spacing w:after="0"/>
              <w:rPr>
                <w:sz w:val="24"/>
                <w:szCs w:val="24"/>
                <w:color w:val="auto"/>
              </w:rPr>
            </w:pPr>
          </w:p>
        </w:tc>
        <w:tc>
          <w:tcPr>
            <w:tcW w:w="3320" w:type="dxa"/>
            <w:vAlign w:val="bottom"/>
            <w:gridSpan w:val="2"/>
          </w:tcPr>
          <w:p>
            <w:pPr>
              <w:jc w:val="center"/>
              <w:ind w:right="204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440" w:type="dxa"/>
            <w:vAlign w:val="bottom"/>
            <w:gridSpan w:val="2"/>
          </w:tcPr>
          <w:p>
            <w:pPr>
              <w:jc w:val="center"/>
              <w:ind w:right="108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327"/>
        </w:trPr>
        <w:tc>
          <w:tcPr>
            <w:tcW w:w="494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Common Stock, par value $0.01 per share</w:t>
            </w:r>
          </w:p>
        </w:tc>
        <w:tc>
          <w:tcPr>
            <w:tcW w:w="2440" w:type="dxa"/>
            <w:vAlign w:val="bottom"/>
            <w:gridSpan w:val="2"/>
          </w:tcPr>
          <w:p>
            <w:pPr>
              <w:jc w:val="center"/>
              <w:ind w:right="1100"/>
              <w:spacing w:after="0"/>
              <w:rPr>
                <w:sz w:val="20"/>
                <w:szCs w:val="20"/>
                <w:color w:val="auto"/>
              </w:rPr>
            </w:pPr>
            <w:r>
              <w:rPr>
                <w:rFonts w:ascii="Times New Roman" w:cs="Times New Roman" w:eastAsia="Times New Roman" w:hAnsi="Times New Roman"/>
                <w:sz w:val="17"/>
                <w:szCs w:val="17"/>
                <w:b w:val="1"/>
                <w:bCs w:val="1"/>
                <w:color w:val="auto"/>
                <w:w w:val="98"/>
              </w:rPr>
              <w:t>WKC</w:t>
            </w:r>
          </w:p>
        </w:tc>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New York Stock Exchange</w:t>
            </w:r>
          </w:p>
        </w:tc>
      </w:tr>
    </w:tbl>
    <w:p>
      <w:pPr>
        <w:spacing w:after="0" w:line="162"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636905</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On July 25, 2024, World Kinect Corporation issued a press release reporting its financial results for the second quarter of 2024. A copy of the press release is attached hereto as Exhibit 99.1.</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 Exhibits</w:t>
            </w:r>
          </w:p>
        </w:tc>
        <w:tc>
          <w:tcPr>
            <w:tcW w:w="840" w:type="dxa"/>
            <w:vAlign w:val="bottom"/>
          </w:tcPr>
          <w:p>
            <w:pPr>
              <w:spacing w:after="0"/>
              <w:rPr>
                <w:sz w:val="19"/>
                <w:szCs w:val="19"/>
                <w:color w:val="auto"/>
              </w:rPr>
            </w:pPr>
          </w:p>
        </w:tc>
        <w:tc>
          <w:tcPr>
            <w:tcW w:w="8740" w:type="dxa"/>
            <w:vAlign w:val="bottom"/>
          </w:tcPr>
          <w:p>
            <w:pPr>
              <w:spacing w:after="0"/>
              <w:rPr>
                <w:sz w:val="19"/>
                <w:szCs w:val="19"/>
                <w:color w:val="auto"/>
              </w:rPr>
            </w:pPr>
          </w:p>
        </w:tc>
      </w:tr>
      <w:tr>
        <w:trPr>
          <w:trHeight w:val="307"/>
        </w:trPr>
        <w:tc>
          <w:tcPr>
            <w:tcW w:w="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98"/>
              </w:rPr>
              <w:t>Exhibit No.</w:t>
            </w:r>
          </w:p>
        </w:tc>
        <w:tc>
          <w:tcPr>
            <w:tcW w:w="80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r>
        <w:trPr>
          <w:trHeight w:val="198"/>
        </w:trPr>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99.</w:t>
            </w:r>
            <w:r>
              <w:rPr>
                <w:rFonts w:ascii="Times New Roman" w:cs="Times New Roman" w:eastAsia="Times New Roman" w:hAnsi="Times New Roman"/>
                <w:sz w:val="17"/>
                <w:szCs w:val="17"/>
                <w:u w:val="single" w:color="auto"/>
                <w:color w:val="0000FF"/>
              </w:rPr>
              <w:t>1</w:t>
            </w:r>
          </w:p>
        </w:tc>
        <w:tc>
          <w:tcPr>
            <w:tcW w:w="800" w:type="dxa"/>
            <w:vAlign w:val="bottom"/>
          </w:tcPr>
          <w:p>
            <w:pPr>
              <w:spacing w:after="0"/>
              <w:rPr>
                <w:sz w:val="17"/>
                <w:szCs w:val="17"/>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Press Release, dated July 25, 2024</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580" w:type="dxa"/>
            <w:vAlign w:val="bottom"/>
            <w:gridSpan w:val="2"/>
          </w:tcPr>
          <w:p>
            <w:pPr>
              <w:spacing w:after="0" w:line="20" w:lineRule="exact"/>
              <w:rPr>
                <w:sz w:val="1"/>
                <w:szCs w:val="1"/>
                <w:color w:val="auto"/>
              </w:rPr>
            </w:pPr>
          </w:p>
        </w:tc>
      </w:tr>
      <w:tr>
        <w:trPr>
          <w:trHeight w:val="237"/>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w:t>
            </w:r>
          </w:p>
        </w:tc>
      </w:tr>
      <w:tr>
        <w:trPr>
          <w:trHeight w:val="1362"/>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340" w:lineRule="exact"/>
        <w:rPr>
          <w:sz w:val="20"/>
          <w:szCs w:val="20"/>
          <w:color w:val="auto"/>
        </w:rPr>
      </w:pPr>
    </w:p>
    <w:p>
      <w:pPr>
        <w:ind w:left="20"/>
        <w:spacing w:after="0"/>
        <w:tabs>
          <w:tab w:leader="none" w:pos="4400" w:val="left"/>
        </w:tabs>
        <w:rPr>
          <w:sz w:val="20"/>
          <w:szCs w:val="20"/>
          <w:color w:val="auto"/>
        </w:rPr>
      </w:pPr>
      <w:r>
        <w:rPr>
          <w:rFonts w:ascii="Times New Roman" w:cs="Times New Roman" w:eastAsia="Times New Roman" w:hAnsi="Times New Roman"/>
          <w:sz w:val="17"/>
          <w:szCs w:val="17"/>
          <w:color w:val="auto"/>
        </w:rPr>
        <w:t>Date: July 25, 2024</w:t>
      </w:r>
      <w:r>
        <w:rPr>
          <w:sz w:val="20"/>
          <w:szCs w:val="20"/>
          <w:color w:val="auto"/>
        </w:rPr>
        <w:tab/>
      </w:r>
      <w:r>
        <w:rPr>
          <w:rFonts w:ascii="Times New Roman" w:cs="Times New Roman" w:eastAsia="Times New Roman" w:hAnsi="Times New Roman"/>
          <w:sz w:val="16"/>
          <w:szCs w:val="16"/>
          <w:b w:val="1"/>
          <w:bCs w:val="1"/>
          <w:color w:val="auto"/>
        </w:rPr>
        <w:t>World Kinect Corporation</w:t>
      </w:r>
    </w:p>
    <w:p>
      <w:pPr>
        <w:spacing w:after="0" w:line="2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16510</wp:posOffset>
            </wp:positionV>
            <wp:extent cx="3472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Ira M. Birns</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ectPr>
          <w:pgSz w:w="11900" w:h="16838" w:orient="portrait"/>
          <w:cols w:equalWidth="0" w:num="1">
            <w:col w:w="11240"/>
          </w:cols>
          <w:pgMar w:left="320" w:top="105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612775</wp:posOffset>
            </wp:positionV>
            <wp:extent cx="1211580" cy="642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1580"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World Kinect Corporation Reports Second Quarter 2024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MIAMI—July 25, 2024—World Kinect Corporation (NYSE: WKC) today reported financial results for the second quarter of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Results compared to the same period last year are as follows (unaudited - in millions, except percentages and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7"/>
          </w:tcPr>
          <w:p>
            <w:pPr>
              <w:ind w:left="4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40" w:type="dxa"/>
            <w:vAlign w:val="bottom"/>
          </w:tcPr>
          <w:p>
            <w:pPr>
              <w:spacing w:after="0"/>
              <w:rPr>
                <w:sz w:val="19"/>
                <w:szCs w:val="19"/>
                <w:color w:val="auto"/>
              </w:rPr>
            </w:pPr>
          </w:p>
        </w:tc>
        <w:tc>
          <w:tcPr>
            <w:tcW w:w="3380" w:type="dxa"/>
            <w:vAlign w:val="bottom"/>
            <w:gridSpan w:val="6"/>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0"/>
        </w:trPr>
        <w:tc>
          <w:tcPr>
            <w:tcW w:w="38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i w:val="1"/>
                <w:iCs w:val="1"/>
                <w:color w:val="auto"/>
              </w:rPr>
              <w:t>Change</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i w:val="1"/>
                <w:iCs w:val="1"/>
                <w:color w:val="auto"/>
              </w:rPr>
              <w:t>Change</w:t>
            </w:r>
          </w:p>
        </w:tc>
      </w:tr>
      <w:tr>
        <w:trPr>
          <w:trHeight w:val="210"/>
        </w:trPr>
        <w:tc>
          <w:tcPr>
            <w:tcW w:w="38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Volume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4,373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4,465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8,787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8,937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w:t>
            </w:r>
          </w:p>
        </w:tc>
      </w:tr>
      <w:tr>
        <w:trPr>
          <w:trHeight w:val="218"/>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10,965</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10,981</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i w:val="1"/>
                <w:iCs w:val="1"/>
                <w:color w:val="auto"/>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21,917</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23,462</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(7)%</w:t>
            </w: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245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282</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499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544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(8)%</w:t>
            </w:r>
          </w:p>
        </w:tc>
      </w:tr>
      <w:tr>
        <w:trPr>
          <w:trHeight w:val="218"/>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200</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206</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(3)%</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391</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404</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(3)%</w:t>
            </w: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operating expenses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381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(5)%</w:t>
            </w:r>
          </w:p>
        </w:tc>
      </w:tr>
      <w:tr>
        <w:trPr>
          <w:trHeight w:val="218"/>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45</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76</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(40)%</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108</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140</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(23)%</w:t>
            </w:r>
          </w:p>
        </w:tc>
      </w:tr>
      <w:tr>
        <w:trPr>
          <w:trHeight w:val="218"/>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Operating margin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i w:val="1"/>
                <w:iCs w:val="1"/>
                <w:color w:val="auto"/>
              </w:rPr>
              <w:t>18%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i w:val="1"/>
                <w:iCs w:val="1"/>
                <w:color w:val="auto"/>
              </w:rPr>
              <w:t>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8"/>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income from operations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54</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76</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(30)%</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118</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141</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(16)%</w:t>
            </w:r>
          </w:p>
        </w:tc>
      </w:tr>
      <w:tr>
        <w:trPr>
          <w:trHeight w:val="218"/>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Adjusted operating margin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i w:val="1"/>
                <w:iCs w:val="1"/>
                <w:color w:val="auto"/>
              </w:rPr>
              <w:t>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i w:val="1"/>
                <w:iCs w:val="1"/>
                <w:color w:val="auto"/>
              </w:rPr>
              <w:t>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8"/>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including noncontrolling interest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107</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251%</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134</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53</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153%</w:t>
            </w: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99</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(10)%</w:t>
            </w:r>
          </w:p>
        </w:tc>
      </w:tr>
      <w:tr>
        <w:trPr>
          <w:trHeight w:val="218"/>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1.81</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0.48</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277%</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2.25</w:t>
            </w:r>
          </w:p>
        </w:tc>
        <w:tc>
          <w:tcPr>
            <w:tcW w:w="14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0.84</w:t>
            </w: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168%</w:t>
            </w: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diluted earnings per common share</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0.48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0.48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i w:val="1"/>
                <w:iCs w:val="1"/>
                <w:color w:val="auto"/>
              </w:rPr>
              <w: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0.94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0.84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12%</w:t>
            </w:r>
          </w:p>
        </w:tc>
      </w:tr>
    </w:tbl>
    <w:p>
      <w:pPr>
        <w:spacing w:after="0" w:line="132" w:lineRule="exact"/>
        <w:rPr>
          <w:sz w:val="20"/>
          <w:szCs w:val="20"/>
          <w:color w:val="auto"/>
        </w:rPr>
      </w:pPr>
    </w:p>
    <w:p>
      <w:pPr>
        <w:ind w:left="300" w:hanging="298"/>
        <w:spacing w:after="0"/>
        <w:tabs>
          <w:tab w:leader="none" w:pos="30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gallons and gallon equivalents converted as described in the table below.</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"While our Land business faced unusually unfavorable market conditions this quarter, our Aviation business performed very well and is poised with strong momentum heading into the second half of the year," said Michael Kasbar, Chairman and Chief Executive Officer. "We made progress in</w:t>
      </w:r>
    </w:p>
    <w:p>
      <w:pPr>
        <w:jc w:val="both"/>
        <w:spacing w:after="0" w:line="228" w:lineRule="auto"/>
        <w:rPr>
          <w:sz w:val="20"/>
          <w:szCs w:val="20"/>
          <w:color w:val="auto"/>
        </w:rPr>
      </w:pPr>
      <w:r>
        <w:rPr>
          <w:rFonts w:ascii="Times New Roman" w:cs="Times New Roman" w:eastAsia="Times New Roman" w:hAnsi="Times New Roman"/>
          <w:sz w:val="19"/>
          <w:szCs w:val="19"/>
          <w:color w:val="auto"/>
        </w:rPr>
        <w:t>sharpening our portfolio through the sale of Avinode and remain focused on streamlining our Land portfolio for increased ratability and improved operating leverage."</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"Our continued focus on expense control and working capital management resulted in $68 million of operating cash flow in the quarter," said Ira Birns, Executive Vice President and Chief Financial Officer. "Our cash flow together with the proceeds from the recent sale of the Avinode Group has further increased our liquidity available to invest in our core business activities while continuing to return value to our shareholders through buybacks and dividends."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23" w:right="339" w:bottom="1440" w:gutter="0" w:footer="0" w:header="0"/>
        </w:sectPr>
      </w:pPr>
    </w:p>
    <w:bookmarkStart w:id="4" w:name="page5"/>
    <w:bookmarkEnd w:id="4"/>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Second Quarter 2024 Compared to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Year-Over-Year Highlights</w:t>
      </w:r>
    </w:p>
    <w:p>
      <w:pPr>
        <w:spacing w:after="0" w:line="204" w:lineRule="exact"/>
        <w:rPr>
          <w:sz w:val="20"/>
          <w:szCs w:val="20"/>
          <w:color w:val="auto"/>
        </w:rPr>
      </w:pPr>
    </w:p>
    <w:p>
      <w:pPr>
        <w:ind w:left="600" w:hanging="290"/>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Revenue of $11.0 billion, effectively flat year-over-year.</w:t>
      </w:r>
    </w:p>
    <w:p>
      <w:pPr>
        <w:spacing w:after="0" w:line="24"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Gross profit of $245.2 million, a decrease of 13%.</w:t>
      </w:r>
    </w:p>
    <w:p>
      <w:pPr>
        <w:spacing w:after="0" w:line="6" w:lineRule="exact"/>
        <w:rPr>
          <w:rFonts w:ascii="Times New Roman" w:cs="Times New Roman" w:eastAsia="Times New Roman" w:hAnsi="Times New Roman"/>
          <w:sz w:val="19"/>
          <w:szCs w:val="19"/>
          <w:color w:val="auto"/>
        </w:rPr>
      </w:pPr>
    </w:p>
    <w:p>
      <w:pPr>
        <w:ind w:left="620" w:hanging="310"/>
        <w:spacing w:after="0"/>
        <w:tabs>
          <w:tab w:leader="none" w:pos="62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9"/>
          <w:szCs w:val="19"/>
          <w:color w:val="auto"/>
        </w:rPr>
        <w:t>Net income of $108.3 million, an increase of 262% (including an after-tax gain on sale of $86.9 million).</w:t>
      </w:r>
    </w:p>
    <w:p>
      <w:pPr>
        <w:spacing w:after="0" w:line="4" w:lineRule="exact"/>
        <w:rPr>
          <w:rFonts w:ascii="Arial" w:cs="Arial" w:eastAsia="Arial" w:hAnsi="Arial"/>
          <w:sz w:val="17"/>
          <w:szCs w:val="17"/>
          <w:color w:val="auto"/>
        </w:rPr>
      </w:pPr>
    </w:p>
    <w:p>
      <w:pPr>
        <w:ind w:left="600" w:hanging="290"/>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of $80.9 million, a decrease of 18%.</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Year-Over-Year Segment Profitability</w:t>
      </w:r>
    </w:p>
    <w:p>
      <w:pPr>
        <w:spacing w:after="0" w:line="204" w:lineRule="exact"/>
        <w:rPr>
          <w:sz w:val="20"/>
          <w:szCs w:val="20"/>
          <w:color w:val="auto"/>
        </w:rPr>
      </w:pPr>
    </w:p>
    <w:p>
      <w:pPr>
        <w:jc w:val="both"/>
        <w:ind w:left="620" w:hanging="310"/>
        <w:spacing w:after="0" w:line="259"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Aviation – Gross profit of $127.7 million, effectively flat year-over-year. Aviation continued to benefit from improved year over year returns in our core business and further improvement in performance in our operated airport locations. These benefits were generally offset by the impact of the sale of the Avinode Group during the quarter.</w:t>
      </w:r>
    </w:p>
    <w:p>
      <w:pPr>
        <w:spacing w:after="0" w:line="176" w:lineRule="exact"/>
        <w:rPr>
          <w:rFonts w:ascii="Times New Roman" w:cs="Times New Roman" w:eastAsia="Times New Roman" w:hAnsi="Times New Roman"/>
          <w:sz w:val="19"/>
          <w:szCs w:val="19"/>
          <w:color w:val="auto"/>
        </w:rPr>
      </w:pPr>
    </w:p>
    <w:p>
      <w:pPr>
        <w:ind w:left="620" w:hanging="310"/>
        <w:spacing w:after="0" w:line="280"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 – Gross profit of $80.8 million, a decrease of 28%, driven by unfavorable market conditions in North America and Brazil, as well as lower profit contribution from our natural gas business as a result of oversupplied market conditions and lower market volatility.</w:t>
      </w:r>
    </w:p>
    <w:p>
      <w:pPr>
        <w:spacing w:after="0" w:line="143"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Marine – Gross profit of $36.7 million, a decrease of 13%, principally due to reduced market volatility year-over-year.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Year-to-Date 2024 Compared to 2023</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u w:val="single" w:color="auto"/>
          <w:color w:val="auto"/>
        </w:rPr>
        <w:t>Year-Over-Year Highlights</w:t>
      </w:r>
    </w:p>
    <w:p>
      <w:pPr>
        <w:spacing w:after="0" w:line="217" w:lineRule="exact"/>
        <w:rPr>
          <w:sz w:val="20"/>
          <w:szCs w:val="20"/>
          <w:color w:val="auto"/>
        </w:rPr>
      </w:pPr>
    </w:p>
    <w:p>
      <w:pPr>
        <w:ind w:left="600" w:hanging="290"/>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Revenue of $21.9 billion, a decrease of 7%.</w:t>
      </w:r>
    </w:p>
    <w:p>
      <w:pPr>
        <w:spacing w:after="0" w:line="24"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Gross profit of $499.3 million, a decrease of 8%.</w:t>
      </w:r>
    </w:p>
    <w:p>
      <w:pPr>
        <w:spacing w:after="0" w:line="6" w:lineRule="exact"/>
        <w:rPr>
          <w:rFonts w:ascii="Times New Roman" w:cs="Times New Roman" w:eastAsia="Times New Roman" w:hAnsi="Times New Roman"/>
          <w:sz w:val="19"/>
          <w:szCs w:val="19"/>
          <w:color w:val="auto"/>
        </w:rPr>
      </w:pPr>
    </w:p>
    <w:p>
      <w:pPr>
        <w:ind w:left="620" w:hanging="310"/>
        <w:spacing w:after="0"/>
        <w:tabs>
          <w:tab w:leader="none" w:pos="62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9"/>
          <w:szCs w:val="19"/>
          <w:color w:val="auto"/>
        </w:rPr>
        <w:t>Net income of $135.7 million, an increase of 157% (including an after-tax gain on sale of $86.9 million).</w:t>
      </w:r>
    </w:p>
    <w:p>
      <w:pPr>
        <w:spacing w:after="0" w:line="4" w:lineRule="exact"/>
        <w:rPr>
          <w:rFonts w:ascii="Arial" w:cs="Arial" w:eastAsia="Arial" w:hAnsi="Arial"/>
          <w:sz w:val="17"/>
          <w:szCs w:val="17"/>
          <w:color w:val="auto"/>
        </w:rPr>
      </w:pPr>
    </w:p>
    <w:p>
      <w:pPr>
        <w:ind w:left="600" w:hanging="290"/>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of $166.8 million, a decrease of 10%.</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u w:val="single" w:color="auto"/>
          <w:color w:val="auto"/>
        </w:rPr>
        <w:t>Year-Over-Year Segment Profitability</w:t>
      </w:r>
    </w:p>
    <w:p>
      <w:pPr>
        <w:spacing w:after="0" w:line="217" w:lineRule="exact"/>
        <w:rPr>
          <w:sz w:val="20"/>
          <w:szCs w:val="20"/>
          <w:color w:val="auto"/>
        </w:rPr>
      </w:pPr>
    </w:p>
    <w:p>
      <w:pPr>
        <w:ind w:left="600" w:hanging="290"/>
        <w:spacing w:after="0"/>
        <w:tabs>
          <w:tab w:leader="none" w:pos="6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Aviation – Gross profit of $236.2 million, an increase of 3%</w:t>
      </w:r>
    </w:p>
    <w:p>
      <w:pPr>
        <w:spacing w:after="0" w:line="204"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 – Gross profit of $178.1 million, a decrease of 20%.</w:t>
      </w:r>
    </w:p>
    <w:p>
      <w:pPr>
        <w:spacing w:after="0" w:line="216"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Marine – Gross profit of $85.0 million, a decrease of 10%.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Earnings Conference Call</w:t>
      </w:r>
    </w:p>
    <w:p>
      <w:pPr>
        <w:spacing w:after="0" w:line="2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An investor conference call will be held today, July 25, 2024, at 5:00 PM Eastern Time to discuss second quarter results. Participants can access the live webcast by visiting our website at ir.worldkinect.com. An on-demand replay of the webcast will be available shortly after the call.</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About World Kinect Corporation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Headquartered in Miami, Florida, World Kinect Corporation (NYSE: WKC) is a global energy management company offering fulfillment and related services to more than 150,000 customers across the aviation, marine, and land-based transportation sectors. We also supply natural gas and power in the United States and Europe along with a growing suite of other sustainability-related products and services.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more information, visit world-kinect.com.</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Contacts: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Ira M. Birns, Executive Vice President &amp; Chief Financial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Elsa Ballard, Vice President of Investor Relations &amp; Communications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investor@worldkinect.com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Definitions</w:t>
      </w:r>
    </w:p>
    <w:p>
      <w:pPr>
        <w:spacing w:after="0" w:line="221" w:lineRule="exact"/>
        <w:rPr>
          <w:sz w:val="20"/>
          <w:szCs w:val="20"/>
          <w:color w:val="auto"/>
        </w:rPr>
      </w:pPr>
    </w:p>
    <w:p>
      <w:pPr>
        <w:ind w:left="600" w:hanging="290"/>
        <w:spacing w:after="0"/>
        <w:tabs>
          <w:tab w:leader="none" w:pos="6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income" means net income (loss) attributable to World Kinect as presented in the Statements of Income and Comprehensive Income.</w:t>
      </w:r>
    </w:p>
    <w:p>
      <w:pPr>
        <w:spacing w:after="0" w:line="114"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7"/>
        </w:numPr>
        <w:rPr>
          <w:rFonts w:ascii="Times New Roman" w:cs="Times New Roman" w:eastAsia="Times New Roman" w:hAnsi="Times New Roman"/>
          <w:sz w:val="15"/>
          <w:szCs w:val="15"/>
          <w:i w:val="1"/>
          <w:iCs w:val="1"/>
          <w:color w:val="auto"/>
          <w:strike w:val="1"/>
        </w:rPr>
      </w:pPr>
      <w:r>
        <w:rPr>
          <w:rFonts w:ascii="Times New Roman" w:cs="Times New Roman" w:eastAsia="Times New Roman" w:hAnsi="Times New Roman"/>
          <w:sz w:val="19"/>
          <w:szCs w:val="19"/>
          <w:color w:val="auto"/>
        </w:rPr>
        <w:t>"Operating margin" means income from operations as a percentage of gross profit.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Non-GAAP Financial Measures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believe that the non-GAAP financial measures, when considered in conjunction with our financial information prepared in accordance with GAAP, are useful to investors to further aid in evaluating our ongoing financial performance and to provide greater transparency as supplemental information to our GAAP results.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Non-GAAP financial measures should not be considered in isolation from, or as a substitute for, financial information prepared in accordance with GAAP. In addition, our presentation of the non-GAAP financial measures may not be comparable to the presentation of such metrics by other companies.</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Our non-GAAP financial measures exclude acquisition and divestiture related expenses, restructuring charges, impairments, gains or losses on the extinguishment of debt, gains or losses on sale of businesses, integration costs associated with our acquisitions, and non-operating legal settlements, primarily because we do not believe they are reflective of our core operating results. We also exclude costs associated with a previously disclosed erroneous bid made in the Finnish power market (the "Finnish bid error") that resulted in the extraordinary losses.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use the following non-GAAP measures:</w:t>
      </w:r>
    </w:p>
    <w:p>
      <w:pPr>
        <w:spacing w:after="0" w:line="98" w:lineRule="exact"/>
        <w:rPr>
          <w:sz w:val="20"/>
          <w:szCs w:val="20"/>
          <w:color w:val="auto"/>
        </w:rPr>
      </w:pPr>
    </w:p>
    <w:p>
      <w:pPr>
        <w:jc w:val="both"/>
        <w:ind w:left="620" w:hanging="310"/>
        <w:spacing w:after="0" w:line="261" w:lineRule="auto"/>
        <w:tabs>
          <w:tab w:leader="none" w:pos="6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net income attributable to World Kinect ("Adjusted net income") </w:t>
      </w:r>
      <w:r>
        <w:rPr>
          <w:rFonts w:ascii="Times New Roman" w:cs="Times New Roman" w:eastAsia="Times New Roman" w:hAnsi="Times New Roman"/>
          <w:sz w:val="19"/>
          <w:szCs w:val="19"/>
          <w:color w:val="auto"/>
        </w:rPr>
        <w:t>is defined as net income excluding the impact of acquisition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divestiture related expenses, restructuring charges, impairments, gains or losses on the extinguishment of debt, gains or losses on sale of businesses, integration costs, non-operating legal settlements, and costs associated with the Finnish bid error.</w:t>
      </w:r>
    </w:p>
    <w:p>
      <w:pPr>
        <w:spacing w:after="0" w:line="68" w:lineRule="exact"/>
        <w:rPr>
          <w:rFonts w:ascii="Times New Roman" w:cs="Times New Roman" w:eastAsia="Times New Roman" w:hAnsi="Times New Roman"/>
          <w:sz w:val="19"/>
          <w:szCs w:val="19"/>
          <w:color w:val="auto"/>
        </w:rPr>
      </w:pPr>
    </w:p>
    <w:p>
      <w:pPr>
        <w:jc w:val="both"/>
        <w:ind w:left="620" w:hanging="310"/>
        <w:spacing w:after="0" w:line="254" w:lineRule="auto"/>
        <w:tabs>
          <w:tab w:leader="none" w:pos="6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diluted earnings per common share </w:t>
      </w:r>
      <w:r>
        <w:rPr>
          <w:rFonts w:ascii="Times New Roman" w:cs="Times New Roman" w:eastAsia="Times New Roman" w:hAnsi="Times New Roman"/>
          <w:sz w:val="19"/>
          <w:szCs w:val="19"/>
          <w:color w:val="auto"/>
        </w:rPr>
        <w:t>is computed by dividing adjusted net income by the sum of the weighted average number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common stock outstanding for the period and the number of additional shares of common stock that would have been outstanding if our outstanding potentially dilutive securities had been issued. Potentially dilutive securities include share-based compensation awards, such as non-vested restricted stock units, performance stock units where the performance requirements have been met, and settled stock appreciation rights awards.</w:t>
      </w:r>
    </w:p>
    <w:p>
      <w:pPr>
        <w:spacing w:after="0" w:line="73" w:lineRule="exact"/>
        <w:rPr>
          <w:rFonts w:ascii="Times New Roman" w:cs="Times New Roman" w:eastAsia="Times New Roman" w:hAnsi="Times New Roman"/>
          <w:sz w:val="19"/>
          <w:szCs w:val="19"/>
          <w:color w:val="auto"/>
        </w:rPr>
      </w:pPr>
    </w:p>
    <w:p>
      <w:pPr>
        <w:jc w:val="both"/>
        <w:ind w:left="620" w:hanging="310"/>
        <w:spacing w:after="0" w:line="259" w:lineRule="auto"/>
        <w:tabs>
          <w:tab w:leader="none" w:pos="6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earnings before interest, taxes, depreciation and amortization ("Adjusted EBITDA") </w:t>
      </w:r>
      <w:r>
        <w:rPr>
          <w:rFonts w:ascii="Times New Roman" w:cs="Times New Roman" w:eastAsia="Times New Roman" w:hAnsi="Times New Roman"/>
          <w:sz w:val="19"/>
          <w:szCs w:val="19"/>
          <w:color w:val="auto"/>
        </w:rPr>
        <w:t>is defined as net income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noncontrolling interest and excluding the impact of interest, income taxes, and depreciation and amortization, in addition to acquisition and divestiture related expenses, restructuring charges, impairments, gains or losses on sale of businesses, integration costs, non-operating legal settlements, and costs associated with the Finnish bid error.</w:t>
      </w:r>
    </w:p>
    <w:p>
      <w:pPr>
        <w:spacing w:after="0" w:line="55" w:lineRule="exact"/>
        <w:rPr>
          <w:rFonts w:ascii="Times New Roman" w:cs="Times New Roman" w:eastAsia="Times New Roman" w:hAnsi="Times New Roman"/>
          <w:sz w:val="19"/>
          <w:szCs w:val="19"/>
          <w:color w:val="auto"/>
        </w:rPr>
      </w:pPr>
    </w:p>
    <w:p>
      <w:pPr>
        <w:ind w:left="620" w:hanging="310"/>
        <w:spacing w:after="0" w:line="284" w:lineRule="auto"/>
        <w:tabs>
          <w:tab w:leader="none" w:pos="6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income from operations </w:t>
      </w:r>
      <w:r>
        <w:rPr>
          <w:rFonts w:ascii="Times New Roman" w:cs="Times New Roman" w:eastAsia="Times New Roman" w:hAnsi="Times New Roman"/>
          <w:sz w:val="19"/>
          <w:szCs w:val="19"/>
          <w:color w:val="auto"/>
        </w:rPr>
        <w:t>is defined as income from operations excluding the impact of acquisition and divestiture related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expenses, restructuring charges, impairments, integration costs, and costs associated with the Finnish bid error.</w:t>
      </w:r>
    </w:p>
    <w:p>
      <w:pPr>
        <w:spacing w:after="0" w:line="46" w:lineRule="exact"/>
        <w:rPr>
          <w:rFonts w:ascii="Times New Roman" w:cs="Times New Roman" w:eastAsia="Times New Roman" w:hAnsi="Times New Roman"/>
          <w:sz w:val="19"/>
          <w:szCs w:val="19"/>
          <w:color w:val="auto"/>
        </w:rPr>
      </w:pPr>
    </w:p>
    <w:p>
      <w:pPr>
        <w:ind w:left="620" w:hanging="310"/>
        <w:spacing w:after="0" w:line="270" w:lineRule="auto"/>
        <w:tabs>
          <w:tab w:leader="none" w:pos="609" w:val="left"/>
        </w:tabs>
        <w:numPr>
          <w:ilvl w:val="0"/>
          <w:numId w:val="8"/>
        </w:numPr>
        <w:rPr>
          <w:rFonts w:ascii="Times New Roman" w:cs="Times New Roman" w:eastAsia="Times New Roman" w:hAnsi="Times New Roman"/>
          <w:sz w:val="15"/>
          <w:szCs w:val="15"/>
          <w:i w:val="1"/>
          <w:iCs w:val="1"/>
          <w:color w:val="auto"/>
          <w:strike w:val="1"/>
        </w:rPr>
      </w:pPr>
      <w:r>
        <w:rPr>
          <w:rFonts w:ascii="Times New Roman" w:cs="Times New Roman" w:eastAsia="Times New Roman" w:hAnsi="Times New Roman"/>
          <w:sz w:val="19"/>
          <w:szCs w:val="19"/>
          <w:b w:val="1"/>
          <w:bCs w:val="1"/>
          <w:color w:val="auto"/>
        </w:rPr>
        <w:t xml:space="preserve">Adjusted income from operations as a percentage of adjusted gross profit ("Adjusted operating margin") </w:t>
      </w:r>
      <w:r>
        <w:rPr>
          <w:rFonts w:ascii="Times New Roman" w:cs="Times New Roman" w:eastAsia="Times New Roman" w:hAnsi="Times New Roman"/>
          <w:sz w:val="19"/>
          <w:szCs w:val="19"/>
          <w:color w:val="auto"/>
        </w:rPr>
        <w:t>is computed by dividing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Adjusted income from operations by Adjusted gross profit (as defined below).</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ind w:left="620" w:hanging="310"/>
        <w:spacing w:after="0" w:line="284" w:lineRule="auto"/>
        <w:tabs>
          <w:tab w:leader="none" w:pos="609"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operating expenses </w:t>
      </w:r>
      <w:r>
        <w:rPr>
          <w:rFonts w:ascii="Times New Roman" w:cs="Times New Roman" w:eastAsia="Times New Roman" w:hAnsi="Times New Roman"/>
          <w:sz w:val="19"/>
          <w:szCs w:val="19"/>
          <w:color w:val="auto"/>
        </w:rPr>
        <w:t>is defined as operating expenses excluding the impact of acquisition and divestiture related expenses,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restructuring charges, impairments, integration costs, and costs associated with the Finnish bid error.</w:t>
      </w:r>
    </w:p>
    <w:p>
      <w:pPr>
        <w:spacing w:after="0" w:line="33"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Consolidated and Land Adjusted gross profit </w:t>
      </w:r>
      <w:r>
        <w:rPr>
          <w:rFonts w:ascii="Times New Roman" w:cs="Times New Roman" w:eastAsia="Times New Roman" w:hAnsi="Times New Roman"/>
          <w:sz w:val="18"/>
          <w:szCs w:val="18"/>
          <w:color w:val="auto"/>
        </w:rPr>
        <w:t>is defined as gross profit excluding the impact of costs associated with the Finnish bid error.</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Investors are encouraged to review the reconciliation of these non-GAAP financial measures to their most directly comparable GAAP financial measures in this press release and on our website.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Information Relating to Forward-Looking Statements</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This release includes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release includes forward-looking statements regarding improved operating efficiencies, and the achievement of our financial goals. Our forward-looking statements are qualified in their entirety by cautionary statements and risk factor disclosures contained in our Securities and Exchange Commission ("SEC") filings, including our most recent Annual Report on Form 10-K filed with the SEC. Actual results may differ materially from any forward-looking statements due to risks and uncertainties, including, but not limited to: customer and counterparty creditworthiness and our ability to collect accounts receivable and settle derivative contracts; changes in the market prices of energy or commodities or extremely high or low fuel prices that continue for an extended period of time; adverse conditions in the industries in which our customers operate; our inability to effectively mitigate certain financial risks and other risks associated with derivatives and our physical fuel products; our ability to achieve the expected level of benefit from our restructuring activities and cost reduction initiatives; relationships with our employees and potential labor disputes associated with employees covered by collective bargaining agreements; our failure to comply with restrictions and covenants governing our outstanding indebtedness; the impact of cyber and other information technology or security related incidents on us, our customers or other parties; changes in the political, economic or regulatory environment generally and in the markets in which we operate, including as a result of the current conflicts in Eastern Europe and the Middle East and the upcoming 2024 U.S. presidential election; 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 changes in credit terms extended to us from our suppliers; non-performance of suppliers on their sale commitments and customers on their purchase commitments; non-performance of third-party service providers; our ability to effectively integrate and derive benefits from acquired businesses; our ability to meet financial forecasts associated with our operating plan; lower than expected cash flows and revenues, which could impair our ability to realize the value of recorded intangible assets and goodwill; the availability of cash and sufficient liquidity to fund our working capital and strategic investment needs; currency exchange fluctuations; inflationary pressures and their impact on our customers or the global economy, including sudden or significant increases in interest rates or a global recession; our ability to effectively leverage technology and operating systems and realize the anticipated benefits; failure to meet fuel and other product specifications agreed with our customers; environmental and other risks associated with the storage, transportation and delivery of petroleum products; reputational harm from adverse publicity arising out of spills, environmental contamination or public perception about the impacts on climate change by us or other companies in our industry; risks associated with operating in high-risk locations, including supply disruptions, border closures and other logistical difficulties that arise when working in these areas; uninsured or underinsured losses; seasonal variability that adversely affects our revenues and operating results, as well as the impact of natural disasters, such as earthquakes, hurricanes and wildfires; declines in the value and liquidity of cash equivalents and investments; our ability to retain and attract senior management and other key employees; changes in U.S. or foreign tax laws, interpretations of such laws, changes in the mix of taxable income among different tax jurisdictions, or adverse results of tax audits, assessments, or disputes; our failure to generate sufficient future taxable income in jurisdictions with material deferred tax assets and net operating loss carryforwards; changes in multilateral conventions, treaties, tariffs or other arrangements between or among sovereign nations; our ability to comply with U.S. and international</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293" w:right="339" w:bottom="1440" w:gutter="0" w:footer="0" w:header="0"/>
        </w:sectPr>
      </w:pPr>
    </w:p>
    <w:bookmarkStart w:id="7" w:name="page8"/>
    <w:bookmarkEnd w:id="7"/>
    <w:p>
      <w:pPr>
        <w:jc w:val="both"/>
        <w:spacing w:after="0" w:line="252" w:lineRule="auto"/>
        <w:rPr>
          <w:sz w:val="20"/>
          <w:szCs w:val="20"/>
          <w:color w:val="auto"/>
        </w:rPr>
      </w:pPr>
      <w:r>
        <w:rPr>
          <w:rFonts w:ascii="Times New Roman" w:cs="Times New Roman" w:eastAsia="Times New Roman" w:hAnsi="Times New Roman"/>
          <w:sz w:val="19"/>
          <w:szCs w:val="19"/>
          <w:color w:val="auto"/>
        </w:rPr>
        <w:t>laws and regulations, including those related to anti-corruption, economic sanction programs and environmental matters; the outcome of litigation, regulatory investigations and other legal matters, including the associated legal and other costs; and other risks described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82" w:lineRule="exact"/>
        <w:rPr>
          <w:sz w:val="20"/>
          <w:szCs w:val="20"/>
          <w:color w:val="auto"/>
        </w:rPr>
      </w:pPr>
    </w:p>
    <w:p>
      <w:pPr>
        <w:jc w:val="center"/>
        <w:spacing w:after="0" w:line="421" w:lineRule="auto"/>
        <w:rPr>
          <w:sz w:val="20"/>
          <w:szCs w:val="20"/>
          <w:color w:val="auto"/>
        </w:rPr>
      </w:pPr>
      <w:r>
        <w:rPr>
          <w:rFonts w:ascii="Times New Roman" w:cs="Times New Roman" w:eastAsia="Times New Roman" w:hAnsi="Times New Roman"/>
          <w:sz w:val="19"/>
          <w:szCs w:val="19"/>
          <w:color w:val="auto"/>
        </w:rPr>
        <w:t>-- Some amounts in this press release may not add due to rounding. All percentages have been calculated using unrounded amounts -- 5</w:t>
      </w:r>
    </w:p>
    <w:p>
      <w:pPr>
        <w:sectPr>
          <w:pgSz w:w="11900" w:h="16838" w:orient="portrait"/>
          <w:cols w:equalWidth="0" w:num="1">
            <w:col w:w="11240"/>
          </w:cols>
          <w:pgMar w:left="320" w:top="129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(Unaudited - In millions,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60" w:type="dxa"/>
            <w:vAlign w:val="bottom"/>
          </w:tcPr>
          <w:p>
            <w:pPr>
              <w:spacing w:after="0"/>
              <w:rPr>
                <w:sz w:val="19"/>
                <w:szCs w:val="19"/>
                <w:color w:val="auto"/>
              </w:rPr>
            </w:pPr>
          </w:p>
        </w:tc>
        <w:tc>
          <w:tcPr>
            <w:tcW w:w="17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0"/>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w:t>
            </w:r>
          </w:p>
        </w:tc>
      </w:tr>
      <w:tr>
        <w:trPr>
          <w:trHeight w:val="166"/>
        </w:trPr>
        <w:tc>
          <w:tcPr>
            <w:tcW w:w="738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Accounts receivable, net of allowance for credit losses of $20.1 million and $18.3 million as of</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30"/>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June 30, 2024 and December 31, 2023, respectively</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2,735.5</w:t>
            </w:r>
          </w:p>
        </w:tc>
      </w:tr>
      <w:tr>
        <w:trPr>
          <w:trHeight w:val="218"/>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664.6</w:t>
            </w:r>
          </w:p>
        </w:tc>
      </w:tr>
      <w:tr>
        <w:trPr>
          <w:trHeight w:val="218"/>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218"/>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derivative assets, net</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275.4</w:t>
            </w:r>
          </w:p>
        </w:tc>
      </w:tr>
      <w:tr>
        <w:trPr>
          <w:trHeight w:val="218"/>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446.4</w:t>
            </w:r>
          </w:p>
        </w:tc>
      </w:tr>
      <w:tr>
        <w:trPr>
          <w:trHeight w:val="210"/>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4,503.8</w:t>
            </w: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515.3</w:t>
            </w: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1,238.0</w:t>
            </w: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Identifiable intangible assets, net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299.7</w:t>
            </w: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818.6</w:t>
            </w:r>
          </w:p>
        </w:tc>
      </w:tr>
      <w:tr>
        <w:trPr>
          <w:trHeight w:val="210"/>
        </w:trPr>
        <w:tc>
          <w:tcPr>
            <w:tcW w:w="7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7,189.2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7,375.3</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7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r>
      <w:tr>
        <w:trPr>
          <w:trHeight w:val="218"/>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3,097.6</w:t>
            </w:r>
          </w:p>
        </w:tc>
      </w:tr>
      <w:tr>
        <w:trPr>
          <w:trHeight w:val="218"/>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derivative liabilities, net</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w:t>
            </w:r>
          </w:p>
        </w:tc>
      </w:tr>
      <w:tr>
        <w:trPr>
          <w:trHeight w:val="218"/>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745.0</w:t>
            </w:r>
          </w:p>
        </w:tc>
      </w:tr>
      <w:tr>
        <w:trPr>
          <w:trHeight w:val="210"/>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4,049.7</w:t>
            </w: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809.1</w:t>
            </w: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566.9</w:t>
            </w:r>
          </w:p>
        </w:tc>
      </w:tr>
      <w:tr>
        <w:trPr>
          <w:trHeight w:val="210"/>
        </w:trPr>
        <w:tc>
          <w:tcPr>
            <w:tcW w:w="7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5,151.8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5,425.7</w:t>
            </w:r>
          </w:p>
        </w:tc>
      </w:tr>
      <w:tr>
        <w:trPr>
          <w:trHeight w:val="19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World Kinect shareholders' equity:</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8"/>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Preferred stock, $1.00 par value; 0.1 shares authorized, none issued</w:t>
            </w:r>
          </w:p>
        </w:tc>
        <w:tc>
          <w:tcPr>
            <w:tcW w:w="26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6"/>
        </w:trPr>
        <w:tc>
          <w:tcPr>
            <w:tcW w:w="738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Common stock, $0.01 par value; 100.0 shares authorized, 59.1 and 59.8 issued and outstanding as of</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June 30, 2024 and December 31, 2023, respectively</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8"/>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w:t>
            </w:r>
          </w:p>
        </w:tc>
      </w:tr>
      <w:tr>
        <w:trPr>
          <w:trHeight w:val="218"/>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1,981.6</w:t>
            </w:r>
          </w:p>
        </w:tc>
      </w:tr>
      <w:tr>
        <w:trPr>
          <w:trHeight w:val="218"/>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(148.9)</w:t>
            </w:r>
          </w:p>
        </w:tc>
      </w:tr>
      <w:tr>
        <w:trPr>
          <w:trHeight w:val="210"/>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World Kinect shareholders' equity</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1,943.0</w:t>
            </w:r>
          </w:p>
        </w:tc>
      </w:tr>
      <w:tr>
        <w:trPr>
          <w:trHeight w:val="218"/>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0"/>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1,949.6</w:t>
            </w:r>
          </w:p>
        </w:tc>
      </w:tr>
      <w:tr>
        <w:trPr>
          <w:trHeight w:val="210"/>
        </w:trPr>
        <w:tc>
          <w:tcPr>
            <w:tcW w:w="7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7,189.2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7,375.3</w:t>
            </w: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29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 AND COMPREHENSIVE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(Unaudited – In millions, except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For the Three Months Ended June</w:t>
            </w:r>
          </w:p>
        </w:tc>
        <w:tc>
          <w:tcPr>
            <w:tcW w:w="100" w:type="dxa"/>
            <w:vAlign w:val="bottom"/>
          </w:tcPr>
          <w:p>
            <w:pPr>
              <w:spacing w:after="0"/>
              <w:rPr>
                <w:sz w:val="17"/>
                <w:szCs w:val="17"/>
                <w:color w:val="auto"/>
              </w:rPr>
            </w:pPr>
          </w:p>
        </w:tc>
        <w:tc>
          <w:tcPr>
            <w:tcW w:w="2680" w:type="dxa"/>
            <w:vAlign w:val="bottom"/>
            <w:gridSpan w:val="4"/>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9"/>
              </w:rPr>
              <w:t>For the Six Months Ended June 30,</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21,916.6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23,462.3</w:t>
            </w:r>
          </w:p>
        </w:tc>
        <w:tc>
          <w:tcPr>
            <w:tcW w:w="0" w:type="dxa"/>
            <w:vAlign w:val="bottom"/>
          </w:tcPr>
          <w:p>
            <w:pPr>
              <w:spacing w:after="0"/>
              <w:rPr>
                <w:sz w:val="1"/>
                <w:szCs w:val="1"/>
                <w:color w:val="auto"/>
              </w:rPr>
            </w:pPr>
          </w:p>
        </w:tc>
      </w:tr>
      <w:tr>
        <w:trPr>
          <w:trHeight w:val="218"/>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10,720.0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10,699.0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21,417.2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22,917.9</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544.4</w:t>
            </w:r>
          </w:p>
        </w:tc>
        <w:tc>
          <w:tcPr>
            <w:tcW w:w="0" w:type="dxa"/>
            <w:vAlign w:val="bottom"/>
          </w:tcPr>
          <w:p>
            <w:pPr>
              <w:spacing w:after="0"/>
              <w:rPr>
                <w:sz w:val="1"/>
                <w:szCs w:val="1"/>
                <w:color w:val="auto"/>
              </w:rPr>
            </w:pPr>
          </w:p>
        </w:tc>
      </w:tr>
      <w:tr>
        <w:trPr>
          <w:trHeight w:val="198"/>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244.2</w:t>
            </w:r>
          </w:p>
        </w:tc>
        <w:tc>
          <w:tcPr>
            <w:tcW w:w="0" w:type="dxa"/>
            <w:vAlign w:val="bottom"/>
          </w:tcPr>
          <w:p>
            <w:pPr>
              <w:spacing w:after="0"/>
              <w:rPr>
                <w:sz w:val="1"/>
                <w:szCs w:val="1"/>
                <w:color w:val="auto"/>
              </w:rPr>
            </w:pPr>
          </w:p>
        </w:tc>
      </w:tr>
      <w:tr>
        <w:trPr>
          <w:trHeight w:val="218"/>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impairments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18"/>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390.9</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404.3</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income (expenses), net: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 and other financing costs, net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non-operating income (expense), net</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0" w:type="dxa"/>
            <w:vAlign w:val="bottom"/>
          </w:tcPr>
          <w:p>
            <w:pPr>
              <w:spacing w:after="0"/>
              <w:rPr>
                <w:sz w:val="1"/>
                <w:szCs w:val="1"/>
                <w:color w:val="auto"/>
              </w:rPr>
            </w:pPr>
          </w:p>
        </w:tc>
      </w:tr>
      <w:tr>
        <w:trPr>
          <w:trHeight w:val="218"/>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including noncontrolling interest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0" w:type="dxa"/>
            <w:vAlign w:val="bottom"/>
          </w:tcPr>
          <w:p>
            <w:pPr>
              <w:spacing w:after="0"/>
              <w:rPr>
                <w:sz w:val="1"/>
                <w:szCs w:val="1"/>
                <w:color w:val="auto"/>
              </w:rPr>
            </w:pPr>
          </w:p>
        </w:tc>
      </w:tr>
      <w:tr>
        <w:trPr>
          <w:trHeight w:val="218"/>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35"/>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World Kinect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5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Basic earnings (loss) per common share</w:t>
            </w:r>
          </w:p>
        </w:tc>
        <w:tc>
          <w:tcPr>
            <w:tcW w:w="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1.81</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0.48</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2.27</w:t>
            </w: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0.85</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weighted average common shares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5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Diluted earnings (loss) per common share</w:t>
            </w:r>
          </w:p>
        </w:tc>
        <w:tc>
          <w:tcPr>
            <w:tcW w:w="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1.81</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0.48</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2.25</w:t>
            </w: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0.84</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shares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including noncontrolling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0" w:type="dxa"/>
            <w:vAlign w:val="bottom"/>
          </w:tcPr>
          <w:p>
            <w:pPr>
              <w:spacing w:after="0"/>
              <w:rPr>
                <w:sz w:val="1"/>
                <w:szCs w:val="1"/>
                <w:color w:val="auto"/>
              </w:rPr>
            </w:pPr>
          </w:p>
        </w:tc>
      </w:tr>
      <w:tr>
        <w:trPr>
          <w:trHeight w:val="198"/>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166"/>
        </w:trPr>
        <w:tc>
          <w:tcPr>
            <w:tcW w:w="558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Cash flow hedges, net of income tax expense (benefit) of ($0.7) and $0.6 for</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the three months ended June 30, 2024 and 2023, respectively, and net of</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5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income tax expense (benefit) of ($1.1) and ($0.2) for the six months ended</w:t>
            </w: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8"/>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June 30, 2024 and 2023, respectively</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 including noncontrolling interest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(loss) attributable to 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 attributable to World Kinect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29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 -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40" w:type="dxa"/>
            <w:vAlign w:val="bottom"/>
          </w:tcPr>
          <w:p>
            <w:pPr>
              <w:spacing w:after="0"/>
              <w:rPr>
                <w:sz w:val="19"/>
                <w:szCs w:val="19"/>
                <w:color w:val="auto"/>
              </w:rPr>
            </w:pPr>
          </w:p>
        </w:tc>
        <w:tc>
          <w:tcPr>
            <w:tcW w:w="296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For the Three Months Ended June 30,</w:t>
            </w:r>
          </w:p>
        </w:tc>
        <w:tc>
          <w:tcPr>
            <w:tcW w:w="120" w:type="dxa"/>
            <w:vAlign w:val="bottom"/>
          </w:tcPr>
          <w:p>
            <w:pPr>
              <w:spacing w:after="0"/>
              <w:rPr>
                <w:sz w:val="19"/>
                <w:szCs w:val="19"/>
                <w:color w:val="auto"/>
              </w:rPr>
            </w:pPr>
          </w:p>
        </w:tc>
        <w:tc>
          <w:tcPr>
            <w:tcW w:w="272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r>
      <w:tr>
        <w:trPr>
          <w:trHeight w:val="210"/>
        </w:trPr>
        <w:tc>
          <w:tcPr>
            <w:tcW w:w="54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(loss) including noncontrolling interest</w:t>
            </w:r>
          </w:p>
        </w:tc>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14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120" w:type="dxa"/>
            <w:vAlign w:val="bottom"/>
          </w:tcPr>
          <w:p>
            <w:pPr>
              <w:spacing w:after="0"/>
              <w:rPr>
                <w:sz w:val="18"/>
                <w:szCs w:val="18"/>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w:t>
            </w:r>
          </w:p>
        </w:tc>
      </w:tr>
      <w:tr>
        <w:trPr>
          <w:trHeight w:val="166"/>
        </w:trPr>
        <w:tc>
          <w:tcPr>
            <w:tcW w:w="544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Adjustments to reconcile net income including noncontrolling interest to</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18"/>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Unrealized (gain) loss on derivatives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w:t>
            </w:r>
          </w:p>
        </w:tc>
      </w:tr>
      <w:tr>
        <w:trPr>
          <w:trHeight w:val="218"/>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loss on sale of business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r>
      <w:tr>
        <w:trPr>
          <w:trHeight w:val="218"/>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operating lease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18"/>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8"/>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payment award compensation costs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8"/>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8"/>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Unrealized foreign currency (gains) losses,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8"/>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18"/>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 net of acquisitions and divestitures: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8"/>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820.4</w:t>
            </w:r>
          </w:p>
        </w:tc>
      </w:tr>
      <w:tr>
        <w:trPr>
          <w:trHeight w:val="218"/>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Inventories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w:t>
            </w:r>
          </w:p>
        </w:tc>
      </w:tr>
      <w:tr>
        <w:trPr>
          <w:trHeight w:val="218"/>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Prepaid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8"/>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current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r>
      <w:tr>
        <w:trPr>
          <w:trHeight w:val="218"/>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Cash collateral with counterparties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w:t>
            </w:r>
          </w:p>
        </w:tc>
      </w:tr>
      <w:tr>
        <w:trPr>
          <w:trHeight w:val="218"/>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non-current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r>
      <w:tr>
        <w:trPr>
          <w:trHeight w:val="218"/>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Change in derivative assets and liabilities,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8"/>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(826.6)</w:t>
            </w:r>
          </w:p>
        </w:tc>
      </w:tr>
      <w:tr>
        <w:trPr>
          <w:trHeight w:val="218"/>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w:t>
            </w:r>
          </w:p>
        </w:tc>
      </w:tr>
      <w:tr>
        <w:trPr>
          <w:trHeight w:val="218"/>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0"/>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Net cash provided by (used in) operating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186.5</w:t>
            </w: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business, net of divested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r>
      <w:tr>
        <w:trPr>
          <w:trHeight w:val="218"/>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0"/>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Borrowings of debt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3,221.3</w:t>
            </w: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(3,531.4)</w:t>
            </w: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Convertible Notes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convertible note hedges</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Sale of warrants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deferred consideration for acquisitions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10"/>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w:t>
            </w:r>
          </w:p>
        </w:tc>
      </w:tr>
      <w:tr>
        <w:trPr>
          <w:trHeight w:val="210"/>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 reclassified as assets held for sale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5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8"/>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period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298.4</w:t>
            </w:r>
          </w:p>
        </w:tc>
      </w:tr>
      <w:tr>
        <w:trPr>
          <w:trHeight w:val="235"/>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as of the end of the period</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524.6</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297" w:right="339" w:bottom="1440" w:gutter="0" w:footer="0" w:header="0"/>
        </w:sectPr>
      </w:pPr>
    </w:p>
    <w:bookmarkStart w:id="11" w:name="page12"/>
    <w:bookmarkEnd w:id="11"/>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(Unaudited -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40" w:type="dxa"/>
            <w:vAlign w:val="bottom"/>
          </w:tcPr>
          <w:p>
            <w:pPr>
              <w:spacing w:after="0"/>
              <w:rPr>
                <w:sz w:val="19"/>
                <w:szCs w:val="19"/>
                <w:color w:val="auto"/>
              </w:rPr>
            </w:pPr>
          </w:p>
        </w:tc>
        <w:tc>
          <w:tcPr>
            <w:tcW w:w="296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For the Three Months Ended June 30,</w:t>
            </w:r>
          </w:p>
        </w:tc>
        <w:tc>
          <w:tcPr>
            <w:tcW w:w="120" w:type="dxa"/>
            <w:vAlign w:val="bottom"/>
          </w:tcPr>
          <w:p>
            <w:pPr>
              <w:spacing w:after="0"/>
              <w:rPr>
                <w:sz w:val="19"/>
                <w:szCs w:val="19"/>
                <w:color w:val="auto"/>
              </w:rPr>
            </w:pPr>
          </w:p>
        </w:tc>
        <w:tc>
          <w:tcPr>
            <w:tcW w:w="272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Aviation segment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5,368.7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11,417.2</w:t>
            </w:r>
          </w:p>
        </w:tc>
        <w:tc>
          <w:tcPr>
            <w:tcW w:w="0" w:type="dxa"/>
            <w:vAlign w:val="bottom"/>
          </w:tcPr>
          <w:p>
            <w:pPr>
              <w:spacing w:after="0"/>
              <w:rPr>
                <w:sz w:val="1"/>
                <w:szCs w:val="1"/>
                <w:color w:val="auto"/>
              </w:rPr>
            </w:pP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Land segment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3,292.4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7,533.5</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Marine segment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2,304.1</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4,694.6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4,511.6</w:t>
            </w:r>
          </w:p>
        </w:tc>
        <w:tc>
          <w:tcPr>
            <w:tcW w:w="0" w:type="dxa"/>
            <w:vAlign w:val="bottom"/>
          </w:tcPr>
          <w:p>
            <w:pPr>
              <w:spacing w:after="0"/>
              <w:rPr>
                <w:sz w:val="1"/>
                <w:szCs w:val="1"/>
                <w:color w:val="auto"/>
              </w:rPr>
            </w:pPr>
          </w:p>
        </w:tc>
      </w:tr>
      <w:tr>
        <w:trPr>
          <w:trHeight w:val="210"/>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10,965.2</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10,980.7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21,916.6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23,462.3</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Aviation segment</w:t>
            </w:r>
          </w:p>
        </w:tc>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w:t>
            </w:r>
          </w:p>
        </w:tc>
        <w:tc>
          <w:tcPr>
            <w:tcW w:w="14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236.2</w:t>
            </w:r>
          </w:p>
        </w:tc>
        <w:tc>
          <w:tcPr>
            <w:tcW w:w="120" w:type="dxa"/>
            <w:vAlign w:val="bottom"/>
          </w:tcPr>
          <w:p>
            <w:pPr>
              <w:spacing w:after="0"/>
              <w:rPr>
                <w:sz w:val="18"/>
                <w:szCs w:val="18"/>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Land segment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221.6</w:t>
            </w:r>
          </w:p>
        </w:tc>
        <w:tc>
          <w:tcPr>
            <w:tcW w:w="0" w:type="dxa"/>
            <w:vAlign w:val="bottom"/>
          </w:tcPr>
          <w:p>
            <w:pPr>
              <w:spacing w:after="0"/>
              <w:rPr>
                <w:sz w:val="1"/>
                <w:szCs w:val="1"/>
                <w:color w:val="auto"/>
              </w:rPr>
            </w:pPr>
          </w:p>
        </w:tc>
      </w:tr>
      <w:tr>
        <w:trPr>
          <w:trHeight w:val="218"/>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Marine segment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gross profit</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Aviation segment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0" w:type="dxa"/>
            <w:vAlign w:val="bottom"/>
          </w:tcPr>
          <w:p>
            <w:pPr>
              <w:spacing w:after="0"/>
              <w:rPr>
                <w:sz w:val="1"/>
                <w:szCs w:val="1"/>
                <w:color w:val="auto"/>
              </w:rPr>
            </w:pPr>
          </w:p>
        </w:tc>
      </w:tr>
      <w:tr>
        <w:trPr>
          <w:trHeight w:val="21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Land segment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Marine segment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0" w:type="dxa"/>
            <w:vAlign w:val="bottom"/>
          </w:tcPr>
          <w:p>
            <w:pPr>
              <w:spacing w:after="0"/>
              <w:rPr>
                <w:sz w:val="1"/>
                <w:szCs w:val="1"/>
                <w:color w:val="auto"/>
              </w:rPr>
            </w:pPr>
          </w:p>
        </w:tc>
      </w:tr>
      <w:tr>
        <w:trPr>
          <w:trHeight w:val="218"/>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Corporate overhead - unallocated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income (loss) from operations</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SALES VOLUME SUPPLEMENTAL INFORMATION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(Unaudited -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40" w:type="dxa"/>
            <w:vAlign w:val="bottom"/>
          </w:tcPr>
          <w:p>
            <w:pPr>
              <w:spacing w:after="0"/>
              <w:rPr>
                <w:sz w:val="19"/>
                <w:szCs w:val="19"/>
                <w:color w:val="auto"/>
              </w:rPr>
            </w:pPr>
          </w:p>
        </w:tc>
        <w:tc>
          <w:tcPr>
            <w:tcW w:w="29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For the Three Months Ended June 30,</w:t>
            </w:r>
          </w:p>
        </w:tc>
        <w:tc>
          <w:tcPr>
            <w:tcW w:w="284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r>
      <w:tr>
        <w:trPr>
          <w:trHeight w:val="210"/>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Volume (Gallons):</w:t>
            </w:r>
          </w:p>
        </w:tc>
        <w:tc>
          <w:tcPr>
            <w:tcW w:w="13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0"/>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Aviation Segment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1,825.0</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3,498.1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3,623.7</w:t>
            </w:r>
          </w:p>
        </w:tc>
      </w:tr>
      <w:tr>
        <w:trPr>
          <w:trHeight w:val="218"/>
        </w:trPr>
        <w:tc>
          <w:tcPr>
            <w:tcW w:w="5440" w:type="dxa"/>
            <w:vAlign w:val="bottom"/>
          </w:tcPr>
          <w:p>
            <w:pPr>
              <w:ind w:left="120"/>
              <w:spacing w:after="0" w:line="218" w:lineRule="exact"/>
              <w:rPr>
                <w:sz w:val="20"/>
                <w:szCs w:val="20"/>
                <w:color w:val="auto"/>
              </w:rPr>
            </w:pPr>
            <w:r>
              <w:rPr>
                <w:rFonts w:ascii="Times New Roman" w:cs="Times New Roman" w:eastAsia="Times New Roman" w:hAnsi="Times New Roman"/>
                <w:sz w:val="17"/>
                <w:szCs w:val="17"/>
                <w:color w:val="auto"/>
              </w:rPr>
              <w:t xml:space="preserve">Land Segment </w:t>
            </w:r>
            <w:r>
              <w:rPr>
                <w:rFonts w:ascii="Times New Roman" w:cs="Times New Roman" w:eastAsia="Times New Roman" w:hAnsi="Times New Roman"/>
                <w:sz w:val="22"/>
                <w:szCs w:val="22"/>
                <w:color w:val="auto"/>
                <w:vertAlign w:val="superscript"/>
              </w:rPr>
              <w:t>(1)</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1,449.2</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1,507.6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3,047.4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3,072.3</w:t>
            </w:r>
          </w:p>
        </w:tc>
      </w:tr>
      <w:tr>
        <w:trPr>
          <w:trHeight w:val="218"/>
        </w:trPr>
        <w:tc>
          <w:tcPr>
            <w:tcW w:w="5440" w:type="dxa"/>
            <w:vAlign w:val="bottom"/>
            <w:shd w:val="clear" w:color="auto" w:fill="CCEEFF"/>
          </w:tcPr>
          <w:p>
            <w:pPr>
              <w:ind w:left="120"/>
              <w:spacing w:after="0" w:line="218" w:lineRule="exact"/>
              <w:rPr>
                <w:sz w:val="20"/>
                <w:szCs w:val="20"/>
                <w:color w:val="auto"/>
              </w:rPr>
            </w:pPr>
            <w:r>
              <w:rPr>
                <w:rFonts w:ascii="Times New Roman" w:cs="Times New Roman" w:eastAsia="Times New Roman" w:hAnsi="Times New Roman"/>
                <w:sz w:val="17"/>
                <w:szCs w:val="17"/>
                <w:color w:val="auto"/>
              </w:rPr>
              <w:t xml:space="preserve">Marine Segment </w:t>
            </w:r>
            <w:r>
              <w:rPr>
                <w:rFonts w:ascii="Times New Roman" w:cs="Times New Roman" w:eastAsia="Times New Roman" w:hAnsi="Times New Roman"/>
                <w:sz w:val="22"/>
                <w:szCs w:val="22"/>
                <w:color w:val="auto"/>
                <w:vertAlign w:val="superscript"/>
              </w:rPr>
              <w:t>(2)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1,098.4</w:t>
            </w:r>
          </w:p>
        </w:tc>
        <w:tc>
          <w:tcPr>
            <w:tcW w:w="14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1,111.2</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2,241.6</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2,241.2</w:t>
            </w:r>
          </w:p>
        </w:tc>
      </w:tr>
      <w:tr>
        <w:trPr>
          <w:trHeight w:val="210"/>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Consolidated 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4,372.6</w:t>
            </w:r>
          </w:p>
        </w:tc>
        <w:tc>
          <w:tcPr>
            <w:tcW w:w="14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4,465.4</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8,787.0</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8,937.1</w:t>
            </w:r>
          </w:p>
        </w:tc>
      </w:tr>
      <w:tr>
        <w:trPr>
          <w:trHeight w:val="20"/>
        </w:trPr>
        <w:tc>
          <w:tcPr>
            <w:tcW w:w="5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00" w:hanging="298"/>
        <w:spacing w:after="0"/>
        <w:tabs>
          <w:tab w:leader="none" w:pos="30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gallons and gallon equivalents of British Thermal Units (BTU) for our natural gas sales and Kilowatt Hours (kWh) for our power business.</w:t>
      </w:r>
    </w:p>
    <w:p>
      <w:pPr>
        <w:spacing w:after="0" w:line="85" w:lineRule="exact"/>
        <w:rPr>
          <w:rFonts w:ascii="Times New Roman" w:cs="Times New Roman" w:eastAsia="Times New Roman" w:hAnsi="Times New Roman"/>
          <w:sz w:val="22"/>
          <w:szCs w:val="22"/>
          <w:color w:val="auto"/>
          <w:vertAlign w:val="superscript"/>
        </w:rPr>
      </w:pPr>
    </w:p>
    <w:p>
      <w:pPr>
        <w:ind w:left="300" w:hanging="298"/>
        <w:spacing w:after="0" w:line="228" w:lineRule="auto"/>
        <w:tabs>
          <w:tab w:leader="none" w:pos="288"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Converted from metric tons to gallons at a rate of 264 gallons per metric ton. Marine segment metric tons were 4.2 and 4.2 for the three months ended June 30, 2024 and 2023, respectively; and 8.5 and 8.5 for the six months ended June 30, 2024 and 2023, respectively.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 - In millions,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11"/>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For the Three Months Ended June 30,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15"/>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GAAP to non-</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300"/>
              <w:spacing w:after="0" w:line="185" w:lineRule="exact"/>
              <w:rPr>
                <w:sz w:val="20"/>
                <w:szCs w:val="20"/>
                <w:color w:val="auto"/>
              </w:rPr>
            </w:pPr>
            <w:r>
              <w:rPr>
                <w:rFonts w:ascii="Times New Roman" w:cs="Times New Roman" w:eastAsia="Times New Roman" w:hAnsi="Times New Roman"/>
                <w:sz w:val="17"/>
                <w:szCs w:val="17"/>
                <w:color w:val="auto"/>
              </w:rPr>
              <w:t>Diluted</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center"/>
              <w:ind w:right="140"/>
              <w:spacing w:after="0" w:line="185" w:lineRule="exact"/>
              <w:rPr>
                <w:sz w:val="20"/>
                <w:szCs w:val="20"/>
                <w:color w:val="auto"/>
              </w:rPr>
            </w:pPr>
            <w:r>
              <w:rPr>
                <w:rFonts w:ascii="Times New Roman" w:cs="Times New Roman" w:eastAsia="Times New Roman" w:hAnsi="Times New Roman"/>
                <w:sz w:val="17"/>
                <w:szCs w:val="17"/>
                <w:color w:val="auto"/>
              </w:rPr>
              <w:t>Diluted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3"/>
          </w:tcPr>
          <w:p>
            <w:pPr>
              <w:jc w:val="center"/>
              <w:ind w:right="75"/>
              <w:spacing w:after="0" w:line="185" w:lineRule="exact"/>
              <w:rPr>
                <w:sz w:val="20"/>
                <w:szCs w:val="20"/>
                <w:color w:val="auto"/>
              </w:rPr>
            </w:pPr>
            <w:r>
              <w:rPr>
                <w:rFonts w:ascii="Times New Roman" w:cs="Times New Roman" w:eastAsia="Times New Roman" w:hAnsi="Times New Roman"/>
                <w:sz w:val="17"/>
                <w:szCs w:val="17"/>
                <w:color w:val="auto"/>
                <w:w w:val="97"/>
              </w:rPr>
              <w:t>Diluted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center"/>
              <w:ind w:right="220"/>
              <w:spacing w:after="0" w:line="185" w:lineRule="exact"/>
              <w:rPr>
                <w:sz w:val="20"/>
                <w:szCs w:val="20"/>
                <w:color w:val="auto"/>
              </w:rPr>
            </w:pPr>
            <w:r>
              <w:rPr>
                <w:rFonts w:ascii="Times New Roman" w:cs="Times New Roman" w:eastAsia="Times New Roman" w:hAnsi="Times New Roman"/>
                <w:sz w:val="17"/>
                <w:szCs w:val="17"/>
                <w:color w:val="auto"/>
                <w:w w:val="97"/>
              </w:rPr>
              <w:t>Diluted</w:t>
            </w:r>
          </w:p>
        </w:tc>
        <w:tc>
          <w:tcPr>
            <w:tcW w:w="0" w:type="dxa"/>
            <w:vAlign w:val="bottom"/>
          </w:tcPr>
          <w:p>
            <w:pPr>
              <w:spacing w:after="0"/>
              <w:rPr>
                <w:sz w:val="1"/>
                <w:szCs w:val="1"/>
                <w:color w:val="auto"/>
              </w:rPr>
            </w:pPr>
          </w:p>
        </w:tc>
      </w:tr>
      <w:tr>
        <w:trPr>
          <w:trHeight w:val="166"/>
        </w:trPr>
        <w:tc>
          <w:tcPr>
            <w:tcW w:w="28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right="140"/>
              <w:spacing w:after="0" w:line="167" w:lineRule="exact"/>
              <w:rPr>
                <w:sz w:val="20"/>
                <w:szCs w:val="20"/>
                <w:color w:val="auto"/>
              </w:rPr>
            </w:pPr>
            <w:r>
              <w:rPr>
                <w:rFonts w:ascii="Times New Roman" w:cs="Times New Roman" w:eastAsia="Times New Roman" w:hAnsi="Times New Roman"/>
                <w:sz w:val="17"/>
                <w:szCs w:val="17"/>
                <w:color w:val="auto"/>
              </w:rPr>
              <w:t>Earnings per</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Earnings per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Earnings per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20"/>
              <w:spacing w:after="0" w:line="167" w:lineRule="exact"/>
              <w:rPr>
                <w:sz w:val="20"/>
                <w:szCs w:val="20"/>
                <w:color w:val="auto"/>
              </w:rPr>
            </w:pPr>
            <w:r>
              <w:rPr>
                <w:rFonts w:ascii="Times New Roman" w:cs="Times New Roman" w:eastAsia="Times New Roman" w:hAnsi="Times New Roman"/>
                <w:sz w:val="17"/>
                <w:szCs w:val="17"/>
                <w:color w:val="auto"/>
                <w:w w:val="99"/>
              </w:rPr>
              <w:t>Earnings per</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GAAP financial measures:</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Share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8"/>
              </w:rPr>
              <w:t>Share</w:t>
            </w: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tcPr>
          <w:p>
            <w:pPr>
              <w:jc w:val="center"/>
              <w:ind w:right="115"/>
              <w:spacing w:after="0"/>
              <w:rPr>
                <w:sz w:val="20"/>
                <w:szCs w:val="20"/>
                <w:color w:val="auto"/>
              </w:rPr>
            </w:pPr>
            <w:r>
              <w:rPr>
                <w:rFonts w:ascii="Times New Roman" w:cs="Times New Roman" w:eastAsia="Times New Roman" w:hAnsi="Times New Roman"/>
                <w:sz w:val="17"/>
                <w:szCs w:val="17"/>
                <w:color w:val="auto"/>
                <w:w w:val="98"/>
              </w:rPr>
              <w:t>Share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Net Income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Share</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GAAP measure</w:t>
            </w:r>
          </w:p>
        </w:tc>
        <w:tc>
          <w:tcPr>
            <w:tcW w:w="44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1.81</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0.48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2.25</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52.7</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8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Acquisition and divestiture related</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expenses</w:t>
            </w:r>
          </w:p>
        </w:tc>
        <w:tc>
          <w:tcPr>
            <w:tcW w:w="4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sale of business</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impairments</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Finnish bid error</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impacts</w:t>
            </w:r>
          </w:p>
        </w:tc>
        <w:tc>
          <w:tcPr>
            <w:tcW w:w="4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non-GAAP measure</w:t>
            </w:r>
          </w:p>
        </w:tc>
        <w:tc>
          <w:tcPr>
            <w:tcW w:w="4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0.48</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0.48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0.94</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52.9</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Three Months Ended June 30,</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Borders>
              <w:bottom w:val="single" w:sz="8" w:color="auto"/>
            </w:tcBorders>
            <w:gridSpan w:val="1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measures:</w:t>
            </w:r>
          </w:p>
        </w:tc>
        <w:tc>
          <w:tcPr>
            <w:tcW w:w="4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including noncontrolling interest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30.5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expense and other financing costs, net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32.5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25.8</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98.6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Acquisition and divestiture related expenses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sale of business</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(0.6)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8"/>
        </w:trPr>
        <w:tc>
          <w:tcPr>
            <w:tcW w:w="2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impairments</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Finnish bid error</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2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4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4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98.8</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166.8</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185.7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29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5"/>
        </w:trPr>
        <w:tc>
          <w:tcPr>
            <w:tcW w:w="4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Three Months Ended June 30,</w:t>
            </w: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23"/>
        </w:trPr>
        <w:tc>
          <w:tcPr>
            <w:tcW w:w="4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159"/>
        </w:trPr>
        <w:tc>
          <w:tcPr>
            <w:tcW w:w="432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b w:val="1"/>
                <w:bCs w:val="1"/>
                <w:color w:val="auto"/>
              </w:rPr>
              <w:t>Reconciliation of GAAP to non-GAAP financial</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7"/>
                <w:szCs w:val="17"/>
                <w:color w:val="auto"/>
                <w:w w:val="99"/>
              </w:rPr>
              <w:t>Operating</w:t>
            </w:r>
          </w:p>
        </w:tc>
        <w:tc>
          <w:tcPr>
            <w:tcW w:w="140" w:type="dxa"/>
            <w:vAlign w:val="bottom"/>
          </w:tcPr>
          <w:p>
            <w:pPr>
              <w:spacing w:after="0"/>
              <w:rPr>
                <w:sz w:val="13"/>
                <w:szCs w:val="13"/>
                <w:color w:val="auto"/>
              </w:rPr>
            </w:pPr>
          </w:p>
        </w:tc>
        <w:tc>
          <w:tcPr>
            <w:tcW w:w="920" w:type="dxa"/>
            <w:vAlign w:val="bottom"/>
          </w:tcPr>
          <w:p>
            <w:pPr>
              <w:jc w:val="center"/>
              <w:ind w:right="75"/>
              <w:spacing w:after="0" w:line="159" w:lineRule="exact"/>
              <w:rPr>
                <w:sz w:val="20"/>
                <w:szCs w:val="20"/>
                <w:color w:val="auto"/>
              </w:rPr>
            </w:pPr>
            <w:r>
              <w:rPr>
                <w:rFonts w:ascii="Times New Roman" w:cs="Times New Roman" w:eastAsia="Times New Roman" w:hAnsi="Times New Roman"/>
                <w:sz w:val="17"/>
                <w:szCs w:val="17"/>
                <w:color w:val="auto"/>
                <w:w w:val="99"/>
              </w:rPr>
              <w:t>Operating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7"/>
                <w:szCs w:val="17"/>
                <w:color w:val="auto"/>
                <w:w w:val="99"/>
              </w:rPr>
              <w:t>Operating</w:t>
            </w:r>
          </w:p>
        </w:tc>
        <w:tc>
          <w:tcPr>
            <w:tcW w:w="140" w:type="dxa"/>
            <w:vAlign w:val="bottom"/>
          </w:tcPr>
          <w:p>
            <w:pPr>
              <w:spacing w:after="0"/>
              <w:rPr>
                <w:sz w:val="13"/>
                <w:szCs w:val="13"/>
                <w:color w:val="auto"/>
              </w:rPr>
            </w:pPr>
          </w:p>
        </w:tc>
        <w:tc>
          <w:tcPr>
            <w:tcW w:w="900" w:type="dxa"/>
            <w:vAlign w:val="bottom"/>
          </w:tcPr>
          <w:p>
            <w:pPr>
              <w:jc w:val="center"/>
              <w:ind w:right="55"/>
              <w:spacing w:after="0" w:line="159" w:lineRule="exact"/>
              <w:rPr>
                <w:sz w:val="20"/>
                <w:szCs w:val="20"/>
                <w:color w:val="auto"/>
              </w:rPr>
            </w:pPr>
            <w:r>
              <w:rPr>
                <w:rFonts w:ascii="Times New Roman" w:cs="Times New Roman" w:eastAsia="Times New Roman" w:hAnsi="Times New Roman"/>
                <w:sz w:val="17"/>
                <w:szCs w:val="17"/>
                <w:color w:val="auto"/>
                <w:w w:val="99"/>
              </w:rPr>
              <w:t>Operating</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measures:</w:t>
            </w:r>
          </w:p>
        </w:tc>
        <w:tc>
          <w:tcPr>
            <w:tcW w:w="10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Income</w:t>
            </w: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Expenses</w:t>
            </w:r>
          </w:p>
        </w:tc>
        <w:tc>
          <w:tcPr>
            <w:tcW w:w="140" w:type="dxa"/>
            <w:vAlign w:val="bottom"/>
          </w:tcPr>
          <w:p>
            <w:pPr>
              <w:spacing w:after="0"/>
              <w:rPr>
                <w:sz w:val="20"/>
                <w:szCs w:val="20"/>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Income</w:t>
            </w: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GAAP measure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245.2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281.7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75.5</w:t>
            </w:r>
          </w:p>
        </w:tc>
      </w:tr>
      <w:tr>
        <w:trPr>
          <w:trHeight w:val="218"/>
        </w:trPr>
        <w:tc>
          <w:tcPr>
            <w:tcW w:w="4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Acquisition and divestiture related expenses</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8"/>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 impairments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8"/>
        </w:trPr>
        <w:tc>
          <w:tcPr>
            <w:tcW w:w="4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Finnish bid error</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non-GAAP measure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245.2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191.6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281.7</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205.3</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76.3</w:t>
            </w:r>
          </w:p>
        </w:tc>
      </w:tr>
      <w:tr>
        <w:trPr>
          <w:trHeight w:val="20"/>
        </w:trPr>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52"/>
        </w:trPr>
        <w:tc>
          <w:tcPr>
            <w:tcW w:w="4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9"/>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4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159"/>
        </w:trPr>
        <w:tc>
          <w:tcPr>
            <w:tcW w:w="432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b w:val="1"/>
                <w:bCs w:val="1"/>
                <w:color w:val="auto"/>
              </w:rPr>
              <w:t>Reconciliation of GAAP to non-GAAP financial</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7"/>
                <w:szCs w:val="17"/>
                <w:color w:val="auto"/>
                <w:w w:val="99"/>
              </w:rPr>
              <w:t>Operating</w:t>
            </w:r>
          </w:p>
        </w:tc>
        <w:tc>
          <w:tcPr>
            <w:tcW w:w="140" w:type="dxa"/>
            <w:vAlign w:val="bottom"/>
          </w:tcPr>
          <w:p>
            <w:pPr>
              <w:spacing w:after="0"/>
              <w:rPr>
                <w:sz w:val="13"/>
                <w:szCs w:val="13"/>
                <w:color w:val="auto"/>
              </w:rPr>
            </w:pPr>
          </w:p>
        </w:tc>
        <w:tc>
          <w:tcPr>
            <w:tcW w:w="920" w:type="dxa"/>
            <w:vAlign w:val="bottom"/>
          </w:tcPr>
          <w:p>
            <w:pPr>
              <w:jc w:val="center"/>
              <w:ind w:right="75"/>
              <w:spacing w:after="0" w:line="159" w:lineRule="exact"/>
              <w:rPr>
                <w:sz w:val="20"/>
                <w:szCs w:val="20"/>
                <w:color w:val="auto"/>
              </w:rPr>
            </w:pPr>
            <w:r>
              <w:rPr>
                <w:rFonts w:ascii="Times New Roman" w:cs="Times New Roman" w:eastAsia="Times New Roman" w:hAnsi="Times New Roman"/>
                <w:sz w:val="17"/>
                <w:szCs w:val="17"/>
                <w:color w:val="auto"/>
                <w:w w:val="99"/>
              </w:rPr>
              <w:t>Operating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7"/>
                <w:szCs w:val="17"/>
                <w:color w:val="auto"/>
                <w:w w:val="99"/>
              </w:rPr>
              <w:t>Operating</w:t>
            </w:r>
          </w:p>
        </w:tc>
        <w:tc>
          <w:tcPr>
            <w:tcW w:w="140" w:type="dxa"/>
            <w:vAlign w:val="bottom"/>
          </w:tcPr>
          <w:p>
            <w:pPr>
              <w:spacing w:after="0"/>
              <w:rPr>
                <w:sz w:val="13"/>
                <w:szCs w:val="13"/>
                <w:color w:val="auto"/>
              </w:rPr>
            </w:pPr>
          </w:p>
        </w:tc>
        <w:tc>
          <w:tcPr>
            <w:tcW w:w="900" w:type="dxa"/>
            <w:vAlign w:val="bottom"/>
          </w:tcPr>
          <w:p>
            <w:pPr>
              <w:jc w:val="center"/>
              <w:ind w:right="55"/>
              <w:spacing w:after="0" w:line="159" w:lineRule="exact"/>
              <w:rPr>
                <w:sz w:val="20"/>
                <w:szCs w:val="20"/>
                <w:color w:val="auto"/>
              </w:rPr>
            </w:pPr>
            <w:r>
              <w:rPr>
                <w:rFonts w:ascii="Times New Roman" w:cs="Times New Roman" w:eastAsia="Times New Roman" w:hAnsi="Times New Roman"/>
                <w:sz w:val="17"/>
                <w:szCs w:val="17"/>
                <w:color w:val="auto"/>
                <w:w w:val="99"/>
              </w:rPr>
              <w:t>Operating</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measures:</w:t>
            </w:r>
          </w:p>
        </w:tc>
        <w:tc>
          <w:tcPr>
            <w:tcW w:w="10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Income</w:t>
            </w: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Expenses</w:t>
            </w:r>
          </w:p>
        </w:tc>
        <w:tc>
          <w:tcPr>
            <w:tcW w:w="140" w:type="dxa"/>
            <w:vAlign w:val="bottom"/>
          </w:tcPr>
          <w:p>
            <w:pPr>
              <w:spacing w:after="0"/>
              <w:rPr>
                <w:sz w:val="20"/>
                <w:szCs w:val="20"/>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Income</w:t>
            </w: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GAAP measure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544.4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404.3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140.1</w:t>
            </w:r>
          </w:p>
        </w:tc>
      </w:tr>
      <w:tr>
        <w:trPr>
          <w:trHeight w:val="218"/>
        </w:trPr>
        <w:tc>
          <w:tcPr>
            <w:tcW w:w="4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Acquisition and divestiture related expenses</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8"/>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 impairments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8"/>
        </w:trPr>
        <w:tc>
          <w:tcPr>
            <w:tcW w:w="4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Finnish bid error</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non-GAAP measure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499.3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381.4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118.0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544.4</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403.5</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140.9</w:t>
            </w:r>
          </w:p>
        </w:tc>
      </w:tr>
      <w:tr>
        <w:trPr>
          <w:trHeight w:val="20"/>
        </w:trPr>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sectPr>
      <w:pgSz w:w="11900" w:h="16838" w:orient="portrait"/>
      <w:cols w:equalWidth="0" w:num="1">
        <w:col w:w="11240"/>
      </w:cols>
      <w:pgMar w:left="320" w:top="1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2024-07-25T16:08:44Z</dcterms:created>
  <dcterms:modified xsi:type="dcterms:W3CDTF">2024-07-25T16:08:44Z</dcterms:modified>
</cp:coreProperties>
</file>