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5" w:right="139" w:bottom="1440" w:gutter="0" w:footer="0" w:header="0"/>
        </w:sectPr>
      </w:pPr>
    </w:p>
    <w:p>
      <w:pPr>
        <w:spacing w:after="0" w:line="6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4"/>
        </w:trPr>
        <w:tc>
          <w:tcPr>
            <w:tcW w:w="6520" w:type="dxa"/>
            <w:vAlign w:val="bottom"/>
          </w:tcPr>
          <w:p>
            <w:pPr>
              <w:jc w:val="center"/>
              <w:ind w:right="197"/>
              <w:spacing w:after="0" w:line="13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-934720</wp:posOffset>
            </wp:positionV>
            <wp:extent cx="7323455" cy="5639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56394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40" w:space="340"/>
            <w:col w:w="8840"/>
          </w:cols>
          <w:pgMar w:left="240" w:top="225" w:right="1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SHEA FRANCIS X</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1">
        <w:r>
          <w:rPr>
            <w:rFonts w:ascii="Arial" w:cs="Arial" w:eastAsia="Arial" w:hAnsi="Arial"/>
            <w:sz w:val="20"/>
            <w:szCs w:val="20"/>
            <w:u w:val="single" w:color="auto"/>
            <w:color w:val="0000EE"/>
          </w:rPr>
          <w:t>WORLD FUEL SERVICES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INT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04/30/2003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Executive VP and CFO</w:t>
      </w:r>
    </w:p>
    <w:p>
      <w:pPr>
        <w:spacing w:after="0" w:line="196" w:lineRule="exact"/>
        <w:rPr>
          <w:sz w:val="24"/>
          <w:szCs w:val="24"/>
          <w:color w:val="auto"/>
        </w:rPr>
      </w:pPr>
    </w:p>
    <w:p>
      <w:pPr>
        <w:sectPr>
          <w:pgSz w:w="11900" w:h="16838" w:orient="portrait"/>
          <w:cols w:equalWidth="0" w:num="3">
            <w:col w:w="3340" w:space="720"/>
            <w:col w:w="3620" w:space="35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7"/>
          </w:tcPr>
          <w:p>
            <w:pPr>
              <w:jc w:val="center"/>
              <w:ind w:right="98"/>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gridSpan w:val="4"/>
            <w:vMerge w:val="restart"/>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18"/>
              <w:spacing w:after="0"/>
              <w:rPr>
                <w:sz w:val="20"/>
                <w:szCs w:val="20"/>
                <w:color w:val="auto"/>
              </w:rPr>
            </w:pPr>
            <w:r>
              <w:rPr>
                <w:rFonts w:ascii="Arial" w:cs="Arial" w:eastAsia="Arial" w:hAnsi="Arial"/>
                <w:sz w:val="13"/>
                <w:szCs w:val="13"/>
                <w:color w:val="0000FF"/>
              </w:rPr>
              <w:t>20.7</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06/09/2003</w:t>
            </w:r>
          </w:p>
        </w:tc>
        <w:tc>
          <w:tcPr>
            <w:tcW w:w="1160" w:type="dxa"/>
            <w:vAlign w:val="bottom"/>
            <w:vMerge w:val="restart"/>
          </w:tcPr>
          <w:p>
            <w:pPr>
              <w:ind w:left="300"/>
              <w:spacing w:after="0"/>
              <w:rPr>
                <w:sz w:val="20"/>
                <w:szCs w:val="20"/>
                <w:color w:val="auto"/>
              </w:rPr>
            </w:pPr>
            <w:r>
              <w:rPr>
                <w:rFonts w:ascii="Arial" w:cs="Arial" w:eastAsia="Arial" w:hAnsi="Arial"/>
                <w:sz w:val="13"/>
                <w:szCs w:val="13"/>
                <w:color w:val="0000FF"/>
              </w:rPr>
              <w:t>04/30/2003</w:t>
            </w:r>
          </w:p>
        </w:tc>
        <w:tc>
          <w:tcPr>
            <w:tcW w:w="12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10,500</w:t>
            </w:r>
          </w:p>
        </w:tc>
        <w:tc>
          <w:tcPr>
            <w:tcW w:w="38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04/30/2004</w:t>
            </w:r>
            <w:r>
              <w:rPr>
                <w:rFonts w:ascii="Arial" w:cs="Arial" w:eastAsia="Arial" w:hAnsi="Arial"/>
                <w:sz w:val="22"/>
                <w:szCs w:val="22"/>
                <w:color w:val="008000"/>
                <w:vertAlign w:val="superscript"/>
              </w:rPr>
              <w:t>(1)</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04/30/2008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10,500</w:t>
            </w:r>
          </w:p>
        </w:tc>
        <w:tc>
          <w:tcPr>
            <w:tcW w:w="860" w:type="dxa"/>
            <w:vAlign w:val="bottom"/>
            <w:gridSpan w:val="3"/>
            <w:vMerge w:val="restart"/>
          </w:tcPr>
          <w:p>
            <w:pPr>
              <w:jc w:val="right"/>
              <w:ind w:right="139"/>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2.84</w:t>
            </w:r>
            <w:r>
              <w:rPr>
                <w:rFonts w:ascii="Arial" w:cs="Arial" w:eastAsia="Arial" w:hAnsi="Arial"/>
                <w:sz w:val="21"/>
                <w:szCs w:val="21"/>
                <w:color w:val="008000"/>
                <w:vertAlign w:val="superscript"/>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10,500</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Borders>
              <w:bottom w:val="single" w:sz="8" w:color="2C2C2C"/>
            </w:tcBorders>
            <w:vMerge w:val="continue"/>
          </w:tcPr>
          <w:p>
            <w:pPr>
              <w:spacing w:after="0"/>
              <w:rPr>
                <w:sz w:val="18"/>
                <w:szCs w:val="18"/>
                <w:color w:val="auto"/>
              </w:rPr>
            </w:pPr>
          </w:p>
        </w:tc>
        <w:tc>
          <w:tcPr>
            <w:tcW w:w="1080" w:type="dxa"/>
            <w:vAlign w:val="bottom"/>
            <w:tcBorders>
              <w:bottom w:val="single" w:sz="8" w:color="2C2C2C"/>
            </w:tcBorders>
            <w:vMerge w:val="continue"/>
          </w:tcPr>
          <w:p>
            <w:pPr>
              <w:spacing w:after="0"/>
              <w:rPr>
                <w:sz w:val="18"/>
                <w:szCs w:val="18"/>
                <w:color w:val="auto"/>
              </w:rPr>
            </w:pPr>
          </w:p>
        </w:tc>
        <w:tc>
          <w:tcPr>
            <w:tcW w:w="1160" w:type="dxa"/>
            <w:vAlign w:val="bottom"/>
            <w:tcBorders>
              <w:bottom w:val="single" w:sz="8" w:color="2C2C2C"/>
            </w:tcBorders>
            <w:vMerge w:val="continue"/>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vMerge w:val="continue"/>
          </w:tcPr>
          <w:p>
            <w:pPr>
              <w:spacing w:after="0"/>
              <w:rPr>
                <w:sz w:val="18"/>
                <w:szCs w:val="18"/>
                <w:color w:val="auto"/>
              </w:rPr>
            </w:pPr>
          </w:p>
        </w:tc>
        <w:tc>
          <w:tcPr>
            <w:tcW w:w="560" w:type="dxa"/>
            <w:vAlign w:val="bottom"/>
            <w:tcBorders>
              <w:bottom w:val="single" w:sz="8" w:color="2C2C2C"/>
            </w:tcBorders>
            <w:vMerge w:val="continue"/>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gridSpan w:val="2"/>
            <w:vMerge w:val="continue"/>
          </w:tcPr>
          <w:p>
            <w:pPr>
              <w:spacing w:after="0"/>
              <w:rPr>
                <w:sz w:val="18"/>
                <w:szCs w:val="18"/>
                <w:color w:val="auto"/>
              </w:rPr>
            </w:pPr>
          </w:p>
        </w:tc>
        <w:tc>
          <w:tcPr>
            <w:tcW w:w="680" w:type="dxa"/>
            <w:vAlign w:val="bottom"/>
            <w:tcBorders>
              <w:bottom w:val="single" w:sz="8" w:color="2C2C2C"/>
            </w:tcBorders>
            <w:vMerge w:val="continue"/>
          </w:tcPr>
          <w:p>
            <w:pPr>
              <w:spacing w:after="0"/>
              <w:rPr>
                <w:sz w:val="18"/>
                <w:szCs w:val="18"/>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Stock</w:t>
            </w:r>
          </w:p>
        </w:tc>
        <w:tc>
          <w:tcPr>
            <w:tcW w:w="480" w:type="dxa"/>
            <w:vAlign w:val="bottom"/>
            <w:tcBorders>
              <w:bottom w:val="single" w:sz="8" w:color="2C2C2C"/>
            </w:tcBorders>
            <w:vMerge w:val="continue"/>
          </w:tcPr>
          <w:p>
            <w:pPr>
              <w:spacing w:after="0"/>
              <w:rPr>
                <w:sz w:val="18"/>
                <w:szCs w:val="18"/>
                <w:color w:val="auto"/>
              </w:rPr>
            </w:pPr>
          </w:p>
        </w:tc>
        <w:tc>
          <w:tcPr>
            <w:tcW w:w="860" w:type="dxa"/>
            <w:vAlign w:val="bottom"/>
            <w:tcBorders>
              <w:bottom w:val="single" w:sz="8" w:color="2C2C2C"/>
            </w:tcBorders>
            <w:gridSpan w:val="3"/>
            <w:vMerge w:val="continue"/>
          </w:tcPr>
          <w:p>
            <w:pPr>
              <w:spacing w:after="0"/>
              <w:rPr>
                <w:sz w:val="18"/>
                <w:szCs w:val="18"/>
                <w:color w:val="auto"/>
              </w:rPr>
            </w:pPr>
          </w:p>
        </w:tc>
        <w:tc>
          <w:tcPr>
            <w:tcW w:w="600" w:type="dxa"/>
            <w:vAlign w:val="bottom"/>
            <w:tcBorders>
              <w:bottom w:val="single" w:sz="8" w:color="2C2C2C"/>
            </w:tcBorders>
            <w:vMerge w:val="continue"/>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vMerge w:val="continue"/>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78"/>
              <w:spacing w:after="0"/>
              <w:rPr>
                <w:sz w:val="20"/>
                <w:szCs w:val="20"/>
                <w:color w:val="auto"/>
              </w:rPr>
            </w:pPr>
            <w:r>
              <w:rPr>
                <w:rFonts w:ascii="Arial" w:cs="Arial" w:eastAsia="Arial" w:hAnsi="Arial"/>
                <w:sz w:val="13"/>
                <w:szCs w:val="13"/>
                <w:color w:val="0000FF"/>
              </w:rPr>
              <w:t>25</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06/09/2003</w:t>
            </w:r>
          </w:p>
        </w:tc>
        <w:tc>
          <w:tcPr>
            <w:tcW w:w="1160" w:type="dxa"/>
            <w:vAlign w:val="bottom"/>
            <w:vMerge w:val="restart"/>
          </w:tcPr>
          <w:p>
            <w:pPr>
              <w:ind w:left="300"/>
              <w:spacing w:after="0"/>
              <w:rPr>
                <w:sz w:val="20"/>
                <w:szCs w:val="20"/>
                <w:color w:val="auto"/>
              </w:rPr>
            </w:pPr>
            <w:r>
              <w:rPr>
                <w:rFonts w:ascii="Arial" w:cs="Arial" w:eastAsia="Arial" w:hAnsi="Arial"/>
                <w:sz w:val="13"/>
                <w:szCs w:val="13"/>
                <w:color w:val="0000FF"/>
              </w:rPr>
              <w:t>04/30/2003</w:t>
            </w:r>
          </w:p>
        </w:tc>
        <w:tc>
          <w:tcPr>
            <w:tcW w:w="12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14,500</w:t>
            </w:r>
          </w:p>
        </w:tc>
        <w:tc>
          <w:tcPr>
            <w:tcW w:w="38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04/30/2004</w:t>
            </w:r>
            <w:r>
              <w:rPr>
                <w:rFonts w:ascii="Arial" w:cs="Arial" w:eastAsia="Arial" w:hAnsi="Arial"/>
                <w:sz w:val="22"/>
                <w:szCs w:val="22"/>
                <w:color w:val="008000"/>
                <w:vertAlign w:val="superscript"/>
              </w:rPr>
              <w:t>(3)</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04/30/2008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14,500</w:t>
            </w:r>
          </w:p>
        </w:tc>
        <w:tc>
          <w:tcPr>
            <w:tcW w:w="860" w:type="dxa"/>
            <w:vAlign w:val="bottom"/>
            <w:gridSpan w:val="3"/>
            <w:vMerge w:val="restart"/>
          </w:tcPr>
          <w:p>
            <w:pPr>
              <w:jc w:val="right"/>
              <w:ind w:right="139"/>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1.46</w:t>
            </w:r>
            <w:r>
              <w:rPr>
                <w:rFonts w:ascii="Arial" w:cs="Arial" w:eastAsia="Arial" w:hAnsi="Arial"/>
                <w:sz w:val="21"/>
                <w:szCs w:val="21"/>
                <w:color w:val="008000"/>
                <w:vertAlign w:val="superscript"/>
              </w:rPr>
              <w:t>(2)</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14,500</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480" w:type="dxa"/>
            <w:vAlign w:val="bottom"/>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 in three annual installments as follows: 3,500 options will vest on April 30, 2004, 3,500 options will vest on April 30, 2005, and 3,500 options will vest on April 30, 2006.</w:t>
      </w:r>
    </w:p>
    <w:p>
      <w:pPr>
        <w:spacing w:after="0" w:line="50" w:lineRule="exact"/>
        <w:rPr>
          <w:rFonts w:ascii="Arial" w:cs="Arial" w:eastAsia="Arial" w:hAnsi="Arial"/>
          <w:sz w:val="13"/>
          <w:szCs w:val="13"/>
          <w:color w:val="008000"/>
        </w:rPr>
      </w:pPr>
    </w:p>
    <w:p>
      <w:pPr>
        <w:ind w:left="40" w:right="5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to the reporting person by the issuer in accordance with the issuer's 2001 Omnibus Plan. The number shown is the estimated value, as of the grant date, of a five-year option to purchase one share of common stock, but this amount was not paid by the reporting person to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 in three annual installments as follows: 4,833 will vest on April 30, 2004, 4,833 options will vest on April 30, 2005, and 4,834 options will vest on April 30, 2006.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Francis X. Shea</w:t>
            </w:r>
          </w:p>
        </w:tc>
        <w:tc>
          <w:tcPr>
            <w:tcW w:w="780" w:type="dxa"/>
            <w:vAlign w:val="bottom"/>
          </w:tcPr>
          <w:p>
            <w:pPr>
              <w:spacing w:after="0"/>
              <w:rPr>
                <w:sz w:val="20"/>
                <w:szCs w:val="20"/>
                <w:color w:val="auto"/>
              </w:rPr>
            </w:pPr>
            <w:r>
              <w:rPr>
                <w:rFonts w:ascii="Arial" w:cs="Arial" w:eastAsia="Arial" w:hAnsi="Arial"/>
                <w:sz w:val="17"/>
                <w:szCs w:val="17"/>
                <w:color w:val="0000FF"/>
                <w:w w:val="89"/>
              </w:rPr>
              <w:t>06/11/2003</w:t>
            </w:r>
          </w:p>
        </w:tc>
      </w:tr>
      <w:tr>
        <w:trPr>
          <w:trHeight w:val="20"/>
        </w:trPr>
        <w:tc>
          <w:tcPr>
            <w:tcW w:w="1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24993"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2019-12-18T06:25:58Z</dcterms:created>
  <dcterms:modified xsi:type="dcterms:W3CDTF">2019-12-18T06:25:58Z</dcterms:modified>
</cp:coreProperties>
</file>