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39"/>
        <w:spacing w:after="0"/>
        <w:rPr>
          <w:sz w:val="20"/>
          <w:szCs w:val="20"/>
          <w:color w:val="auto"/>
        </w:rPr>
      </w:pPr>
      <w:r>
        <w:rPr>
          <w:rFonts w:ascii="Arial" w:cs="Arial" w:eastAsia="Arial" w:hAnsi="Arial"/>
          <w:sz w:val="22"/>
          <w:szCs w:val="22"/>
          <w:color w:val="auto"/>
        </w:rPr>
        <w:t>UNITED STATES</w:t>
      </w:r>
    </w:p>
    <w:p>
      <w:pPr>
        <w:jc w:val="center"/>
        <w:ind w:right="-9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39"/>
        <w:spacing w:after="0" w:line="233" w:lineRule="auto"/>
        <w:rPr>
          <w:sz w:val="20"/>
          <w:szCs w:val="20"/>
          <w:color w:val="auto"/>
        </w:rPr>
      </w:pPr>
      <w:r>
        <w:rPr>
          <w:rFonts w:ascii="Arial" w:cs="Arial" w:eastAsia="Arial" w:hAnsi="Arial"/>
          <w:sz w:val="22"/>
          <w:szCs w:val="22"/>
          <w:color w:val="auto"/>
        </w:rPr>
        <w:t>Washington, D.C. 20549</w:t>
      </w:r>
    </w:p>
    <w:p>
      <w:pPr>
        <w:ind w:left="4300"/>
        <w:spacing w:after="0"/>
        <w:rPr>
          <w:sz w:val="20"/>
          <w:szCs w:val="20"/>
          <w:color w:val="auto"/>
        </w:rPr>
      </w:pPr>
      <w:r>
        <w:rPr>
          <w:rFonts w:ascii="Arial" w:cs="Arial" w:eastAsia="Arial" w:hAnsi="Arial"/>
          <w:sz w:val="20"/>
          <w:szCs w:val="20"/>
          <w:b w:val="1"/>
          <w:bCs w:val="1"/>
          <w:color w:val="auto"/>
        </w:rPr>
        <w:t>________________________</w:t>
      </w:r>
    </w:p>
    <w:p>
      <w:pPr>
        <w:spacing w:after="0" w:line="168" w:lineRule="exact"/>
        <w:rPr>
          <w:sz w:val="24"/>
          <w:szCs w:val="24"/>
          <w:color w:val="auto"/>
        </w:rPr>
      </w:pPr>
    </w:p>
    <w:p>
      <w:pPr>
        <w:jc w:val="center"/>
        <w:ind w:right="-939"/>
        <w:spacing w:after="0"/>
        <w:rPr>
          <w:sz w:val="20"/>
          <w:szCs w:val="20"/>
          <w:color w:val="auto"/>
        </w:rPr>
      </w:pPr>
      <w:r>
        <w:rPr>
          <w:rFonts w:ascii="Arial" w:cs="Arial" w:eastAsia="Arial" w:hAnsi="Arial"/>
          <w:sz w:val="25"/>
          <w:szCs w:val="25"/>
          <w:b w:val="1"/>
          <w:bCs w:val="1"/>
          <w:color w:val="auto"/>
        </w:rPr>
        <w:t>SCHEDULE 14A</w:t>
      </w:r>
    </w:p>
    <w:p>
      <w:pPr>
        <w:spacing w:after="0" w:line="15" w:lineRule="exact"/>
        <w:rPr>
          <w:sz w:val="24"/>
          <w:szCs w:val="24"/>
          <w:color w:val="auto"/>
        </w:rPr>
      </w:pPr>
    </w:p>
    <w:p>
      <w:pPr>
        <w:jc w:val="center"/>
        <w:ind w:right="-939"/>
        <w:spacing w:after="0"/>
        <w:rPr>
          <w:sz w:val="20"/>
          <w:szCs w:val="20"/>
          <w:color w:val="auto"/>
        </w:rPr>
      </w:pPr>
      <w:r>
        <w:rPr>
          <w:rFonts w:ascii="Arial" w:cs="Arial" w:eastAsia="Arial" w:hAnsi="Arial"/>
          <w:sz w:val="18"/>
          <w:szCs w:val="18"/>
          <w:color w:val="auto"/>
        </w:rPr>
        <w:t>(Rule 14a-101)</w:t>
      </w:r>
    </w:p>
    <w:p>
      <w:pPr>
        <w:jc w:val="center"/>
        <w:ind w:right="-939"/>
        <w:spacing w:after="0"/>
        <w:rPr>
          <w:sz w:val="20"/>
          <w:szCs w:val="20"/>
          <w:color w:val="auto"/>
        </w:rPr>
      </w:pPr>
      <w:r>
        <w:rPr>
          <w:rFonts w:ascii="Arial" w:cs="Arial" w:eastAsia="Arial" w:hAnsi="Arial"/>
          <w:sz w:val="18"/>
          <w:szCs w:val="18"/>
          <w:color w:val="auto"/>
        </w:rPr>
        <w:t>Proxy Statement Pursuant to Section 14(a) of the Securities Exchange Act of 1934 (Amendment No. )</w:t>
      </w:r>
    </w:p>
    <w:p>
      <w:pPr>
        <w:spacing w:after="0" w:line="81" w:lineRule="exact"/>
        <w:rPr>
          <w:sz w:val="24"/>
          <w:szCs w:val="24"/>
          <w:color w:val="auto"/>
        </w:rPr>
      </w:pPr>
    </w:p>
    <w:p>
      <w:pPr>
        <w:ind w:left="4300"/>
        <w:spacing w:after="0"/>
        <w:rPr>
          <w:sz w:val="20"/>
          <w:szCs w:val="20"/>
          <w:color w:val="auto"/>
        </w:rPr>
      </w:pPr>
      <w:r>
        <w:rPr>
          <w:rFonts w:ascii="Arial" w:cs="Arial" w:eastAsia="Arial" w:hAnsi="Arial"/>
          <w:sz w:val="20"/>
          <w:szCs w:val="20"/>
          <w:b w:val="1"/>
          <w:bCs w:val="1"/>
          <w:color w:val="auto"/>
        </w:rPr>
        <w:t>________________________</w:t>
      </w:r>
    </w:p>
    <w:p>
      <w:pPr>
        <w:spacing w:after="0" w:line="1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right="3720" w:firstLine="8"/>
        <w:spacing w:after="0" w:line="257" w:lineRule="exact"/>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4"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327" w:lineRule="exact"/>
        <w:rPr>
          <w:sz w:val="24"/>
          <w:szCs w:val="24"/>
          <w:color w:val="auto"/>
        </w:rPr>
      </w:pPr>
    </w:p>
    <w:p>
      <w:pPr>
        <w:ind w:left="4100"/>
        <w:spacing w:after="0"/>
        <w:rPr>
          <w:sz w:val="20"/>
          <w:szCs w:val="20"/>
          <w:color w:val="auto"/>
        </w:rPr>
      </w:pPr>
      <w:r>
        <w:rPr>
          <w:rFonts w:ascii="Arial" w:cs="Arial" w:eastAsia="Arial" w:hAnsi="Arial"/>
          <w:sz w:val="25"/>
          <w:szCs w:val="25"/>
          <w:b w:val="1"/>
          <w:bCs w:val="1"/>
          <w:u w:val="single" w:color="auto"/>
          <w:color w:val="auto"/>
        </w:rPr>
        <w:t>World Kinect Corporation</w:t>
      </w:r>
    </w:p>
    <w:p>
      <w:pPr>
        <w:spacing w:after="0" w:line="6"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(Name of Registrant as Specified in its Charter)</w:t>
      </w:r>
    </w:p>
    <w:p>
      <w:pPr>
        <w:spacing w:after="0" w:line="310" w:lineRule="exact"/>
        <w:rPr>
          <w:sz w:val="24"/>
          <w:szCs w:val="24"/>
          <w:color w:val="auto"/>
        </w:rPr>
      </w:pPr>
    </w:p>
    <w:p>
      <w:pPr>
        <w:ind w:left="940"/>
        <w:spacing w:after="0"/>
        <w:rPr>
          <w:sz w:val="20"/>
          <w:szCs w:val="20"/>
          <w:color w:val="auto"/>
        </w:rPr>
      </w:pPr>
      <w:r>
        <w:rPr>
          <w:rFonts w:ascii="Arial" w:cs="Arial" w:eastAsia="Arial" w:hAnsi="Arial"/>
          <w:sz w:val="19"/>
          <w:szCs w:val="19"/>
          <w:b w:val="1"/>
          <w:bCs w:val="1"/>
          <w:color w:val="auto"/>
        </w:rPr>
        <w:t>_____________________________________________________________________________________</w:t>
      </w:r>
    </w:p>
    <w:p>
      <w:pPr>
        <w:spacing w:after="0" w:line="55" w:lineRule="exact"/>
        <w:rPr>
          <w:sz w:val="24"/>
          <w:szCs w:val="24"/>
          <w:color w:val="auto"/>
        </w:rPr>
      </w:pPr>
    </w:p>
    <w:p>
      <w:pPr>
        <w:ind w:left="33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04"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0"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40" w:lineRule="exact"/>
        <w:rPr>
          <w:rFonts w:ascii="MS PGothic" w:cs="MS PGothic" w:eastAsia="MS PGothic" w:hAnsi="MS PGothic"/>
          <w:sz w:val="18"/>
          <w:szCs w:val="18"/>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031" w:right="127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20"/>
          <w:szCs w:val="20"/>
          <w:b w:val="1"/>
          <w:bCs w:val="1"/>
          <w:color w:val="auto"/>
        </w:rPr>
        <w:t>Explanatory Note</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World Kinect Corporation is filing the attached revised Definitive Proxy Statement on Schedule 14A for the sole purpose of including Inline eXtensible Business Reporting Language, or Inline XBRL, data tagging, which was inadvertently omitted from the Definitive Proxy Statement that was originally filed due to a processing error. There are no other modifications or updates to any disclosures presented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2" w:right="45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4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20" w:right="4900"/>
        <w:spacing w:after="0" w:line="293" w:lineRule="auto"/>
        <w:rPr>
          <w:sz w:val="20"/>
          <w:szCs w:val="20"/>
          <w:color w:val="auto"/>
        </w:rPr>
      </w:pPr>
      <w:r>
        <w:rPr>
          <w:rFonts w:ascii="Arial" w:cs="Arial" w:eastAsia="Arial" w:hAnsi="Arial"/>
          <w:sz w:val="53"/>
          <w:szCs w:val="53"/>
          <w:b w:val="1"/>
          <w:bCs w:val="1"/>
          <w:color w:val="01549C"/>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-803910</wp:posOffset>
            </wp:positionV>
            <wp:extent cx="1157605"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7605" cy="617220"/>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p>
      <w:pPr>
        <w:spacing w:after="0" w:line="271" w:lineRule="exact"/>
        <w:rPr>
          <w:sz w:val="20"/>
          <w:szCs w:val="20"/>
          <w:color w:val="auto"/>
        </w:rPr>
      </w:pPr>
    </w:p>
    <w:p>
      <w:pPr>
        <w:ind w:left="780"/>
        <w:spacing w:after="0"/>
        <w:tabs>
          <w:tab w:leader="none" w:pos="4520" w:val="left"/>
        </w:tabs>
        <w:rPr>
          <w:sz w:val="20"/>
          <w:szCs w:val="20"/>
          <w:color w:val="auto"/>
        </w:rPr>
      </w:pPr>
      <w:r>
        <w:rPr>
          <w:rFonts w:ascii="Arial" w:cs="Arial" w:eastAsia="Arial" w:hAnsi="Arial"/>
          <w:sz w:val="16"/>
          <w:szCs w:val="16"/>
          <w:b w:val="1"/>
          <w:bCs w:val="1"/>
          <w:color w:val="00529B"/>
        </w:rPr>
        <w:t>DATE AND TIME</w:t>
      </w:r>
      <w:r>
        <w:rPr>
          <w:sz w:val="20"/>
          <w:szCs w:val="20"/>
          <w:color w:val="auto"/>
        </w:rPr>
        <w:tab/>
      </w:r>
      <w:r>
        <w:rPr>
          <w:rFonts w:ascii="Arial" w:cs="Arial" w:eastAsia="Arial" w:hAnsi="Arial"/>
          <w:sz w:val="16"/>
          <w:szCs w:val="16"/>
          <w:b w:val="1"/>
          <w:bCs w:val="1"/>
          <w:color w:val="00529B"/>
        </w:rPr>
        <w:t>LOCATION</w:t>
      </w:r>
    </w:p>
    <w:p>
      <w:pPr>
        <w:spacing w:after="0" w:line="131" w:lineRule="exact"/>
        <w:rPr>
          <w:sz w:val="20"/>
          <w:szCs w:val="20"/>
          <w:color w:val="auto"/>
        </w:rPr>
      </w:pPr>
    </w:p>
    <w:p>
      <w:pPr>
        <w:ind w:left="780"/>
        <w:spacing w:after="0"/>
        <w:tabs>
          <w:tab w:leader="none" w:pos="4520" w:val="left"/>
        </w:tabs>
        <w:rPr>
          <w:sz w:val="20"/>
          <w:szCs w:val="20"/>
          <w:color w:val="auto"/>
        </w:rPr>
      </w:pPr>
      <w:r>
        <w:rPr>
          <w:rFonts w:ascii="Arial" w:cs="Arial" w:eastAsia="Arial" w:hAnsi="Arial"/>
          <w:sz w:val="14"/>
          <w:szCs w:val="14"/>
          <w:color w:val="4D4D4F"/>
        </w:rPr>
        <w:t>Thursday, June 6, 2024</w:t>
      </w:r>
      <w:r>
        <w:rPr>
          <w:sz w:val="20"/>
          <w:szCs w:val="20"/>
          <w:color w:val="auto"/>
        </w:rPr>
        <w:tab/>
      </w:r>
      <w:r>
        <w:rPr>
          <w:rFonts w:ascii="Arial" w:cs="Arial" w:eastAsia="Arial" w:hAnsi="Arial"/>
          <w:sz w:val="14"/>
          <w:szCs w:val="14"/>
          <w:color w:val="4D4D4F"/>
        </w:rPr>
        <w:t>Our meeting will be held at the offices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240030"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-95885</wp:posOffset>
            </wp:positionV>
            <wp:extent cx="24003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-95885</wp:posOffset>
            </wp:positionV>
            <wp:extent cx="24003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9" w:lineRule="exact"/>
        <w:rPr>
          <w:sz w:val="20"/>
          <w:szCs w:val="20"/>
          <w:color w:val="auto"/>
        </w:rPr>
      </w:pPr>
    </w:p>
    <w:p>
      <w:pPr>
        <w:ind w:left="780"/>
        <w:spacing w:after="0"/>
        <w:tabs>
          <w:tab w:leader="none" w:pos="4520" w:val="left"/>
        </w:tabs>
        <w:rPr>
          <w:sz w:val="20"/>
          <w:szCs w:val="20"/>
          <w:color w:val="auto"/>
        </w:rPr>
      </w:pPr>
      <w:r>
        <w:rPr>
          <w:rFonts w:ascii="Arial" w:cs="Arial" w:eastAsia="Arial" w:hAnsi="Arial"/>
          <w:sz w:val="14"/>
          <w:szCs w:val="14"/>
          <w:color w:val="4D4D4F"/>
        </w:rPr>
        <w:t>8:00 a.m., Eastern Time</w:t>
      </w:r>
      <w:r>
        <w:rPr>
          <w:sz w:val="20"/>
          <w:szCs w:val="20"/>
          <w:color w:val="auto"/>
        </w:rPr>
        <w:tab/>
      </w:r>
      <w:r>
        <w:rPr>
          <w:rFonts w:ascii="Arial" w:cs="Arial" w:eastAsia="Arial" w:hAnsi="Arial"/>
          <w:sz w:val="14"/>
          <w:szCs w:val="14"/>
          <w:color w:val="4D4D4F"/>
        </w:rPr>
        <w:t>Norton Rose Fulbright US LLP, 1301</w:t>
      </w:r>
    </w:p>
    <w:p>
      <w:pPr>
        <w:spacing w:after="0" w:line="27" w:lineRule="exact"/>
        <w:rPr>
          <w:sz w:val="20"/>
          <w:szCs w:val="20"/>
          <w:color w:val="auto"/>
        </w:rPr>
      </w:pPr>
    </w:p>
    <w:p>
      <w:pPr>
        <w:ind w:left="4540" w:right="540"/>
        <w:spacing w:after="0" w:line="284" w:lineRule="auto"/>
        <w:rPr>
          <w:sz w:val="20"/>
          <w:szCs w:val="20"/>
          <w:color w:val="auto"/>
        </w:rPr>
      </w:pPr>
      <w:r>
        <w:rPr>
          <w:rFonts w:ascii="Arial" w:cs="Arial" w:eastAsia="Arial" w:hAnsi="Arial"/>
          <w:sz w:val="14"/>
          <w:szCs w:val="14"/>
          <w:color w:val="4D4D4F"/>
        </w:rPr>
        <w:t>Avenue of the Americas, 30th Floor, 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516890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8900" cy="14605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5168900"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8900" cy="462915"/>
                    </a:xfrm>
                    <a:prstGeom prst="rect">
                      <a:avLst/>
                    </a:prstGeom>
                    <a:noFill/>
                  </pic:spPr>
                </pic:pic>
              </a:graphicData>
            </a:graphic>
          </wp:anchor>
        </w:drawing>
      </w:r>
    </w:p>
    <w:p>
      <w:pPr>
        <w:spacing w:after="0" w:line="74" w:lineRule="exact"/>
        <w:rPr>
          <w:sz w:val="20"/>
          <w:szCs w:val="20"/>
          <w:color w:val="auto"/>
        </w:rPr>
      </w:pPr>
    </w:p>
    <w:p>
      <w:pPr>
        <w:ind w:left="880" w:hanging="547"/>
        <w:spacing w:after="0"/>
        <w:tabs>
          <w:tab w:leader="none" w:pos="880" w:val="left"/>
        </w:tabs>
        <w:numPr>
          <w:ilvl w:val="0"/>
          <w:numId w:val="4"/>
        </w:numPr>
        <w:rPr>
          <w:rFonts w:ascii="Arial" w:cs="Arial" w:eastAsia="Arial" w:hAnsi="Arial"/>
          <w:sz w:val="36"/>
          <w:szCs w:val="36"/>
          <w:b w:val="1"/>
          <w:bCs w:val="1"/>
          <w:color w:val="578EB1"/>
        </w:rPr>
      </w:pPr>
      <w:r>
        <w:rPr>
          <w:rFonts w:ascii="Arial" w:cs="Arial" w:eastAsia="Arial" w:hAnsi="Arial"/>
          <w:sz w:val="16"/>
          <w:szCs w:val="16"/>
          <w:color w:val="4D4D4F"/>
        </w:rPr>
        <w:t>To elect as directors the nine nominees named in the attached proxy statement</w:t>
      </w:r>
    </w:p>
    <w:p>
      <w:pPr>
        <w:spacing w:after="0" w:line="180" w:lineRule="exact"/>
        <w:rPr>
          <w:sz w:val="20"/>
          <w:szCs w:val="20"/>
          <w:color w:val="auto"/>
        </w:rPr>
      </w:pPr>
    </w:p>
    <w:p>
      <w:pPr>
        <w:ind w:left="880" w:hanging="547"/>
        <w:spacing w:after="0"/>
        <w:tabs>
          <w:tab w:leader="none" w:pos="880" w:val="left"/>
        </w:tabs>
        <w:numPr>
          <w:ilvl w:val="0"/>
          <w:numId w:val="5"/>
        </w:numPr>
        <w:rPr>
          <w:rFonts w:ascii="Arial" w:cs="Arial" w:eastAsia="Arial" w:hAnsi="Arial"/>
          <w:sz w:val="36"/>
          <w:szCs w:val="36"/>
          <w:b w:val="1"/>
          <w:bCs w:val="1"/>
          <w:color w:val="578EB1"/>
        </w:rPr>
      </w:pPr>
      <w:r>
        <w:rPr>
          <w:rFonts w:ascii="Arial" w:cs="Arial" w:eastAsia="Arial" w:hAnsi="Arial"/>
          <w:sz w:val="16"/>
          <w:szCs w:val="16"/>
          <w:color w:val="4D4D4F"/>
        </w:rPr>
        <w:t>To approve, on a non-binding advisory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516890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8900" cy="308610"/>
                    </a:xfrm>
                    <a:prstGeom prst="rect">
                      <a:avLst/>
                    </a:prstGeom>
                    <a:noFill/>
                  </pic:spPr>
                </pic:pic>
              </a:graphicData>
            </a:graphic>
          </wp:anchor>
        </w:drawing>
      </w:r>
    </w:p>
    <w:p>
      <w:pPr>
        <w:spacing w:after="0" w:line="130" w:lineRule="exact"/>
        <w:rPr>
          <w:sz w:val="20"/>
          <w:szCs w:val="20"/>
          <w:color w:val="auto"/>
        </w:rPr>
      </w:pPr>
    </w:p>
    <w:p>
      <w:pPr>
        <w:ind w:left="880" w:hanging="547"/>
        <w:spacing w:after="0" w:line="183" w:lineRule="auto"/>
        <w:tabs>
          <w:tab w:leader="none" w:pos="880" w:val="left"/>
        </w:tabs>
        <w:numPr>
          <w:ilvl w:val="0"/>
          <w:numId w:val="6"/>
        </w:numPr>
        <w:rPr>
          <w:rFonts w:ascii="Arial" w:cs="Arial" w:eastAsia="Arial" w:hAnsi="Arial"/>
          <w:sz w:val="35"/>
          <w:szCs w:val="35"/>
          <w:b w:val="1"/>
          <w:bCs w:val="1"/>
          <w:color w:val="578EB1"/>
          <w:vertAlign w:val="subscript"/>
        </w:rPr>
      </w:pPr>
      <w:r>
        <w:rPr>
          <w:rFonts w:ascii="Arial" w:cs="Arial" w:eastAsia="Arial" w:hAnsi="Arial"/>
          <w:sz w:val="14"/>
          <w:szCs w:val="14"/>
          <w:color w:val="4D4D4F"/>
        </w:rPr>
        <w:t>To ratify the appointment of PricewaterhouseCoopers LLP as our independent registered public accounting firm for the 2024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00529B"/>
        </w:rPr>
        <w:t>RECORD DATE</w:t>
      </w:r>
    </w:p>
    <w:p>
      <w:pPr>
        <w:spacing w:after="0" w:line="131"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4D4D4F"/>
        </w:rPr>
        <w:t>Shareholders of record at the close of business on April 11, 2024 are entitled to notice of, and to vote at, the meeting and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142875</wp:posOffset>
            </wp:positionV>
            <wp:extent cx="196278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2785" cy="146050"/>
                    </a:xfrm>
                    <a:prstGeom prst="rect">
                      <a:avLst/>
                    </a:prstGeom>
                    <a:noFill/>
                  </pic:spPr>
                </pic:pic>
              </a:graphicData>
            </a:graphic>
          </wp:anchor>
        </w:drawing>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32385</wp:posOffset>
            </wp:positionV>
            <wp:extent cx="1962785"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2785" cy="462915"/>
                    </a:xfrm>
                    <a:prstGeom prst="rect">
                      <a:avLst/>
                    </a:prstGeom>
                    <a:noFill/>
                  </pic:spPr>
                </pic:pic>
              </a:graphicData>
            </a:graphic>
          </wp:anchor>
        </w:drawing>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298655"/>
        </w:rPr>
        <w:t>“FOR”</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6"/>
          <w:szCs w:val="16"/>
          <w:color w:val="298655"/>
        </w:rPr>
        <w:t>each Director Nominee</w:t>
      </w:r>
    </w:p>
    <w:p>
      <w:pPr>
        <w:spacing w:after="0" w:line="262" w:lineRule="exact"/>
        <w:rPr>
          <w:sz w:val="20"/>
          <w:szCs w:val="20"/>
          <w:color w:val="auto"/>
        </w:rPr>
      </w:pPr>
    </w:p>
    <w:p>
      <w:pPr>
        <w:ind w:left="1100"/>
        <w:spacing w:after="0"/>
        <w:rPr>
          <w:sz w:val="20"/>
          <w:szCs w:val="20"/>
          <w:color w:val="auto"/>
        </w:rPr>
      </w:pPr>
      <w:r>
        <w:rPr>
          <w:rFonts w:ascii="Arial" w:cs="Arial" w:eastAsia="Arial" w:hAnsi="Arial"/>
          <w:sz w:val="25"/>
          <w:szCs w:val="25"/>
          <w:b w:val="1"/>
          <w:bCs w:val="1"/>
          <w:color w:val="298655"/>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196278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2785" cy="308610"/>
                    </a:xfrm>
                    <a:prstGeom prst="rect">
                      <a:avLst/>
                    </a:prstGeom>
                    <a:noFill/>
                  </pic:spPr>
                </pic:pic>
              </a:graphicData>
            </a:graphic>
          </wp:anchor>
        </w:drawing>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25"/>
          <w:szCs w:val="25"/>
          <w:b w:val="1"/>
          <w:bCs w:val="1"/>
          <w:color w:val="298655"/>
        </w:rPr>
        <w:t>“FOR”</w:t>
      </w:r>
    </w:p>
    <w:p>
      <w:pPr>
        <w:spacing w:after="0" w:line="285" w:lineRule="exact"/>
        <w:rPr>
          <w:sz w:val="20"/>
          <w:szCs w:val="20"/>
          <w:color w:val="auto"/>
        </w:rPr>
      </w:pPr>
    </w:p>
    <w:p>
      <w:pPr>
        <w:sectPr>
          <w:pgSz w:w="11900" w:h="16838" w:orient="portrait"/>
          <w:cols w:equalWidth="0" w:num="2">
            <w:col w:w="7700" w:space="500"/>
            <w:col w:w="3020"/>
          </w:cols>
          <w:pgMar w:left="320" w:top="945" w:right="359" w:bottom="1440" w:gutter="0" w:footer="0" w:header="0"/>
          <w:type w:val="continuous"/>
        </w:sectPr>
      </w:pPr>
    </w:p>
    <w:p>
      <w:pPr>
        <w:spacing w:after="0" w:line="9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4D4D4F"/>
        </w:rPr>
        <w:t>Shareholders will also transact such other business as may properly come before the 2024 annual meeting of shareholders, or the Annual Meeting, or any adjournment or postponement thereof. These matters are more fully discussed in the accompanying proxy statement. Our Board of Directors is soliciting proxies from shareholders who wish to vote at the Annual Meeting.</w:t>
      </w:r>
    </w:p>
    <w:p>
      <w:pPr>
        <w:spacing w:after="0" w:line="11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b w:val="1"/>
          <w:bCs w:val="1"/>
          <w:color w:val="4D4D4F"/>
        </w:rPr>
        <w:t>Whether or not you expect to attend the meeting, please vote using the Internet, by telephone or by mail, in each case, by following the instructions in our proxy statement. Shareholders who execute a proxy may nevertheless attend the meeting, revoke their proxy and vote their shares during the meeting.</w:t>
      </w:r>
    </w:p>
    <w:p>
      <w:pPr>
        <w:spacing w:after="0" w:line="160" w:lineRule="exact"/>
        <w:rPr>
          <w:sz w:val="20"/>
          <w:szCs w:val="20"/>
          <w:color w:val="auto"/>
        </w:rPr>
      </w:pPr>
    </w:p>
    <w:p>
      <w:pPr>
        <w:ind w:left="4540"/>
        <w:spacing w:after="0"/>
        <w:rPr>
          <w:sz w:val="20"/>
          <w:szCs w:val="20"/>
          <w:color w:val="auto"/>
        </w:rPr>
      </w:pPr>
      <w:r>
        <w:rPr>
          <w:rFonts w:ascii="Arial" w:cs="Arial" w:eastAsia="Arial" w:hAnsi="Arial"/>
          <w:sz w:val="16"/>
          <w:szCs w:val="16"/>
          <w:color w:val="4D4D4F"/>
        </w:rPr>
        <w:t>By Order of the Board of Directors</w:t>
      </w:r>
    </w:p>
    <w:p>
      <w:pPr>
        <w:spacing w:after="0" w:line="86"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4D4D4F"/>
        </w:rPr>
        <w:t>WORLD KINECT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149225</wp:posOffset>
            </wp:positionV>
            <wp:extent cx="82296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00529B"/>
        </w:rPr>
        <w:t>Amy Quintana Avalos</w:t>
      </w:r>
    </w:p>
    <w:p>
      <w:pPr>
        <w:spacing w:after="0" w:line="83" w:lineRule="exact"/>
        <w:rPr>
          <w:sz w:val="20"/>
          <w:szCs w:val="20"/>
          <w:color w:val="auto"/>
        </w:rPr>
      </w:pPr>
    </w:p>
    <w:p>
      <w:pPr>
        <w:ind w:left="4540"/>
        <w:spacing w:after="0"/>
        <w:rPr>
          <w:sz w:val="20"/>
          <w:szCs w:val="20"/>
          <w:color w:val="auto"/>
        </w:rPr>
      </w:pPr>
      <w:r>
        <w:rPr>
          <w:rFonts w:ascii="Arial" w:cs="Arial" w:eastAsia="Arial" w:hAnsi="Arial"/>
          <w:sz w:val="14"/>
          <w:szCs w:val="14"/>
          <w:i w:val="1"/>
          <w:iCs w:val="1"/>
          <w:color w:val="4D4D4F"/>
        </w:rPr>
        <w:t>Senior Vice President, Chief Sustainability Business Officer and Corporate Secretary</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Voting Methods</w:t>
      </w:r>
    </w:p>
    <w:p>
      <w:pPr>
        <w:spacing w:after="0" w:line="155"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4D4D4F"/>
        </w:rPr>
        <w:t>You can vote by proxy whether or not you attend the Annual Meeting. To vote by proxy, you have a choice of voting over the Internet, by telephone or by using a traditional proxy card.</w:t>
      </w:r>
    </w:p>
    <w:p>
      <w:pPr>
        <w:sectPr>
          <w:pgSz w:w="11900" w:h="16838" w:orient="portrait"/>
          <w:cols w:equalWidth="0" w:num="1">
            <w:col w:w="11220"/>
          </w:cols>
          <w:pgMar w:left="320" w:top="945" w:right="359" w:bottom="1440" w:gutter="0" w:footer="0" w:header="0"/>
          <w:type w:val="continuous"/>
        </w:sectPr>
      </w:pP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00529B"/>
        </w:rPr>
        <w:t>INTERNET</w:t>
      </w:r>
    </w:p>
    <w:p>
      <w:pPr>
        <w:spacing w:after="0" w:line="145" w:lineRule="exact"/>
        <w:rPr>
          <w:sz w:val="20"/>
          <w:szCs w:val="20"/>
          <w:color w:val="auto"/>
        </w:rPr>
      </w:pPr>
    </w:p>
    <w:p>
      <w:pPr>
        <w:ind w:left="760" w:right="560"/>
        <w:spacing w:after="0" w:line="282" w:lineRule="auto"/>
        <w:rPr>
          <w:sz w:val="20"/>
          <w:szCs w:val="20"/>
          <w:color w:val="auto"/>
        </w:rPr>
      </w:pPr>
      <w:r>
        <w:rPr>
          <w:rFonts w:ascii="Arial" w:cs="Arial" w:eastAsia="Arial" w:hAnsi="Arial"/>
          <w:sz w:val="14"/>
          <w:szCs w:val="14"/>
          <w:color w:val="4D4D4F"/>
        </w:rPr>
        <w:t>Visit www.proxyvote.com and follow the instructions. You will need the 16-digit control number included on your proxy card, voter instruction form 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-431165</wp:posOffset>
            </wp:positionV>
            <wp:extent cx="24003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00529B"/>
        </w:rPr>
        <w:t>TELEPHONE</w:t>
      </w:r>
    </w:p>
    <w:p>
      <w:pPr>
        <w:spacing w:after="0" w:line="145" w:lineRule="exact"/>
        <w:rPr>
          <w:sz w:val="20"/>
          <w:szCs w:val="20"/>
          <w:color w:val="auto"/>
        </w:rPr>
      </w:pPr>
    </w:p>
    <w:p>
      <w:pPr>
        <w:ind w:right="400"/>
        <w:spacing w:after="0" w:line="277" w:lineRule="auto"/>
        <w:rPr>
          <w:sz w:val="20"/>
          <w:szCs w:val="20"/>
          <w:color w:val="auto"/>
        </w:rPr>
      </w:pPr>
      <w:r>
        <w:rPr>
          <w:rFonts w:ascii="Arial" w:cs="Arial" w:eastAsia="Arial" w:hAnsi="Arial"/>
          <w:sz w:val="14"/>
          <w:szCs w:val="14"/>
          <w:color w:val="4D4D4F"/>
        </w:rPr>
        <w:t>Dial the number listed on your proxy card, your voter instruction form or Notice. You will need the 16-digit control number included on your proxy card, voter instruction form 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-540385</wp:posOffset>
            </wp:positionV>
            <wp:extent cx="24003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00529B"/>
        </w:rPr>
        <w:t>MAIL</w:t>
      </w:r>
    </w:p>
    <w:p>
      <w:pPr>
        <w:spacing w:after="0" w:line="145"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4D4D4F"/>
        </w:rPr>
        <w:t>If wish to vote by traditional proxy card, you can request a full set of materials at no charge through www.proxyvote.com or the phone number listed on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-431165</wp:posOffset>
            </wp:positionV>
            <wp:extent cx="24003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72" w:lineRule="exact"/>
        <w:rPr>
          <w:sz w:val="20"/>
          <w:szCs w:val="20"/>
          <w:color w:val="auto"/>
        </w:rPr>
      </w:pPr>
    </w:p>
    <w:p>
      <w:pPr>
        <w:sectPr>
          <w:pgSz w:w="11900" w:h="16838" w:orient="portrait"/>
          <w:cols w:equalWidth="0" w:num="3">
            <w:col w:w="3840" w:space="720"/>
            <w:col w:w="3240" w:space="720"/>
            <w:col w:w="2700"/>
          </w:cols>
          <w:pgMar w:left="320" w:top="945" w:right="359" w:bottom="1440" w:gutter="0" w:footer="0" w:header="0"/>
          <w:type w:val="continuous"/>
        </w:sectPr>
      </w:pPr>
    </w:p>
    <w:p>
      <w:pPr>
        <w:spacing w:after="0" w:line="95"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4D4D4F"/>
        </w:rPr>
        <w:t>We mailed a Notice of Internet Availability of Proxy Materials containing instructions on how to access our proxy statement and Annual Report for the year ended December 31, 2023 on or about April 26, 2024.</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4D4D4F"/>
        </w:rPr>
        <w:t xml:space="preserve">Our proxy statement and Annual Report are available online at: </w:t>
      </w:r>
      <w:r>
        <w:rPr>
          <w:rFonts w:ascii="Arial" w:cs="Arial" w:eastAsia="Arial" w:hAnsi="Arial"/>
          <w:sz w:val="16"/>
          <w:szCs w:val="16"/>
          <w:u w:val="single" w:color="auto"/>
          <w:color w:val="00529B"/>
        </w:rPr>
        <w:t>www.proxyvote.com.</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4D4D4F"/>
        </w:rPr>
        <w:t>WORLD KINECT CORPORATION 9800 Northwest 41st Street, Miami, Florida 33178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340"/>
        <w:spacing w:after="0"/>
        <w:tabs>
          <w:tab w:leader="none" w:pos="11120" w:val="left"/>
        </w:tabs>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r>
        <w:rPr>
          <w:sz w:val="20"/>
          <w:szCs w:val="20"/>
          <w:color w:val="auto"/>
        </w:rPr>
        <w:tab/>
      </w:r>
      <w:r>
        <w:rPr>
          <w:rFonts w:ascii="Arial" w:cs="Arial" w:eastAsia="Arial" w:hAnsi="Arial"/>
          <w:sz w:val="14"/>
          <w:szCs w:val="14"/>
          <w:b w:val="1"/>
          <w:bCs w:val="1"/>
          <w:color w:val="00529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54"/>
          <w:szCs w:val="54"/>
          <w:b w:val="1"/>
          <w:bCs w:val="1"/>
          <w:color w:val="01549C"/>
        </w:rPr>
        <w:drawing>
          <wp:anchor simplePos="0" relativeHeight="251657728" behindDoc="1" locked="0" layoutInCell="0" allowOverlap="1">
            <wp:simplePos x="0" y="0"/>
            <wp:positionH relativeFrom="page">
              <wp:posOffset>6080125</wp:posOffset>
            </wp:positionH>
            <wp:positionV relativeFrom="page">
              <wp:posOffset>620395</wp:posOffset>
            </wp:positionV>
            <wp:extent cx="1157605" cy="617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172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500" w:type="dxa"/>
            <w:vAlign w:val="bottom"/>
          </w:tcPr>
          <w:p>
            <w:pPr>
              <w:ind w:left="20"/>
              <w:spacing w:after="0"/>
              <w:rPr>
                <w:sz w:val="20"/>
                <w:szCs w:val="20"/>
                <w:color w:val="auto"/>
              </w:rPr>
            </w:pPr>
            <w:r>
              <w:rPr>
                <w:rFonts w:ascii="Arial" w:cs="Arial" w:eastAsia="Arial" w:hAnsi="Arial"/>
                <w:sz w:val="20"/>
                <w:szCs w:val="20"/>
                <w:b w:val="1"/>
                <w:bCs w:val="1"/>
                <w:color w:val="00529B"/>
              </w:rPr>
              <w:t>Notice of Annual Meeting of Shareholders</w:t>
            </w:r>
          </w:p>
        </w:tc>
        <w:tc>
          <w:tcPr>
            <w:tcW w:w="3740" w:type="dxa"/>
            <w:vAlign w:val="bottom"/>
          </w:tcPr>
          <w:p>
            <w:pPr>
              <w:jc w:val="right"/>
              <w:spacing w:after="0"/>
              <w:rPr>
                <w:sz w:val="20"/>
                <w:szCs w:val="20"/>
                <w:color w:val="auto"/>
              </w:rPr>
            </w:pPr>
            <w:r>
              <w:rPr>
                <w:rFonts w:ascii="Arial" w:cs="Arial" w:eastAsia="Arial" w:hAnsi="Arial"/>
                <w:sz w:val="16"/>
                <w:szCs w:val="16"/>
                <w:b w:val="1"/>
                <w:bCs w:val="1"/>
                <w:color w:val="00529B"/>
              </w:rPr>
              <w:t>1</w:t>
            </w:r>
          </w:p>
        </w:tc>
        <w:tc>
          <w:tcPr>
            <w:tcW w:w="0" w:type="dxa"/>
            <w:vAlign w:val="bottom"/>
          </w:tcPr>
          <w:p>
            <w:pPr>
              <w:spacing w:after="0"/>
              <w:rPr>
                <w:sz w:val="1"/>
                <w:szCs w:val="1"/>
                <w:color w:val="auto"/>
              </w:rPr>
            </w:pPr>
          </w:p>
        </w:tc>
      </w:tr>
      <w:tr>
        <w:trPr>
          <w:trHeight w:val="61"/>
        </w:trPr>
        <w:tc>
          <w:tcPr>
            <w:tcW w:w="7500" w:type="dxa"/>
            <w:vAlign w:val="bottom"/>
            <w:tcBorders>
              <w:bottom w:val="single" w:sz="8" w:color="5B6770"/>
            </w:tcBorders>
          </w:tcPr>
          <w:p>
            <w:pPr>
              <w:spacing w:after="0"/>
              <w:rPr>
                <w:sz w:val="5"/>
                <w:szCs w:val="5"/>
                <w:color w:val="auto"/>
              </w:rPr>
            </w:pPr>
          </w:p>
        </w:tc>
        <w:tc>
          <w:tcPr>
            <w:tcW w:w="3740" w:type="dxa"/>
            <w:vAlign w:val="bottom"/>
            <w:tcBorders>
              <w:bottom w:val="single" w:sz="8" w:color="5B6770"/>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7500" w:type="dxa"/>
            <w:vAlign w:val="bottom"/>
          </w:tcPr>
          <w:p>
            <w:pPr>
              <w:ind w:left="20"/>
              <w:spacing w:after="0"/>
              <w:rPr>
                <w:sz w:val="20"/>
                <w:szCs w:val="20"/>
                <w:color w:val="auto"/>
              </w:rPr>
            </w:pPr>
            <w:r>
              <w:rPr>
                <w:rFonts w:ascii="Arial" w:cs="Arial" w:eastAsia="Arial" w:hAnsi="Arial"/>
                <w:sz w:val="20"/>
                <w:szCs w:val="20"/>
                <w:b w:val="1"/>
                <w:bCs w:val="1"/>
                <w:color w:val="00529B"/>
              </w:rPr>
              <w:t>Proxy Summary</w:t>
            </w:r>
          </w:p>
        </w:tc>
        <w:tc>
          <w:tcPr>
            <w:tcW w:w="3740" w:type="dxa"/>
            <w:vAlign w:val="bottom"/>
          </w:tcPr>
          <w:p>
            <w:pPr>
              <w:jc w:val="right"/>
              <w:spacing w:after="0"/>
              <w:rPr>
                <w:sz w:val="20"/>
                <w:szCs w:val="20"/>
                <w:color w:val="auto"/>
              </w:rPr>
            </w:pPr>
            <w:r>
              <w:rPr>
                <w:rFonts w:ascii="Arial" w:cs="Arial" w:eastAsia="Arial" w:hAnsi="Arial"/>
                <w:sz w:val="16"/>
                <w:szCs w:val="16"/>
                <w:b w:val="1"/>
                <w:bCs w:val="1"/>
                <w:color w:val="00529B"/>
              </w:rPr>
              <w:t>3</w:t>
            </w:r>
          </w:p>
        </w:tc>
        <w:tc>
          <w:tcPr>
            <w:tcW w:w="0" w:type="dxa"/>
            <w:vAlign w:val="bottom"/>
          </w:tcPr>
          <w:p>
            <w:pPr>
              <w:spacing w:after="0"/>
              <w:rPr>
                <w:sz w:val="1"/>
                <w:szCs w:val="1"/>
                <w:color w:val="auto"/>
              </w:rPr>
            </w:pPr>
          </w:p>
        </w:tc>
      </w:tr>
      <w:tr>
        <w:trPr>
          <w:trHeight w:val="61"/>
        </w:trPr>
        <w:tc>
          <w:tcPr>
            <w:tcW w:w="7500" w:type="dxa"/>
            <w:vAlign w:val="bottom"/>
            <w:tcBorders>
              <w:bottom w:val="single" w:sz="8" w:color="5B6770"/>
            </w:tcBorders>
          </w:tcPr>
          <w:p>
            <w:pPr>
              <w:spacing w:after="0"/>
              <w:rPr>
                <w:sz w:val="5"/>
                <w:szCs w:val="5"/>
                <w:color w:val="auto"/>
              </w:rPr>
            </w:pPr>
          </w:p>
        </w:tc>
        <w:tc>
          <w:tcPr>
            <w:tcW w:w="3740" w:type="dxa"/>
            <w:vAlign w:val="bottom"/>
            <w:tcBorders>
              <w:bottom w:val="single" w:sz="8" w:color="5B6770"/>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7500" w:type="dxa"/>
            <w:vAlign w:val="bottom"/>
          </w:tcPr>
          <w:p>
            <w:pPr>
              <w:ind w:left="20"/>
              <w:spacing w:after="0"/>
              <w:rPr>
                <w:sz w:val="20"/>
                <w:szCs w:val="20"/>
                <w:color w:val="auto"/>
              </w:rPr>
            </w:pPr>
            <w:r>
              <w:rPr>
                <w:rFonts w:ascii="Arial" w:cs="Arial" w:eastAsia="Arial" w:hAnsi="Arial"/>
                <w:sz w:val="20"/>
                <w:szCs w:val="20"/>
                <w:b w:val="1"/>
                <w:bCs w:val="1"/>
                <w:color w:val="00529B"/>
              </w:rPr>
              <w:t>Proposal No. 1 — Election of Directors</w:t>
            </w:r>
          </w:p>
        </w:tc>
        <w:tc>
          <w:tcPr>
            <w:tcW w:w="3740" w:type="dxa"/>
            <w:vAlign w:val="bottom"/>
          </w:tcPr>
          <w:p>
            <w:pPr>
              <w:jc w:val="right"/>
              <w:spacing w:after="0"/>
              <w:rPr>
                <w:sz w:val="20"/>
                <w:szCs w:val="20"/>
                <w:color w:val="auto"/>
              </w:rPr>
            </w:pPr>
            <w:r>
              <w:rPr>
                <w:rFonts w:ascii="Arial" w:cs="Arial" w:eastAsia="Arial" w:hAnsi="Arial"/>
                <w:sz w:val="16"/>
                <w:szCs w:val="16"/>
                <w:b w:val="1"/>
                <w:bCs w:val="1"/>
                <w:color w:val="00529B"/>
              </w:rPr>
              <w:t>10</w:t>
            </w:r>
          </w:p>
        </w:tc>
        <w:tc>
          <w:tcPr>
            <w:tcW w:w="0" w:type="dxa"/>
            <w:vAlign w:val="bottom"/>
          </w:tcPr>
          <w:p>
            <w:pPr>
              <w:spacing w:after="0"/>
              <w:rPr>
                <w:sz w:val="1"/>
                <w:szCs w:val="1"/>
                <w:color w:val="auto"/>
              </w:rPr>
            </w:pPr>
          </w:p>
        </w:tc>
      </w:tr>
      <w:tr>
        <w:trPr>
          <w:trHeight w:val="288"/>
        </w:trPr>
        <w:tc>
          <w:tcPr>
            <w:tcW w:w="7500" w:type="dxa"/>
            <w:vAlign w:val="bottom"/>
            <w:vMerge w:val="restart"/>
          </w:tcPr>
          <w:p>
            <w:pPr>
              <w:ind w:left="20"/>
              <w:spacing w:after="0"/>
              <w:rPr>
                <w:sz w:val="20"/>
                <w:szCs w:val="20"/>
                <w:color w:val="auto"/>
              </w:rPr>
            </w:pPr>
            <w:r>
              <w:rPr>
                <w:rFonts w:ascii="Arial" w:cs="Arial" w:eastAsia="Arial" w:hAnsi="Arial"/>
                <w:sz w:val="16"/>
                <w:szCs w:val="16"/>
                <w:color w:val="4D4D4F"/>
              </w:rPr>
              <w:t>Director Nominees</w:t>
            </w:r>
          </w:p>
        </w:tc>
        <w:tc>
          <w:tcPr>
            <w:tcW w:w="3740" w:type="dxa"/>
            <w:vAlign w:val="bottom"/>
          </w:tcPr>
          <w:p>
            <w:pPr>
              <w:jc w:val="right"/>
              <w:spacing w:after="0"/>
              <w:rPr>
                <w:sz w:val="20"/>
                <w:szCs w:val="20"/>
                <w:color w:val="auto"/>
              </w:rPr>
            </w:pPr>
            <w:r>
              <w:rPr>
                <w:rFonts w:ascii="Arial" w:cs="Arial" w:eastAsia="Arial" w:hAnsi="Arial"/>
                <w:sz w:val="16"/>
                <w:szCs w:val="16"/>
                <w:color w:val="4D4D4F"/>
              </w:rPr>
              <w:t>10</w:t>
            </w:r>
          </w:p>
        </w:tc>
        <w:tc>
          <w:tcPr>
            <w:tcW w:w="0" w:type="dxa"/>
            <w:vAlign w:val="bottom"/>
          </w:tcPr>
          <w:p>
            <w:pPr>
              <w:spacing w:after="0"/>
              <w:rPr>
                <w:sz w:val="1"/>
                <w:szCs w:val="1"/>
                <w:color w:val="auto"/>
              </w:rPr>
            </w:pPr>
          </w:p>
        </w:tc>
      </w:tr>
      <w:tr>
        <w:trPr>
          <w:trHeight w:val="81"/>
        </w:trPr>
        <w:tc>
          <w:tcPr>
            <w:tcW w:w="7500" w:type="dxa"/>
            <w:vAlign w:val="bottom"/>
            <w:vMerge w:val="continue"/>
          </w:tcPr>
          <w:p>
            <w:pPr>
              <w:spacing w:after="0"/>
              <w:rPr>
                <w:sz w:val="7"/>
                <w:szCs w:val="7"/>
                <w:color w:val="auto"/>
              </w:rPr>
            </w:pPr>
          </w:p>
        </w:tc>
        <w:tc>
          <w:tcPr>
            <w:tcW w:w="3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7500" w:type="dxa"/>
            <w:vAlign w:val="bottom"/>
            <w:tcBorders>
              <w:bottom w:val="single" w:sz="8" w:color="5B6770"/>
            </w:tcBorders>
          </w:tcPr>
          <w:p>
            <w:pPr>
              <w:spacing w:after="0"/>
              <w:rPr>
                <w:sz w:val="10"/>
                <w:szCs w:val="10"/>
                <w:color w:val="auto"/>
              </w:rPr>
            </w:pPr>
          </w:p>
        </w:tc>
        <w:tc>
          <w:tcPr>
            <w:tcW w:w="3740" w:type="dxa"/>
            <w:vAlign w:val="bottom"/>
            <w:tcBorders>
              <w:bottom w:val="single" w:sz="8" w:color="5B6770"/>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500" w:type="dxa"/>
            <w:vAlign w:val="bottom"/>
            <w:vMerge w:val="restart"/>
          </w:tcPr>
          <w:p>
            <w:pPr>
              <w:ind w:left="20"/>
              <w:spacing w:after="0"/>
              <w:rPr>
                <w:sz w:val="20"/>
                <w:szCs w:val="20"/>
                <w:color w:val="auto"/>
              </w:rPr>
            </w:pPr>
            <w:r>
              <w:rPr>
                <w:rFonts w:ascii="Arial" w:cs="Arial" w:eastAsia="Arial" w:hAnsi="Arial"/>
                <w:sz w:val="20"/>
                <w:szCs w:val="20"/>
                <w:b w:val="1"/>
                <w:bCs w:val="1"/>
                <w:color w:val="00529B"/>
              </w:rPr>
              <w:t>Corporate Governance</w:t>
            </w:r>
          </w:p>
        </w:tc>
        <w:tc>
          <w:tcPr>
            <w:tcW w:w="3740" w:type="dxa"/>
            <w:vAlign w:val="bottom"/>
          </w:tcPr>
          <w:p>
            <w:pPr>
              <w:jc w:val="right"/>
              <w:spacing w:after="0"/>
              <w:rPr>
                <w:sz w:val="20"/>
                <w:szCs w:val="20"/>
                <w:color w:val="auto"/>
              </w:rPr>
            </w:pPr>
            <w:r>
              <w:rPr>
                <w:rFonts w:ascii="Arial" w:cs="Arial" w:eastAsia="Arial" w:hAnsi="Arial"/>
                <w:sz w:val="16"/>
                <w:szCs w:val="16"/>
                <w:b w:val="1"/>
                <w:bCs w:val="1"/>
                <w:color w:val="00529B"/>
              </w:rPr>
              <w:t>19</w:t>
            </w:r>
          </w:p>
        </w:tc>
        <w:tc>
          <w:tcPr>
            <w:tcW w:w="0" w:type="dxa"/>
            <w:vAlign w:val="bottom"/>
          </w:tcPr>
          <w:p>
            <w:pPr>
              <w:spacing w:after="0"/>
              <w:rPr>
                <w:sz w:val="1"/>
                <w:szCs w:val="1"/>
                <w:color w:val="auto"/>
              </w:rPr>
            </w:pPr>
          </w:p>
        </w:tc>
      </w:tr>
      <w:tr>
        <w:trPr>
          <w:trHeight w:val="108"/>
        </w:trPr>
        <w:tc>
          <w:tcPr>
            <w:tcW w:w="7500" w:type="dxa"/>
            <w:vAlign w:val="bottom"/>
            <w:vMerge w:val="continue"/>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5"/>
        </w:trPr>
        <w:tc>
          <w:tcPr>
            <w:tcW w:w="7500" w:type="dxa"/>
            <w:vAlign w:val="bottom"/>
            <w:vMerge w:val="restart"/>
          </w:tcPr>
          <w:p>
            <w:pPr>
              <w:ind w:left="20"/>
              <w:spacing w:after="0"/>
              <w:rPr>
                <w:sz w:val="20"/>
                <w:szCs w:val="20"/>
                <w:color w:val="auto"/>
              </w:rPr>
            </w:pPr>
            <w:r>
              <w:rPr>
                <w:rFonts w:ascii="Arial" w:cs="Arial" w:eastAsia="Arial" w:hAnsi="Arial"/>
                <w:sz w:val="16"/>
                <w:szCs w:val="16"/>
                <w:color w:val="4D4D4F"/>
              </w:rPr>
              <w:t>Board and Committee Governance</w:t>
            </w:r>
          </w:p>
        </w:tc>
        <w:tc>
          <w:tcPr>
            <w:tcW w:w="3740" w:type="dxa"/>
            <w:vAlign w:val="bottom"/>
          </w:tcPr>
          <w:p>
            <w:pPr>
              <w:jc w:val="right"/>
              <w:spacing w:after="0"/>
              <w:rPr>
                <w:sz w:val="20"/>
                <w:szCs w:val="20"/>
                <w:color w:val="auto"/>
              </w:rPr>
            </w:pPr>
            <w:r>
              <w:rPr>
                <w:rFonts w:ascii="Arial" w:cs="Arial" w:eastAsia="Arial" w:hAnsi="Arial"/>
                <w:sz w:val="16"/>
                <w:szCs w:val="16"/>
                <w:color w:val="4D4D4F"/>
              </w:rPr>
              <w:t>19</w:t>
            </w:r>
          </w:p>
        </w:tc>
        <w:tc>
          <w:tcPr>
            <w:tcW w:w="0" w:type="dxa"/>
            <w:vAlign w:val="bottom"/>
          </w:tcPr>
          <w:p>
            <w:pPr>
              <w:spacing w:after="0"/>
              <w:rPr>
                <w:sz w:val="1"/>
                <w:szCs w:val="1"/>
                <w:color w:val="auto"/>
              </w:rPr>
            </w:pPr>
          </w:p>
        </w:tc>
      </w:tr>
      <w:tr>
        <w:trPr>
          <w:trHeight w:val="81"/>
        </w:trPr>
        <w:tc>
          <w:tcPr>
            <w:tcW w:w="7500" w:type="dxa"/>
            <w:vAlign w:val="bottom"/>
            <w:vMerge w:val="continue"/>
          </w:tcPr>
          <w:p>
            <w:pPr>
              <w:spacing w:after="0"/>
              <w:rPr>
                <w:sz w:val="7"/>
                <w:szCs w:val="7"/>
                <w:color w:val="auto"/>
              </w:rPr>
            </w:pPr>
          </w:p>
        </w:tc>
        <w:tc>
          <w:tcPr>
            <w:tcW w:w="3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7500" w:type="dxa"/>
            <w:vAlign w:val="bottom"/>
          </w:tcPr>
          <w:p>
            <w:pPr>
              <w:ind w:left="20"/>
              <w:spacing w:after="0"/>
              <w:rPr>
                <w:sz w:val="20"/>
                <w:szCs w:val="20"/>
                <w:color w:val="auto"/>
              </w:rPr>
            </w:pPr>
            <w:r>
              <w:rPr>
                <w:rFonts w:ascii="Arial" w:cs="Arial" w:eastAsia="Arial" w:hAnsi="Arial"/>
                <w:sz w:val="16"/>
                <w:szCs w:val="16"/>
                <w:color w:val="4D4D4F"/>
              </w:rPr>
              <w:t>Committees of the Board</w:t>
            </w:r>
          </w:p>
        </w:tc>
        <w:tc>
          <w:tcPr>
            <w:tcW w:w="3740" w:type="dxa"/>
            <w:vAlign w:val="bottom"/>
          </w:tcPr>
          <w:p>
            <w:pPr>
              <w:jc w:val="right"/>
              <w:spacing w:after="0"/>
              <w:rPr>
                <w:sz w:val="20"/>
                <w:szCs w:val="20"/>
                <w:color w:val="auto"/>
              </w:rPr>
            </w:pPr>
            <w:r>
              <w:rPr>
                <w:rFonts w:ascii="Arial" w:cs="Arial" w:eastAsia="Arial" w:hAnsi="Arial"/>
                <w:sz w:val="16"/>
                <w:szCs w:val="16"/>
                <w:color w:val="4D4D4F"/>
              </w:rPr>
              <w:t>24</w:t>
            </w:r>
          </w:p>
        </w:tc>
        <w:tc>
          <w:tcPr>
            <w:tcW w:w="0" w:type="dxa"/>
            <w:vAlign w:val="bottom"/>
          </w:tcPr>
          <w:p>
            <w:pPr>
              <w:spacing w:after="0"/>
              <w:rPr>
                <w:sz w:val="1"/>
                <w:szCs w:val="1"/>
                <w:color w:val="auto"/>
              </w:rPr>
            </w:pPr>
          </w:p>
        </w:tc>
      </w:tr>
      <w:tr>
        <w:trPr>
          <w:trHeight w:val="270"/>
        </w:trPr>
        <w:tc>
          <w:tcPr>
            <w:tcW w:w="7500" w:type="dxa"/>
            <w:vAlign w:val="bottom"/>
            <w:vMerge w:val="restart"/>
          </w:tcPr>
          <w:p>
            <w:pPr>
              <w:ind w:left="20"/>
              <w:spacing w:after="0"/>
              <w:rPr>
                <w:sz w:val="20"/>
                <w:szCs w:val="20"/>
                <w:color w:val="auto"/>
              </w:rPr>
            </w:pPr>
            <w:r>
              <w:rPr>
                <w:rFonts w:ascii="Arial" w:cs="Arial" w:eastAsia="Arial" w:hAnsi="Arial"/>
                <w:sz w:val="16"/>
                <w:szCs w:val="16"/>
                <w:color w:val="4D4D4F"/>
              </w:rPr>
              <w:t>Director Nomination Process</w:t>
            </w:r>
          </w:p>
        </w:tc>
        <w:tc>
          <w:tcPr>
            <w:tcW w:w="3740" w:type="dxa"/>
            <w:vAlign w:val="bottom"/>
          </w:tcPr>
          <w:p>
            <w:pPr>
              <w:jc w:val="right"/>
              <w:spacing w:after="0"/>
              <w:rPr>
                <w:sz w:val="20"/>
                <w:szCs w:val="20"/>
                <w:color w:val="auto"/>
              </w:rPr>
            </w:pPr>
            <w:r>
              <w:rPr>
                <w:rFonts w:ascii="Arial" w:cs="Arial" w:eastAsia="Arial" w:hAnsi="Arial"/>
                <w:sz w:val="16"/>
                <w:szCs w:val="16"/>
                <w:color w:val="4D4D4F"/>
              </w:rPr>
              <w:t>28</w:t>
            </w:r>
          </w:p>
        </w:tc>
        <w:tc>
          <w:tcPr>
            <w:tcW w:w="0" w:type="dxa"/>
            <w:vAlign w:val="bottom"/>
          </w:tcPr>
          <w:p>
            <w:pPr>
              <w:spacing w:after="0"/>
              <w:rPr>
                <w:sz w:val="1"/>
                <w:szCs w:val="1"/>
                <w:color w:val="auto"/>
              </w:rPr>
            </w:pPr>
          </w:p>
        </w:tc>
      </w:tr>
      <w:tr>
        <w:trPr>
          <w:trHeight w:val="81"/>
        </w:trPr>
        <w:tc>
          <w:tcPr>
            <w:tcW w:w="7500" w:type="dxa"/>
            <w:vAlign w:val="bottom"/>
            <w:vMerge w:val="continue"/>
          </w:tcPr>
          <w:p>
            <w:pPr>
              <w:spacing w:after="0"/>
              <w:rPr>
                <w:sz w:val="7"/>
                <w:szCs w:val="7"/>
                <w:color w:val="auto"/>
              </w:rPr>
            </w:pPr>
          </w:p>
        </w:tc>
        <w:tc>
          <w:tcPr>
            <w:tcW w:w="3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720" w:type="dxa"/>
            <w:vAlign w:val="bottom"/>
            <w:vMerge w:val="restart"/>
          </w:tcPr>
          <w:p>
            <w:pPr>
              <w:spacing w:after="0"/>
              <w:rPr>
                <w:sz w:val="20"/>
                <w:szCs w:val="20"/>
                <w:color w:val="auto"/>
              </w:rPr>
            </w:pPr>
            <w:r>
              <w:rPr>
                <w:rFonts w:ascii="Arial" w:cs="Arial" w:eastAsia="Arial" w:hAnsi="Arial"/>
                <w:sz w:val="16"/>
                <w:szCs w:val="16"/>
                <w:color w:val="4D4D4F"/>
              </w:rPr>
              <w:t>Board’s Role in Strategy and Risk</w:t>
            </w:r>
          </w:p>
        </w:tc>
        <w:tc>
          <w:tcPr>
            <w:tcW w:w="4480" w:type="dxa"/>
            <w:vAlign w:val="bottom"/>
          </w:tcPr>
          <w:p>
            <w:pPr>
              <w:jc w:val="right"/>
              <w:spacing w:after="0"/>
              <w:rPr>
                <w:sz w:val="20"/>
                <w:szCs w:val="20"/>
                <w:color w:val="auto"/>
              </w:rPr>
            </w:pPr>
            <w:r>
              <w:rPr>
                <w:rFonts w:ascii="Arial" w:cs="Arial" w:eastAsia="Arial" w:hAnsi="Arial"/>
                <w:sz w:val="16"/>
                <w:szCs w:val="16"/>
                <w:color w:val="4D4D4F"/>
              </w:rPr>
              <w:t>31</w:t>
            </w:r>
          </w:p>
        </w:tc>
        <w:tc>
          <w:tcPr>
            <w:tcW w:w="0" w:type="dxa"/>
            <w:vAlign w:val="bottom"/>
          </w:tcPr>
          <w:p>
            <w:pPr>
              <w:spacing w:after="0"/>
              <w:rPr>
                <w:sz w:val="1"/>
                <w:szCs w:val="1"/>
                <w:color w:val="auto"/>
              </w:rPr>
            </w:pPr>
          </w:p>
        </w:tc>
      </w:tr>
      <w:tr>
        <w:trPr>
          <w:trHeight w:val="81"/>
        </w:trPr>
        <w:tc>
          <w:tcPr>
            <w:tcW w:w="6720" w:type="dxa"/>
            <w:vAlign w:val="bottom"/>
            <w:vMerge w:val="continue"/>
          </w:tcPr>
          <w:p>
            <w:pPr>
              <w:spacing w:after="0"/>
              <w:rPr>
                <w:sz w:val="7"/>
                <w:szCs w:val="7"/>
                <w:color w:val="auto"/>
              </w:rPr>
            </w:pPr>
          </w:p>
        </w:tc>
        <w:tc>
          <w:tcPr>
            <w:tcW w:w="4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529B"/>
        </w:rPr>
        <w:t>Information Concerning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529B"/>
        </w:rPr>
        <w:t>Letter from the Chair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529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00529B"/>
        </w:rPr>
        <w:t>43</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529B"/>
        </w:rPr>
        <w:t>44</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00529B"/>
        </w:rPr>
        <w:t>46</w:t>
      </w:r>
    </w:p>
    <w:p>
      <w:pPr>
        <w:spacing w:after="0" w:line="222" w:lineRule="exact"/>
        <w:rPr>
          <w:sz w:val="20"/>
          <w:szCs w:val="20"/>
          <w:color w:val="auto"/>
        </w:rPr>
      </w:pPr>
    </w:p>
    <w:p>
      <w:pPr>
        <w:sectPr>
          <w:pgSz w:w="11900" w:h="16838" w:orient="portrait"/>
          <w:cols w:equalWidth="0" w:num="2">
            <w:col w:w="10320" w:space="720"/>
            <w:col w:w="200"/>
          </w:cols>
          <w:pgMar w:left="320" w:top="1350" w:right="339" w:bottom="1440" w:gutter="0" w:footer="0" w:header="0"/>
          <w:type w:val="continuous"/>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9340" w:type="dxa"/>
            <w:vAlign w:val="bottom"/>
          </w:tcPr>
          <w:p>
            <w:pPr>
              <w:ind w:left="20"/>
              <w:spacing w:after="0"/>
              <w:rPr>
                <w:sz w:val="20"/>
                <w:szCs w:val="20"/>
                <w:color w:val="auto"/>
              </w:rPr>
            </w:pPr>
            <w:r>
              <w:rPr>
                <w:rFonts w:ascii="Arial" w:cs="Arial" w:eastAsia="Arial" w:hAnsi="Arial"/>
                <w:sz w:val="20"/>
                <w:szCs w:val="20"/>
                <w:b w:val="1"/>
                <w:bCs w:val="1"/>
                <w:color w:val="00529B"/>
              </w:rPr>
              <w:t>Executive Compensation Tables</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00529B"/>
              </w:rPr>
              <w:t>64</w:t>
            </w:r>
          </w:p>
        </w:tc>
        <w:tc>
          <w:tcPr>
            <w:tcW w:w="0" w:type="dxa"/>
            <w:vAlign w:val="bottom"/>
          </w:tcPr>
          <w:p>
            <w:pPr>
              <w:spacing w:after="0"/>
              <w:rPr>
                <w:sz w:val="1"/>
                <w:szCs w:val="1"/>
                <w:color w:val="auto"/>
              </w:rPr>
            </w:pPr>
          </w:p>
        </w:tc>
      </w:tr>
      <w:tr>
        <w:trPr>
          <w:trHeight w:val="61"/>
        </w:trPr>
        <w:tc>
          <w:tcPr>
            <w:tcW w:w="9340" w:type="dxa"/>
            <w:vAlign w:val="bottom"/>
            <w:tcBorders>
              <w:bottom w:val="single" w:sz="8" w:color="5B6770"/>
            </w:tcBorders>
          </w:tcPr>
          <w:p>
            <w:pPr>
              <w:spacing w:after="0"/>
              <w:rPr>
                <w:sz w:val="5"/>
                <w:szCs w:val="5"/>
                <w:color w:val="auto"/>
              </w:rPr>
            </w:pPr>
          </w:p>
        </w:tc>
        <w:tc>
          <w:tcPr>
            <w:tcW w:w="1900" w:type="dxa"/>
            <w:vAlign w:val="bottom"/>
            <w:tcBorders>
              <w:bottom w:val="single" w:sz="8" w:color="5B6770"/>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9340" w:type="dxa"/>
            <w:vAlign w:val="bottom"/>
          </w:tcPr>
          <w:p>
            <w:pPr>
              <w:ind w:left="20"/>
              <w:spacing w:after="0"/>
              <w:rPr>
                <w:sz w:val="20"/>
                <w:szCs w:val="20"/>
                <w:color w:val="auto"/>
              </w:rPr>
            </w:pPr>
            <w:r>
              <w:rPr>
                <w:rFonts w:ascii="Arial" w:cs="Arial" w:eastAsia="Arial" w:hAnsi="Arial"/>
                <w:sz w:val="20"/>
                <w:szCs w:val="20"/>
                <w:b w:val="1"/>
                <w:bCs w:val="1"/>
                <w:color w:val="00529B"/>
              </w:rPr>
              <w:t>Proposal No. 2 — Non-Binding, Advisory Vote on Executive Compensation</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00529B"/>
              </w:rPr>
              <w:t>73</w:t>
            </w:r>
          </w:p>
        </w:tc>
        <w:tc>
          <w:tcPr>
            <w:tcW w:w="0" w:type="dxa"/>
            <w:vAlign w:val="bottom"/>
          </w:tcPr>
          <w:p>
            <w:pPr>
              <w:spacing w:after="0"/>
              <w:rPr>
                <w:sz w:val="1"/>
                <w:szCs w:val="1"/>
                <w:color w:val="auto"/>
              </w:rPr>
            </w:pPr>
          </w:p>
        </w:tc>
      </w:tr>
      <w:tr>
        <w:trPr>
          <w:trHeight w:val="61"/>
        </w:trPr>
        <w:tc>
          <w:tcPr>
            <w:tcW w:w="9340" w:type="dxa"/>
            <w:vAlign w:val="bottom"/>
            <w:tcBorders>
              <w:bottom w:val="single" w:sz="8" w:color="5B6770"/>
            </w:tcBorders>
          </w:tcPr>
          <w:p>
            <w:pPr>
              <w:spacing w:after="0"/>
              <w:rPr>
                <w:sz w:val="5"/>
                <w:szCs w:val="5"/>
                <w:color w:val="auto"/>
              </w:rPr>
            </w:pPr>
          </w:p>
        </w:tc>
        <w:tc>
          <w:tcPr>
            <w:tcW w:w="1900" w:type="dxa"/>
            <w:vAlign w:val="bottom"/>
            <w:tcBorders>
              <w:bottom w:val="single" w:sz="8" w:color="5B6770"/>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9340" w:type="dxa"/>
            <w:vAlign w:val="bottom"/>
          </w:tcPr>
          <w:p>
            <w:pPr>
              <w:ind w:left="20"/>
              <w:spacing w:after="0"/>
              <w:rPr>
                <w:sz w:val="20"/>
                <w:szCs w:val="20"/>
                <w:color w:val="auto"/>
              </w:rPr>
            </w:pPr>
            <w:r>
              <w:rPr>
                <w:rFonts w:ascii="Arial" w:cs="Arial" w:eastAsia="Arial" w:hAnsi="Arial"/>
                <w:sz w:val="20"/>
                <w:szCs w:val="20"/>
                <w:b w:val="1"/>
                <w:bCs w:val="1"/>
                <w:color w:val="00529B"/>
              </w:rPr>
              <w:t>Proposal No. 3 — Ratification of Independent Registered Public Accounting Firm</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00529B"/>
              </w:rPr>
              <w:t>74</w:t>
            </w:r>
          </w:p>
        </w:tc>
        <w:tc>
          <w:tcPr>
            <w:tcW w:w="0" w:type="dxa"/>
            <w:vAlign w:val="bottom"/>
          </w:tcPr>
          <w:p>
            <w:pPr>
              <w:spacing w:after="0"/>
              <w:rPr>
                <w:sz w:val="1"/>
                <w:szCs w:val="1"/>
                <w:color w:val="auto"/>
              </w:rPr>
            </w:pPr>
          </w:p>
        </w:tc>
      </w:tr>
      <w:tr>
        <w:trPr>
          <w:trHeight w:val="288"/>
        </w:trPr>
        <w:tc>
          <w:tcPr>
            <w:tcW w:w="9340" w:type="dxa"/>
            <w:vAlign w:val="bottom"/>
            <w:vMerge w:val="restart"/>
          </w:tcPr>
          <w:p>
            <w:pPr>
              <w:ind w:left="20"/>
              <w:spacing w:after="0"/>
              <w:rPr>
                <w:sz w:val="20"/>
                <w:szCs w:val="20"/>
                <w:color w:val="auto"/>
              </w:rPr>
            </w:pPr>
            <w:r>
              <w:rPr>
                <w:rFonts w:ascii="Arial" w:cs="Arial" w:eastAsia="Arial" w:hAnsi="Arial"/>
                <w:sz w:val="16"/>
                <w:szCs w:val="16"/>
                <w:color w:val="4D4D4F"/>
              </w:rPr>
              <w:t>Audit Committee Pre-Approval Policy</w:t>
            </w:r>
          </w:p>
        </w:tc>
        <w:tc>
          <w:tcPr>
            <w:tcW w:w="1900" w:type="dxa"/>
            <w:vAlign w:val="bottom"/>
          </w:tcPr>
          <w:p>
            <w:pPr>
              <w:jc w:val="right"/>
              <w:spacing w:after="0"/>
              <w:rPr>
                <w:sz w:val="20"/>
                <w:szCs w:val="20"/>
                <w:color w:val="auto"/>
              </w:rPr>
            </w:pPr>
            <w:r>
              <w:rPr>
                <w:rFonts w:ascii="Arial" w:cs="Arial" w:eastAsia="Arial" w:hAnsi="Arial"/>
                <w:sz w:val="16"/>
                <w:szCs w:val="16"/>
                <w:color w:val="4D4D4F"/>
              </w:rPr>
              <w:t>75</w:t>
            </w:r>
          </w:p>
        </w:tc>
        <w:tc>
          <w:tcPr>
            <w:tcW w:w="0" w:type="dxa"/>
            <w:vAlign w:val="bottom"/>
          </w:tcPr>
          <w:p>
            <w:pPr>
              <w:spacing w:after="0"/>
              <w:rPr>
                <w:sz w:val="1"/>
                <w:szCs w:val="1"/>
                <w:color w:val="auto"/>
              </w:rPr>
            </w:pPr>
          </w:p>
        </w:tc>
      </w:tr>
      <w:tr>
        <w:trPr>
          <w:trHeight w:val="81"/>
        </w:trPr>
        <w:tc>
          <w:tcPr>
            <w:tcW w:w="93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9340" w:type="dxa"/>
            <w:vAlign w:val="bottom"/>
            <w:vMerge w:val="restart"/>
          </w:tcPr>
          <w:p>
            <w:pPr>
              <w:ind w:left="20"/>
              <w:spacing w:after="0"/>
              <w:rPr>
                <w:sz w:val="20"/>
                <w:szCs w:val="20"/>
                <w:color w:val="auto"/>
              </w:rPr>
            </w:pPr>
            <w:r>
              <w:rPr>
                <w:rFonts w:ascii="Arial" w:cs="Arial" w:eastAsia="Arial" w:hAnsi="Arial"/>
                <w:sz w:val="16"/>
                <w:szCs w:val="16"/>
                <w:color w:val="4D4D4F"/>
              </w:rPr>
              <w:t>Report of the Audit Committee</w:t>
            </w:r>
          </w:p>
        </w:tc>
        <w:tc>
          <w:tcPr>
            <w:tcW w:w="1900" w:type="dxa"/>
            <w:vAlign w:val="bottom"/>
          </w:tcPr>
          <w:p>
            <w:pPr>
              <w:jc w:val="right"/>
              <w:spacing w:after="0"/>
              <w:rPr>
                <w:sz w:val="20"/>
                <w:szCs w:val="20"/>
                <w:color w:val="auto"/>
              </w:rPr>
            </w:pPr>
            <w:r>
              <w:rPr>
                <w:rFonts w:ascii="Arial" w:cs="Arial" w:eastAsia="Arial" w:hAnsi="Arial"/>
                <w:sz w:val="16"/>
                <w:szCs w:val="16"/>
                <w:color w:val="4D4D4F"/>
              </w:rPr>
              <w:t>76</w:t>
            </w:r>
          </w:p>
        </w:tc>
        <w:tc>
          <w:tcPr>
            <w:tcW w:w="0" w:type="dxa"/>
            <w:vAlign w:val="bottom"/>
          </w:tcPr>
          <w:p>
            <w:pPr>
              <w:spacing w:after="0"/>
              <w:rPr>
                <w:sz w:val="1"/>
                <w:szCs w:val="1"/>
                <w:color w:val="auto"/>
              </w:rPr>
            </w:pPr>
          </w:p>
        </w:tc>
      </w:tr>
      <w:tr>
        <w:trPr>
          <w:trHeight w:val="81"/>
        </w:trPr>
        <w:tc>
          <w:tcPr>
            <w:tcW w:w="93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9340" w:type="dxa"/>
            <w:vAlign w:val="bottom"/>
            <w:tcBorders>
              <w:bottom w:val="single" w:sz="8" w:color="5B6770"/>
            </w:tcBorders>
          </w:tcPr>
          <w:p>
            <w:pPr>
              <w:spacing w:after="0"/>
              <w:rPr>
                <w:sz w:val="10"/>
                <w:szCs w:val="10"/>
                <w:color w:val="auto"/>
              </w:rPr>
            </w:pPr>
          </w:p>
        </w:tc>
        <w:tc>
          <w:tcPr>
            <w:tcW w:w="1900" w:type="dxa"/>
            <w:vAlign w:val="bottom"/>
            <w:tcBorders>
              <w:bottom w:val="single" w:sz="8" w:color="5B6770"/>
            </w:tcBorders>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9340" w:type="dxa"/>
            <w:vAlign w:val="bottom"/>
          </w:tcPr>
          <w:p>
            <w:pPr>
              <w:ind w:left="20"/>
              <w:spacing w:after="0"/>
              <w:rPr>
                <w:sz w:val="20"/>
                <w:szCs w:val="20"/>
                <w:color w:val="auto"/>
              </w:rPr>
            </w:pPr>
            <w:r>
              <w:rPr>
                <w:rFonts w:ascii="Arial" w:cs="Arial" w:eastAsia="Arial" w:hAnsi="Arial"/>
                <w:sz w:val="20"/>
                <w:szCs w:val="20"/>
                <w:b w:val="1"/>
                <w:bCs w:val="1"/>
                <w:color w:val="00529B"/>
              </w:rPr>
              <w:t>Security Ownership of Certain Beneficial Owners and Management</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00529B"/>
              </w:rPr>
              <w:t>77</w:t>
            </w:r>
          </w:p>
        </w:tc>
        <w:tc>
          <w:tcPr>
            <w:tcW w:w="0" w:type="dxa"/>
            <w:vAlign w:val="bottom"/>
          </w:tcPr>
          <w:p>
            <w:pPr>
              <w:spacing w:after="0"/>
              <w:rPr>
                <w:sz w:val="1"/>
                <w:szCs w:val="1"/>
                <w:color w:val="auto"/>
              </w:rPr>
            </w:pPr>
          </w:p>
        </w:tc>
      </w:tr>
      <w:tr>
        <w:trPr>
          <w:trHeight w:val="61"/>
        </w:trPr>
        <w:tc>
          <w:tcPr>
            <w:tcW w:w="9340" w:type="dxa"/>
            <w:vAlign w:val="bottom"/>
            <w:tcBorders>
              <w:bottom w:val="single" w:sz="8" w:color="5B6770"/>
            </w:tcBorders>
          </w:tcPr>
          <w:p>
            <w:pPr>
              <w:spacing w:after="0"/>
              <w:rPr>
                <w:sz w:val="5"/>
                <w:szCs w:val="5"/>
                <w:color w:val="auto"/>
              </w:rPr>
            </w:pPr>
          </w:p>
        </w:tc>
        <w:tc>
          <w:tcPr>
            <w:tcW w:w="1900" w:type="dxa"/>
            <w:vAlign w:val="bottom"/>
            <w:tcBorders>
              <w:bottom w:val="single" w:sz="8" w:color="5B6770"/>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9340" w:type="dxa"/>
            <w:vAlign w:val="bottom"/>
          </w:tcPr>
          <w:p>
            <w:pPr>
              <w:ind w:left="20"/>
              <w:spacing w:after="0"/>
              <w:rPr>
                <w:sz w:val="20"/>
                <w:szCs w:val="20"/>
                <w:color w:val="auto"/>
              </w:rPr>
            </w:pPr>
            <w:r>
              <w:rPr>
                <w:rFonts w:ascii="Arial" w:cs="Arial" w:eastAsia="Arial" w:hAnsi="Arial"/>
                <w:sz w:val="20"/>
                <w:szCs w:val="20"/>
                <w:b w:val="1"/>
                <w:bCs w:val="1"/>
                <w:color w:val="00529B"/>
              </w:rPr>
              <w:t>Other Compensation Matters</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00529B"/>
              </w:rPr>
              <w:t>80</w:t>
            </w:r>
          </w:p>
        </w:tc>
        <w:tc>
          <w:tcPr>
            <w:tcW w:w="0" w:type="dxa"/>
            <w:vAlign w:val="bottom"/>
          </w:tcPr>
          <w:p>
            <w:pPr>
              <w:spacing w:after="0"/>
              <w:rPr>
                <w:sz w:val="1"/>
                <w:szCs w:val="1"/>
                <w:color w:val="auto"/>
              </w:rPr>
            </w:pPr>
          </w:p>
        </w:tc>
      </w:tr>
      <w:tr>
        <w:trPr>
          <w:trHeight w:val="61"/>
        </w:trPr>
        <w:tc>
          <w:tcPr>
            <w:tcW w:w="9340" w:type="dxa"/>
            <w:vAlign w:val="bottom"/>
            <w:tcBorders>
              <w:bottom w:val="single" w:sz="8" w:color="5B6770"/>
            </w:tcBorders>
          </w:tcPr>
          <w:p>
            <w:pPr>
              <w:spacing w:after="0"/>
              <w:rPr>
                <w:sz w:val="5"/>
                <w:szCs w:val="5"/>
                <w:color w:val="auto"/>
              </w:rPr>
            </w:pPr>
          </w:p>
        </w:tc>
        <w:tc>
          <w:tcPr>
            <w:tcW w:w="1900" w:type="dxa"/>
            <w:vAlign w:val="bottom"/>
            <w:tcBorders>
              <w:bottom w:val="single" w:sz="8" w:color="5B6770"/>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9340" w:type="dxa"/>
            <w:vAlign w:val="bottom"/>
          </w:tcPr>
          <w:p>
            <w:pPr>
              <w:ind w:left="20"/>
              <w:spacing w:after="0"/>
              <w:rPr>
                <w:sz w:val="20"/>
                <w:szCs w:val="20"/>
                <w:color w:val="auto"/>
              </w:rPr>
            </w:pPr>
            <w:r>
              <w:rPr>
                <w:rFonts w:ascii="Arial" w:cs="Arial" w:eastAsia="Arial" w:hAnsi="Arial"/>
                <w:sz w:val="20"/>
                <w:szCs w:val="20"/>
                <w:b w:val="1"/>
                <w:bCs w:val="1"/>
                <w:color w:val="00529B"/>
              </w:rPr>
              <w:t>Questions and Answers About Voting</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00529B"/>
              </w:rPr>
              <w:t>85</w:t>
            </w:r>
          </w:p>
        </w:tc>
        <w:tc>
          <w:tcPr>
            <w:tcW w:w="0" w:type="dxa"/>
            <w:vAlign w:val="bottom"/>
          </w:tcPr>
          <w:p>
            <w:pPr>
              <w:spacing w:after="0"/>
              <w:rPr>
                <w:sz w:val="1"/>
                <w:szCs w:val="1"/>
                <w:color w:val="auto"/>
              </w:rPr>
            </w:pPr>
          </w:p>
        </w:tc>
      </w:tr>
      <w:tr>
        <w:trPr>
          <w:trHeight w:val="61"/>
        </w:trPr>
        <w:tc>
          <w:tcPr>
            <w:tcW w:w="9340" w:type="dxa"/>
            <w:vAlign w:val="bottom"/>
            <w:tcBorders>
              <w:bottom w:val="single" w:sz="8" w:color="5B6770"/>
            </w:tcBorders>
          </w:tcPr>
          <w:p>
            <w:pPr>
              <w:spacing w:after="0"/>
              <w:rPr>
                <w:sz w:val="5"/>
                <w:szCs w:val="5"/>
                <w:color w:val="auto"/>
              </w:rPr>
            </w:pPr>
          </w:p>
        </w:tc>
        <w:tc>
          <w:tcPr>
            <w:tcW w:w="1900" w:type="dxa"/>
            <w:vAlign w:val="bottom"/>
            <w:tcBorders>
              <w:bottom w:val="single" w:sz="8" w:color="5B6770"/>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9340" w:type="dxa"/>
            <w:vAlign w:val="bottom"/>
          </w:tcPr>
          <w:p>
            <w:pPr>
              <w:ind w:left="20"/>
              <w:spacing w:after="0"/>
              <w:rPr>
                <w:sz w:val="20"/>
                <w:szCs w:val="20"/>
                <w:color w:val="auto"/>
              </w:rPr>
            </w:pPr>
            <w:r>
              <w:rPr>
                <w:rFonts w:ascii="Arial" w:cs="Arial" w:eastAsia="Arial" w:hAnsi="Arial"/>
                <w:sz w:val="20"/>
                <w:szCs w:val="20"/>
                <w:b w:val="1"/>
                <w:bCs w:val="1"/>
                <w:color w:val="00529B"/>
              </w:rPr>
              <w:t>Other Matters</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00529B"/>
              </w:rPr>
              <w:t>88</w:t>
            </w:r>
          </w:p>
        </w:tc>
        <w:tc>
          <w:tcPr>
            <w:tcW w:w="0" w:type="dxa"/>
            <w:vAlign w:val="bottom"/>
          </w:tcPr>
          <w:p>
            <w:pPr>
              <w:spacing w:after="0"/>
              <w:rPr>
                <w:sz w:val="1"/>
                <w:szCs w:val="1"/>
                <w:color w:val="auto"/>
              </w:rPr>
            </w:pPr>
          </w:p>
        </w:tc>
      </w:tr>
      <w:tr>
        <w:trPr>
          <w:trHeight w:val="61"/>
        </w:trPr>
        <w:tc>
          <w:tcPr>
            <w:tcW w:w="9340" w:type="dxa"/>
            <w:vAlign w:val="bottom"/>
            <w:tcBorders>
              <w:bottom w:val="single" w:sz="8" w:color="298655"/>
            </w:tcBorders>
          </w:tcPr>
          <w:p>
            <w:pPr>
              <w:spacing w:after="0"/>
              <w:rPr>
                <w:sz w:val="5"/>
                <w:szCs w:val="5"/>
                <w:color w:val="auto"/>
              </w:rPr>
            </w:pPr>
          </w:p>
        </w:tc>
        <w:tc>
          <w:tcPr>
            <w:tcW w:w="1900" w:type="dxa"/>
            <w:vAlign w:val="bottom"/>
            <w:tcBorders>
              <w:bottom w:val="single" w:sz="8" w:color="298655"/>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560" w:hanging="534"/>
        <w:spacing w:after="0"/>
        <w:tabs>
          <w:tab w:leader="none" w:pos="560" w:val="left"/>
        </w:tabs>
        <w:numPr>
          <w:ilvl w:val="0"/>
          <w:numId w:val="7"/>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54"/>
          <w:szCs w:val="54"/>
          <w:b w:val="1"/>
          <w:bCs w:val="1"/>
          <w:color w:val="01549C"/>
        </w:rPr>
        <w:drawing>
          <wp:anchor simplePos="0" relativeHeight="251657728" behindDoc="1" locked="0" layoutInCell="0" allowOverlap="1">
            <wp:simplePos x="0" y="0"/>
            <wp:positionH relativeFrom="page">
              <wp:posOffset>6080125</wp:posOffset>
            </wp:positionH>
            <wp:positionV relativeFrom="page">
              <wp:posOffset>620395</wp:posOffset>
            </wp:positionV>
            <wp:extent cx="1157605" cy="6172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17220"/>
                    </a:xfrm>
                    <a:prstGeom prst="rect">
                      <a:avLst/>
                    </a:prstGeom>
                    <a:noFill/>
                  </pic:spPr>
                </pic:pic>
              </a:graphicData>
            </a:graphic>
          </wp:anchor>
        </w:drawing>
        <w:t>Proxy Summary</w:t>
      </w:r>
    </w:p>
    <w:p>
      <w:pPr>
        <w:spacing w:after="0" w:line="315"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4D4D4F"/>
        </w:rPr>
        <w:t>This proxy summary highlights information contained elsewhere in this proxy statement and does not contain all information that you should review and consider. Please read the entire proxy statement with care before voting.</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2024 Annual Meeting</w:t>
      </w:r>
    </w:p>
    <w:p>
      <w:pPr>
        <w:spacing w:after="0" w:line="195" w:lineRule="exact"/>
        <w:rPr>
          <w:sz w:val="20"/>
          <w:szCs w:val="20"/>
          <w:color w:val="auto"/>
        </w:rPr>
      </w:pPr>
    </w:p>
    <w:tbl>
      <w:tblPr>
        <w:tblLayout w:type="fixed"/>
        <w:tblInd w:w="760" w:type="dxa"/>
        <w:tblCellMar>
          <w:top w:w="0" w:type="dxa"/>
          <w:left w:w="0" w:type="dxa"/>
          <w:bottom w:w="0" w:type="dxa"/>
          <w:right w:w="0" w:type="dxa"/>
        </w:tblCellMar>
      </w:tblPr>
      <w:tr>
        <w:trPr>
          <w:trHeight w:val="223"/>
        </w:trPr>
        <w:tc>
          <w:tcPr>
            <w:tcW w:w="2080" w:type="dxa"/>
            <w:vAlign w:val="bottom"/>
          </w:tcPr>
          <w:p>
            <w:pPr>
              <w:spacing w:after="0"/>
              <w:rPr>
                <w:sz w:val="20"/>
                <w:szCs w:val="20"/>
                <w:color w:val="auto"/>
              </w:rPr>
            </w:pPr>
            <w:r>
              <w:rPr>
                <w:rFonts w:ascii="Arial" w:cs="Arial" w:eastAsia="Arial" w:hAnsi="Arial"/>
                <w:sz w:val="16"/>
                <w:szCs w:val="16"/>
                <w:b w:val="1"/>
                <w:bCs w:val="1"/>
                <w:color w:val="00529B"/>
              </w:rPr>
              <w:t>DATE AND TIME</w:t>
            </w:r>
          </w:p>
        </w:tc>
        <w:tc>
          <w:tcPr>
            <w:tcW w:w="2640" w:type="dxa"/>
            <w:vAlign w:val="bottom"/>
          </w:tcPr>
          <w:p>
            <w:pPr>
              <w:ind w:left="540"/>
              <w:spacing w:after="0"/>
              <w:rPr>
                <w:sz w:val="20"/>
                <w:szCs w:val="20"/>
                <w:color w:val="auto"/>
              </w:rPr>
            </w:pPr>
            <w:r>
              <w:rPr>
                <w:rFonts w:ascii="Arial" w:cs="Arial" w:eastAsia="Arial" w:hAnsi="Arial"/>
                <w:sz w:val="16"/>
                <w:szCs w:val="16"/>
                <w:b w:val="1"/>
                <w:bCs w:val="1"/>
                <w:color w:val="00529B"/>
              </w:rPr>
              <w:t>LOCATION</w:t>
            </w:r>
          </w:p>
        </w:tc>
        <w:tc>
          <w:tcPr>
            <w:tcW w:w="2480" w:type="dxa"/>
            <w:vAlign w:val="bottom"/>
          </w:tcPr>
          <w:p>
            <w:pPr>
              <w:ind w:left="560"/>
              <w:spacing w:after="0"/>
              <w:rPr>
                <w:sz w:val="20"/>
                <w:szCs w:val="20"/>
                <w:color w:val="auto"/>
              </w:rPr>
            </w:pPr>
            <w:r>
              <w:rPr>
                <w:rFonts w:ascii="Arial" w:cs="Arial" w:eastAsia="Arial" w:hAnsi="Arial"/>
                <w:sz w:val="16"/>
                <w:szCs w:val="16"/>
                <w:b w:val="1"/>
                <w:bCs w:val="1"/>
                <w:color w:val="00529B"/>
              </w:rPr>
              <w:t>RECORD DATE</w:t>
            </w:r>
          </w:p>
        </w:tc>
        <w:tc>
          <w:tcPr>
            <w:tcW w:w="3240" w:type="dxa"/>
            <w:vAlign w:val="bottom"/>
          </w:tcPr>
          <w:p>
            <w:pPr>
              <w:ind w:left="740"/>
              <w:spacing w:after="0"/>
              <w:rPr>
                <w:sz w:val="20"/>
                <w:szCs w:val="20"/>
                <w:color w:val="auto"/>
              </w:rPr>
            </w:pPr>
            <w:r>
              <w:rPr>
                <w:rFonts w:ascii="Arial" w:cs="Arial" w:eastAsia="Arial" w:hAnsi="Arial"/>
                <w:sz w:val="16"/>
                <w:szCs w:val="16"/>
                <w:b w:val="1"/>
                <w:bCs w:val="1"/>
                <w:color w:val="00529B"/>
              </w:rPr>
              <w:t>VOTING</w:t>
            </w:r>
          </w:p>
        </w:tc>
      </w:tr>
      <w:tr>
        <w:trPr>
          <w:trHeight w:val="282"/>
        </w:trPr>
        <w:tc>
          <w:tcPr>
            <w:tcW w:w="2080" w:type="dxa"/>
            <w:vAlign w:val="bottom"/>
          </w:tcPr>
          <w:p>
            <w:pPr>
              <w:spacing w:after="0"/>
              <w:rPr>
                <w:sz w:val="20"/>
                <w:szCs w:val="20"/>
                <w:color w:val="auto"/>
              </w:rPr>
            </w:pPr>
            <w:r>
              <w:rPr>
                <w:rFonts w:ascii="Arial" w:cs="Arial" w:eastAsia="Arial" w:hAnsi="Arial"/>
                <w:sz w:val="14"/>
                <w:szCs w:val="14"/>
                <w:color w:val="4D4D4F"/>
              </w:rPr>
              <w:t>Thursday, June 6, 2024,</w:t>
            </w:r>
          </w:p>
        </w:tc>
        <w:tc>
          <w:tcPr>
            <w:tcW w:w="2640" w:type="dxa"/>
            <w:vAlign w:val="bottom"/>
          </w:tcPr>
          <w:p>
            <w:pPr>
              <w:ind w:left="540"/>
              <w:spacing w:after="0"/>
              <w:rPr>
                <w:sz w:val="20"/>
                <w:szCs w:val="20"/>
                <w:color w:val="auto"/>
              </w:rPr>
            </w:pPr>
            <w:r>
              <w:rPr>
                <w:rFonts w:ascii="Arial" w:cs="Arial" w:eastAsia="Arial" w:hAnsi="Arial"/>
                <w:sz w:val="14"/>
                <w:szCs w:val="14"/>
                <w:color w:val="4D4D4F"/>
              </w:rPr>
              <w:t>Our meeting will be held</w:t>
            </w:r>
          </w:p>
        </w:tc>
        <w:tc>
          <w:tcPr>
            <w:tcW w:w="2480" w:type="dxa"/>
            <w:vAlign w:val="bottom"/>
          </w:tcPr>
          <w:p>
            <w:pPr>
              <w:ind w:left="560"/>
              <w:spacing w:after="0"/>
              <w:rPr>
                <w:sz w:val="20"/>
                <w:szCs w:val="20"/>
                <w:color w:val="auto"/>
              </w:rPr>
            </w:pPr>
            <w:r>
              <w:rPr>
                <w:rFonts w:ascii="Arial" w:cs="Arial" w:eastAsia="Arial" w:hAnsi="Arial"/>
                <w:sz w:val="14"/>
                <w:szCs w:val="14"/>
                <w:color w:val="4D4D4F"/>
              </w:rPr>
              <w:t>April 11, 2024</w:t>
            </w:r>
          </w:p>
        </w:tc>
        <w:tc>
          <w:tcPr>
            <w:tcW w:w="3240" w:type="dxa"/>
            <w:vAlign w:val="bottom"/>
          </w:tcPr>
          <w:p>
            <w:pPr>
              <w:ind w:left="740"/>
              <w:spacing w:after="0"/>
              <w:rPr>
                <w:sz w:val="20"/>
                <w:szCs w:val="20"/>
                <w:color w:val="auto"/>
              </w:rPr>
            </w:pPr>
            <w:r>
              <w:rPr>
                <w:rFonts w:ascii="Arial" w:cs="Arial" w:eastAsia="Arial" w:hAnsi="Arial"/>
                <w:sz w:val="14"/>
                <w:szCs w:val="14"/>
                <w:color w:val="4D4D4F"/>
              </w:rPr>
              <w:t>Our shareholders are entitled to one</w:t>
            </w:r>
          </w:p>
        </w:tc>
      </w:tr>
      <w:tr>
        <w:trPr>
          <w:trHeight w:val="189"/>
        </w:trPr>
        <w:tc>
          <w:tcPr>
            <w:tcW w:w="2080" w:type="dxa"/>
            <w:vAlign w:val="bottom"/>
          </w:tcPr>
          <w:p>
            <w:pPr>
              <w:spacing w:after="0"/>
              <w:rPr>
                <w:sz w:val="20"/>
                <w:szCs w:val="20"/>
                <w:color w:val="auto"/>
              </w:rPr>
            </w:pPr>
            <w:r>
              <w:rPr>
                <w:rFonts w:ascii="Arial" w:cs="Arial" w:eastAsia="Arial" w:hAnsi="Arial"/>
                <w:sz w:val="14"/>
                <w:szCs w:val="14"/>
                <w:color w:val="4D4D4F"/>
              </w:rPr>
              <w:t>at 8:00 a.m., Eastern</w:t>
            </w:r>
          </w:p>
        </w:tc>
        <w:tc>
          <w:tcPr>
            <w:tcW w:w="2640" w:type="dxa"/>
            <w:vAlign w:val="bottom"/>
          </w:tcPr>
          <w:p>
            <w:pPr>
              <w:ind w:left="540"/>
              <w:spacing w:after="0"/>
              <w:rPr>
                <w:sz w:val="20"/>
                <w:szCs w:val="20"/>
                <w:color w:val="auto"/>
              </w:rPr>
            </w:pPr>
            <w:r>
              <w:rPr>
                <w:rFonts w:ascii="Arial" w:cs="Arial" w:eastAsia="Arial" w:hAnsi="Arial"/>
                <w:sz w:val="14"/>
                <w:szCs w:val="14"/>
                <w:color w:val="4D4D4F"/>
              </w:rPr>
              <w:t>at the offices of Norton</w:t>
            </w:r>
          </w:p>
        </w:tc>
        <w:tc>
          <w:tcPr>
            <w:tcW w:w="2480" w:type="dxa"/>
            <w:vAlign w:val="bottom"/>
          </w:tcPr>
          <w:p>
            <w:pPr>
              <w:spacing w:after="0"/>
              <w:rPr>
                <w:sz w:val="16"/>
                <w:szCs w:val="16"/>
                <w:color w:val="auto"/>
              </w:rPr>
            </w:pPr>
          </w:p>
        </w:tc>
        <w:tc>
          <w:tcPr>
            <w:tcW w:w="3240" w:type="dxa"/>
            <w:vAlign w:val="bottom"/>
          </w:tcPr>
          <w:p>
            <w:pPr>
              <w:ind w:left="740"/>
              <w:spacing w:after="0"/>
              <w:rPr>
                <w:sz w:val="20"/>
                <w:szCs w:val="20"/>
                <w:color w:val="auto"/>
              </w:rPr>
            </w:pPr>
            <w:r>
              <w:rPr>
                <w:rFonts w:ascii="Arial" w:cs="Arial" w:eastAsia="Arial" w:hAnsi="Arial"/>
                <w:sz w:val="14"/>
                <w:szCs w:val="14"/>
                <w:color w:val="4D4D4F"/>
              </w:rPr>
              <w:t>vote per share of common stock owned</w:t>
            </w:r>
          </w:p>
        </w:tc>
      </w:tr>
      <w:tr>
        <w:trPr>
          <w:trHeight w:val="175"/>
        </w:trPr>
        <w:tc>
          <w:tcPr>
            <w:tcW w:w="2080" w:type="dxa"/>
            <w:vAlign w:val="bottom"/>
          </w:tcPr>
          <w:p>
            <w:pPr>
              <w:spacing w:after="0"/>
              <w:rPr>
                <w:sz w:val="20"/>
                <w:szCs w:val="20"/>
                <w:color w:val="auto"/>
              </w:rPr>
            </w:pPr>
            <w:r>
              <w:rPr>
                <w:rFonts w:ascii="Arial" w:cs="Arial" w:eastAsia="Arial" w:hAnsi="Arial"/>
                <w:sz w:val="14"/>
                <w:szCs w:val="14"/>
                <w:color w:val="4D4D4F"/>
              </w:rPr>
              <w:t>Time</w:t>
            </w:r>
          </w:p>
        </w:tc>
        <w:tc>
          <w:tcPr>
            <w:tcW w:w="2640" w:type="dxa"/>
            <w:vAlign w:val="bottom"/>
          </w:tcPr>
          <w:p>
            <w:pPr>
              <w:ind w:left="540"/>
              <w:spacing w:after="0"/>
              <w:rPr>
                <w:sz w:val="20"/>
                <w:szCs w:val="20"/>
                <w:color w:val="auto"/>
              </w:rPr>
            </w:pPr>
            <w:r>
              <w:rPr>
                <w:rFonts w:ascii="Arial" w:cs="Arial" w:eastAsia="Arial" w:hAnsi="Arial"/>
                <w:sz w:val="14"/>
                <w:szCs w:val="14"/>
                <w:color w:val="4D4D4F"/>
              </w:rPr>
              <w:t>Rose Fulbright US LLP,</w:t>
            </w:r>
          </w:p>
        </w:tc>
        <w:tc>
          <w:tcPr>
            <w:tcW w:w="2480" w:type="dxa"/>
            <w:vAlign w:val="bottom"/>
          </w:tcPr>
          <w:p>
            <w:pPr>
              <w:spacing w:after="0"/>
              <w:rPr>
                <w:sz w:val="15"/>
                <w:szCs w:val="15"/>
                <w:color w:val="auto"/>
              </w:rPr>
            </w:pPr>
          </w:p>
        </w:tc>
        <w:tc>
          <w:tcPr>
            <w:tcW w:w="3240" w:type="dxa"/>
            <w:vAlign w:val="bottom"/>
          </w:tcPr>
          <w:p>
            <w:pPr>
              <w:ind w:left="740"/>
              <w:spacing w:after="0"/>
              <w:rPr>
                <w:sz w:val="20"/>
                <w:szCs w:val="20"/>
                <w:color w:val="auto"/>
              </w:rPr>
            </w:pPr>
            <w:r>
              <w:rPr>
                <w:rFonts w:ascii="Arial" w:cs="Arial" w:eastAsia="Arial" w:hAnsi="Arial"/>
                <w:sz w:val="14"/>
                <w:szCs w:val="14"/>
                <w:color w:val="4D4D4F"/>
              </w:rPr>
              <w:t>on the record date of April 11, 2024 for</w:t>
            </w:r>
          </w:p>
        </w:tc>
      </w:tr>
      <w:tr>
        <w:trPr>
          <w:trHeight w:val="176"/>
        </w:trPr>
        <w:tc>
          <w:tcPr>
            <w:tcW w:w="2080" w:type="dxa"/>
            <w:vAlign w:val="bottom"/>
          </w:tcPr>
          <w:p>
            <w:pPr>
              <w:spacing w:after="0"/>
              <w:rPr>
                <w:sz w:val="15"/>
                <w:szCs w:val="15"/>
                <w:color w:val="auto"/>
              </w:rPr>
            </w:pPr>
          </w:p>
        </w:tc>
        <w:tc>
          <w:tcPr>
            <w:tcW w:w="2640" w:type="dxa"/>
            <w:vAlign w:val="bottom"/>
          </w:tcPr>
          <w:p>
            <w:pPr>
              <w:ind w:left="540"/>
              <w:spacing w:after="0"/>
              <w:rPr>
                <w:sz w:val="20"/>
                <w:szCs w:val="20"/>
                <w:color w:val="auto"/>
              </w:rPr>
            </w:pPr>
            <w:r>
              <w:rPr>
                <w:rFonts w:ascii="Arial" w:cs="Arial" w:eastAsia="Arial" w:hAnsi="Arial"/>
                <w:sz w:val="14"/>
                <w:szCs w:val="14"/>
                <w:color w:val="4D4D4F"/>
              </w:rPr>
              <w:t>1301 Avenue of the</w:t>
            </w:r>
          </w:p>
        </w:tc>
        <w:tc>
          <w:tcPr>
            <w:tcW w:w="2480" w:type="dxa"/>
            <w:vAlign w:val="bottom"/>
          </w:tcPr>
          <w:p>
            <w:pPr>
              <w:spacing w:after="0"/>
              <w:rPr>
                <w:sz w:val="15"/>
                <w:szCs w:val="15"/>
                <w:color w:val="auto"/>
              </w:rPr>
            </w:pPr>
          </w:p>
        </w:tc>
        <w:tc>
          <w:tcPr>
            <w:tcW w:w="3240" w:type="dxa"/>
            <w:vAlign w:val="bottom"/>
          </w:tcPr>
          <w:p>
            <w:pPr>
              <w:ind w:left="740"/>
              <w:spacing w:after="0"/>
              <w:rPr>
                <w:sz w:val="20"/>
                <w:szCs w:val="20"/>
                <w:color w:val="auto"/>
              </w:rPr>
            </w:pPr>
            <w:r>
              <w:rPr>
                <w:rFonts w:ascii="Arial" w:cs="Arial" w:eastAsia="Arial" w:hAnsi="Arial"/>
                <w:sz w:val="14"/>
                <w:szCs w:val="14"/>
                <w:color w:val="4D4D4F"/>
              </w:rPr>
              <w:t>each matter properly presented at the</w:t>
            </w:r>
          </w:p>
        </w:tc>
      </w:tr>
      <w:tr>
        <w:trPr>
          <w:trHeight w:val="189"/>
        </w:trPr>
        <w:tc>
          <w:tcPr>
            <w:tcW w:w="2080" w:type="dxa"/>
            <w:vAlign w:val="bottom"/>
          </w:tcPr>
          <w:p>
            <w:pPr>
              <w:spacing w:after="0"/>
              <w:rPr>
                <w:sz w:val="16"/>
                <w:szCs w:val="16"/>
                <w:color w:val="auto"/>
              </w:rPr>
            </w:pPr>
          </w:p>
        </w:tc>
        <w:tc>
          <w:tcPr>
            <w:tcW w:w="2640" w:type="dxa"/>
            <w:vAlign w:val="bottom"/>
          </w:tcPr>
          <w:p>
            <w:pPr>
              <w:ind w:left="540"/>
              <w:spacing w:after="0"/>
              <w:rPr>
                <w:sz w:val="20"/>
                <w:szCs w:val="20"/>
                <w:color w:val="auto"/>
              </w:rPr>
            </w:pPr>
            <w:r>
              <w:rPr>
                <w:rFonts w:ascii="Arial" w:cs="Arial" w:eastAsia="Arial" w:hAnsi="Arial"/>
                <w:sz w:val="14"/>
                <w:szCs w:val="14"/>
                <w:color w:val="4D4D4F"/>
              </w:rPr>
              <w:t>Americas, 30th Floor,</w:t>
            </w:r>
          </w:p>
        </w:tc>
        <w:tc>
          <w:tcPr>
            <w:tcW w:w="2480" w:type="dxa"/>
            <w:vAlign w:val="bottom"/>
          </w:tcPr>
          <w:p>
            <w:pPr>
              <w:spacing w:after="0"/>
              <w:rPr>
                <w:sz w:val="16"/>
                <w:szCs w:val="16"/>
                <w:color w:val="auto"/>
              </w:rPr>
            </w:pPr>
          </w:p>
        </w:tc>
        <w:tc>
          <w:tcPr>
            <w:tcW w:w="3240" w:type="dxa"/>
            <w:vAlign w:val="bottom"/>
          </w:tcPr>
          <w:p>
            <w:pPr>
              <w:ind w:left="740"/>
              <w:spacing w:after="0"/>
              <w:rPr>
                <w:sz w:val="20"/>
                <w:szCs w:val="20"/>
                <w:color w:val="auto"/>
              </w:rPr>
            </w:pPr>
            <w:r>
              <w:rPr>
                <w:rFonts w:ascii="Arial" w:cs="Arial" w:eastAsia="Arial" w:hAnsi="Arial"/>
                <w:sz w:val="14"/>
                <w:szCs w:val="14"/>
                <w:color w:val="4D4D4F"/>
              </w:rPr>
              <w:t>Annual Meeting.</w:t>
            </w:r>
          </w:p>
        </w:tc>
      </w:tr>
      <w:tr>
        <w:trPr>
          <w:trHeight w:val="175"/>
        </w:trPr>
        <w:tc>
          <w:tcPr>
            <w:tcW w:w="2080" w:type="dxa"/>
            <w:vAlign w:val="bottom"/>
          </w:tcPr>
          <w:p>
            <w:pPr>
              <w:spacing w:after="0"/>
              <w:rPr>
                <w:sz w:val="15"/>
                <w:szCs w:val="15"/>
                <w:color w:val="auto"/>
              </w:rPr>
            </w:pPr>
          </w:p>
        </w:tc>
        <w:tc>
          <w:tcPr>
            <w:tcW w:w="2640" w:type="dxa"/>
            <w:vAlign w:val="bottom"/>
          </w:tcPr>
          <w:p>
            <w:pPr>
              <w:ind w:left="540"/>
              <w:spacing w:after="0"/>
              <w:rPr>
                <w:sz w:val="20"/>
                <w:szCs w:val="20"/>
                <w:color w:val="auto"/>
              </w:rPr>
            </w:pPr>
            <w:r>
              <w:rPr>
                <w:rFonts w:ascii="Arial" w:cs="Arial" w:eastAsia="Arial" w:hAnsi="Arial"/>
                <w:sz w:val="14"/>
                <w:szCs w:val="14"/>
                <w:color w:val="4D4D4F"/>
              </w:rPr>
              <w:t>New York, New York</w:t>
            </w:r>
          </w:p>
        </w:tc>
        <w:tc>
          <w:tcPr>
            <w:tcW w:w="2480" w:type="dxa"/>
            <w:vAlign w:val="bottom"/>
          </w:tcPr>
          <w:p>
            <w:pPr>
              <w:spacing w:after="0"/>
              <w:rPr>
                <w:sz w:val="15"/>
                <w:szCs w:val="15"/>
                <w:color w:val="auto"/>
              </w:rPr>
            </w:pPr>
          </w:p>
        </w:tc>
        <w:tc>
          <w:tcPr>
            <w:tcW w:w="3240" w:type="dxa"/>
            <w:vAlign w:val="bottom"/>
          </w:tcPr>
          <w:p>
            <w:pPr>
              <w:spacing w:after="0"/>
              <w:rPr>
                <w:sz w:val="15"/>
                <w:szCs w:val="15"/>
                <w:color w:val="auto"/>
              </w:rPr>
            </w:pPr>
          </w:p>
        </w:tc>
      </w:tr>
      <w:tr>
        <w:trPr>
          <w:trHeight w:val="190"/>
        </w:trPr>
        <w:tc>
          <w:tcPr>
            <w:tcW w:w="2080" w:type="dxa"/>
            <w:vAlign w:val="bottom"/>
          </w:tcPr>
          <w:p>
            <w:pPr>
              <w:spacing w:after="0"/>
              <w:rPr>
                <w:sz w:val="16"/>
                <w:szCs w:val="16"/>
                <w:color w:val="auto"/>
              </w:rPr>
            </w:pPr>
          </w:p>
        </w:tc>
        <w:tc>
          <w:tcPr>
            <w:tcW w:w="2640" w:type="dxa"/>
            <w:vAlign w:val="bottom"/>
          </w:tcPr>
          <w:p>
            <w:pPr>
              <w:ind w:left="540"/>
              <w:spacing w:after="0"/>
              <w:rPr>
                <w:sz w:val="20"/>
                <w:szCs w:val="20"/>
                <w:color w:val="auto"/>
              </w:rPr>
            </w:pPr>
            <w:r>
              <w:rPr>
                <w:rFonts w:ascii="Arial" w:cs="Arial" w:eastAsia="Arial" w:hAnsi="Arial"/>
                <w:sz w:val="14"/>
                <w:szCs w:val="14"/>
                <w:color w:val="4D4D4F"/>
              </w:rPr>
              <w:t>10019.</w:t>
            </w:r>
          </w:p>
        </w:tc>
        <w:tc>
          <w:tcPr>
            <w:tcW w:w="2480" w:type="dxa"/>
            <w:vAlign w:val="bottom"/>
          </w:tcPr>
          <w:p>
            <w:pPr>
              <w:spacing w:after="0"/>
              <w:rPr>
                <w:sz w:val="16"/>
                <w:szCs w:val="16"/>
                <w:color w:val="auto"/>
              </w:rPr>
            </w:pPr>
          </w:p>
        </w:tc>
        <w:tc>
          <w:tcPr>
            <w:tcW w:w="32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-637540</wp:posOffset>
            </wp:positionV>
            <wp:extent cx="24003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-637540</wp:posOffset>
            </wp:positionV>
            <wp:extent cx="240030"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-637540</wp:posOffset>
            </wp:positionV>
            <wp:extent cx="24003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-628650</wp:posOffset>
            </wp:positionV>
            <wp:extent cx="222885"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Proposals and Board Recommendation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220" w:type="dxa"/>
            <w:vAlign w:val="bottom"/>
            <w:shd w:val="clear" w:color="auto" w:fill="00529B"/>
          </w:tcPr>
          <w:p>
            <w:pPr>
              <w:spacing w:after="0"/>
              <w:rPr>
                <w:sz w:val="24"/>
                <w:szCs w:val="24"/>
                <w:color w:val="auto"/>
              </w:rPr>
            </w:pPr>
          </w:p>
        </w:tc>
        <w:tc>
          <w:tcPr>
            <w:tcW w:w="600" w:type="dxa"/>
            <w:vAlign w:val="bottom"/>
            <w:shd w:val="clear" w:color="auto" w:fill="EAEEF2"/>
          </w:tcPr>
          <w:p>
            <w:pPr>
              <w:jc w:val="right"/>
              <w:spacing w:after="0"/>
              <w:rPr>
                <w:sz w:val="20"/>
                <w:szCs w:val="20"/>
                <w:color w:val="auto"/>
              </w:rPr>
            </w:pPr>
            <w:r>
              <w:rPr>
                <w:rFonts w:ascii="Arial" w:cs="Arial" w:eastAsia="Arial" w:hAnsi="Arial"/>
                <w:sz w:val="40"/>
                <w:szCs w:val="40"/>
                <w:b w:val="1"/>
                <w:bCs w:val="1"/>
                <w:color w:val="00529B"/>
              </w:rPr>
              <w:t>1</w:t>
            </w:r>
          </w:p>
        </w:tc>
        <w:tc>
          <w:tcPr>
            <w:tcW w:w="6140" w:type="dxa"/>
            <w:vAlign w:val="bottom"/>
            <w:shd w:val="clear" w:color="auto" w:fill="EAEEF2"/>
          </w:tcPr>
          <w:p>
            <w:pPr>
              <w:ind w:left="140"/>
              <w:spacing w:after="0"/>
              <w:rPr>
                <w:sz w:val="20"/>
                <w:szCs w:val="20"/>
                <w:color w:val="auto"/>
              </w:rPr>
            </w:pPr>
            <w:r>
              <w:rPr>
                <w:rFonts w:ascii="Arial" w:cs="Arial" w:eastAsia="Arial" w:hAnsi="Arial"/>
                <w:sz w:val="29"/>
                <w:szCs w:val="29"/>
                <w:color w:val="00529B"/>
              </w:rPr>
              <w:t>Election of Directors</w:t>
            </w:r>
          </w:p>
        </w:tc>
        <w:tc>
          <w:tcPr>
            <w:tcW w:w="1660" w:type="dxa"/>
            <w:vAlign w:val="bottom"/>
            <w:shd w:val="clear" w:color="auto" w:fill="EAEEF2"/>
          </w:tcPr>
          <w:p>
            <w:pPr>
              <w:spacing w:after="0"/>
              <w:rPr>
                <w:sz w:val="24"/>
                <w:szCs w:val="24"/>
                <w:color w:val="auto"/>
              </w:rPr>
            </w:pPr>
          </w:p>
        </w:tc>
        <w:tc>
          <w:tcPr>
            <w:tcW w:w="2620" w:type="dxa"/>
            <w:vAlign w:val="bottom"/>
            <w:shd w:val="clear" w:color="auto" w:fill="EAEEF2"/>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20" w:type="dxa"/>
            <w:vAlign w:val="bottom"/>
            <w:shd w:val="clear" w:color="auto" w:fill="132440"/>
          </w:tcPr>
          <w:p>
            <w:pPr>
              <w:spacing w:after="0"/>
              <w:rPr>
                <w:sz w:val="24"/>
                <w:szCs w:val="24"/>
                <w:color w:val="auto"/>
              </w:rPr>
            </w:pPr>
          </w:p>
        </w:tc>
        <w:tc>
          <w:tcPr>
            <w:tcW w:w="6740" w:type="dxa"/>
            <w:vAlign w:val="bottom"/>
            <w:gridSpan w:val="2"/>
            <w:shd w:val="clear" w:color="auto" w:fill="132440"/>
          </w:tcPr>
          <w:p>
            <w:pPr>
              <w:ind w:left="180"/>
              <w:spacing w:after="0"/>
              <w:rPr>
                <w:sz w:val="20"/>
                <w:szCs w:val="20"/>
                <w:color w:val="auto"/>
              </w:rPr>
            </w:pPr>
            <w:r>
              <w:rPr>
                <w:rFonts w:ascii="Arial" w:cs="Arial" w:eastAsia="Arial" w:hAnsi="Arial"/>
                <w:sz w:val="16"/>
                <w:szCs w:val="16"/>
                <w:color w:val="FFFFFF"/>
              </w:rPr>
              <w:t xml:space="preserve">The Board of Directors recommends a vote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Proposal 1.</w:t>
            </w:r>
          </w:p>
        </w:tc>
        <w:tc>
          <w:tcPr>
            <w:tcW w:w="1660" w:type="dxa"/>
            <w:vAlign w:val="bottom"/>
            <w:shd w:val="clear" w:color="auto" w:fill="132440"/>
          </w:tcPr>
          <w:p>
            <w:pPr>
              <w:ind w:left="560"/>
              <w:spacing w:after="0"/>
              <w:rPr>
                <w:sz w:val="20"/>
                <w:szCs w:val="20"/>
                <w:color w:val="auto"/>
              </w:rPr>
            </w:pPr>
            <w:r>
              <w:rPr>
                <w:rFonts w:ascii="Arial" w:cs="Arial" w:eastAsia="Arial" w:hAnsi="Arial"/>
                <w:sz w:val="16"/>
                <w:szCs w:val="16"/>
                <w:color w:val="FFFFFF"/>
              </w:rPr>
              <w:t>page 10</w:t>
            </w:r>
          </w:p>
        </w:tc>
        <w:tc>
          <w:tcPr>
            <w:tcW w:w="2620" w:type="dxa"/>
            <w:vAlign w:val="bottom"/>
            <w:shd w:val="clear" w:color="auto" w:fill="298655"/>
          </w:tcPr>
          <w:p>
            <w:pPr>
              <w:jc w:val="center"/>
              <w:ind w:left="24"/>
              <w:spacing w:after="0" w:line="336" w:lineRule="exact"/>
              <w:rPr>
                <w:sz w:val="20"/>
                <w:szCs w:val="20"/>
                <w:color w:val="auto"/>
              </w:rPr>
            </w:pPr>
            <w:r>
              <w:rPr>
                <w:rFonts w:ascii="Arial" w:cs="Arial" w:eastAsia="Arial" w:hAnsi="Arial"/>
                <w:sz w:val="32"/>
                <w:szCs w:val="32"/>
                <w:b w:val="1"/>
                <w:bCs w:val="1"/>
                <w:color w:val="FFFFFF"/>
              </w:rPr>
              <w:t>“FOR”</w:t>
            </w:r>
          </w:p>
        </w:tc>
        <w:tc>
          <w:tcPr>
            <w:tcW w:w="0" w:type="dxa"/>
            <w:vAlign w:val="bottom"/>
          </w:tcPr>
          <w:p>
            <w:pPr>
              <w:spacing w:after="0"/>
              <w:rPr>
                <w:sz w:val="1"/>
                <w:szCs w:val="1"/>
                <w:color w:val="auto"/>
              </w:rPr>
            </w:pPr>
          </w:p>
        </w:tc>
      </w:tr>
      <w:tr>
        <w:trPr>
          <w:trHeight w:val="230"/>
        </w:trPr>
        <w:tc>
          <w:tcPr>
            <w:tcW w:w="220" w:type="dxa"/>
            <w:vAlign w:val="bottom"/>
            <w:shd w:val="clear" w:color="auto" w:fill="132440"/>
          </w:tcPr>
          <w:p>
            <w:pPr>
              <w:spacing w:after="0"/>
              <w:rPr>
                <w:sz w:val="20"/>
                <w:szCs w:val="20"/>
                <w:color w:val="auto"/>
              </w:rPr>
            </w:pPr>
          </w:p>
        </w:tc>
        <w:tc>
          <w:tcPr>
            <w:tcW w:w="600" w:type="dxa"/>
            <w:vAlign w:val="bottom"/>
            <w:shd w:val="clear" w:color="auto" w:fill="132440"/>
          </w:tcPr>
          <w:p>
            <w:pPr>
              <w:spacing w:after="0"/>
              <w:rPr>
                <w:sz w:val="20"/>
                <w:szCs w:val="20"/>
                <w:color w:val="auto"/>
              </w:rPr>
            </w:pPr>
          </w:p>
        </w:tc>
        <w:tc>
          <w:tcPr>
            <w:tcW w:w="6140" w:type="dxa"/>
            <w:vAlign w:val="bottom"/>
            <w:shd w:val="clear" w:color="auto" w:fill="132440"/>
          </w:tcPr>
          <w:p>
            <w:pPr>
              <w:spacing w:after="0"/>
              <w:rPr>
                <w:sz w:val="20"/>
                <w:szCs w:val="20"/>
                <w:color w:val="auto"/>
              </w:rPr>
            </w:pPr>
          </w:p>
        </w:tc>
        <w:tc>
          <w:tcPr>
            <w:tcW w:w="1660" w:type="dxa"/>
            <w:vAlign w:val="bottom"/>
            <w:shd w:val="clear" w:color="auto" w:fill="132440"/>
          </w:tcPr>
          <w:p>
            <w:pPr>
              <w:spacing w:after="0"/>
              <w:rPr>
                <w:sz w:val="20"/>
                <w:szCs w:val="20"/>
                <w:color w:val="auto"/>
              </w:rPr>
            </w:pPr>
          </w:p>
        </w:tc>
        <w:tc>
          <w:tcPr>
            <w:tcW w:w="2620" w:type="dxa"/>
            <w:vAlign w:val="bottom"/>
            <w:shd w:val="clear" w:color="auto" w:fill="298655"/>
          </w:tcPr>
          <w:p>
            <w:pPr>
              <w:jc w:val="center"/>
              <w:ind w:left="24"/>
              <w:spacing w:after="0"/>
              <w:rPr>
                <w:sz w:val="20"/>
                <w:szCs w:val="20"/>
                <w:color w:val="auto"/>
              </w:rPr>
            </w:pPr>
            <w:r>
              <w:rPr>
                <w:rFonts w:ascii="Arial" w:cs="Arial" w:eastAsia="Arial" w:hAnsi="Arial"/>
                <w:sz w:val="16"/>
                <w:szCs w:val="16"/>
                <w:color w:val="FFFFFF"/>
              </w:rPr>
              <w:t>each director nominee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220" w:type="dxa"/>
            <w:vAlign w:val="bottom"/>
            <w:shd w:val="clear" w:color="auto" w:fill="00529B"/>
          </w:tcPr>
          <w:p>
            <w:pPr>
              <w:spacing w:after="0"/>
              <w:rPr>
                <w:sz w:val="24"/>
                <w:szCs w:val="24"/>
                <w:color w:val="auto"/>
              </w:rPr>
            </w:pPr>
          </w:p>
        </w:tc>
        <w:tc>
          <w:tcPr>
            <w:tcW w:w="600" w:type="dxa"/>
            <w:vAlign w:val="bottom"/>
            <w:shd w:val="clear" w:color="auto" w:fill="EAEEF2"/>
          </w:tcPr>
          <w:p>
            <w:pPr>
              <w:jc w:val="right"/>
              <w:spacing w:after="0"/>
              <w:rPr>
                <w:sz w:val="20"/>
                <w:szCs w:val="20"/>
                <w:color w:val="auto"/>
              </w:rPr>
            </w:pPr>
            <w:r>
              <w:rPr>
                <w:rFonts w:ascii="Arial" w:cs="Arial" w:eastAsia="Arial" w:hAnsi="Arial"/>
                <w:sz w:val="40"/>
                <w:szCs w:val="40"/>
                <w:b w:val="1"/>
                <w:bCs w:val="1"/>
                <w:color w:val="00529B"/>
              </w:rPr>
              <w:t>2</w:t>
            </w:r>
          </w:p>
        </w:tc>
        <w:tc>
          <w:tcPr>
            <w:tcW w:w="6140" w:type="dxa"/>
            <w:vAlign w:val="bottom"/>
            <w:shd w:val="clear" w:color="auto" w:fill="EAEEF2"/>
          </w:tcPr>
          <w:p>
            <w:pPr>
              <w:ind w:left="140"/>
              <w:spacing w:after="0"/>
              <w:rPr>
                <w:sz w:val="20"/>
                <w:szCs w:val="20"/>
                <w:color w:val="auto"/>
              </w:rPr>
            </w:pPr>
            <w:r>
              <w:rPr>
                <w:rFonts w:ascii="Arial" w:cs="Arial" w:eastAsia="Arial" w:hAnsi="Arial"/>
                <w:sz w:val="29"/>
                <w:szCs w:val="29"/>
                <w:color w:val="00529B"/>
              </w:rPr>
              <w:t>Advisory Vote on Executive Compensation</w:t>
            </w:r>
          </w:p>
        </w:tc>
        <w:tc>
          <w:tcPr>
            <w:tcW w:w="1660" w:type="dxa"/>
            <w:vAlign w:val="bottom"/>
            <w:shd w:val="clear" w:color="auto" w:fill="EAEEF2"/>
          </w:tcPr>
          <w:p>
            <w:pPr>
              <w:spacing w:after="0"/>
              <w:rPr>
                <w:sz w:val="24"/>
                <w:szCs w:val="24"/>
                <w:color w:val="auto"/>
              </w:rPr>
            </w:pPr>
          </w:p>
        </w:tc>
        <w:tc>
          <w:tcPr>
            <w:tcW w:w="2620" w:type="dxa"/>
            <w:vAlign w:val="bottom"/>
            <w:shd w:val="clear" w:color="auto" w:fill="EAEEF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20" w:type="dxa"/>
            <w:vAlign w:val="bottom"/>
            <w:shd w:val="clear" w:color="auto" w:fill="132440"/>
          </w:tcPr>
          <w:p>
            <w:pPr>
              <w:spacing w:after="0"/>
              <w:rPr>
                <w:sz w:val="16"/>
                <w:szCs w:val="16"/>
                <w:color w:val="auto"/>
              </w:rPr>
            </w:pPr>
          </w:p>
        </w:tc>
        <w:tc>
          <w:tcPr>
            <w:tcW w:w="6740" w:type="dxa"/>
            <w:vAlign w:val="bottom"/>
            <w:gridSpan w:val="2"/>
            <w:vMerge w:val="restart"/>
            <w:shd w:val="clear" w:color="auto" w:fill="132440"/>
          </w:tcPr>
          <w:p>
            <w:pPr>
              <w:ind w:left="180"/>
              <w:spacing w:after="0"/>
              <w:rPr>
                <w:sz w:val="20"/>
                <w:szCs w:val="20"/>
                <w:color w:val="auto"/>
              </w:rPr>
            </w:pPr>
            <w:r>
              <w:rPr>
                <w:rFonts w:ascii="Arial" w:cs="Arial" w:eastAsia="Arial" w:hAnsi="Arial"/>
                <w:sz w:val="16"/>
                <w:szCs w:val="16"/>
                <w:color w:val="FFFFFF"/>
              </w:rPr>
              <w:t xml:space="preserve">The Board of Directors recommends a vote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Proposal 2.</w:t>
            </w:r>
          </w:p>
        </w:tc>
        <w:tc>
          <w:tcPr>
            <w:tcW w:w="1660" w:type="dxa"/>
            <w:vAlign w:val="bottom"/>
            <w:vMerge w:val="restart"/>
            <w:shd w:val="clear" w:color="auto" w:fill="132440"/>
          </w:tcPr>
          <w:p>
            <w:pPr>
              <w:ind w:left="560"/>
              <w:spacing w:after="0"/>
              <w:rPr>
                <w:sz w:val="20"/>
                <w:szCs w:val="20"/>
                <w:color w:val="auto"/>
              </w:rPr>
            </w:pPr>
            <w:r>
              <w:rPr>
                <w:rFonts w:ascii="Arial" w:cs="Arial" w:eastAsia="Arial" w:hAnsi="Arial"/>
                <w:sz w:val="16"/>
                <w:szCs w:val="16"/>
                <w:color w:val="FFFFFF"/>
              </w:rPr>
              <w:t>page 73</w:t>
            </w:r>
          </w:p>
        </w:tc>
        <w:tc>
          <w:tcPr>
            <w:tcW w:w="2620" w:type="dxa"/>
            <w:vAlign w:val="bottom"/>
            <w:shd w:val="clear" w:color="auto" w:fill="298655"/>
          </w:tcPr>
          <w:p>
            <w:pPr>
              <w:jc w:val="center"/>
              <w:ind w:left="24"/>
              <w:spacing w:after="0" w:line="189" w:lineRule="exact"/>
              <w:rPr>
                <w:sz w:val="20"/>
                <w:szCs w:val="20"/>
                <w:color w:val="auto"/>
              </w:rPr>
            </w:pPr>
            <w:r>
              <w:rPr>
                <w:rFonts w:ascii="Arial" w:cs="Arial" w:eastAsia="Arial" w:hAnsi="Arial"/>
                <w:sz w:val="21"/>
                <w:szCs w:val="21"/>
                <w:b w:val="1"/>
                <w:bCs w:val="1"/>
                <w:color w:val="FFFFFF"/>
              </w:rPr>
              <w:t>“FOR”</w:t>
            </w:r>
          </w:p>
        </w:tc>
        <w:tc>
          <w:tcPr>
            <w:tcW w:w="0" w:type="dxa"/>
            <w:vAlign w:val="bottom"/>
          </w:tcPr>
          <w:p>
            <w:pPr>
              <w:spacing w:after="0"/>
              <w:rPr>
                <w:sz w:val="1"/>
                <w:szCs w:val="1"/>
                <w:color w:val="auto"/>
              </w:rPr>
            </w:pPr>
          </w:p>
        </w:tc>
      </w:tr>
      <w:tr>
        <w:trPr>
          <w:trHeight w:val="52"/>
        </w:trPr>
        <w:tc>
          <w:tcPr>
            <w:tcW w:w="220" w:type="dxa"/>
            <w:vAlign w:val="bottom"/>
            <w:shd w:val="clear" w:color="auto" w:fill="132440"/>
          </w:tcPr>
          <w:p>
            <w:pPr>
              <w:spacing w:after="0"/>
              <w:rPr>
                <w:sz w:val="4"/>
                <w:szCs w:val="4"/>
                <w:color w:val="auto"/>
              </w:rPr>
            </w:pPr>
          </w:p>
        </w:tc>
        <w:tc>
          <w:tcPr>
            <w:tcW w:w="6740" w:type="dxa"/>
            <w:vAlign w:val="bottom"/>
            <w:gridSpan w:val="2"/>
            <w:vMerge w:val="continue"/>
            <w:shd w:val="clear" w:color="auto" w:fill="132440"/>
          </w:tcPr>
          <w:p>
            <w:pPr>
              <w:spacing w:after="0"/>
              <w:rPr>
                <w:sz w:val="4"/>
                <w:szCs w:val="4"/>
                <w:color w:val="auto"/>
              </w:rPr>
            </w:pPr>
          </w:p>
        </w:tc>
        <w:tc>
          <w:tcPr>
            <w:tcW w:w="1660" w:type="dxa"/>
            <w:vAlign w:val="bottom"/>
            <w:vMerge w:val="continue"/>
            <w:shd w:val="clear" w:color="auto" w:fill="132440"/>
          </w:tcPr>
          <w:p>
            <w:pPr>
              <w:spacing w:after="0"/>
              <w:rPr>
                <w:sz w:val="4"/>
                <w:szCs w:val="4"/>
                <w:color w:val="auto"/>
              </w:rPr>
            </w:pPr>
          </w:p>
        </w:tc>
        <w:tc>
          <w:tcPr>
            <w:tcW w:w="2620" w:type="dxa"/>
            <w:vAlign w:val="bottom"/>
            <w:shd w:val="clear" w:color="auto" w:fill="298655"/>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20" w:type="dxa"/>
            <w:vAlign w:val="bottom"/>
            <w:shd w:val="clear" w:color="auto" w:fill="132440"/>
          </w:tcPr>
          <w:p>
            <w:pPr>
              <w:spacing w:after="0"/>
              <w:rPr>
                <w:sz w:val="7"/>
                <w:szCs w:val="7"/>
                <w:color w:val="auto"/>
              </w:rPr>
            </w:pPr>
          </w:p>
        </w:tc>
        <w:tc>
          <w:tcPr>
            <w:tcW w:w="6740" w:type="dxa"/>
            <w:vAlign w:val="bottom"/>
            <w:gridSpan w:val="2"/>
            <w:vMerge w:val="continue"/>
            <w:shd w:val="clear" w:color="auto" w:fill="132440"/>
          </w:tcPr>
          <w:p>
            <w:pPr>
              <w:spacing w:after="0"/>
              <w:rPr>
                <w:sz w:val="7"/>
                <w:szCs w:val="7"/>
                <w:color w:val="auto"/>
              </w:rPr>
            </w:pPr>
          </w:p>
        </w:tc>
        <w:tc>
          <w:tcPr>
            <w:tcW w:w="1660" w:type="dxa"/>
            <w:vAlign w:val="bottom"/>
            <w:shd w:val="clear" w:color="auto" w:fill="132440"/>
          </w:tcPr>
          <w:p>
            <w:pPr>
              <w:spacing w:after="0"/>
              <w:rPr>
                <w:sz w:val="7"/>
                <w:szCs w:val="7"/>
                <w:color w:val="auto"/>
              </w:rPr>
            </w:pPr>
          </w:p>
        </w:tc>
        <w:tc>
          <w:tcPr>
            <w:tcW w:w="2620" w:type="dxa"/>
            <w:vAlign w:val="bottom"/>
            <w:shd w:val="clear" w:color="auto" w:fill="298655"/>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20" w:type="dxa"/>
            <w:vAlign w:val="bottom"/>
            <w:shd w:val="clear" w:color="auto" w:fill="132440"/>
          </w:tcPr>
          <w:p>
            <w:pPr>
              <w:spacing w:after="0"/>
              <w:rPr>
                <w:sz w:val="10"/>
                <w:szCs w:val="10"/>
                <w:color w:val="auto"/>
              </w:rPr>
            </w:pPr>
          </w:p>
        </w:tc>
        <w:tc>
          <w:tcPr>
            <w:tcW w:w="600" w:type="dxa"/>
            <w:vAlign w:val="bottom"/>
            <w:shd w:val="clear" w:color="auto" w:fill="132440"/>
          </w:tcPr>
          <w:p>
            <w:pPr>
              <w:spacing w:after="0"/>
              <w:rPr>
                <w:sz w:val="10"/>
                <w:szCs w:val="10"/>
                <w:color w:val="auto"/>
              </w:rPr>
            </w:pPr>
          </w:p>
        </w:tc>
        <w:tc>
          <w:tcPr>
            <w:tcW w:w="6140" w:type="dxa"/>
            <w:vAlign w:val="bottom"/>
            <w:shd w:val="clear" w:color="auto" w:fill="132440"/>
          </w:tcPr>
          <w:p>
            <w:pPr>
              <w:spacing w:after="0"/>
              <w:rPr>
                <w:sz w:val="10"/>
                <w:szCs w:val="10"/>
                <w:color w:val="auto"/>
              </w:rPr>
            </w:pPr>
          </w:p>
        </w:tc>
        <w:tc>
          <w:tcPr>
            <w:tcW w:w="1660" w:type="dxa"/>
            <w:vAlign w:val="bottom"/>
            <w:shd w:val="clear" w:color="auto" w:fill="132440"/>
          </w:tcPr>
          <w:p>
            <w:pPr>
              <w:spacing w:after="0"/>
              <w:rPr>
                <w:sz w:val="10"/>
                <w:szCs w:val="10"/>
                <w:color w:val="auto"/>
              </w:rPr>
            </w:pPr>
          </w:p>
        </w:tc>
        <w:tc>
          <w:tcPr>
            <w:tcW w:w="2620" w:type="dxa"/>
            <w:vAlign w:val="bottom"/>
            <w:shd w:val="clear" w:color="auto" w:fill="298655"/>
          </w:tcPr>
          <w:p>
            <w:pPr>
              <w:spacing w:after="0"/>
              <w:rPr>
                <w:sz w:val="10"/>
                <w:szCs w:val="10"/>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960" w:right="540" w:hanging="488"/>
        <w:spacing w:after="0" w:line="180" w:lineRule="auto"/>
        <w:tabs>
          <w:tab w:leader="none" w:pos="960" w:val="left"/>
        </w:tabs>
        <w:numPr>
          <w:ilvl w:val="0"/>
          <w:numId w:val="8"/>
        </w:numPr>
        <w:rPr>
          <w:rFonts w:ascii="Arial" w:cs="Arial" w:eastAsia="Arial" w:hAnsi="Arial"/>
          <w:sz w:val="58"/>
          <w:szCs w:val="58"/>
          <w:b w:val="1"/>
          <w:bCs w:val="1"/>
          <w:color w:val="00529B"/>
          <w:vertAlign w:val="subscript"/>
        </w:rPr>
      </w:pPr>
      <w:r>
        <w:rPr>
          <w:rFonts w:ascii="Arial" w:cs="Arial" w:eastAsia="Arial" w:hAnsi="Arial"/>
          <w:sz w:val="25"/>
          <w:szCs w:val="25"/>
          <w:color w:val="00529B"/>
        </w:rPr>
        <w:t>Ratification of PricewaterhouseCoopers LLP as Our Independent Registered Public Accounting Firm for the 2024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7132320" cy="702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6140" w:type="dxa"/>
            <w:vAlign w:val="bottom"/>
            <w:vMerge w:val="restart"/>
            <w:shd w:val="clear" w:color="auto" w:fill="132440"/>
          </w:tcPr>
          <w:p>
            <w:pPr>
              <w:ind w:left="400"/>
              <w:spacing w:after="0"/>
              <w:rPr>
                <w:sz w:val="20"/>
                <w:szCs w:val="20"/>
                <w:color w:val="auto"/>
              </w:rPr>
            </w:pPr>
            <w:r>
              <w:rPr>
                <w:rFonts w:ascii="Arial" w:cs="Arial" w:eastAsia="Arial" w:hAnsi="Arial"/>
                <w:sz w:val="16"/>
                <w:szCs w:val="16"/>
                <w:color w:val="FFFFFF"/>
              </w:rPr>
              <w:t xml:space="preserve">The Board of Directors recommends a vote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Proposal 3.</w:t>
            </w:r>
          </w:p>
        </w:tc>
        <w:tc>
          <w:tcPr>
            <w:tcW w:w="2480" w:type="dxa"/>
            <w:vAlign w:val="bottom"/>
            <w:vMerge w:val="restart"/>
            <w:shd w:val="clear" w:color="auto" w:fill="132440"/>
          </w:tcPr>
          <w:p>
            <w:pPr>
              <w:ind w:left="1380"/>
              <w:spacing w:after="0"/>
              <w:rPr>
                <w:sz w:val="20"/>
                <w:szCs w:val="20"/>
                <w:color w:val="auto"/>
              </w:rPr>
            </w:pPr>
            <w:r>
              <w:rPr>
                <w:rFonts w:ascii="Arial" w:cs="Arial" w:eastAsia="Arial" w:hAnsi="Arial"/>
                <w:sz w:val="16"/>
                <w:szCs w:val="16"/>
                <w:color w:val="FFFFFF"/>
              </w:rPr>
              <w:t>page 74</w:t>
            </w:r>
          </w:p>
        </w:tc>
        <w:tc>
          <w:tcPr>
            <w:tcW w:w="2620" w:type="dxa"/>
            <w:vAlign w:val="bottom"/>
            <w:shd w:val="clear" w:color="auto" w:fill="298655"/>
          </w:tcPr>
          <w:p>
            <w:pPr>
              <w:ind w:left="880"/>
              <w:spacing w:after="0"/>
              <w:rPr>
                <w:sz w:val="20"/>
                <w:szCs w:val="20"/>
                <w:color w:val="auto"/>
              </w:rPr>
            </w:pPr>
            <w:r>
              <w:rPr>
                <w:rFonts w:ascii="Arial" w:cs="Arial" w:eastAsia="Arial" w:hAnsi="Arial"/>
                <w:sz w:val="32"/>
                <w:szCs w:val="32"/>
                <w:b w:val="1"/>
                <w:bCs w:val="1"/>
                <w:color w:val="FFFFFF"/>
              </w:rPr>
              <w:t>“FOR”</w:t>
            </w:r>
          </w:p>
        </w:tc>
        <w:tc>
          <w:tcPr>
            <w:tcW w:w="0" w:type="dxa"/>
            <w:vAlign w:val="bottom"/>
          </w:tcPr>
          <w:p>
            <w:pPr>
              <w:spacing w:after="0"/>
              <w:rPr>
                <w:sz w:val="1"/>
                <w:szCs w:val="1"/>
                <w:color w:val="auto"/>
              </w:rPr>
            </w:pPr>
          </w:p>
        </w:tc>
      </w:tr>
      <w:tr>
        <w:trPr>
          <w:trHeight w:val="52"/>
        </w:trPr>
        <w:tc>
          <w:tcPr>
            <w:tcW w:w="6140" w:type="dxa"/>
            <w:vAlign w:val="bottom"/>
            <w:vMerge w:val="continue"/>
            <w:shd w:val="clear" w:color="auto" w:fill="132440"/>
          </w:tcPr>
          <w:p>
            <w:pPr>
              <w:spacing w:after="0"/>
              <w:rPr>
                <w:sz w:val="4"/>
                <w:szCs w:val="4"/>
                <w:color w:val="auto"/>
              </w:rPr>
            </w:pPr>
          </w:p>
        </w:tc>
        <w:tc>
          <w:tcPr>
            <w:tcW w:w="2480" w:type="dxa"/>
            <w:vAlign w:val="bottom"/>
            <w:vMerge w:val="continue"/>
            <w:shd w:val="clear" w:color="auto" w:fill="132440"/>
          </w:tcPr>
          <w:p>
            <w:pPr>
              <w:spacing w:after="0"/>
              <w:rPr>
                <w:sz w:val="4"/>
                <w:szCs w:val="4"/>
                <w:color w:val="auto"/>
              </w:rPr>
            </w:pPr>
          </w:p>
        </w:tc>
        <w:tc>
          <w:tcPr>
            <w:tcW w:w="2620" w:type="dxa"/>
            <w:vAlign w:val="bottom"/>
            <w:shd w:val="clear" w:color="auto" w:fill="298655"/>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6140" w:type="dxa"/>
            <w:vAlign w:val="bottom"/>
            <w:vMerge w:val="continue"/>
            <w:shd w:val="clear" w:color="auto" w:fill="132440"/>
          </w:tcPr>
          <w:p>
            <w:pPr>
              <w:spacing w:after="0"/>
              <w:rPr>
                <w:sz w:val="7"/>
                <w:szCs w:val="7"/>
                <w:color w:val="auto"/>
              </w:rPr>
            </w:pPr>
          </w:p>
        </w:tc>
        <w:tc>
          <w:tcPr>
            <w:tcW w:w="2480" w:type="dxa"/>
            <w:vAlign w:val="bottom"/>
            <w:shd w:val="clear" w:color="auto" w:fill="132440"/>
          </w:tcPr>
          <w:p>
            <w:pPr>
              <w:spacing w:after="0"/>
              <w:rPr>
                <w:sz w:val="7"/>
                <w:szCs w:val="7"/>
                <w:color w:val="auto"/>
              </w:rPr>
            </w:pPr>
          </w:p>
        </w:tc>
        <w:tc>
          <w:tcPr>
            <w:tcW w:w="2620" w:type="dxa"/>
            <w:vAlign w:val="bottom"/>
            <w:shd w:val="clear" w:color="auto" w:fill="298655"/>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6140" w:type="dxa"/>
            <w:vAlign w:val="bottom"/>
            <w:shd w:val="clear" w:color="auto" w:fill="132440"/>
          </w:tcPr>
          <w:p>
            <w:pPr>
              <w:spacing w:after="0"/>
              <w:rPr>
                <w:sz w:val="10"/>
                <w:szCs w:val="10"/>
                <w:color w:val="auto"/>
              </w:rPr>
            </w:pPr>
          </w:p>
        </w:tc>
        <w:tc>
          <w:tcPr>
            <w:tcW w:w="2480" w:type="dxa"/>
            <w:vAlign w:val="bottom"/>
            <w:shd w:val="clear" w:color="auto" w:fill="132440"/>
          </w:tcPr>
          <w:p>
            <w:pPr>
              <w:spacing w:after="0"/>
              <w:rPr>
                <w:sz w:val="10"/>
                <w:szCs w:val="10"/>
                <w:color w:val="auto"/>
              </w:rPr>
            </w:pPr>
          </w:p>
        </w:tc>
        <w:tc>
          <w:tcPr>
            <w:tcW w:w="2620" w:type="dxa"/>
            <w:vAlign w:val="bottom"/>
            <w:shd w:val="clear" w:color="auto" w:fill="298655"/>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529B"/>
              </w:rPr>
              <w:t>3</w:t>
            </w:r>
          </w:p>
        </w:tc>
      </w:tr>
      <w:tr>
        <w:trPr>
          <w:trHeight w:val="212"/>
        </w:trPr>
        <w:tc>
          <w:tcPr>
            <w:tcW w:w="109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5B6770"/>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8503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503920"/>
                    </a:xfrm>
                    <a:prstGeom prst="rect">
                      <a:avLst/>
                    </a:prstGeom>
                    <a:noFill/>
                  </pic:spPr>
                </pic:pic>
              </a:graphicData>
            </a:graphic>
          </wp:anchor>
        </w:drawing>
      </w:r>
    </w:p>
    <w:p>
      <w:pPr>
        <w:sectPr>
          <w:pgSz w:w="11900" w:h="16838" w:orient="portrait"/>
          <w:cols w:equalWidth="0" w:num="1">
            <w:col w:w="10119"/>
          </w:cols>
          <w:pgMar w:left="340" w:top="2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0" w:hanging="534"/>
        <w:spacing w:after="0"/>
        <w:tabs>
          <w:tab w:leader="none" w:pos="540" w:val="left"/>
        </w:tabs>
        <w:numPr>
          <w:ilvl w:val="0"/>
          <w:numId w:val="9"/>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79" w:right="1440"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14"/>
          <w:szCs w:val="14"/>
          <w:b w:val="1"/>
          <w:bCs w:val="1"/>
          <w:color w:val="5B6770"/>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Our Corporate Name</w:t>
      </w:r>
    </w:p>
    <w:p>
      <w:pPr>
        <w:spacing w:after="0" w:line="15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4D4D4F"/>
        </w:rPr>
        <w:t>To better reflect our ongoing transformation into a more resilient, diversified, energy and solutions provider, in June 2023, we changed our parent company’s corporate name from “World Fuel Services Corporation” to “World Kinect Corporation.” We also began trading under the new ticker symbol “WKC” on the New York Stock Exchange.</w:t>
      </w:r>
    </w:p>
    <w:p>
      <w:pPr>
        <w:spacing w:after="0" w:line="107"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2023 Performance Highlights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WE CONTINUED TO TRANSFORM OUR OPERATIONS IN 2023</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4D4D4F"/>
        </w:rPr>
        <w:t>In 2023, we made meaningful progress in all three of our business segments as we executed on our transformation plan to deliver a higher quality of earnings and a more predictable and synergistic services portfolio with increased availability of renewable energy and lower carbon fuels. We delivered solid core operating results and healthy profitability, with adjusted EBITDA of $386 million. We generated $271 million of operating cash flow, and our strong liquidity profile allowed us to return significant capital to shareholders, with $94 million in share buybacks and dividends in 2023. We are focused on advancing our platform through the implementation of our transformation strategy in 2024 and beyond to build sustained shareholder value.</w:t>
      </w:r>
    </w:p>
    <w:p>
      <w:pPr>
        <w:spacing w:after="0" w:line="12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4D4D4F"/>
        </w:rPr>
        <w:t>This financial foundation gives us a strong platform to build on in 2024. Customers today need affordable, reliable fuel but they also increasingly need lower carbon energy to meet their sustainability objectives and regulatory requirements. With that in mind, we continue to expand into the growing sustainability space, a logical extension of our core capabilities.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00529B"/>
        </w:rPr>
        <w:t>2023 Full-Year Performance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984"/>
        </w:trPr>
        <w:tc>
          <w:tcPr>
            <w:tcW w:w="220" w:type="dxa"/>
            <w:vAlign w:val="bottom"/>
            <w:shd w:val="clear" w:color="auto" w:fill="00529B"/>
          </w:tcPr>
          <w:p>
            <w:pPr>
              <w:spacing w:after="0"/>
              <w:rPr>
                <w:sz w:val="24"/>
                <w:szCs w:val="24"/>
                <w:color w:val="auto"/>
              </w:rPr>
            </w:pPr>
          </w:p>
        </w:tc>
        <w:tc>
          <w:tcPr>
            <w:tcW w:w="5220" w:type="dxa"/>
            <w:vAlign w:val="bottom"/>
            <w:shd w:val="clear" w:color="auto" w:fill="EAEEF2"/>
          </w:tcPr>
          <w:p>
            <w:pPr>
              <w:jc w:val="center"/>
              <w:spacing w:after="0"/>
              <w:rPr>
                <w:sz w:val="20"/>
                <w:szCs w:val="20"/>
                <w:color w:val="auto"/>
              </w:rPr>
            </w:pPr>
            <w:r>
              <w:rPr>
                <w:rFonts w:ascii="Arial" w:cs="Arial" w:eastAsia="Arial" w:hAnsi="Arial"/>
                <w:sz w:val="54"/>
                <w:szCs w:val="54"/>
                <w:b w:val="1"/>
                <w:bCs w:val="1"/>
                <w:color w:val="00529B"/>
              </w:rPr>
              <w:t>$53</w:t>
            </w:r>
            <w:r>
              <w:rPr>
                <w:rFonts w:ascii="Arial" w:cs="Arial" w:eastAsia="Arial" w:hAnsi="Arial"/>
                <w:sz w:val="32"/>
                <w:szCs w:val="32"/>
                <w:b w:val="1"/>
                <w:bCs w:val="1"/>
                <w:color w:val="00529B"/>
              </w:rPr>
              <w:t>MM</w:t>
            </w:r>
          </w:p>
        </w:tc>
        <w:tc>
          <w:tcPr>
            <w:tcW w:w="340" w:type="dxa"/>
            <w:vAlign w:val="bottom"/>
          </w:tcPr>
          <w:p>
            <w:pPr>
              <w:spacing w:after="0"/>
              <w:rPr>
                <w:sz w:val="24"/>
                <w:szCs w:val="24"/>
                <w:color w:val="auto"/>
              </w:rPr>
            </w:pPr>
          </w:p>
        </w:tc>
        <w:tc>
          <w:tcPr>
            <w:tcW w:w="220" w:type="dxa"/>
            <w:vAlign w:val="bottom"/>
            <w:shd w:val="clear" w:color="auto" w:fill="298655"/>
          </w:tcPr>
          <w:p>
            <w:pPr>
              <w:spacing w:after="0"/>
              <w:rPr>
                <w:sz w:val="24"/>
                <w:szCs w:val="24"/>
                <w:color w:val="auto"/>
              </w:rPr>
            </w:pPr>
          </w:p>
        </w:tc>
        <w:tc>
          <w:tcPr>
            <w:tcW w:w="5240" w:type="dxa"/>
            <w:vAlign w:val="bottom"/>
            <w:shd w:val="clear" w:color="auto" w:fill="EAEEF2"/>
          </w:tcPr>
          <w:p>
            <w:pPr>
              <w:jc w:val="center"/>
              <w:spacing w:after="0"/>
              <w:rPr>
                <w:sz w:val="20"/>
                <w:szCs w:val="20"/>
                <w:color w:val="auto"/>
              </w:rPr>
            </w:pPr>
            <w:r>
              <w:rPr>
                <w:rFonts w:ascii="Arial" w:cs="Arial" w:eastAsia="Arial" w:hAnsi="Arial"/>
                <w:sz w:val="54"/>
                <w:szCs w:val="54"/>
                <w:b w:val="1"/>
                <w:bCs w:val="1"/>
                <w:color w:val="298655"/>
              </w:rPr>
              <w:t>$386</w:t>
            </w:r>
            <w:r>
              <w:rPr>
                <w:rFonts w:ascii="Arial" w:cs="Arial" w:eastAsia="Arial" w:hAnsi="Arial"/>
                <w:sz w:val="32"/>
                <w:szCs w:val="32"/>
                <w:b w:val="1"/>
                <w:bCs w:val="1"/>
                <w:color w:val="298655"/>
              </w:rPr>
              <w:t>MM</w:t>
            </w:r>
          </w:p>
        </w:tc>
      </w:tr>
      <w:tr>
        <w:trPr>
          <w:trHeight w:val="270"/>
        </w:trPr>
        <w:tc>
          <w:tcPr>
            <w:tcW w:w="220" w:type="dxa"/>
            <w:vAlign w:val="bottom"/>
            <w:shd w:val="clear" w:color="auto" w:fill="00529B"/>
          </w:tcPr>
          <w:p>
            <w:pPr>
              <w:spacing w:after="0"/>
              <w:rPr>
                <w:sz w:val="23"/>
                <w:szCs w:val="23"/>
                <w:color w:val="auto"/>
              </w:rPr>
            </w:pPr>
          </w:p>
        </w:tc>
        <w:tc>
          <w:tcPr>
            <w:tcW w:w="5220" w:type="dxa"/>
            <w:vAlign w:val="bottom"/>
            <w:shd w:val="clear" w:color="auto" w:fill="EAEEF2"/>
          </w:tcPr>
          <w:p>
            <w:pPr>
              <w:jc w:val="center"/>
              <w:spacing w:after="0"/>
              <w:rPr>
                <w:sz w:val="20"/>
                <w:szCs w:val="20"/>
                <w:color w:val="auto"/>
              </w:rPr>
            </w:pPr>
            <w:r>
              <w:rPr>
                <w:rFonts w:ascii="Arial" w:cs="Arial" w:eastAsia="Arial" w:hAnsi="Arial"/>
                <w:sz w:val="22"/>
                <w:szCs w:val="22"/>
                <w:b w:val="1"/>
                <w:bCs w:val="1"/>
                <w:color w:val="00529B"/>
                <w:w w:val="99"/>
              </w:rPr>
              <w:t>Net Income</w:t>
            </w:r>
          </w:p>
        </w:tc>
        <w:tc>
          <w:tcPr>
            <w:tcW w:w="340" w:type="dxa"/>
            <w:vAlign w:val="bottom"/>
          </w:tcPr>
          <w:p>
            <w:pPr>
              <w:spacing w:after="0"/>
              <w:rPr>
                <w:sz w:val="23"/>
                <w:szCs w:val="23"/>
                <w:color w:val="auto"/>
              </w:rPr>
            </w:pPr>
          </w:p>
        </w:tc>
        <w:tc>
          <w:tcPr>
            <w:tcW w:w="220" w:type="dxa"/>
            <w:vAlign w:val="bottom"/>
            <w:shd w:val="clear" w:color="auto" w:fill="298655"/>
          </w:tcPr>
          <w:p>
            <w:pPr>
              <w:spacing w:after="0"/>
              <w:rPr>
                <w:sz w:val="23"/>
                <w:szCs w:val="23"/>
                <w:color w:val="auto"/>
              </w:rPr>
            </w:pPr>
          </w:p>
        </w:tc>
        <w:tc>
          <w:tcPr>
            <w:tcW w:w="5240" w:type="dxa"/>
            <w:vAlign w:val="bottom"/>
            <w:shd w:val="clear" w:color="auto" w:fill="EAEEF2"/>
          </w:tcPr>
          <w:p>
            <w:pPr>
              <w:jc w:val="center"/>
              <w:spacing w:after="0"/>
              <w:rPr>
                <w:sz w:val="20"/>
                <w:szCs w:val="20"/>
                <w:color w:val="auto"/>
              </w:rPr>
            </w:pPr>
            <w:r>
              <w:rPr>
                <w:rFonts w:ascii="Arial" w:cs="Arial" w:eastAsia="Arial" w:hAnsi="Arial"/>
                <w:sz w:val="22"/>
                <w:szCs w:val="22"/>
                <w:b w:val="1"/>
                <w:bCs w:val="1"/>
                <w:color w:val="298655"/>
                <w:w w:val="98"/>
              </w:rPr>
              <w:t>Adjusted EBITDA</w:t>
            </w:r>
          </w:p>
        </w:tc>
      </w:tr>
      <w:tr>
        <w:trPr>
          <w:trHeight w:val="324"/>
        </w:trPr>
        <w:tc>
          <w:tcPr>
            <w:tcW w:w="220" w:type="dxa"/>
            <w:vAlign w:val="bottom"/>
            <w:shd w:val="clear" w:color="auto" w:fill="00529B"/>
          </w:tcPr>
          <w:p>
            <w:pPr>
              <w:spacing w:after="0"/>
              <w:rPr>
                <w:sz w:val="24"/>
                <w:szCs w:val="24"/>
                <w:color w:val="auto"/>
              </w:rPr>
            </w:pPr>
          </w:p>
        </w:tc>
        <w:tc>
          <w:tcPr>
            <w:tcW w:w="5220" w:type="dxa"/>
            <w:vAlign w:val="bottom"/>
            <w:shd w:val="clear" w:color="auto" w:fill="EAEEF2"/>
          </w:tcPr>
          <w:p>
            <w:pPr>
              <w:jc w:val="center"/>
              <w:spacing w:after="0"/>
              <w:rPr>
                <w:sz w:val="20"/>
                <w:szCs w:val="20"/>
                <w:color w:val="auto"/>
              </w:rPr>
            </w:pPr>
            <w:r>
              <w:rPr>
                <w:rFonts w:ascii="Arial" w:cs="Arial" w:eastAsia="Arial" w:hAnsi="Arial"/>
                <w:sz w:val="22"/>
                <w:szCs w:val="22"/>
                <w:b w:val="1"/>
                <w:bCs w:val="1"/>
                <w:color w:val="00529B"/>
                <w:w w:val="99"/>
              </w:rPr>
              <w:t>in 2023</w:t>
            </w:r>
          </w:p>
        </w:tc>
        <w:tc>
          <w:tcPr>
            <w:tcW w:w="340" w:type="dxa"/>
            <w:vAlign w:val="bottom"/>
          </w:tcPr>
          <w:p>
            <w:pPr>
              <w:spacing w:after="0"/>
              <w:rPr>
                <w:sz w:val="24"/>
                <w:szCs w:val="24"/>
                <w:color w:val="auto"/>
              </w:rPr>
            </w:pPr>
          </w:p>
        </w:tc>
        <w:tc>
          <w:tcPr>
            <w:tcW w:w="220" w:type="dxa"/>
            <w:vAlign w:val="bottom"/>
            <w:shd w:val="clear" w:color="auto" w:fill="298655"/>
          </w:tcPr>
          <w:p>
            <w:pPr>
              <w:spacing w:after="0"/>
              <w:rPr>
                <w:sz w:val="24"/>
                <w:szCs w:val="24"/>
                <w:color w:val="auto"/>
              </w:rPr>
            </w:pPr>
          </w:p>
        </w:tc>
        <w:tc>
          <w:tcPr>
            <w:tcW w:w="5240" w:type="dxa"/>
            <w:vAlign w:val="bottom"/>
            <w:shd w:val="clear" w:color="auto" w:fill="EAEEF2"/>
          </w:tcPr>
          <w:p>
            <w:pPr>
              <w:jc w:val="center"/>
              <w:spacing w:after="0"/>
              <w:rPr>
                <w:sz w:val="20"/>
                <w:szCs w:val="20"/>
                <w:color w:val="auto"/>
              </w:rPr>
            </w:pPr>
            <w:r>
              <w:rPr>
                <w:rFonts w:ascii="Arial" w:cs="Arial" w:eastAsia="Arial" w:hAnsi="Arial"/>
                <w:sz w:val="22"/>
                <w:szCs w:val="22"/>
                <w:b w:val="1"/>
                <w:bCs w:val="1"/>
                <w:color w:val="298655"/>
                <w:w w:val="96"/>
              </w:rPr>
              <w:t>in 2023</w:t>
            </w:r>
          </w:p>
        </w:tc>
      </w:tr>
      <w:tr>
        <w:trPr>
          <w:trHeight w:val="285"/>
        </w:trPr>
        <w:tc>
          <w:tcPr>
            <w:tcW w:w="220" w:type="dxa"/>
            <w:vAlign w:val="bottom"/>
            <w:shd w:val="clear" w:color="auto" w:fill="00529B"/>
          </w:tcPr>
          <w:p>
            <w:pPr>
              <w:spacing w:after="0"/>
              <w:rPr>
                <w:sz w:val="24"/>
                <w:szCs w:val="24"/>
                <w:color w:val="auto"/>
              </w:rPr>
            </w:pPr>
          </w:p>
        </w:tc>
        <w:tc>
          <w:tcPr>
            <w:tcW w:w="5220" w:type="dxa"/>
            <w:vAlign w:val="bottom"/>
            <w:shd w:val="clear" w:color="auto" w:fill="EAEEF2"/>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shd w:val="clear" w:color="auto" w:fill="298655"/>
          </w:tcPr>
          <w:p>
            <w:pPr>
              <w:spacing w:after="0"/>
              <w:rPr>
                <w:sz w:val="24"/>
                <w:szCs w:val="24"/>
                <w:color w:val="auto"/>
              </w:rPr>
            </w:pPr>
          </w:p>
        </w:tc>
        <w:tc>
          <w:tcPr>
            <w:tcW w:w="5240" w:type="dxa"/>
            <w:vAlign w:val="bottom"/>
            <w:shd w:val="clear" w:color="auto" w:fill="EAEEF2"/>
          </w:tcPr>
          <w:p>
            <w:pPr>
              <w:spacing w:after="0"/>
              <w:rPr>
                <w:sz w:val="24"/>
                <w:szCs w:val="24"/>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984"/>
        </w:trPr>
        <w:tc>
          <w:tcPr>
            <w:tcW w:w="220" w:type="dxa"/>
            <w:vAlign w:val="bottom"/>
            <w:shd w:val="clear" w:color="auto" w:fill="298655"/>
          </w:tcPr>
          <w:p>
            <w:pPr>
              <w:spacing w:after="0"/>
              <w:rPr>
                <w:sz w:val="24"/>
                <w:szCs w:val="24"/>
                <w:color w:val="auto"/>
              </w:rPr>
            </w:pPr>
          </w:p>
        </w:tc>
        <w:tc>
          <w:tcPr>
            <w:tcW w:w="5220" w:type="dxa"/>
            <w:vAlign w:val="bottom"/>
            <w:shd w:val="clear" w:color="auto" w:fill="EAEEF2"/>
          </w:tcPr>
          <w:p>
            <w:pPr>
              <w:jc w:val="center"/>
              <w:spacing w:after="0"/>
              <w:rPr>
                <w:sz w:val="20"/>
                <w:szCs w:val="20"/>
                <w:color w:val="auto"/>
              </w:rPr>
            </w:pPr>
            <w:r>
              <w:rPr>
                <w:rFonts w:ascii="Arial" w:cs="Arial" w:eastAsia="Arial" w:hAnsi="Arial"/>
                <w:sz w:val="54"/>
                <w:szCs w:val="54"/>
                <w:b w:val="1"/>
                <w:bCs w:val="1"/>
                <w:color w:val="298655"/>
              </w:rPr>
              <w:t>$271</w:t>
            </w:r>
            <w:r>
              <w:rPr>
                <w:rFonts w:ascii="Arial" w:cs="Arial" w:eastAsia="Arial" w:hAnsi="Arial"/>
                <w:sz w:val="32"/>
                <w:szCs w:val="32"/>
                <w:b w:val="1"/>
                <w:bCs w:val="1"/>
                <w:color w:val="298655"/>
              </w:rPr>
              <w:t>MM</w:t>
            </w:r>
          </w:p>
        </w:tc>
        <w:tc>
          <w:tcPr>
            <w:tcW w:w="340" w:type="dxa"/>
            <w:vAlign w:val="bottom"/>
          </w:tcPr>
          <w:p>
            <w:pPr>
              <w:spacing w:after="0"/>
              <w:rPr>
                <w:sz w:val="24"/>
                <w:szCs w:val="24"/>
                <w:color w:val="auto"/>
              </w:rPr>
            </w:pPr>
          </w:p>
        </w:tc>
        <w:tc>
          <w:tcPr>
            <w:tcW w:w="220" w:type="dxa"/>
            <w:vAlign w:val="bottom"/>
            <w:shd w:val="clear" w:color="auto" w:fill="00529B"/>
          </w:tcPr>
          <w:p>
            <w:pPr>
              <w:spacing w:after="0"/>
              <w:rPr>
                <w:sz w:val="24"/>
                <w:szCs w:val="24"/>
                <w:color w:val="auto"/>
              </w:rPr>
            </w:pPr>
          </w:p>
        </w:tc>
        <w:tc>
          <w:tcPr>
            <w:tcW w:w="5240" w:type="dxa"/>
            <w:vAlign w:val="bottom"/>
            <w:shd w:val="clear" w:color="auto" w:fill="EAEEF2"/>
          </w:tcPr>
          <w:p>
            <w:pPr>
              <w:jc w:val="center"/>
              <w:spacing w:after="0"/>
              <w:rPr>
                <w:sz w:val="20"/>
                <w:szCs w:val="20"/>
                <w:color w:val="auto"/>
              </w:rPr>
            </w:pPr>
            <w:r>
              <w:rPr>
                <w:rFonts w:ascii="Arial" w:cs="Arial" w:eastAsia="Arial" w:hAnsi="Arial"/>
                <w:sz w:val="54"/>
                <w:szCs w:val="54"/>
                <w:b w:val="1"/>
                <w:bCs w:val="1"/>
                <w:color w:val="00529B"/>
              </w:rPr>
              <w:t>$94</w:t>
            </w:r>
            <w:r>
              <w:rPr>
                <w:rFonts w:ascii="Arial" w:cs="Arial" w:eastAsia="Arial" w:hAnsi="Arial"/>
                <w:sz w:val="32"/>
                <w:szCs w:val="32"/>
                <w:b w:val="1"/>
                <w:bCs w:val="1"/>
                <w:color w:val="00529B"/>
              </w:rPr>
              <w:t>MM</w:t>
            </w:r>
          </w:p>
        </w:tc>
      </w:tr>
      <w:tr>
        <w:trPr>
          <w:trHeight w:val="265"/>
        </w:trPr>
        <w:tc>
          <w:tcPr>
            <w:tcW w:w="220" w:type="dxa"/>
            <w:vAlign w:val="bottom"/>
            <w:shd w:val="clear" w:color="auto" w:fill="298655"/>
          </w:tcPr>
          <w:p>
            <w:pPr>
              <w:spacing w:after="0"/>
              <w:rPr>
                <w:sz w:val="23"/>
                <w:szCs w:val="23"/>
                <w:color w:val="auto"/>
              </w:rPr>
            </w:pPr>
          </w:p>
        </w:tc>
        <w:tc>
          <w:tcPr>
            <w:tcW w:w="5220" w:type="dxa"/>
            <w:vAlign w:val="bottom"/>
            <w:shd w:val="clear" w:color="auto" w:fill="EAEEF2"/>
          </w:tcPr>
          <w:p>
            <w:pPr>
              <w:jc w:val="center"/>
              <w:spacing w:after="0"/>
              <w:rPr>
                <w:sz w:val="20"/>
                <w:szCs w:val="20"/>
                <w:color w:val="auto"/>
              </w:rPr>
            </w:pPr>
            <w:r>
              <w:rPr>
                <w:rFonts w:ascii="Arial" w:cs="Arial" w:eastAsia="Arial" w:hAnsi="Arial"/>
                <w:sz w:val="22"/>
                <w:szCs w:val="22"/>
                <w:b w:val="1"/>
                <w:bCs w:val="1"/>
                <w:color w:val="298655"/>
                <w:w w:val="98"/>
              </w:rPr>
              <w:t>Operating Cash Flow</w:t>
            </w:r>
          </w:p>
        </w:tc>
        <w:tc>
          <w:tcPr>
            <w:tcW w:w="340" w:type="dxa"/>
            <w:vAlign w:val="bottom"/>
          </w:tcPr>
          <w:p>
            <w:pPr>
              <w:spacing w:after="0"/>
              <w:rPr>
                <w:sz w:val="23"/>
                <w:szCs w:val="23"/>
                <w:color w:val="auto"/>
              </w:rPr>
            </w:pPr>
          </w:p>
        </w:tc>
        <w:tc>
          <w:tcPr>
            <w:tcW w:w="220" w:type="dxa"/>
            <w:vAlign w:val="bottom"/>
            <w:shd w:val="clear" w:color="auto" w:fill="00529B"/>
          </w:tcPr>
          <w:p>
            <w:pPr>
              <w:spacing w:after="0"/>
              <w:rPr>
                <w:sz w:val="23"/>
                <w:szCs w:val="23"/>
                <w:color w:val="auto"/>
              </w:rPr>
            </w:pPr>
          </w:p>
        </w:tc>
        <w:tc>
          <w:tcPr>
            <w:tcW w:w="5240" w:type="dxa"/>
            <w:vAlign w:val="bottom"/>
            <w:shd w:val="clear" w:color="auto" w:fill="EAEEF2"/>
          </w:tcPr>
          <w:p>
            <w:pPr>
              <w:jc w:val="center"/>
              <w:spacing w:after="0"/>
              <w:rPr>
                <w:sz w:val="20"/>
                <w:szCs w:val="20"/>
                <w:color w:val="auto"/>
              </w:rPr>
            </w:pPr>
            <w:r>
              <w:rPr>
                <w:rFonts w:ascii="Arial" w:cs="Arial" w:eastAsia="Arial" w:hAnsi="Arial"/>
                <w:sz w:val="22"/>
                <w:szCs w:val="22"/>
                <w:b w:val="1"/>
                <w:bCs w:val="1"/>
                <w:color w:val="00529B"/>
                <w:w w:val="98"/>
              </w:rPr>
              <w:t>Capital Return to Shareholders</w:t>
            </w:r>
          </w:p>
        </w:tc>
      </w:tr>
      <w:tr>
        <w:trPr>
          <w:trHeight w:val="384"/>
        </w:trPr>
        <w:tc>
          <w:tcPr>
            <w:tcW w:w="220" w:type="dxa"/>
            <w:vAlign w:val="bottom"/>
            <w:shd w:val="clear" w:color="auto" w:fill="298655"/>
          </w:tcPr>
          <w:p>
            <w:pPr>
              <w:spacing w:after="0"/>
              <w:rPr>
                <w:sz w:val="24"/>
                <w:szCs w:val="24"/>
                <w:color w:val="auto"/>
              </w:rPr>
            </w:pPr>
          </w:p>
        </w:tc>
        <w:tc>
          <w:tcPr>
            <w:tcW w:w="5220" w:type="dxa"/>
            <w:vAlign w:val="bottom"/>
            <w:shd w:val="clear" w:color="auto" w:fill="EAEEF2"/>
          </w:tcPr>
          <w:p>
            <w:pPr>
              <w:jc w:val="center"/>
              <w:spacing w:after="0"/>
              <w:rPr>
                <w:sz w:val="20"/>
                <w:szCs w:val="20"/>
                <w:color w:val="auto"/>
              </w:rPr>
            </w:pPr>
            <w:r>
              <w:rPr>
                <w:rFonts w:ascii="Arial" w:cs="Arial" w:eastAsia="Arial" w:hAnsi="Arial"/>
                <w:sz w:val="22"/>
                <w:szCs w:val="22"/>
                <w:b w:val="1"/>
                <w:bCs w:val="1"/>
                <w:color w:val="298655"/>
                <w:w w:val="99"/>
              </w:rPr>
              <w:t>in 2023</w:t>
            </w:r>
          </w:p>
        </w:tc>
        <w:tc>
          <w:tcPr>
            <w:tcW w:w="340" w:type="dxa"/>
            <w:vAlign w:val="bottom"/>
          </w:tcPr>
          <w:p>
            <w:pPr>
              <w:spacing w:after="0"/>
              <w:rPr>
                <w:sz w:val="24"/>
                <w:szCs w:val="24"/>
                <w:color w:val="auto"/>
              </w:rPr>
            </w:pPr>
          </w:p>
        </w:tc>
        <w:tc>
          <w:tcPr>
            <w:tcW w:w="220" w:type="dxa"/>
            <w:vAlign w:val="bottom"/>
            <w:shd w:val="clear" w:color="auto" w:fill="00529B"/>
          </w:tcPr>
          <w:p>
            <w:pPr>
              <w:spacing w:after="0"/>
              <w:rPr>
                <w:sz w:val="24"/>
                <w:szCs w:val="24"/>
                <w:color w:val="auto"/>
              </w:rPr>
            </w:pPr>
          </w:p>
        </w:tc>
        <w:tc>
          <w:tcPr>
            <w:tcW w:w="5240" w:type="dxa"/>
            <w:vAlign w:val="bottom"/>
            <w:shd w:val="clear" w:color="auto" w:fill="EAEEF2"/>
          </w:tcPr>
          <w:p>
            <w:pPr>
              <w:jc w:val="center"/>
              <w:spacing w:after="0"/>
              <w:rPr>
                <w:sz w:val="20"/>
                <w:szCs w:val="20"/>
                <w:color w:val="auto"/>
              </w:rPr>
            </w:pPr>
            <w:r>
              <w:rPr>
                <w:rFonts w:ascii="Arial" w:cs="Arial" w:eastAsia="Arial" w:hAnsi="Arial"/>
                <w:sz w:val="22"/>
                <w:szCs w:val="22"/>
                <w:b w:val="1"/>
                <w:bCs w:val="1"/>
                <w:color w:val="00529B"/>
                <w:w w:val="94"/>
              </w:rPr>
              <w:t>in 2023</w:t>
            </w:r>
            <w:r>
              <w:rPr>
                <w:rFonts w:ascii="Arial" w:cs="Arial" w:eastAsia="Arial" w:hAnsi="Arial"/>
                <w:sz w:val="28"/>
                <w:szCs w:val="28"/>
                <w:b w:val="1"/>
                <w:bCs w:val="1"/>
                <w:color w:val="00529B"/>
                <w:w w:val="94"/>
                <w:vertAlign w:val="superscript"/>
              </w:rPr>
              <w:t>(1)</w:t>
            </w:r>
          </w:p>
        </w:tc>
      </w:tr>
      <w:tr>
        <w:trPr>
          <w:trHeight w:val="230"/>
        </w:trPr>
        <w:tc>
          <w:tcPr>
            <w:tcW w:w="220" w:type="dxa"/>
            <w:vAlign w:val="bottom"/>
            <w:shd w:val="clear" w:color="auto" w:fill="298655"/>
          </w:tcPr>
          <w:p>
            <w:pPr>
              <w:spacing w:after="0"/>
              <w:rPr>
                <w:sz w:val="19"/>
                <w:szCs w:val="19"/>
                <w:color w:val="auto"/>
              </w:rPr>
            </w:pPr>
          </w:p>
        </w:tc>
        <w:tc>
          <w:tcPr>
            <w:tcW w:w="5220" w:type="dxa"/>
            <w:vAlign w:val="bottom"/>
            <w:shd w:val="clear" w:color="auto" w:fill="EAEEF2"/>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shd w:val="clear" w:color="auto" w:fill="00529B"/>
          </w:tcPr>
          <w:p>
            <w:pPr>
              <w:spacing w:after="0"/>
              <w:rPr>
                <w:sz w:val="19"/>
                <w:szCs w:val="19"/>
                <w:color w:val="auto"/>
              </w:rPr>
            </w:pPr>
          </w:p>
        </w:tc>
        <w:tc>
          <w:tcPr>
            <w:tcW w:w="5240" w:type="dxa"/>
            <w:vAlign w:val="bottom"/>
            <w:shd w:val="clear" w:color="auto" w:fill="EAEEF2"/>
          </w:tcPr>
          <w:p>
            <w:pPr>
              <w:spacing w:after="0"/>
              <w:rPr>
                <w:sz w:val="19"/>
                <w:szCs w:val="19"/>
                <w:color w:val="auto"/>
              </w:rPr>
            </w:pPr>
          </w:p>
        </w:tc>
      </w:tr>
    </w:tbl>
    <w:p>
      <w:pPr>
        <w:spacing w:after="0" w:line="193" w:lineRule="exact"/>
        <w:rPr>
          <w:sz w:val="20"/>
          <w:szCs w:val="20"/>
          <w:color w:val="auto"/>
        </w:rPr>
      </w:pPr>
    </w:p>
    <w:p>
      <w:pPr>
        <w:ind w:left="500" w:hanging="330"/>
        <w:spacing w:after="0"/>
        <w:tabs>
          <w:tab w:leader="none" w:pos="500" w:val="left"/>
        </w:tabs>
        <w:numPr>
          <w:ilvl w:val="0"/>
          <w:numId w:val="10"/>
        </w:numPr>
        <w:rPr>
          <w:rFonts w:ascii="Arial" w:cs="Arial" w:eastAsia="Arial" w:hAnsi="Arial"/>
          <w:sz w:val="14"/>
          <w:szCs w:val="14"/>
          <w:color w:val="4D4D4F"/>
        </w:rPr>
      </w:pPr>
      <w:r>
        <w:rPr>
          <w:rFonts w:ascii="Arial" w:cs="Arial" w:eastAsia="Arial" w:hAnsi="Arial"/>
          <w:sz w:val="14"/>
          <w:szCs w:val="14"/>
          <w:color w:val="4D4D4F"/>
        </w:rPr>
        <w:t>Consists of share buybacks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529B"/>
              </w:rPr>
              <w:t>5</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14"/>
          <w:szCs w:val="14"/>
          <w:b w:val="1"/>
          <w:bCs w:val="1"/>
          <w:color w:val="5B6770"/>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279" w:right="51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2194560" cy="14744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94560" cy="1474470"/>
                    </a:xfrm>
                    <a:prstGeom prst="rect">
                      <a:avLst/>
                    </a:prstGeom>
                    <a:noFill/>
                  </pic:spPr>
                </pic:pic>
              </a:graphicData>
            </a:graphic>
          </wp:anchor>
        </w:drawing>
      </w:r>
    </w:p>
    <w:p>
      <w:pPr>
        <w:spacing w:after="0" w:line="37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4D4D4F"/>
        </w:rPr>
        <w:t>Who we engage:</w:t>
      </w:r>
    </w:p>
    <w:p>
      <w:pPr>
        <w:spacing w:after="0" w:line="106" w:lineRule="exact"/>
        <w:rPr>
          <w:sz w:val="20"/>
          <w:szCs w:val="20"/>
          <w:color w:val="auto"/>
        </w:rPr>
      </w:pPr>
    </w:p>
    <w:p>
      <w:pPr>
        <w:ind w:left="660" w:hanging="229"/>
        <w:spacing w:after="0"/>
        <w:tabs>
          <w:tab w:leader="none" w:pos="660" w:val="left"/>
        </w:tabs>
        <w:numPr>
          <w:ilvl w:val="0"/>
          <w:numId w:val="11"/>
        </w:numPr>
        <w:rPr>
          <w:rFonts w:ascii="Arial" w:cs="Arial" w:eastAsia="Arial" w:hAnsi="Arial"/>
          <w:sz w:val="22"/>
          <w:szCs w:val="22"/>
          <w:b w:val="1"/>
          <w:bCs w:val="1"/>
          <w:color w:val="00529B"/>
        </w:rPr>
      </w:pPr>
      <w:r>
        <w:rPr>
          <w:rFonts w:ascii="Arial" w:cs="Arial" w:eastAsia="Arial" w:hAnsi="Arial"/>
          <w:sz w:val="15"/>
          <w:szCs w:val="15"/>
          <w:color w:val="4D4D4F"/>
        </w:rPr>
        <w:t>Institutional shareholders</w:t>
      </w:r>
    </w:p>
    <w:p>
      <w:pPr>
        <w:spacing w:after="0" w:line="44" w:lineRule="exact"/>
        <w:rPr>
          <w:rFonts w:ascii="Arial" w:cs="Arial" w:eastAsia="Arial" w:hAnsi="Arial"/>
          <w:sz w:val="22"/>
          <w:szCs w:val="22"/>
          <w:b w:val="1"/>
          <w:bCs w:val="1"/>
          <w:color w:val="00529B"/>
        </w:rPr>
      </w:pPr>
    </w:p>
    <w:p>
      <w:pPr>
        <w:ind w:left="660" w:hanging="229"/>
        <w:spacing w:after="0"/>
        <w:tabs>
          <w:tab w:leader="none" w:pos="660" w:val="left"/>
        </w:tabs>
        <w:numPr>
          <w:ilvl w:val="0"/>
          <w:numId w:val="11"/>
        </w:numPr>
        <w:rPr>
          <w:rFonts w:ascii="Arial" w:cs="Arial" w:eastAsia="Arial" w:hAnsi="Arial"/>
          <w:sz w:val="22"/>
          <w:szCs w:val="22"/>
          <w:b w:val="1"/>
          <w:bCs w:val="1"/>
          <w:color w:val="00529B"/>
        </w:rPr>
      </w:pPr>
      <w:r>
        <w:rPr>
          <w:rFonts w:ascii="Arial" w:cs="Arial" w:eastAsia="Arial" w:hAnsi="Arial"/>
          <w:sz w:val="15"/>
          <w:szCs w:val="15"/>
          <w:color w:val="4D4D4F"/>
        </w:rPr>
        <w:t>Equity research analysts</w:t>
      </w:r>
    </w:p>
    <w:p>
      <w:pPr>
        <w:spacing w:after="0" w:line="44" w:lineRule="exact"/>
        <w:rPr>
          <w:rFonts w:ascii="Arial" w:cs="Arial" w:eastAsia="Arial" w:hAnsi="Arial"/>
          <w:sz w:val="22"/>
          <w:szCs w:val="22"/>
          <w:b w:val="1"/>
          <w:bCs w:val="1"/>
          <w:color w:val="00529B"/>
        </w:rPr>
      </w:pPr>
    </w:p>
    <w:p>
      <w:pPr>
        <w:ind w:left="660" w:hanging="229"/>
        <w:spacing w:after="0"/>
        <w:tabs>
          <w:tab w:leader="none" w:pos="660" w:val="left"/>
        </w:tabs>
        <w:numPr>
          <w:ilvl w:val="0"/>
          <w:numId w:val="11"/>
        </w:numPr>
        <w:rPr>
          <w:rFonts w:ascii="Arial" w:cs="Arial" w:eastAsia="Arial" w:hAnsi="Arial"/>
          <w:sz w:val="22"/>
          <w:szCs w:val="22"/>
          <w:b w:val="1"/>
          <w:bCs w:val="1"/>
          <w:color w:val="00529B"/>
        </w:rPr>
      </w:pPr>
      <w:r>
        <w:rPr>
          <w:rFonts w:ascii="Arial" w:cs="Arial" w:eastAsia="Arial" w:hAnsi="Arial"/>
          <w:sz w:val="15"/>
          <w:szCs w:val="15"/>
          <w:color w:val="4D4D4F"/>
        </w:rPr>
        <w:t>Proxy advisory firms</w:t>
      </w:r>
    </w:p>
    <w:p>
      <w:pPr>
        <w:spacing w:after="0" w:line="44" w:lineRule="exact"/>
        <w:rPr>
          <w:rFonts w:ascii="Arial" w:cs="Arial" w:eastAsia="Arial" w:hAnsi="Arial"/>
          <w:sz w:val="22"/>
          <w:szCs w:val="22"/>
          <w:b w:val="1"/>
          <w:bCs w:val="1"/>
          <w:color w:val="00529B"/>
        </w:rPr>
      </w:pPr>
    </w:p>
    <w:p>
      <w:pPr>
        <w:ind w:left="660" w:hanging="229"/>
        <w:spacing w:after="0"/>
        <w:tabs>
          <w:tab w:leader="none" w:pos="660" w:val="left"/>
        </w:tabs>
        <w:numPr>
          <w:ilvl w:val="0"/>
          <w:numId w:val="11"/>
        </w:numPr>
        <w:rPr>
          <w:rFonts w:ascii="Arial" w:cs="Arial" w:eastAsia="Arial" w:hAnsi="Arial"/>
          <w:sz w:val="22"/>
          <w:szCs w:val="22"/>
          <w:b w:val="1"/>
          <w:bCs w:val="1"/>
          <w:color w:val="00529B"/>
        </w:rPr>
      </w:pPr>
      <w:r>
        <w:rPr>
          <w:rFonts w:ascii="Arial" w:cs="Arial" w:eastAsia="Arial" w:hAnsi="Arial"/>
          <w:sz w:val="15"/>
          <w:szCs w:val="15"/>
          <w:color w:val="4D4D4F"/>
        </w:rPr>
        <w:t>Industry thought leaders</w:t>
      </w:r>
    </w:p>
    <w:p>
      <w:pPr>
        <w:spacing w:after="0" w:line="44" w:lineRule="exact"/>
        <w:rPr>
          <w:rFonts w:ascii="Arial" w:cs="Arial" w:eastAsia="Arial" w:hAnsi="Arial"/>
          <w:sz w:val="22"/>
          <w:szCs w:val="22"/>
          <w:b w:val="1"/>
          <w:bCs w:val="1"/>
          <w:color w:val="00529B"/>
        </w:rPr>
      </w:pPr>
    </w:p>
    <w:p>
      <w:pPr>
        <w:ind w:left="660" w:hanging="229"/>
        <w:spacing w:after="0"/>
        <w:tabs>
          <w:tab w:leader="none" w:pos="660" w:val="left"/>
        </w:tabs>
        <w:numPr>
          <w:ilvl w:val="0"/>
          <w:numId w:val="11"/>
        </w:numPr>
        <w:rPr>
          <w:rFonts w:ascii="Arial" w:cs="Arial" w:eastAsia="Arial" w:hAnsi="Arial"/>
          <w:sz w:val="22"/>
          <w:szCs w:val="22"/>
          <w:b w:val="1"/>
          <w:bCs w:val="1"/>
          <w:color w:val="00529B"/>
        </w:rPr>
      </w:pPr>
      <w:r>
        <w:rPr>
          <w:rFonts w:ascii="Arial" w:cs="Arial" w:eastAsia="Arial" w:hAnsi="Arial"/>
          <w:sz w:val="15"/>
          <w:szCs w:val="15"/>
          <w:color w:val="4D4D4F"/>
        </w:rPr>
        <w:t>Investment bankers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2194560" cy="28460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9456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4D4D4F"/>
        </w:rPr>
        <w:t>How we communicate:</w:t>
      </w:r>
    </w:p>
    <w:p>
      <w:pPr>
        <w:spacing w:after="0" w:line="106" w:lineRule="exact"/>
        <w:rPr>
          <w:sz w:val="20"/>
          <w:szCs w:val="20"/>
          <w:color w:val="auto"/>
        </w:rPr>
      </w:pPr>
    </w:p>
    <w:p>
      <w:pPr>
        <w:ind w:left="660" w:hanging="229"/>
        <w:spacing w:after="0"/>
        <w:tabs>
          <w:tab w:leader="none" w:pos="660" w:val="left"/>
        </w:tabs>
        <w:numPr>
          <w:ilvl w:val="0"/>
          <w:numId w:val="12"/>
        </w:numPr>
        <w:rPr>
          <w:rFonts w:ascii="Arial" w:cs="Arial" w:eastAsia="Arial" w:hAnsi="Arial"/>
          <w:sz w:val="22"/>
          <w:szCs w:val="22"/>
          <w:b w:val="1"/>
          <w:bCs w:val="1"/>
          <w:color w:val="00529B"/>
        </w:rPr>
      </w:pPr>
      <w:r>
        <w:rPr>
          <w:rFonts w:ascii="Arial" w:cs="Arial" w:eastAsia="Arial" w:hAnsi="Arial"/>
          <w:sz w:val="15"/>
          <w:szCs w:val="15"/>
          <w:color w:val="4D4D4F"/>
        </w:rPr>
        <w:t>Proxy Statement</w:t>
      </w:r>
    </w:p>
    <w:p>
      <w:pPr>
        <w:spacing w:after="0" w:line="44" w:lineRule="exact"/>
        <w:rPr>
          <w:rFonts w:ascii="Arial" w:cs="Arial" w:eastAsia="Arial" w:hAnsi="Arial"/>
          <w:sz w:val="22"/>
          <w:szCs w:val="22"/>
          <w:b w:val="1"/>
          <w:bCs w:val="1"/>
          <w:color w:val="00529B"/>
        </w:rPr>
      </w:pPr>
    </w:p>
    <w:p>
      <w:pPr>
        <w:ind w:left="660" w:hanging="229"/>
        <w:spacing w:after="0"/>
        <w:tabs>
          <w:tab w:leader="none" w:pos="660" w:val="left"/>
        </w:tabs>
        <w:numPr>
          <w:ilvl w:val="0"/>
          <w:numId w:val="12"/>
        </w:numPr>
        <w:rPr>
          <w:rFonts w:ascii="Arial" w:cs="Arial" w:eastAsia="Arial" w:hAnsi="Arial"/>
          <w:sz w:val="22"/>
          <w:szCs w:val="22"/>
          <w:b w:val="1"/>
          <w:bCs w:val="1"/>
          <w:color w:val="00529B"/>
        </w:rPr>
      </w:pPr>
      <w:r>
        <w:rPr>
          <w:rFonts w:ascii="Arial" w:cs="Arial" w:eastAsia="Arial" w:hAnsi="Arial"/>
          <w:sz w:val="15"/>
          <w:szCs w:val="15"/>
          <w:color w:val="4D4D4F"/>
        </w:rPr>
        <w:t>Annual Report</w:t>
      </w:r>
    </w:p>
    <w:p>
      <w:pPr>
        <w:spacing w:after="0" w:line="44" w:lineRule="exact"/>
        <w:rPr>
          <w:rFonts w:ascii="Arial" w:cs="Arial" w:eastAsia="Arial" w:hAnsi="Arial"/>
          <w:sz w:val="22"/>
          <w:szCs w:val="22"/>
          <w:b w:val="1"/>
          <w:bCs w:val="1"/>
          <w:color w:val="00529B"/>
        </w:rPr>
      </w:pPr>
    </w:p>
    <w:p>
      <w:pPr>
        <w:ind w:left="660" w:hanging="229"/>
        <w:spacing w:after="0"/>
        <w:tabs>
          <w:tab w:leader="none" w:pos="660" w:val="left"/>
        </w:tabs>
        <w:numPr>
          <w:ilvl w:val="0"/>
          <w:numId w:val="12"/>
        </w:numPr>
        <w:rPr>
          <w:rFonts w:ascii="Arial" w:cs="Arial" w:eastAsia="Arial" w:hAnsi="Arial"/>
          <w:sz w:val="22"/>
          <w:szCs w:val="22"/>
          <w:b w:val="1"/>
          <w:bCs w:val="1"/>
          <w:color w:val="00529B"/>
        </w:rPr>
      </w:pPr>
      <w:r>
        <w:rPr>
          <w:rFonts w:ascii="Arial" w:cs="Arial" w:eastAsia="Arial" w:hAnsi="Arial"/>
          <w:sz w:val="15"/>
          <w:szCs w:val="15"/>
          <w:color w:val="4D4D4F"/>
        </w:rPr>
        <w:t>SEC filings</w:t>
      </w:r>
    </w:p>
    <w:p>
      <w:pPr>
        <w:spacing w:after="0" w:line="44" w:lineRule="exact"/>
        <w:rPr>
          <w:rFonts w:ascii="Arial" w:cs="Arial" w:eastAsia="Arial" w:hAnsi="Arial"/>
          <w:sz w:val="22"/>
          <w:szCs w:val="22"/>
          <w:b w:val="1"/>
          <w:bCs w:val="1"/>
          <w:color w:val="00529B"/>
        </w:rPr>
      </w:pPr>
    </w:p>
    <w:p>
      <w:pPr>
        <w:ind w:left="660" w:hanging="229"/>
        <w:spacing w:after="0"/>
        <w:tabs>
          <w:tab w:leader="none" w:pos="660" w:val="left"/>
        </w:tabs>
        <w:numPr>
          <w:ilvl w:val="0"/>
          <w:numId w:val="12"/>
        </w:numPr>
        <w:rPr>
          <w:rFonts w:ascii="Arial" w:cs="Arial" w:eastAsia="Arial" w:hAnsi="Arial"/>
          <w:sz w:val="22"/>
          <w:szCs w:val="22"/>
          <w:b w:val="1"/>
          <w:bCs w:val="1"/>
          <w:color w:val="00529B"/>
        </w:rPr>
      </w:pPr>
      <w:r>
        <w:rPr>
          <w:rFonts w:ascii="Arial" w:cs="Arial" w:eastAsia="Arial" w:hAnsi="Arial"/>
          <w:sz w:val="15"/>
          <w:szCs w:val="15"/>
          <w:color w:val="4D4D4F"/>
        </w:rPr>
        <w:t>Press releases</w:t>
      </w:r>
    </w:p>
    <w:p>
      <w:pPr>
        <w:spacing w:after="0" w:line="44" w:lineRule="exact"/>
        <w:rPr>
          <w:rFonts w:ascii="Arial" w:cs="Arial" w:eastAsia="Arial" w:hAnsi="Arial"/>
          <w:sz w:val="22"/>
          <w:szCs w:val="22"/>
          <w:b w:val="1"/>
          <w:bCs w:val="1"/>
          <w:color w:val="00529B"/>
        </w:rPr>
      </w:pPr>
    </w:p>
    <w:p>
      <w:pPr>
        <w:ind w:left="660" w:hanging="229"/>
        <w:spacing w:after="0"/>
        <w:tabs>
          <w:tab w:leader="none" w:pos="660" w:val="left"/>
        </w:tabs>
        <w:numPr>
          <w:ilvl w:val="0"/>
          <w:numId w:val="12"/>
        </w:numPr>
        <w:rPr>
          <w:rFonts w:ascii="Arial" w:cs="Arial" w:eastAsia="Arial" w:hAnsi="Arial"/>
          <w:sz w:val="22"/>
          <w:szCs w:val="22"/>
          <w:b w:val="1"/>
          <w:bCs w:val="1"/>
          <w:color w:val="00529B"/>
        </w:rPr>
      </w:pPr>
      <w:r>
        <w:rPr>
          <w:rFonts w:ascii="Arial" w:cs="Arial" w:eastAsia="Arial" w:hAnsi="Arial"/>
          <w:sz w:val="15"/>
          <w:szCs w:val="15"/>
          <w:color w:val="4D4D4F"/>
        </w:rPr>
        <w:t>Investor relations website</w:t>
      </w:r>
    </w:p>
    <w:p>
      <w:pPr>
        <w:spacing w:after="0" w:line="44" w:lineRule="exact"/>
        <w:rPr>
          <w:rFonts w:ascii="Arial" w:cs="Arial" w:eastAsia="Arial" w:hAnsi="Arial"/>
          <w:sz w:val="22"/>
          <w:szCs w:val="22"/>
          <w:b w:val="1"/>
          <w:bCs w:val="1"/>
          <w:color w:val="00529B"/>
        </w:rPr>
      </w:pPr>
    </w:p>
    <w:p>
      <w:pPr>
        <w:ind w:left="660" w:hanging="229"/>
        <w:spacing w:after="0"/>
        <w:tabs>
          <w:tab w:leader="none" w:pos="660" w:val="left"/>
        </w:tabs>
        <w:numPr>
          <w:ilvl w:val="0"/>
          <w:numId w:val="12"/>
        </w:numPr>
        <w:rPr>
          <w:rFonts w:ascii="Arial" w:cs="Arial" w:eastAsia="Arial" w:hAnsi="Arial"/>
          <w:sz w:val="22"/>
          <w:szCs w:val="22"/>
          <w:b w:val="1"/>
          <w:bCs w:val="1"/>
          <w:color w:val="00529B"/>
        </w:rPr>
      </w:pPr>
      <w:r>
        <w:rPr>
          <w:rFonts w:ascii="Arial" w:cs="Arial" w:eastAsia="Arial" w:hAnsi="Arial"/>
          <w:sz w:val="15"/>
          <w:szCs w:val="15"/>
          <w:color w:val="4D4D4F"/>
        </w:rPr>
        <w:t>Investor meetings</w:t>
      </w:r>
    </w:p>
    <w:p>
      <w:pPr>
        <w:spacing w:after="0" w:line="31" w:lineRule="exact"/>
        <w:rPr>
          <w:rFonts w:ascii="Arial" w:cs="Arial" w:eastAsia="Arial" w:hAnsi="Arial"/>
          <w:sz w:val="22"/>
          <w:szCs w:val="22"/>
          <w:b w:val="1"/>
          <w:bCs w:val="1"/>
          <w:color w:val="00529B"/>
        </w:rPr>
      </w:pPr>
    </w:p>
    <w:p>
      <w:pPr>
        <w:ind w:left="660" w:hanging="229"/>
        <w:spacing w:after="0" w:line="238" w:lineRule="auto"/>
        <w:tabs>
          <w:tab w:leader="none" w:pos="660" w:val="left"/>
        </w:tabs>
        <w:numPr>
          <w:ilvl w:val="0"/>
          <w:numId w:val="12"/>
        </w:numPr>
        <w:rPr>
          <w:rFonts w:ascii="Arial" w:cs="Arial" w:eastAsia="Arial" w:hAnsi="Arial"/>
          <w:sz w:val="22"/>
          <w:szCs w:val="22"/>
          <w:b w:val="1"/>
          <w:bCs w:val="1"/>
          <w:color w:val="00529B"/>
        </w:rPr>
      </w:pPr>
      <w:r>
        <w:rPr>
          <w:rFonts w:ascii="Arial" w:cs="Arial" w:eastAsia="Arial" w:hAnsi="Arial"/>
          <w:sz w:val="15"/>
          <w:szCs w:val="15"/>
          <w:color w:val="4D4D4F"/>
        </w:rPr>
        <w:t>Sustainability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How we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-238760</wp:posOffset>
            </wp:positionV>
            <wp:extent cx="2245995" cy="14744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45995" cy="1474470"/>
                    </a:xfrm>
                    <a:prstGeom prst="rect">
                      <a:avLst/>
                    </a:prstGeom>
                    <a:noFill/>
                  </pic:spPr>
                </pic:pic>
              </a:graphicData>
            </a:graphic>
          </wp:anchor>
        </w:drawing>
      </w:r>
    </w:p>
    <w:p>
      <w:pPr>
        <w:spacing w:after="0" w:line="86" w:lineRule="exact"/>
        <w:rPr>
          <w:sz w:val="20"/>
          <w:szCs w:val="20"/>
          <w:color w:val="auto"/>
        </w:rPr>
      </w:pPr>
    </w:p>
    <w:p>
      <w:pPr>
        <w:ind w:left="300" w:hanging="229"/>
        <w:spacing w:after="0"/>
        <w:tabs>
          <w:tab w:leader="none" w:pos="300" w:val="left"/>
        </w:tabs>
        <w:numPr>
          <w:ilvl w:val="0"/>
          <w:numId w:val="13"/>
        </w:numPr>
        <w:rPr>
          <w:rFonts w:ascii="Arial" w:cs="Arial" w:eastAsia="Arial" w:hAnsi="Arial"/>
          <w:sz w:val="22"/>
          <w:szCs w:val="22"/>
          <w:b w:val="1"/>
          <w:bCs w:val="1"/>
          <w:color w:val="298655"/>
        </w:rPr>
      </w:pPr>
      <w:r>
        <w:rPr>
          <w:rFonts w:ascii="Arial" w:cs="Arial" w:eastAsia="Arial" w:hAnsi="Arial"/>
          <w:sz w:val="15"/>
          <w:szCs w:val="15"/>
          <w:color w:val="4D4D4F"/>
        </w:rPr>
        <w:t>Shareholder engagement program</w:t>
      </w:r>
    </w:p>
    <w:p>
      <w:pPr>
        <w:spacing w:after="0" w:line="44" w:lineRule="exact"/>
        <w:rPr>
          <w:rFonts w:ascii="Arial" w:cs="Arial" w:eastAsia="Arial" w:hAnsi="Arial"/>
          <w:sz w:val="22"/>
          <w:szCs w:val="22"/>
          <w:b w:val="1"/>
          <w:bCs w:val="1"/>
          <w:color w:val="298655"/>
        </w:rPr>
      </w:pPr>
    </w:p>
    <w:p>
      <w:pPr>
        <w:ind w:left="300" w:hanging="229"/>
        <w:spacing w:after="0"/>
        <w:tabs>
          <w:tab w:leader="none" w:pos="300" w:val="left"/>
        </w:tabs>
        <w:numPr>
          <w:ilvl w:val="0"/>
          <w:numId w:val="13"/>
        </w:numPr>
        <w:rPr>
          <w:rFonts w:ascii="Arial" w:cs="Arial" w:eastAsia="Arial" w:hAnsi="Arial"/>
          <w:sz w:val="22"/>
          <w:szCs w:val="22"/>
          <w:b w:val="1"/>
          <w:bCs w:val="1"/>
          <w:color w:val="298655"/>
        </w:rPr>
      </w:pPr>
      <w:r>
        <w:rPr>
          <w:rFonts w:ascii="Arial" w:cs="Arial" w:eastAsia="Arial" w:hAnsi="Arial"/>
          <w:sz w:val="15"/>
          <w:szCs w:val="15"/>
          <w:color w:val="4D4D4F"/>
        </w:rPr>
        <w:t>Quarterly earnings calls</w:t>
      </w:r>
    </w:p>
    <w:p>
      <w:pPr>
        <w:spacing w:after="0" w:line="44" w:lineRule="exact"/>
        <w:rPr>
          <w:rFonts w:ascii="Arial" w:cs="Arial" w:eastAsia="Arial" w:hAnsi="Arial"/>
          <w:sz w:val="22"/>
          <w:szCs w:val="22"/>
          <w:b w:val="1"/>
          <w:bCs w:val="1"/>
          <w:color w:val="298655"/>
        </w:rPr>
      </w:pPr>
    </w:p>
    <w:p>
      <w:pPr>
        <w:ind w:left="300" w:hanging="229"/>
        <w:spacing w:after="0"/>
        <w:tabs>
          <w:tab w:leader="none" w:pos="300" w:val="left"/>
        </w:tabs>
        <w:numPr>
          <w:ilvl w:val="0"/>
          <w:numId w:val="13"/>
        </w:numPr>
        <w:rPr>
          <w:rFonts w:ascii="Arial" w:cs="Arial" w:eastAsia="Arial" w:hAnsi="Arial"/>
          <w:sz w:val="22"/>
          <w:szCs w:val="22"/>
          <w:b w:val="1"/>
          <w:bCs w:val="1"/>
          <w:color w:val="298655"/>
        </w:rPr>
      </w:pPr>
      <w:r>
        <w:rPr>
          <w:rFonts w:ascii="Arial" w:cs="Arial" w:eastAsia="Arial" w:hAnsi="Arial"/>
          <w:sz w:val="15"/>
          <w:szCs w:val="15"/>
          <w:color w:val="4D4D4F"/>
        </w:rPr>
        <w:t>Investor conferences</w:t>
      </w:r>
    </w:p>
    <w:p>
      <w:pPr>
        <w:spacing w:after="0" w:line="44" w:lineRule="exact"/>
        <w:rPr>
          <w:rFonts w:ascii="Arial" w:cs="Arial" w:eastAsia="Arial" w:hAnsi="Arial"/>
          <w:sz w:val="22"/>
          <w:szCs w:val="22"/>
          <w:b w:val="1"/>
          <w:bCs w:val="1"/>
          <w:color w:val="298655"/>
        </w:rPr>
      </w:pPr>
    </w:p>
    <w:p>
      <w:pPr>
        <w:ind w:left="300" w:hanging="229"/>
        <w:spacing w:after="0"/>
        <w:tabs>
          <w:tab w:leader="none" w:pos="300" w:val="left"/>
        </w:tabs>
        <w:numPr>
          <w:ilvl w:val="0"/>
          <w:numId w:val="13"/>
        </w:numPr>
        <w:rPr>
          <w:rFonts w:ascii="Arial" w:cs="Arial" w:eastAsia="Arial" w:hAnsi="Arial"/>
          <w:sz w:val="22"/>
          <w:szCs w:val="22"/>
          <w:b w:val="1"/>
          <w:bCs w:val="1"/>
          <w:color w:val="298655"/>
        </w:rPr>
      </w:pPr>
      <w:r>
        <w:rPr>
          <w:rFonts w:ascii="Arial" w:cs="Arial" w:eastAsia="Arial" w:hAnsi="Arial"/>
          <w:sz w:val="15"/>
          <w:szCs w:val="15"/>
          <w:color w:val="4D4D4F"/>
        </w:rPr>
        <w:t>One-on-one meetings</w:t>
      </w:r>
    </w:p>
    <w:p>
      <w:pPr>
        <w:spacing w:after="0" w:line="44" w:lineRule="exact"/>
        <w:rPr>
          <w:rFonts w:ascii="Arial" w:cs="Arial" w:eastAsia="Arial" w:hAnsi="Arial"/>
          <w:sz w:val="22"/>
          <w:szCs w:val="22"/>
          <w:b w:val="1"/>
          <w:bCs w:val="1"/>
          <w:color w:val="298655"/>
        </w:rPr>
      </w:pPr>
    </w:p>
    <w:p>
      <w:pPr>
        <w:ind w:left="300" w:hanging="229"/>
        <w:spacing w:after="0"/>
        <w:tabs>
          <w:tab w:leader="none" w:pos="300" w:val="left"/>
        </w:tabs>
        <w:numPr>
          <w:ilvl w:val="0"/>
          <w:numId w:val="13"/>
        </w:numPr>
        <w:rPr>
          <w:rFonts w:ascii="Arial" w:cs="Arial" w:eastAsia="Arial" w:hAnsi="Arial"/>
          <w:sz w:val="22"/>
          <w:szCs w:val="22"/>
          <w:b w:val="1"/>
          <w:bCs w:val="1"/>
          <w:color w:val="298655"/>
        </w:rPr>
      </w:pPr>
      <w:r>
        <w:rPr>
          <w:rFonts w:ascii="Arial" w:cs="Arial" w:eastAsia="Arial" w:hAnsi="Arial"/>
          <w:sz w:val="15"/>
          <w:szCs w:val="15"/>
          <w:color w:val="4D4D4F"/>
        </w:rPr>
        <w:t>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424180</wp:posOffset>
            </wp:positionV>
            <wp:extent cx="2245995" cy="28460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4599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Topics we discuss:</w:t>
      </w:r>
    </w:p>
    <w:p>
      <w:pPr>
        <w:spacing w:after="0" w:line="106" w:lineRule="exact"/>
        <w:rPr>
          <w:sz w:val="20"/>
          <w:szCs w:val="20"/>
          <w:color w:val="auto"/>
        </w:rPr>
      </w:pPr>
    </w:p>
    <w:p>
      <w:pPr>
        <w:ind w:left="300" w:hanging="229"/>
        <w:spacing w:after="0"/>
        <w:tabs>
          <w:tab w:leader="none" w:pos="300" w:val="left"/>
        </w:tabs>
        <w:numPr>
          <w:ilvl w:val="0"/>
          <w:numId w:val="14"/>
        </w:numPr>
        <w:rPr>
          <w:rFonts w:ascii="Arial" w:cs="Arial" w:eastAsia="Arial" w:hAnsi="Arial"/>
          <w:sz w:val="22"/>
          <w:szCs w:val="22"/>
          <w:b w:val="1"/>
          <w:bCs w:val="1"/>
          <w:color w:val="298655"/>
        </w:rPr>
      </w:pPr>
      <w:r>
        <w:rPr>
          <w:rFonts w:ascii="Arial" w:cs="Arial" w:eastAsia="Arial" w:hAnsi="Arial"/>
          <w:sz w:val="15"/>
          <w:szCs w:val="15"/>
          <w:color w:val="4D4D4F"/>
        </w:rPr>
        <w:t>Business strategy</w:t>
      </w:r>
    </w:p>
    <w:p>
      <w:pPr>
        <w:spacing w:after="0" w:line="96" w:lineRule="exact"/>
        <w:rPr>
          <w:rFonts w:ascii="Arial" w:cs="Arial" w:eastAsia="Arial" w:hAnsi="Arial"/>
          <w:sz w:val="22"/>
          <w:szCs w:val="22"/>
          <w:b w:val="1"/>
          <w:bCs w:val="1"/>
          <w:color w:val="298655"/>
        </w:rPr>
      </w:pPr>
    </w:p>
    <w:p>
      <w:pPr>
        <w:ind w:left="320" w:right="600" w:hanging="249"/>
        <w:spacing w:after="0" w:line="219" w:lineRule="auto"/>
        <w:tabs>
          <w:tab w:leader="none" w:pos="315" w:val="left"/>
        </w:tabs>
        <w:numPr>
          <w:ilvl w:val="0"/>
          <w:numId w:val="14"/>
        </w:numPr>
        <w:rPr>
          <w:rFonts w:ascii="Arial" w:cs="Arial" w:eastAsia="Arial" w:hAnsi="Arial"/>
          <w:sz w:val="22"/>
          <w:szCs w:val="22"/>
          <w:b w:val="1"/>
          <w:bCs w:val="1"/>
          <w:color w:val="298655"/>
        </w:rPr>
      </w:pPr>
      <w:r>
        <w:rPr>
          <w:rFonts w:ascii="Arial" w:cs="Arial" w:eastAsia="Arial" w:hAnsi="Arial"/>
          <w:sz w:val="15"/>
          <w:szCs w:val="15"/>
          <w:color w:val="4D4D4F"/>
        </w:rPr>
        <w:t>Financial performance and capital allocation</w:t>
      </w:r>
    </w:p>
    <w:p>
      <w:pPr>
        <w:spacing w:after="0" w:line="31" w:lineRule="exact"/>
        <w:rPr>
          <w:rFonts w:ascii="Arial" w:cs="Arial" w:eastAsia="Arial" w:hAnsi="Arial"/>
          <w:sz w:val="22"/>
          <w:szCs w:val="22"/>
          <w:b w:val="1"/>
          <w:bCs w:val="1"/>
          <w:color w:val="298655"/>
        </w:rPr>
      </w:pPr>
    </w:p>
    <w:p>
      <w:pPr>
        <w:ind w:left="300" w:hanging="229"/>
        <w:spacing w:after="0"/>
        <w:tabs>
          <w:tab w:leader="none" w:pos="300" w:val="left"/>
        </w:tabs>
        <w:numPr>
          <w:ilvl w:val="0"/>
          <w:numId w:val="14"/>
        </w:numPr>
        <w:rPr>
          <w:rFonts w:ascii="Arial" w:cs="Arial" w:eastAsia="Arial" w:hAnsi="Arial"/>
          <w:sz w:val="22"/>
          <w:szCs w:val="22"/>
          <w:b w:val="1"/>
          <w:bCs w:val="1"/>
          <w:color w:val="298655"/>
        </w:rPr>
      </w:pPr>
      <w:r>
        <w:rPr>
          <w:rFonts w:ascii="Arial" w:cs="Arial" w:eastAsia="Arial" w:hAnsi="Arial"/>
          <w:sz w:val="15"/>
          <w:szCs w:val="15"/>
          <w:color w:val="4D4D4F"/>
        </w:rPr>
        <w:t>Corporate governance</w:t>
      </w:r>
    </w:p>
    <w:p>
      <w:pPr>
        <w:spacing w:after="0" w:line="83" w:lineRule="exact"/>
        <w:rPr>
          <w:rFonts w:ascii="Arial" w:cs="Arial" w:eastAsia="Arial" w:hAnsi="Arial"/>
          <w:sz w:val="22"/>
          <w:szCs w:val="22"/>
          <w:b w:val="1"/>
          <w:bCs w:val="1"/>
          <w:color w:val="298655"/>
        </w:rPr>
      </w:pPr>
    </w:p>
    <w:p>
      <w:pPr>
        <w:ind w:left="320" w:right="540" w:hanging="249"/>
        <w:spacing w:after="0" w:line="219" w:lineRule="auto"/>
        <w:tabs>
          <w:tab w:leader="none" w:pos="315" w:val="left"/>
        </w:tabs>
        <w:numPr>
          <w:ilvl w:val="0"/>
          <w:numId w:val="14"/>
        </w:numPr>
        <w:rPr>
          <w:rFonts w:ascii="Arial" w:cs="Arial" w:eastAsia="Arial" w:hAnsi="Arial"/>
          <w:sz w:val="22"/>
          <w:szCs w:val="22"/>
          <w:b w:val="1"/>
          <w:bCs w:val="1"/>
          <w:color w:val="298655"/>
        </w:rPr>
      </w:pPr>
      <w:r>
        <w:rPr>
          <w:rFonts w:ascii="Arial" w:cs="Arial" w:eastAsia="Arial" w:hAnsi="Arial"/>
          <w:sz w:val="15"/>
          <w:szCs w:val="15"/>
          <w:color w:val="4D4D4F"/>
        </w:rPr>
        <w:t>Board composition and nomination process</w:t>
      </w:r>
    </w:p>
    <w:p>
      <w:pPr>
        <w:spacing w:after="0" w:line="31" w:lineRule="exact"/>
        <w:rPr>
          <w:rFonts w:ascii="Arial" w:cs="Arial" w:eastAsia="Arial" w:hAnsi="Arial"/>
          <w:sz w:val="22"/>
          <w:szCs w:val="22"/>
          <w:b w:val="1"/>
          <w:bCs w:val="1"/>
          <w:color w:val="298655"/>
        </w:rPr>
      </w:pPr>
    </w:p>
    <w:p>
      <w:pPr>
        <w:ind w:left="300" w:hanging="229"/>
        <w:spacing w:after="0"/>
        <w:tabs>
          <w:tab w:leader="none" w:pos="300" w:val="left"/>
        </w:tabs>
        <w:numPr>
          <w:ilvl w:val="0"/>
          <w:numId w:val="14"/>
        </w:numPr>
        <w:rPr>
          <w:rFonts w:ascii="Arial" w:cs="Arial" w:eastAsia="Arial" w:hAnsi="Arial"/>
          <w:sz w:val="22"/>
          <w:szCs w:val="22"/>
          <w:b w:val="1"/>
          <w:bCs w:val="1"/>
          <w:color w:val="298655"/>
        </w:rPr>
      </w:pPr>
      <w:r>
        <w:rPr>
          <w:rFonts w:ascii="Arial" w:cs="Arial" w:eastAsia="Arial" w:hAnsi="Arial"/>
          <w:sz w:val="15"/>
          <w:szCs w:val="15"/>
          <w:color w:val="4D4D4F"/>
        </w:rPr>
        <w:t>Board leadership</w:t>
      </w:r>
    </w:p>
    <w:p>
      <w:pPr>
        <w:spacing w:after="0" w:line="44" w:lineRule="exact"/>
        <w:rPr>
          <w:rFonts w:ascii="Arial" w:cs="Arial" w:eastAsia="Arial" w:hAnsi="Arial"/>
          <w:sz w:val="22"/>
          <w:szCs w:val="22"/>
          <w:b w:val="1"/>
          <w:bCs w:val="1"/>
          <w:color w:val="298655"/>
        </w:rPr>
      </w:pPr>
    </w:p>
    <w:p>
      <w:pPr>
        <w:ind w:left="300" w:hanging="229"/>
        <w:spacing w:after="0"/>
        <w:tabs>
          <w:tab w:leader="none" w:pos="300" w:val="left"/>
        </w:tabs>
        <w:numPr>
          <w:ilvl w:val="0"/>
          <w:numId w:val="14"/>
        </w:numPr>
        <w:rPr>
          <w:rFonts w:ascii="Arial" w:cs="Arial" w:eastAsia="Arial" w:hAnsi="Arial"/>
          <w:sz w:val="22"/>
          <w:szCs w:val="22"/>
          <w:b w:val="1"/>
          <w:bCs w:val="1"/>
          <w:color w:val="298655"/>
        </w:rPr>
      </w:pPr>
      <w:r>
        <w:rPr>
          <w:rFonts w:ascii="Arial" w:cs="Arial" w:eastAsia="Arial" w:hAnsi="Arial"/>
          <w:sz w:val="15"/>
          <w:szCs w:val="15"/>
          <w:color w:val="4D4D4F"/>
        </w:rPr>
        <w:t>Executive compensation design</w:t>
      </w:r>
    </w:p>
    <w:p>
      <w:pPr>
        <w:spacing w:after="0" w:line="44" w:lineRule="exact"/>
        <w:rPr>
          <w:rFonts w:ascii="Arial" w:cs="Arial" w:eastAsia="Arial" w:hAnsi="Arial"/>
          <w:sz w:val="22"/>
          <w:szCs w:val="22"/>
          <w:b w:val="1"/>
          <w:bCs w:val="1"/>
          <w:color w:val="298655"/>
        </w:rPr>
      </w:pPr>
    </w:p>
    <w:p>
      <w:pPr>
        <w:ind w:left="300" w:hanging="229"/>
        <w:spacing w:after="0"/>
        <w:tabs>
          <w:tab w:leader="none" w:pos="300" w:val="left"/>
        </w:tabs>
        <w:numPr>
          <w:ilvl w:val="0"/>
          <w:numId w:val="14"/>
        </w:numPr>
        <w:rPr>
          <w:rFonts w:ascii="Arial" w:cs="Arial" w:eastAsia="Arial" w:hAnsi="Arial"/>
          <w:sz w:val="22"/>
          <w:szCs w:val="22"/>
          <w:b w:val="1"/>
          <w:bCs w:val="1"/>
          <w:color w:val="298655"/>
        </w:rPr>
      </w:pPr>
      <w:r>
        <w:rPr>
          <w:rFonts w:ascii="Arial" w:cs="Arial" w:eastAsia="Arial" w:hAnsi="Arial"/>
          <w:sz w:val="15"/>
          <w:szCs w:val="15"/>
          <w:color w:val="4D4D4F"/>
        </w:rPr>
        <w:t>Strategic Transformational Awards</w:t>
      </w:r>
    </w:p>
    <w:p>
      <w:pPr>
        <w:spacing w:after="0" w:line="44" w:lineRule="exact"/>
        <w:rPr>
          <w:rFonts w:ascii="Arial" w:cs="Arial" w:eastAsia="Arial" w:hAnsi="Arial"/>
          <w:sz w:val="22"/>
          <w:szCs w:val="22"/>
          <w:b w:val="1"/>
          <w:bCs w:val="1"/>
          <w:color w:val="298655"/>
        </w:rPr>
      </w:pPr>
    </w:p>
    <w:p>
      <w:pPr>
        <w:ind w:left="300" w:hanging="229"/>
        <w:spacing w:after="0"/>
        <w:tabs>
          <w:tab w:leader="none" w:pos="300" w:val="left"/>
        </w:tabs>
        <w:numPr>
          <w:ilvl w:val="0"/>
          <w:numId w:val="14"/>
        </w:numPr>
        <w:rPr>
          <w:rFonts w:ascii="Arial" w:cs="Arial" w:eastAsia="Arial" w:hAnsi="Arial"/>
          <w:sz w:val="22"/>
          <w:szCs w:val="22"/>
          <w:b w:val="1"/>
          <w:bCs w:val="1"/>
          <w:color w:val="298655"/>
        </w:rPr>
      </w:pPr>
      <w:r>
        <w:rPr>
          <w:rFonts w:ascii="Arial" w:cs="Arial" w:eastAsia="Arial" w:hAnsi="Arial"/>
          <w:sz w:val="15"/>
          <w:szCs w:val="15"/>
          <w:color w:val="4D4D4F"/>
        </w:rPr>
        <w:t>Climate-related risks and opportunities</w:t>
      </w:r>
    </w:p>
    <w:p>
      <w:pPr>
        <w:spacing w:after="0" w:line="44" w:lineRule="exact"/>
        <w:rPr>
          <w:rFonts w:ascii="Arial" w:cs="Arial" w:eastAsia="Arial" w:hAnsi="Arial"/>
          <w:sz w:val="22"/>
          <w:szCs w:val="22"/>
          <w:b w:val="1"/>
          <w:bCs w:val="1"/>
          <w:color w:val="298655"/>
        </w:rPr>
      </w:pPr>
    </w:p>
    <w:p>
      <w:pPr>
        <w:ind w:left="300" w:hanging="229"/>
        <w:spacing w:after="0"/>
        <w:tabs>
          <w:tab w:leader="none" w:pos="300" w:val="left"/>
        </w:tabs>
        <w:numPr>
          <w:ilvl w:val="0"/>
          <w:numId w:val="14"/>
        </w:numPr>
        <w:rPr>
          <w:rFonts w:ascii="Arial" w:cs="Arial" w:eastAsia="Arial" w:hAnsi="Arial"/>
          <w:sz w:val="22"/>
          <w:szCs w:val="22"/>
          <w:b w:val="1"/>
          <w:bCs w:val="1"/>
          <w:color w:val="298655"/>
        </w:rPr>
      </w:pPr>
      <w:r>
        <w:rPr>
          <w:rFonts w:ascii="Arial" w:cs="Arial" w:eastAsia="Arial" w:hAnsi="Arial"/>
          <w:sz w:val="15"/>
          <w:szCs w:val="15"/>
          <w:color w:val="4D4D4F"/>
        </w:rPr>
        <w:t>Sustainability and other ESG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1152525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2023-2024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-238760</wp:posOffset>
            </wp:positionV>
            <wp:extent cx="2245995" cy="4491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45995" cy="4491990"/>
                    </a:xfrm>
                    <a:prstGeom prst="rect">
                      <a:avLst/>
                    </a:prstGeom>
                    <a:noFill/>
                  </pic:spPr>
                </pic:pic>
              </a:graphicData>
            </a:graphic>
          </wp:anchor>
        </w:drawing>
      </w:r>
    </w:p>
    <w:p>
      <w:pPr>
        <w:spacing w:after="0" w:line="98"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color w:val="4D4D4F"/>
        </w:rPr>
        <w:t>In connection with the 2023 say-on-pay proposal, we conducted an expanded shareholder engagement effort between the filing of our 2023 proxy statement and the 2023 Annual Meeting and again in the fall of 2023 and early 2024.</w:t>
      </w:r>
    </w:p>
    <w:p>
      <w:pPr>
        <w:spacing w:after="0" w:line="131" w:lineRule="exact"/>
        <w:rPr>
          <w:sz w:val="20"/>
          <w:szCs w:val="20"/>
          <w:color w:val="auto"/>
        </w:rPr>
      </w:pPr>
    </w:p>
    <w:p>
      <w:pPr>
        <w:ind w:right="80"/>
        <w:spacing w:after="0" w:line="316" w:lineRule="auto"/>
        <w:rPr>
          <w:sz w:val="20"/>
          <w:szCs w:val="20"/>
          <w:color w:val="auto"/>
        </w:rPr>
      </w:pPr>
      <w:r>
        <w:rPr>
          <w:rFonts w:ascii="Arial" w:cs="Arial" w:eastAsia="Arial" w:hAnsi="Arial"/>
          <w:sz w:val="15"/>
          <w:szCs w:val="15"/>
          <w:color w:val="4D4D4F"/>
        </w:rPr>
        <w:t xml:space="preserve">As part of that outreach, we reached out to our </w:t>
      </w:r>
      <w:r>
        <w:rPr>
          <w:rFonts w:ascii="Arial" w:cs="Arial" w:eastAsia="Arial" w:hAnsi="Arial"/>
          <w:sz w:val="15"/>
          <w:szCs w:val="15"/>
          <w:b w:val="1"/>
          <w:bCs w:val="1"/>
          <w:color w:val="132440"/>
        </w:rPr>
        <w:t>top 20 shareholders representing</w:t>
      </w:r>
      <w:r>
        <w:rPr>
          <w:rFonts w:ascii="Arial" w:cs="Arial" w:eastAsia="Arial" w:hAnsi="Arial"/>
          <w:sz w:val="15"/>
          <w:szCs w:val="15"/>
          <w:color w:val="4D4D4F"/>
        </w:rPr>
        <w:t xml:space="preserve"> </w:t>
      </w:r>
      <w:r>
        <w:rPr>
          <w:rFonts w:ascii="Arial" w:cs="Arial" w:eastAsia="Arial" w:hAnsi="Arial"/>
          <w:sz w:val="15"/>
          <w:szCs w:val="15"/>
          <w:b w:val="1"/>
          <w:bCs w:val="1"/>
          <w:color w:val="132440"/>
        </w:rPr>
        <w:t xml:space="preserve">~60% </w:t>
      </w:r>
      <w:r>
        <w:rPr>
          <w:rFonts w:ascii="Arial" w:cs="Arial" w:eastAsia="Arial" w:hAnsi="Arial"/>
          <w:sz w:val="15"/>
          <w:szCs w:val="15"/>
          <w:color w:val="4D4D4F"/>
        </w:rPr>
        <w:t>of our outstanding shares.</w:t>
      </w:r>
    </w:p>
    <w:p>
      <w:pPr>
        <w:spacing w:after="0" w:line="100" w:lineRule="exact"/>
        <w:rPr>
          <w:sz w:val="20"/>
          <w:szCs w:val="20"/>
          <w:color w:val="auto"/>
        </w:rPr>
      </w:pPr>
    </w:p>
    <w:p>
      <w:pPr>
        <w:ind w:right="200"/>
        <w:spacing w:after="0" w:line="302" w:lineRule="auto"/>
        <w:rPr>
          <w:sz w:val="20"/>
          <w:szCs w:val="20"/>
          <w:color w:val="auto"/>
        </w:rPr>
      </w:pPr>
      <w:r>
        <w:rPr>
          <w:rFonts w:ascii="Arial" w:cs="Arial" w:eastAsia="Arial" w:hAnsi="Arial"/>
          <w:sz w:val="15"/>
          <w:szCs w:val="15"/>
          <w:b w:val="1"/>
          <w:bCs w:val="1"/>
          <w:color w:val="132440"/>
        </w:rPr>
        <w:t xml:space="preserve">We met one-on-one with shareholders representing ~ 43% </w:t>
      </w:r>
      <w:r>
        <w:rPr>
          <w:rFonts w:ascii="Arial" w:cs="Arial" w:eastAsia="Arial" w:hAnsi="Arial"/>
          <w:sz w:val="15"/>
          <w:szCs w:val="15"/>
          <w:color w:val="4D4D4F"/>
        </w:rPr>
        <w:t>of our outstanding</w:t>
      </w:r>
      <w:r>
        <w:rPr>
          <w:rFonts w:ascii="Arial" w:cs="Arial" w:eastAsia="Arial" w:hAnsi="Arial"/>
          <w:sz w:val="15"/>
          <w:szCs w:val="15"/>
          <w:b w:val="1"/>
          <w:bCs w:val="1"/>
          <w:color w:val="132440"/>
        </w:rPr>
        <w:t xml:space="preserve"> </w:t>
      </w:r>
      <w:r>
        <w:rPr>
          <w:rFonts w:ascii="Arial" w:cs="Arial" w:eastAsia="Arial" w:hAnsi="Arial"/>
          <w:sz w:val="15"/>
          <w:szCs w:val="15"/>
          <w:color w:val="4D4D4F"/>
        </w:rPr>
        <w:t>shares.</w:t>
      </w:r>
    </w:p>
    <w:p>
      <w:pPr>
        <w:spacing w:after="0" w:line="132" w:lineRule="exact"/>
        <w:rPr>
          <w:sz w:val="20"/>
          <w:szCs w:val="20"/>
          <w:color w:val="auto"/>
        </w:rPr>
      </w:pPr>
    </w:p>
    <w:p>
      <w:pPr>
        <w:spacing w:after="0" w:line="323" w:lineRule="auto"/>
        <w:rPr>
          <w:sz w:val="20"/>
          <w:szCs w:val="20"/>
          <w:color w:val="auto"/>
        </w:rPr>
      </w:pPr>
      <w:r>
        <w:rPr>
          <w:rFonts w:ascii="Arial" w:cs="Arial" w:eastAsia="Arial" w:hAnsi="Arial"/>
          <w:sz w:val="15"/>
          <w:szCs w:val="15"/>
          <w:b w:val="1"/>
          <w:bCs w:val="1"/>
          <w:color w:val="132440"/>
        </w:rPr>
        <w:t xml:space="preserve">100% of those meetings </w:t>
      </w:r>
      <w:r>
        <w:rPr>
          <w:rFonts w:ascii="Arial" w:cs="Arial" w:eastAsia="Arial" w:hAnsi="Arial"/>
          <w:sz w:val="15"/>
          <w:szCs w:val="15"/>
          <w:color w:val="4D4D4F"/>
        </w:rPr>
        <w:t>were attended by</w:t>
      </w:r>
      <w:r>
        <w:rPr>
          <w:rFonts w:ascii="Arial" w:cs="Arial" w:eastAsia="Arial" w:hAnsi="Arial"/>
          <w:sz w:val="15"/>
          <w:szCs w:val="15"/>
          <w:b w:val="1"/>
          <w:bCs w:val="1"/>
          <w:color w:val="132440"/>
        </w:rPr>
        <w:t xml:space="preserve"> </w:t>
      </w:r>
      <w:r>
        <w:rPr>
          <w:rFonts w:ascii="Arial" w:cs="Arial" w:eastAsia="Arial" w:hAnsi="Arial"/>
          <w:sz w:val="15"/>
          <w:szCs w:val="15"/>
          <w:color w:val="4D4D4F"/>
        </w:rPr>
        <w:t>independent board members.</w:t>
      </w:r>
    </w:p>
    <w:p>
      <w:pPr>
        <w:spacing w:after="0" w:line="2341" w:lineRule="exact"/>
        <w:rPr>
          <w:sz w:val="20"/>
          <w:szCs w:val="20"/>
          <w:color w:val="auto"/>
        </w:rPr>
      </w:pPr>
    </w:p>
    <w:p>
      <w:pPr>
        <w:sectPr>
          <w:pgSz w:w="11900" w:h="16838" w:orient="portrait"/>
          <w:cols w:equalWidth="0" w:num="3">
            <w:col w:w="3460" w:space="720"/>
            <w:col w:w="3200" w:space="720"/>
            <w:col w:w="2960"/>
          </w:cols>
          <w:pgMar w:left="320" w:top="279"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0" w:hanging="534"/>
        <w:spacing w:after="0"/>
        <w:tabs>
          <w:tab w:leader="none" w:pos="560" w:val="left"/>
        </w:tabs>
        <w:numPr>
          <w:ilvl w:val="0"/>
          <w:numId w:val="15"/>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79" w:right="51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4"/>
          <w:szCs w:val="14"/>
          <w:b w:val="1"/>
          <w:bCs w:val="1"/>
          <w:color w:val="5B6770"/>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Board of Directors</w:t>
      </w:r>
    </w:p>
    <w:p>
      <w:pPr>
        <w:spacing w:after="0" w:line="155"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4D4D4F"/>
        </w:rPr>
        <w:t>Our Board’s objective is to maintain a diverse membership that can best further the success of our business and represent shareholders through the exercise of sound judgment informed by a wide array of experience and perspectives. Our Board committees, with all independent members, oversee our risk management programs and our business initiatives to ensure that these are aligned with our business strategy, while our dedicated Sustainability &amp; Corporate Responsibility Committee oversees our sustainability matters. For 2024, our director nominees are as follows: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31750</wp:posOffset>
            </wp:positionV>
            <wp:extent cx="171450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0" cy="145415"/>
                    </a:xfrm>
                    <a:prstGeom prst="rect">
                      <a:avLst/>
                    </a:prstGeom>
                    <a:noFill/>
                  </pic:spPr>
                </pic:pic>
              </a:graphicData>
            </a:graphic>
          </wp:anchor>
        </w:drawing>
      </w:r>
    </w:p>
    <w:p>
      <w:pPr>
        <w:spacing w:after="0" w:line="48"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FFFFFF"/>
        </w:rPr>
        <w:t>Committee Membership</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shd w:val="clear" w:color="auto" w:fill="132440"/>
          </w:tcPr>
          <w:p>
            <w:pPr>
              <w:spacing w:after="0"/>
              <w:rPr>
                <w:sz w:val="16"/>
                <w:szCs w:val="16"/>
                <w:color w:val="auto"/>
              </w:rPr>
            </w:pPr>
          </w:p>
        </w:tc>
        <w:tc>
          <w:tcPr>
            <w:tcW w:w="3400" w:type="dxa"/>
            <w:vAlign w:val="bottom"/>
            <w:shd w:val="clear" w:color="auto" w:fill="132440"/>
          </w:tcPr>
          <w:p>
            <w:pPr>
              <w:spacing w:after="0"/>
              <w:rPr>
                <w:sz w:val="16"/>
                <w:szCs w:val="16"/>
                <w:color w:val="auto"/>
              </w:rPr>
            </w:pPr>
          </w:p>
        </w:tc>
        <w:tc>
          <w:tcPr>
            <w:tcW w:w="660" w:type="dxa"/>
            <w:vAlign w:val="bottom"/>
            <w:shd w:val="clear" w:color="auto" w:fill="132440"/>
          </w:tcPr>
          <w:p>
            <w:pPr>
              <w:spacing w:after="0"/>
              <w:rPr>
                <w:sz w:val="16"/>
                <w:szCs w:val="16"/>
                <w:color w:val="auto"/>
              </w:rPr>
            </w:pPr>
          </w:p>
        </w:tc>
        <w:tc>
          <w:tcPr>
            <w:tcW w:w="860" w:type="dxa"/>
            <w:vAlign w:val="bottom"/>
            <w:shd w:val="clear" w:color="auto" w:fill="132440"/>
          </w:tcPr>
          <w:p>
            <w:pPr>
              <w:jc w:val="center"/>
              <w:ind w:left="8"/>
              <w:spacing w:after="0"/>
              <w:rPr>
                <w:sz w:val="20"/>
                <w:szCs w:val="20"/>
                <w:color w:val="auto"/>
              </w:rPr>
            </w:pPr>
            <w:r>
              <w:rPr>
                <w:rFonts w:ascii="Arial" w:cs="Arial" w:eastAsia="Arial" w:hAnsi="Arial"/>
                <w:sz w:val="14"/>
                <w:szCs w:val="14"/>
                <w:b w:val="1"/>
                <w:bCs w:val="1"/>
                <w:color w:val="FFFFFF"/>
              </w:rPr>
              <w:t>Director</w:t>
            </w:r>
          </w:p>
        </w:tc>
        <w:tc>
          <w:tcPr>
            <w:tcW w:w="1120" w:type="dxa"/>
            <w:vAlign w:val="bottom"/>
            <w:shd w:val="clear" w:color="auto" w:fill="132440"/>
          </w:tcPr>
          <w:p>
            <w:pPr>
              <w:ind w:left="340"/>
              <w:spacing w:after="0"/>
              <w:rPr>
                <w:sz w:val="20"/>
                <w:szCs w:val="20"/>
                <w:color w:val="auto"/>
              </w:rPr>
            </w:pPr>
            <w:r>
              <w:rPr>
                <w:rFonts w:ascii="Arial" w:cs="Arial" w:eastAsia="Arial" w:hAnsi="Arial"/>
                <w:sz w:val="14"/>
                <w:szCs w:val="14"/>
                <w:b w:val="1"/>
                <w:bCs w:val="1"/>
                <w:color w:val="FFFFFF"/>
              </w:rPr>
              <w:t>Diverse</w:t>
            </w:r>
          </w:p>
        </w:tc>
        <w:tc>
          <w:tcPr>
            <w:tcW w:w="540" w:type="dxa"/>
            <w:vAlign w:val="bottom"/>
            <w:shd w:val="clear" w:color="auto" w:fill="132440"/>
          </w:tcPr>
          <w:p>
            <w:pPr>
              <w:spacing w:after="0"/>
              <w:rPr>
                <w:sz w:val="16"/>
                <w:szCs w:val="16"/>
                <w:color w:val="auto"/>
              </w:rPr>
            </w:pPr>
          </w:p>
        </w:tc>
        <w:tc>
          <w:tcPr>
            <w:tcW w:w="540" w:type="dxa"/>
            <w:vAlign w:val="bottom"/>
            <w:shd w:val="clear" w:color="auto" w:fill="132440"/>
          </w:tcPr>
          <w:p>
            <w:pPr>
              <w:spacing w:after="0"/>
              <w:rPr>
                <w:sz w:val="16"/>
                <w:szCs w:val="16"/>
                <w:color w:val="auto"/>
              </w:rPr>
            </w:pPr>
          </w:p>
        </w:tc>
        <w:tc>
          <w:tcPr>
            <w:tcW w:w="540" w:type="dxa"/>
            <w:vAlign w:val="bottom"/>
            <w:shd w:val="clear" w:color="auto" w:fill="132440"/>
          </w:tcPr>
          <w:p>
            <w:pPr>
              <w:spacing w:after="0"/>
              <w:rPr>
                <w:sz w:val="16"/>
                <w:szCs w:val="16"/>
                <w:color w:val="auto"/>
              </w:rPr>
            </w:pPr>
          </w:p>
        </w:tc>
        <w:tc>
          <w:tcPr>
            <w:tcW w:w="540" w:type="dxa"/>
            <w:vAlign w:val="bottom"/>
            <w:shd w:val="clear" w:color="auto" w:fill="132440"/>
          </w:tcPr>
          <w:p>
            <w:pPr>
              <w:spacing w:after="0"/>
              <w:rPr>
                <w:sz w:val="16"/>
                <w:szCs w:val="16"/>
                <w:color w:val="auto"/>
              </w:rPr>
            </w:pPr>
          </w:p>
        </w:tc>
        <w:tc>
          <w:tcPr>
            <w:tcW w:w="540" w:type="dxa"/>
            <w:vAlign w:val="bottom"/>
            <w:shd w:val="clear" w:color="auto" w:fill="132440"/>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0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Name and Primary Occupation</w:t>
            </w:r>
          </w:p>
        </w:tc>
        <w:tc>
          <w:tcPr>
            <w:tcW w:w="3400" w:type="dxa"/>
            <w:vAlign w:val="bottom"/>
            <w:shd w:val="clear" w:color="auto" w:fill="132440"/>
          </w:tcPr>
          <w:p>
            <w:pPr>
              <w:ind w:left="2340"/>
              <w:spacing w:after="0"/>
              <w:rPr>
                <w:sz w:val="20"/>
                <w:szCs w:val="20"/>
                <w:color w:val="auto"/>
              </w:rPr>
            </w:pPr>
            <w:r>
              <w:rPr>
                <w:rFonts w:ascii="Arial" w:cs="Arial" w:eastAsia="Arial" w:hAnsi="Arial"/>
                <w:sz w:val="14"/>
                <w:szCs w:val="14"/>
                <w:b w:val="1"/>
                <w:bCs w:val="1"/>
                <w:color w:val="FFFFFF"/>
              </w:rPr>
              <w:t>Independent</w:t>
            </w:r>
          </w:p>
        </w:tc>
        <w:tc>
          <w:tcPr>
            <w:tcW w:w="660" w:type="dxa"/>
            <w:vAlign w:val="bottom"/>
            <w:shd w:val="clear" w:color="auto" w:fill="132440"/>
          </w:tcPr>
          <w:p>
            <w:pPr>
              <w:jc w:val="center"/>
              <w:spacing w:after="0"/>
              <w:rPr>
                <w:sz w:val="20"/>
                <w:szCs w:val="20"/>
                <w:color w:val="auto"/>
              </w:rPr>
            </w:pPr>
            <w:r>
              <w:rPr>
                <w:rFonts w:ascii="Arial" w:cs="Arial" w:eastAsia="Arial" w:hAnsi="Arial"/>
                <w:sz w:val="14"/>
                <w:szCs w:val="14"/>
                <w:b w:val="1"/>
                <w:bCs w:val="1"/>
                <w:color w:val="FFFFFF"/>
              </w:rPr>
              <w:t>Age</w:t>
            </w:r>
          </w:p>
        </w:tc>
        <w:tc>
          <w:tcPr>
            <w:tcW w:w="860" w:type="dxa"/>
            <w:vAlign w:val="bottom"/>
            <w:shd w:val="clear" w:color="auto" w:fill="132440"/>
          </w:tcPr>
          <w:p>
            <w:pPr>
              <w:jc w:val="center"/>
              <w:ind w:left="8"/>
              <w:spacing w:after="0"/>
              <w:rPr>
                <w:sz w:val="20"/>
                <w:szCs w:val="20"/>
                <w:color w:val="auto"/>
              </w:rPr>
            </w:pPr>
            <w:r>
              <w:rPr>
                <w:rFonts w:ascii="Arial" w:cs="Arial" w:eastAsia="Arial" w:hAnsi="Arial"/>
                <w:sz w:val="14"/>
                <w:szCs w:val="14"/>
                <w:b w:val="1"/>
                <w:bCs w:val="1"/>
                <w:color w:val="FFFFFF"/>
              </w:rPr>
              <w:t>Since</w:t>
            </w:r>
          </w:p>
        </w:tc>
        <w:tc>
          <w:tcPr>
            <w:tcW w:w="1120" w:type="dxa"/>
            <w:vAlign w:val="bottom"/>
            <w:shd w:val="clear" w:color="auto" w:fill="132440"/>
          </w:tcPr>
          <w:p>
            <w:pPr>
              <w:ind w:left="280"/>
              <w:spacing w:after="0"/>
              <w:rPr>
                <w:sz w:val="20"/>
                <w:szCs w:val="20"/>
                <w:color w:val="auto"/>
              </w:rPr>
            </w:pPr>
            <w:r>
              <w:rPr>
                <w:rFonts w:ascii="Arial" w:cs="Arial" w:eastAsia="Arial" w:hAnsi="Arial"/>
                <w:sz w:val="14"/>
                <w:szCs w:val="14"/>
                <w:b w:val="1"/>
                <w:bCs w:val="1"/>
                <w:color w:val="FFFFFF"/>
              </w:rPr>
              <w:t>Director*</w:t>
            </w:r>
          </w:p>
        </w:tc>
        <w:tc>
          <w:tcPr>
            <w:tcW w:w="540" w:type="dxa"/>
            <w:vAlign w:val="bottom"/>
            <w:shd w:val="clear" w:color="auto" w:fill="132440"/>
          </w:tcPr>
          <w:p>
            <w:pPr>
              <w:ind w:left="220"/>
              <w:spacing w:after="0"/>
              <w:rPr>
                <w:sz w:val="20"/>
                <w:szCs w:val="20"/>
                <w:color w:val="auto"/>
              </w:rPr>
            </w:pPr>
            <w:r>
              <w:rPr>
                <w:rFonts w:ascii="Arial" w:cs="Arial" w:eastAsia="Arial" w:hAnsi="Arial"/>
                <w:sz w:val="14"/>
                <w:szCs w:val="14"/>
                <w:b w:val="1"/>
                <w:bCs w:val="1"/>
                <w:color w:val="FFFFFF"/>
              </w:rPr>
              <w:t>A</w:t>
            </w:r>
          </w:p>
        </w:tc>
        <w:tc>
          <w:tcPr>
            <w:tcW w:w="540" w:type="dxa"/>
            <w:vAlign w:val="bottom"/>
            <w:shd w:val="clear" w:color="auto" w:fill="132440"/>
          </w:tcPr>
          <w:p>
            <w:pPr>
              <w:ind w:left="220"/>
              <w:spacing w:after="0"/>
              <w:rPr>
                <w:sz w:val="20"/>
                <w:szCs w:val="20"/>
                <w:color w:val="auto"/>
              </w:rPr>
            </w:pPr>
            <w:r>
              <w:rPr>
                <w:rFonts w:ascii="Arial" w:cs="Arial" w:eastAsia="Arial" w:hAnsi="Arial"/>
                <w:sz w:val="14"/>
                <w:szCs w:val="14"/>
                <w:b w:val="1"/>
                <w:bCs w:val="1"/>
                <w:color w:val="FFFFFF"/>
              </w:rPr>
              <w:t>C</w:t>
            </w:r>
          </w:p>
        </w:tc>
        <w:tc>
          <w:tcPr>
            <w:tcW w:w="540" w:type="dxa"/>
            <w:vAlign w:val="bottom"/>
            <w:shd w:val="clear" w:color="auto" w:fill="132440"/>
          </w:tcPr>
          <w:p>
            <w:pPr>
              <w:ind w:left="220"/>
              <w:spacing w:after="0"/>
              <w:rPr>
                <w:sz w:val="20"/>
                <w:szCs w:val="20"/>
                <w:color w:val="auto"/>
              </w:rPr>
            </w:pPr>
            <w:r>
              <w:rPr>
                <w:rFonts w:ascii="Arial" w:cs="Arial" w:eastAsia="Arial" w:hAnsi="Arial"/>
                <w:sz w:val="14"/>
                <w:szCs w:val="14"/>
                <w:b w:val="1"/>
                <w:bCs w:val="1"/>
                <w:color w:val="FFFFFF"/>
              </w:rPr>
              <w:t>G</w:t>
            </w:r>
          </w:p>
        </w:tc>
        <w:tc>
          <w:tcPr>
            <w:tcW w:w="540" w:type="dxa"/>
            <w:vAlign w:val="bottom"/>
            <w:shd w:val="clear" w:color="auto" w:fill="132440"/>
          </w:tcPr>
          <w:p>
            <w:pPr>
              <w:ind w:left="220"/>
              <w:spacing w:after="0"/>
              <w:rPr>
                <w:sz w:val="20"/>
                <w:szCs w:val="20"/>
                <w:color w:val="auto"/>
              </w:rPr>
            </w:pPr>
            <w:r>
              <w:rPr>
                <w:rFonts w:ascii="Arial" w:cs="Arial" w:eastAsia="Arial" w:hAnsi="Arial"/>
                <w:sz w:val="14"/>
                <w:szCs w:val="14"/>
                <w:b w:val="1"/>
                <w:bCs w:val="1"/>
                <w:color w:val="FFFFFF"/>
              </w:rPr>
              <w:t>S</w:t>
            </w:r>
          </w:p>
        </w:tc>
        <w:tc>
          <w:tcPr>
            <w:tcW w:w="540" w:type="dxa"/>
            <w:vAlign w:val="bottom"/>
            <w:shd w:val="clear" w:color="auto" w:fill="132440"/>
          </w:tcPr>
          <w:p>
            <w:pPr>
              <w:ind w:left="220"/>
              <w:spacing w:after="0"/>
              <w:rPr>
                <w:sz w:val="20"/>
                <w:szCs w:val="20"/>
                <w:color w:val="auto"/>
              </w:rPr>
            </w:pPr>
            <w:r>
              <w:rPr>
                <w:rFonts w:ascii="Arial" w:cs="Arial" w:eastAsia="Arial" w:hAnsi="Arial"/>
                <w:sz w:val="14"/>
                <w:szCs w:val="14"/>
                <w:b w:val="1"/>
                <w:bCs w:val="1"/>
                <w:color w:val="FFFFFF"/>
              </w:rPr>
              <w:t>T</w:t>
            </w:r>
          </w:p>
        </w:tc>
        <w:tc>
          <w:tcPr>
            <w:tcW w:w="0" w:type="dxa"/>
            <w:vAlign w:val="bottom"/>
          </w:tcPr>
          <w:p>
            <w:pPr>
              <w:spacing w:after="0"/>
              <w:rPr>
                <w:sz w:val="1"/>
                <w:szCs w:val="1"/>
                <w:color w:val="auto"/>
              </w:rPr>
            </w:pPr>
          </w:p>
        </w:tc>
      </w:tr>
      <w:tr>
        <w:trPr>
          <w:trHeight w:val="193"/>
        </w:trPr>
        <w:tc>
          <w:tcPr>
            <w:tcW w:w="250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Michael J. Kasbar</w:t>
            </w:r>
          </w:p>
        </w:tc>
        <w:tc>
          <w:tcPr>
            <w:tcW w:w="3400" w:type="dxa"/>
            <w:vAlign w:val="bottom"/>
            <w:shd w:val="clear" w:color="auto" w:fill="EAEEF2"/>
          </w:tcPr>
          <w:p>
            <w:pPr>
              <w:spacing w:after="0"/>
              <w:rPr>
                <w:sz w:val="16"/>
                <w:szCs w:val="16"/>
                <w:color w:val="auto"/>
              </w:rPr>
            </w:pPr>
          </w:p>
        </w:tc>
        <w:tc>
          <w:tcPr>
            <w:tcW w:w="660" w:type="dxa"/>
            <w:vAlign w:val="bottom"/>
            <w:shd w:val="clear" w:color="auto" w:fill="EAEEF2"/>
          </w:tcPr>
          <w:p>
            <w:pPr>
              <w:spacing w:after="0"/>
              <w:rPr>
                <w:sz w:val="16"/>
                <w:szCs w:val="16"/>
                <w:color w:val="auto"/>
              </w:rPr>
            </w:pPr>
          </w:p>
        </w:tc>
        <w:tc>
          <w:tcPr>
            <w:tcW w:w="860" w:type="dxa"/>
            <w:vAlign w:val="bottom"/>
            <w:shd w:val="clear" w:color="auto" w:fill="EAEEF2"/>
          </w:tcPr>
          <w:p>
            <w:pPr>
              <w:spacing w:after="0"/>
              <w:rPr>
                <w:sz w:val="16"/>
                <w:szCs w:val="16"/>
                <w:color w:val="auto"/>
              </w:rPr>
            </w:pPr>
          </w:p>
        </w:tc>
        <w:tc>
          <w:tcPr>
            <w:tcW w:w="1120" w:type="dxa"/>
            <w:vAlign w:val="bottom"/>
            <w:shd w:val="clear" w:color="auto" w:fill="EAEEF2"/>
          </w:tcPr>
          <w:p>
            <w:pPr>
              <w:spacing w:after="0"/>
              <w:rPr>
                <w:sz w:val="16"/>
                <w:szCs w:val="16"/>
                <w:color w:val="auto"/>
              </w:rPr>
            </w:pPr>
          </w:p>
        </w:tc>
        <w:tc>
          <w:tcPr>
            <w:tcW w:w="540" w:type="dxa"/>
            <w:vAlign w:val="bottom"/>
            <w:shd w:val="clear" w:color="auto" w:fill="EAEEF2"/>
          </w:tcPr>
          <w:p>
            <w:pPr>
              <w:spacing w:after="0"/>
              <w:rPr>
                <w:sz w:val="16"/>
                <w:szCs w:val="16"/>
                <w:color w:val="auto"/>
              </w:rPr>
            </w:pPr>
          </w:p>
        </w:tc>
        <w:tc>
          <w:tcPr>
            <w:tcW w:w="540" w:type="dxa"/>
            <w:vAlign w:val="bottom"/>
            <w:shd w:val="clear" w:color="auto" w:fill="EAEEF2"/>
          </w:tcPr>
          <w:p>
            <w:pPr>
              <w:spacing w:after="0"/>
              <w:rPr>
                <w:sz w:val="16"/>
                <w:szCs w:val="16"/>
                <w:color w:val="auto"/>
              </w:rPr>
            </w:pPr>
          </w:p>
        </w:tc>
        <w:tc>
          <w:tcPr>
            <w:tcW w:w="540" w:type="dxa"/>
            <w:vAlign w:val="bottom"/>
            <w:shd w:val="clear" w:color="auto" w:fill="EAEEF2"/>
          </w:tcPr>
          <w:p>
            <w:pPr>
              <w:spacing w:after="0"/>
              <w:rPr>
                <w:sz w:val="16"/>
                <w:szCs w:val="16"/>
                <w:color w:val="auto"/>
              </w:rPr>
            </w:pPr>
          </w:p>
        </w:tc>
        <w:tc>
          <w:tcPr>
            <w:tcW w:w="540" w:type="dxa"/>
            <w:vAlign w:val="bottom"/>
            <w:shd w:val="clear" w:color="auto" w:fill="EAEEF2"/>
          </w:tcPr>
          <w:p>
            <w:pPr>
              <w:spacing w:after="0"/>
              <w:rPr>
                <w:sz w:val="16"/>
                <w:szCs w:val="16"/>
                <w:color w:val="auto"/>
              </w:rPr>
            </w:pPr>
          </w:p>
        </w:tc>
        <w:tc>
          <w:tcPr>
            <w:tcW w:w="540" w:type="dxa"/>
            <w:vAlign w:val="bottom"/>
            <w:shd w:val="clear" w:color="auto" w:fill="EAEEF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00" w:type="dxa"/>
            <w:vAlign w:val="bottom"/>
            <w:gridSpan w:val="2"/>
            <w:shd w:val="clear" w:color="auto" w:fill="EAEEF2"/>
          </w:tcPr>
          <w:p>
            <w:pPr>
              <w:ind w:left="100"/>
              <w:spacing w:after="0"/>
              <w:rPr>
                <w:sz w:val="20"/>
                <w:szCs w:val="20"/>
                <w:color w:val="auto"/>
              </w:rPr>
            </w:pPr>
            <w:r>
              <w:rPr>
                <w:rFonts w:ascii="Arial" w:cs="Arial" w:eastAsia="Arial" w:hAnsi="Arial"/>
                <w:sz w:val="14"/>
                <w:szCs w:val="14"/>
                <w:color w:val="4D4D4F"/>
              </w:rPr>
              <w:t>Chairman, President and Chief Executive Officer</w:t>
            </w:r>
          </w:p>
        </w:tc>
        <w:tc>
          <w:tcPr>
            <w:tcW w:w="660" w:type="dxa"/>
            <w:vAlign w:val="bottom"/>
            <w:shd w:val="clear" w:color="auto" w:fill="EAEEF2"/>
          </w:tcPr>
          <w:p>
            <w:pPr>
              <w:jc w:val="center"/>
              <w:spacing w:after="0"/>
              <w:rPr>
                <w:sz w:val="20"/>
                <w:szCs w:val="20"/>
                <w:color w:val="auto"/>
              </w:rPr>
            </w:pPr>
            <w:r>
              <w:rPr>
                <w:rFonts w:ascii="Arial" w:cs="Arial" w:eastAsia="Arial" w:hAnsi="Arial"/>
                <w:sz w:val="14"/>
                <w:szCs w:val="14"/>
                <w:color w:val="4D4D4F"/>
              </w:rPr>
              <w:t>67</w:t>
            </w:r>
          </w:p>
        </w:tc>
        <w:tc>
          <w:tcPr>
            <w:tcW w:w="860" w:type="dxa"/>
            <w:vAlign w:val="bottom"/>
            <w:shd w:val="clear" w:color="auto" w:fill="EAEEF2"/>
          </w:tcPr>
          <w:p>
            <w:pPr>
              <w:jc w:val="center"/>
              <w:spacing w:after="0"/>
              <w:rPr>
                <w:sz w:val="20"/>
                <w:szCs w:val="20"/>
                <w:color w:val="auto"/>
              </w:rPr>
            </w:pPr>
            <w:r>
              <w:rPr>
                <w:rFonts w:ascii="Arial" w:cs="Arial" w:eastAsia="Arial" w:hAnsi="Arial"/>
                <w:sz w:val="14"/>
                <w:szCs w:val="14"/>
                <w:color w:val="4D4D4F"/>
              </w:rPr>
              <w:t>1995</w:t>
            </w:r>
          </w:p>
        </w:tc>
        <w:tc>
          <w:tcPr>
            <w:tcW w:w="1120" w:type="dxa"/>
            <w:vAlign w:val="bottom"/>
            <w:shd w:val="clear" w:color="auto" w:fill="EAEEF2"/>
          </w:tcPr>
          <w:p>
            <w:pPr>
              <w:spacing w:after="0"/>
              <w:rPr>
                <w:sz w:val="15"/>
                <w:szCs w:val="15"/>
                <w:color w:val="auto"/>
              </w:rPr>
            </w:pPr>
          </w:p>
        </w:tc>
        <w:tc>
          <w:tcPr>
            <w:tcW w:w="540" w:type="dxa"/>
            <w:vAlign w:val="bottom"/>
            <w:shd w:val="clear" w:color="auto" w:fill="EAEEF2"/>
          </w:tcPr>
          <w:p>
            <w:pPr>
              <w:spacing w:after="0"/>
              <w:rPr>
                <w:sz w:val="15"/>
                <w:szCs w:val="15"/>
                <w:color w:val="auto"/>
              </w:rPr>
            </w:pPr>
          </w:p>
        </w:tc>
        <w:tc>
          <w:tcPr>
            <w:tcW w:w="540" w:type="dxa"/>
            <w:vAlign w:val="bottom"/>
            <w:shd w:val="clear" w:color="auto" w:fill="EAEEF2"/>
          </w:tcPr>
          <w:p>
            <w:pPr>
              <w:spacing w:after="0"/>
              <w:rPr>
                <w:sz w:val="15"/>
                <w:szCs w:val="15"/>
                <w:color w:val="auto"/>
              </w:rPr>
            </w:pPr>
          </w:p>
        </w:tc>
        <w:tc>
          <w:tcPr>
            <w:tcW w:w="540" w:type="dxa"/>
            <w:vAlign w:val="bottom"/>
            <w:shd w:val="clear" w:color="auto" w:fill="EAEEF2"/>
          </w:tcPr>
          <w:p>
            <w:pPr>
              <w:spacing w:after="0"/>
              <w:rPr>
                <w:sz w:val="15"/>
                <w:szCs w:val="15"/>
                <w:color w:val="auto"/>
              </w:rPr>
            </w:pPr>
          </w:p>
        </w:tc>
        <w:tc>
          <w:tcPr>
            <w:tcW w:w="540" w:type="dxa"/>
            <w:vAlign w:val="bottom"/>
            <w:shd w:val="clear" w:color="auto" w:fill="EAEEF2"/>
          </w:tcPr>
          <w:p>
            <w:pPr>
              <w:spacing w:after="0"/>
              <w:rPr>
                <w:sz w:val="15"/>
                <w:szCs w:val="15"/>
                <w:color w:val="auto"/>
              </w:rPr>
            </w:pPr>
          </w:p>
        </w:tc>
        <w:tc>
          <w:tcPr>
            <w:tcW w:w="540" w:type="dxa"/>
            <w:vAlign w:val="bottom"/>
            <w:shd w:val="clear" w:color="auto" w:fill="EAEEF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0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World Kinect Corporation</w:t>
            </w:r>
          </w:p>
        </w:tc>
        <w:tc>
          <w:tcPr>
            <w:tcW w:w="3400" w:type="dxa"/>
            <w:vAlign w:val="bottom"/>
            <w:tcBorders>
              <w:bottom w:val="single" w:sz="8" w:color="EAEEF2"/>
            </w:tcBorders>
            <w:shd w:val="clear" w:color="auto" w:fill="EAEEF2"/>
          </w:tcPr>
          <w:p>
            <w:pPr>
              <w:spacing w:after="0"/>
              <w:rPr>
                <w:sz w:val="16"/>
                <w:szCs w:val="16"/>
                <w:color w:val="auto"/>
              </w:rPr>
            </w:pPr>
          </w:p>
        </w:tc>
        <w:tc>
          <w:tcPr>
            <w:tcW w:w="660" w:type="dxa"/>
            <w:vAlign w:val="bottom"/>
            <w:tcBorders>
              <w:bottom w:val="single" w:sz="8" w:color="EAEEF2"/>
            </w:tcBorders>
            <w:shd w:val="clear" w:color="auto" w:fill="EAEEF2"/>
          </w:tcPr>
          <w:p>
            <w:pPr>
              <w:spacing w:after="0"/>
              <w:rPr>
                <w:sz w:val="16"/>
                <w:szCs w:val="16"/>
                <w:color w:val="auto"/>
              </w:rPr>
            </w:pPr>
          </w:p>
        </w:tc>
        <w:tc>
          <w:tcPr>
            <w:tcW w:w="860" w:type="dxa"/>
            <w:vAlign w:val="bottom"/>
            <w:tcBorders>
              <w:bottom w:val="single" w:sz="8" w:color="EAEEF2"/>
            </w:tcBorders>
            <w:shd w:val="clear" w:color="auto" w:fill="EAEEF2"/>
          </w:tcPr>
          <w:p>
            <w:pPr>
              <w:spacing w:after="0"/>
              <w:rPr>
                <w:sz w:val="16"/>
                <w:szCs w:val="16"/>
                <w:color w:val="auto"/>
              </w:rPr>
            </w:pPr>
          </w:p>
        </w:tc>
        <w:tc>
          <w:tcPr>
            <w:tcW w:w="112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100"/>
              <w:spacing w:after="0"/>
              <w:rPr>
                <w:sz w:val="20"/>
                <w:szCs w:val="20"/>
                <w:color w:val="auto"/>
              </w:rPr>
            </w:pPr>
            <w:r>
              <w:rPr>
                <w:rFonts w:ascii="Arial" w:cs="Arial" w:eastAsia="Arial" w:hAnsi="Arial"/>
                <w:sz w:val="14"/>
                <w:szCs w:val="14"/>
                <w:b w:val="1"/>
                <w:bCs w:val="1"/>
                <w:color w:val="4D4D4F"/>
              </w:rPr>
              <w:t>Ken Bakshi</w:t>
            </w:r>
          </w:p>
        </w:tc>
        <w:tc>
          <w:tcPr>
            <w:tcW w:w="3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54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54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0" w:type="dxa"/>
            <w:vAlign w:val="bottom"/>
          </w:tcPr>
          <w:p>
            <w:pPr>
              <w:spacing w:after="0"/>
              <w:rPr>
                <w:sz w:val="1"/>
                <w:szCs w:val="1"/>
                <w:color w:val="auto"/>
              </w:rPr>
            </w:pPr>
          </w:p>
        </w:tc>
      </w:tr>
      <w:tr>
        <w:trPr>
          <w:trHeight w:val="78"/>
        </w:trPr>
        <w:tc>
          <w:tcPr>
            <w:tcW w:w="2500" w:type="dxa"/>
            <w:vAlign w:val="bottom"/>
            <w:vMerge w:val="restart"/>
          </w:tcPr>
          <w:p>
            <w:pPr>
              <w:ind w:left="100"/>
              <w:spacing w:after="0"/>
              <w:rPr>
                <w:sz w:val="20"/>
                <w:szCs w:val="20"/>
                <w:color w:val="auto"/>
              </w:rPr>
            </w:pPr>
            <w:r>
              <w:rPr>
                <w:rFonts w:ascii="Arial" w:cs="Arial" w:eastAsia="Arial" w:hAnsi="Arial"/>
                <w:sz w:val="14"/>
                <w:szCs w:val="14"/>
                <w:color w:val="4D4D4F"/>
              </w:rPr>
              <w:t>Managing Partner</w:t>
            </w:r>
          </w:p>
        </w:tc>
        <w:tc>
          <w:tcPr>
            <w:tcW w:w="34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4D4D4F"/>
              </w:rPr>
              <w:t>74</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4D4D4F"/>
              </w:rPr>
              <w:t>2002</w:t>
            </w: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500" w:type="dxa"/>
            <w:vAlign w:val="bottom"/>
            <w:vMerge w:val="continue"/>
          </w:tcPr>
          <w:p>
            <w:pPr>
              <w:spacing w:after="0"/>
              <w:rPr>
                <w:sz w:val="8"/>
                <w:szCs w:val="8"/>
                <w:color w:val="auto"/>
              </w:rPr>
            </w:pPr>
          </w:p>
        </w:tc>
        <w:tc>
          <w:tcPr>
            <w:tcW w:w="34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5900" w:type="dxa"/>
            <w:vAlign w:val="bottom"/>
            <w:gridSpan w:val="2"/>
          </w:tcPr>
          <w:p>
            <w:pPr>
              <w:ind w:left="100"/>
              <w:spacing w:after="0"/>
              <w:rPr>
                <w:sz w:val="20"/>
                <w:szCs w:val="20"/>
                <w:color w:val="auto"/>
              </w:rPr>
            </w:pPr>
            <w:r>
              <w:rPr>
                <w:rFonts w:ascii="Arial" w:cs="Arial" w:eastAsia="Arial" w:hAnsi="Arial"/>
                <w:sz w:val="14"/>
                <w:szCs w:val="14"/>
                <w:color w:val="4D4D4F"/>
              </w:rPr>
              <w:t>Trishul Capital Group LLC and Trishul Advisory Group LLC</w:t>
            </w: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50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Jorge L. Benitez</w:t>
            </w:r>
          </w:p>
        </w:tc>
        <w:tc>
          <w:tcPr>
            <w:tcW w:w="3400" w:type="dxa"/>
            <w:vAlign w:val="bottom"/>
            <w:shd w:val="clear" w:color="auto" w:fill="EAEEF2"/>
          </w:tcPr>
          <w:p>
            <w:pPr>
              <w:spacing w:after="0"/>
              <w:rPr>
                <w:sz w:val="16"/>
                <w:szCs w:val="16"/>
                <w:color w:val="auto"/>
              </w:rPr>
            </w:pPr>
          </w:p>
        </w:tc>
        <w:tc>
          <w:tcPr>
            <w:tcW w:w="660" w:type="dxa"/>
            <w:vAlign w:val="bottom"/>
            <w:shd w:val="clear" w:color="auto" w:fill="EAEEF2"/>
          </w:tcPr>
          <w:p>
            <w:pPr>
              <w:spacing w:after="0"/>
              <w:rPr>
                <w:sz w:val="16"/>
                <w:szCs w:val="16"/>
                <w:color w:val="auto"/>
              </w:rPr>
            </w:pPr>
          </w:p>
        </w:tc>
        <w:tc>
          <w:tcPr>
            <w:tcW w:w="860" w:type="dxa"/>
            <w:vAlign w:val="bottom"/>
            <w:shd w:val="clear" w:color="auto" w:fill="EAEEF2"/>
          </w:tcPr>
          <w:p>
            <w:pPr>
              <w:spacing w:after="0"/>
              <w:rPr>
                <w:sz w:val="16"/>
                <w:szCs w:val="16"/>
                <w:color w:val="auto"/>
              </w:rPr>
            </w:pPr>
          </w:p>
        </w:tc>
        <w:tc>
          <w:tcPr>
            <w:tcW w:w="1120" w:type="dxa"/>
            <w:vAlign w:val="bottom"/>
            <w:shd w:val="clear" w:color="auto" w:fill="EAEEF2"/>
          </w:tcPr>
          <w:p>
            <w:pPr>
              <w:spacing w:after="0"/>
              <w:rPr>
                <w:sz w:val="16"/>
                <w:szCs w:val="16"/>
                <w:color w:val="auto"/>
              </w:rPr>
            </w:pPr>
          </w:p>
        </w:tc>
        <w:tc>
          <w:tcPr>
            <w:tcW w:w="540" w:type="dxa"/>
            <w:vAlign w:val="bottom"/>
            <w:vMerge w:val="restart"/>
            <w:shd w:val="clear" w:color="auto" w:fill="EAEEF2"/>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540" w:type="dxa"/>
            <w:vAlign w:val="bottom"/>
            <w:shd w:val="clear" w:color="auto" w:fill="EAEEF2"/>
          </w:tcPr>
          <w:p>
            <w:pPr>
              <w:spacing w:after="0"/>
              <w:rPr>
                <w:sz w:val="16"/>
                <w:szCs w:val="16"/>
                <w:color w:val="auto"/>
              </w:rPr>
            </w:pPr>
          </w:p>
        </w:tc>
        <w:tc>
          <w:tcPr>
            <w:tcW w:w="540" w:type="dxa"/>
            <w:vAlign w:val="bottom"/>
            <w:vMerge w:val="restart"/>
            <w:shd w:val="clear" w:color="auto" w:fill="EAEEF2"/>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540" w:type="dxa"/>
            <w:vAlign w:val="bottom"/>
            <w:shd w:val="clear" w:color="auto" w:fill="EAEEF2"/>
          </w:tcPr>
          <w:p>
            <w:pPr>
              <w:spacing w:after="0"/>
              <w:rPr>
                <w:sz w:val="16"/>
                <w:szCs w:val="16"/>
                <w:color w:val="auto"/>
              </w:rPr>
            </w:pPr>
          </w:p>
        </w:tc>
        <w:tc>
          <w:tcPr>
            <w:tcW w:w="540" w:type="dxa"/>
            <w:vAlign w:val="bottom"/>
            <w:shd w:val="clear" w:color="auto" w:fill="EAEEF2"/>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5900" w:type="dxa"/>
            <w:vAlign w:val="bottom"/>
            <w:gridSpan w:val="2"/>
            <w:vMerge w:val="restart"/>
            <w:shd w:val="clear" w:color="auto" w:fill="EAEEF2"/>
          </w:tcPr>
          <w:p>
            <w:pPr>
              <w:ind w:left="100"/>
              <w:spacing w:after="0"/>
              <w:rPr>
                <w:sz w:val="20"/>
                <w:szCs w:val="20"/>
                <w:color w:val="auto"/>
              </w:rPr>
            </w:pPr>
            <w:r>
              <w:rPr>
                <w:rFonts w:ascii="Arial" w:cs="Arial" w:eastAsia="Arial" w:hAnsi="Arial"/>
                <w:sz w:val="14"/>
                <w:szCs w:val="14"/>
                <w:color w:val="4D4D4F"/>
              </w:rPr>
              <w:t>Retired Chief Executive Officer, North America</w:t>
            </w:r>
          </w:p>
        </w:tc>
        <w:tc>
          <w:tcPr>
            <w:tcW w:w="660" w:type="dxa"/>
            <w:vAlign w:val="bottom"/>
            <w:vMerge w:val="restart"/>
            <w:shd w:val="clear" w:color="auto" w:fill="EAEEF2"/>
          </w:tcPr>
          <w:p>
            <w:pPr>
              <w:jc w:val="center"/>
              <w:spacing w:after="0"/>
              <w:rPr>
                <w:sz w:val="20"/>
                <w:szCs w:val="20"/>
                <w:color w:val="auto"/>
              </w:rPr>
            </w:pPr>
            <w:r>
              <w:rPr>
                <w:rFonts w:ascii="Arial" w:cs="Arial" w:eastAsia="Arial" w:hAnsi="Arial"/>
                <w:sz w:val="14"/>
                <w:szCs w:val="14"/>
                <w:color w:val="4D4D4F"/>
              </w:rPr>
              <w:t>64</w:t>
            </w:r>
          </w:p>
        </w:tc>
        <w:tc>
          <w:tcPr>
            <w:tcW w:w="860" w:type="dxa"/>
            <w:vAlign w:val="bottom"/>
            <w:vMerge w:val="restart"/>
            <w:shd w:val="clear" w:color="auto" w:fill="EAEEF2"/>
          </w:tcPr>
          <w:p>
            <w:pPr>
              <w:jc w:val="center"/>
              <w:spacing w:after="0"/>
              <w:rPr>
                <w:sz w:val="20"/>
                <w:szCs w:val="20"/>
                <w:color w:val="auto"/>
              </w:rPr>
            </w:pPr>
            <w:r>
              <w:rPr>
                <w:rFonts w:ascii="Arial" w:cs="Arial" w:eastAsia="Arial" w:hAnsi="Arial"/>
                <w:sz w:val="14"/>
                <w:szCs w:val="14"/>
                <w:color w:val="4D4D4F"/>
              </w:rPr>
              <w:t>2015</w:t>
            </w:r>
          </w:p>
        </w:tc>
        <w:tc>
          <w:tcPr>
            <w:tcW w:w="1120" w:type="dxa"/>
            <w:vAlign w:val="bottom"/>
            <w:shd w:val="clear" w:color="auto" w:fill="EAEEF2"/>
          </w:tcPr>
          <w:p>
            <w:pPr>
              <w:spacing w:after="0"/>
              <w:rPr>
                <w:sz w:val="6"/>
                <w:szCs w:val="6"/>
                <w:color w:val="auto"/>
              </w:rPr>
            </w:pPr>
          </w:p>
        </w:tc>
        <w:tc>
          <w:tcPr>
            <w:tcW w:w="540" w:type="dxa"/>
            <w:vAlign w:val="bottom"/>
            <w:vMerge w:val="continue"/>
            <w:shd w:val="clear" w:color="auto" w:fill="EAEEF2"/>
          </w:tcPr>
          <w:p>
            <w:pPr>
              <w:spacing w:after="0"/>
              <w:rPr>
                <w:sz w:val="6"/>
                <w:szCs w:val="6"/>
                <w:color w:val="auto"/>
              </w:rPr>
            </w:pPr>
          </w:p>
        </w:tc>
        <w:tc>
          <w:tcPr>
            <w:tcW w:w="540" w:type="dxa"/>
            <w:vAlign w:val="bottom"/>
            <w:shd w:val="clear" w:color="auto" w:fill="EAEEF2"/>
          </w:tcPr>
          <w:p>
            <w:pPr>
              <w:spacing w:after="0"/>
              <w:rPr>
                <w:sz w:val="6"/>
                <w:szCs w:val="6"/>
                <w:color w:val="auto"/>
              </w:rPr>
            </w:pPr>
          </w:p>
        </w:tc>
        <w:tc>
          <w:tcPr>
            <w:tcW w:w="540" w:type="dxa"/>
            <w:vAlign w:val="bottom"/>
            <w:vMerge w:val="continue"/>
            <w:shd w:val="clear" w:color="auto" w:fill="EAEEF2"/>
          </w:tcPr>
          <w:p>
            <w:pPr>
              <w:spacing w:after="0"/>
              <w:rPr>
                <w:sz w:val="6"/>
                <w:szCs w:val="6"/>
                <w:color w:val="auto"/>
              </w:rPr>
            </w:pPr>
          </w:p>
        </w:tc>
        <w:tc>
          <w:tcPr>
            <w:tcW w:w="540" w:type="dxa"/>
            <w:vAlign w:val="bottom"/>
            <w:shd w:val="clear" w:color="auto" w:fill="EAEEF2"/>
          </w:tcPr>
          <w:p>
            <w:pPr>
              <w:spacing w:after="0"/>
              <w:rPr>
                <w:sz w:val="6"/>
                <w:szCs w:val="6"/>
                <w:color w:val="auto"/>
              </w:rPr>
            </w:pPr>
          </w:p>
        </w:tc>
        <w:tc>
          <w:tcPr>
            <w:tcW w:w="540" w:type="dxa"/>
            <w:vAlign w:val="bottom"/>
            <w:shd w:val="clear" w:color="auto" w:fill="EAEEF2"/>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5900" w:type="dxa"/>
            <w:vAlign w:val="bottom"/>
            <w:gridSpan w:val="2"/>
            <w:vMerge w:val="continue"/>
            <w:shd w:val="clear" w:color="auto" w:fill="EAEEF2"/>
          </w:tcPr>
          <w:p>
            <w:pPr>
              <w:spacing w:after="0"/>
              <w:rPr>
                <w:sz w:val="8"/>
                <w:szCs w:val="8"/>
                <w:color w:val="auto"/>
              </w:rPr>
            </w:pPr>
          </w:p>
        </w:tc>
        <w:tc>
          <w:tcPr>
            <w:tcW w:w="660" w:type="dxa"/>
            <w:vAlign w:val="bottom"/>
            <w:vMerge w:val="continue"/>
            <w:shd w:val="clear" w:color="auto" w:fill="EAEEF2"/>
          </w:tcPr>
          <w:p>
            <w:pPr>
              <w:spacing w:after="0"/>
              <w:rPr>
                <w:sz w:val="8"/>
                <w:szCs w:val="8"/>
                <w:color w:val="auto"/>
              </w:rPr>
            </w:pPr>
          </w:p>
        </w:tc>
        <w:tc>
          <w:tcPr>
            <w:tcW w:w="860" w:type="dxa"/>
            <w:vAlign w:val="bottom"/>
            <w:vMerge w:val="continue"/>
            <w:shd w:val="clear" w:color="auto" w:fill="EAEEF2"/>
          </w:tcPr>
          <w:p>
            <w:pPr>
              <w:spacing w:after="0"/>
              <w:rPr>
                <w:sz w:val="8"/>
                <w:szCs w:val="8"/>
                <w:color w:val="auto"/>
              </w:rPr>
            </w:pPr>
          </w:p>
        </w:tc>
        <w:tc>
          <w:tcPr>
            <w:tcW w:w="112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50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Accenture plc</w:t>
            </w:r>
          </w:p>
        </w:tc>
        <w:tc>
          <w:tcPr>
            <w:tcW w:w="3400" w:type="dxa"/>
            <w:vAlign w:val="bottom"/>
            <w:tcBorders>
              <w:bottom w:val="single" w:sz="8" w:color="EAEEF2"/>
            </w:tcBorders>
            <w:shd w:val="clear" w:color="auto" w:fill="EAEEF2"/>
          </w:tcPr>
          <w:p>
            <w:pPr>
              <w:spacing w:after="0"/>
              <w:rPr>
                <w:sz w:val="16"/>
                <w:szCs w:val="16"/>
                <w:color w:val="auto"/>
              </w:rPr>
            </w:pPr>
          </w:p>
        </w:tc>
        <w:tc>
          <w:tcPr>
            <w:tcW w:w="660" w:type="dxa"/>
            <w:vAlign w:val="bottom"/>
            <w:tcBorders>
              <w:bottom w:val="single" w:sz="8" w:color="EAEEF2"/>
            </w:tcBorders>
            <w:shd w:val="clear" w:color="auto" w:fill="EAEEF2"/>
          </w:tcPr>
          <w:p>
            <w:pPr>
              <w:spacing w:after="0"/>
              <w:rPr>
                <w:sz w:val="16"/>
                <w:szCs w:val="16"/>
                <w:color w:val="auto"/>
              </w:rPr>
            </w:pPr>
          </w:p>
        </w:tc>
        <w:tc>
          <w:tcPr>
            <w:tcW w:w="860" w:type="dxa"/>
            <w:vAlign w:val="bottom"/>
            <w:tcBorders>
              <w:bottom w:val="single" w:sz="8" w:color="EAEEF2"/>
            </w:tcBorders>
            <w:shd w:val="clear" w:color="auto" w:fill="EAEEF2"/>
          </w:tcPr>
          <w:p>
            <w:pPr>
              <w:spacing w:after="0"/>
              <w:rPr>
                <w:sz w:val="16"/>
                <w:szCs w:val="16"/>
                <w:color w:val="auto"/>
              </w:rPr>
            </w:pPr>
          </w:p>
        </w:tc>
        <w:tc>
          <w:tcPr>
            <w:tcW w:w="112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100"/>
              <w:spacing w:after="0"/>
              <w:rPr>
                <w:sz w:val="20"/>
                <w:szCs w:val="20"/>
                <w:color w:val="auto"/>
              </w:rPr>
            </w:pPr>
            <w:r>
              <w:rPr>
                <w:rFonts w:ascii="Arial" w:cs="Arial" w:eastAsia="Arial" w:hAnsi="Arial"/>
                <w:sz w:val="14"/>
                <w:szCs w:val="14"/>
                <w:b w:val="1"/>
                <w:bCs w:val="1"/>
                <w:color w:val="4D4D4F"/>
              </w:rPr>
              <w:t>Sharda Cherwoo</w:t>
            </w:r>
          </w:p>
        </w:tc>
        <w:tc>
          <w:tcPr>
            <w:tcW w:w="3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540" w:type="dxa"/>
            <w:vAlign w:val="bottom"/>
          </w:tcPr>
          <w:p>
            <w:pPr>
              <w:spacing w:after="0"/>
              <w:rPr>
                <w:sz w:val="16"/>
                <w:szCs w:val="16"/>
                <w:color w:val="auto"/>
              </w:rPr>
            </w:pPr>
          </w:p>
        </w:tc>
        <w:tc>
          <w:tcPr>
            <w:tcW w:w="54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54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54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0" w:type="dxa"/>
            <w:vAlign w:val="bottom"/>
          </w:tcPr>
          <w:p>
            <w:pPr>
              <w:spacing w:after="0"/>
              <w:rPr>
                <w:sz w:val="1"/>
                <w:szCs w:val="1"/>
                <w:color w:val="auto"/>
              </w:rPr>
            </w:pPr>
          </w:p>
        </w:tc>
      </w:tr>
      <w:tr>
        <w:trPr>
          <w:trHeight w:val="78"/>
        </w:trPr>
        <w:tc>
          <w:tcPr>
            <w:tcW w:w="2500" w:type="dxa"/>
            <w:vAlign w:val="bottom"/>
            <w:vMerge w:val="restart"/>
          </w:tcPr>
          <w:p>
            <w:pPr>
              <w:ind w:left="100"/>
              <w:spacing w:after="0"/>
              <w:rPr>
                <w:sz w:val="20"/>
                <w:szCs w:val="20"/>
                <w:color w:val="auto"/>
              </w:rPr>
            </w:pPr>
            <w:r>
              <w:rPr>
                <w:rFonts w:ascii="Arial" w:cs="Arial" w:eastAsia="Arial" w:hAnsi="Arial"/>
                <w:sz w:val="14"/>
                <w:szCs w:val="14"/>
                <w:color w:val="4D4D4F"/>
              </w:rPr>
              <w:t>Retired Senior Partner</w:t>
            </w:r>
          </w:p>
        </w:tc>
        <w:tc>
          <w:tcPr>
            <w:tcW w:w="34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4D4D4F"/>
              </w:rPr>
              <w:t>65</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4D4D4F"/>
              </w:rPr>
              <w:t>2020</w:t>
            </w:r>
          </w:p>
        </w:tc>
        <w:tc>
          <w:tcPr>
            <w:tcW w:w="1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500" w:type="dxa"/>
            <w:vAlign w:val="bottom"/>
            <w:vMerge w:val="continue"/>
          </w:tcPr>
          <w:p>
            <w:pPr>
              <w:spacing w:after="0"/>
              <w:rPr>
                <w:sz w:val="8"/>
                <w:szCs w:val="8"/>
                <w:color w:val="auto"/>
              </w:rPr>
            </w:pPr>
          </w:p>
        </w:tc>
        <w:tc>
          <w:tcPr>
            <w:tcW w:w="34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500" w:type="dxa"/>
            <w:vAlign w:val="bottom"/>
          </w:tcPr>
          <w:p>
            <w:pPr>
              <w:ind w:left="100"/>
              <w:spacing w:after="0"/>
              <w:rPr>
                <w:sz w:val="20"/>
                <w:szCs w:val="20"/>
                <w:color w:val="auto"/>
              </w:rPr>
            </w:pPr>
            <w:r>
              <w:rPr>
                <w:rFonts w:ascii="Arial" w:cs="Arial" w:eastAsia="Arial" w:hAnsi="Arial"/>
                <w:sz w:val="14"/>
                <w:szCs w:val="14"/>
                <w:color w:val="4D4D4F"/>
              </w:rPr>
              <w:t>Ernst &amp; Young LLP</w:t>
            </w:r>
          </w:p>
        </w:tc>
        <w:tc>
          <w:tcPr>
            <w:tcW w:w="3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50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Richard A. Kassar</w:t>
            </w:r>
          </w:p>
        </w:tc>
        <w:tc>
          <w:tcPr>
            <w:tcW w:w="3400" w:type="dxa"/>
            <w:vAlign w:val="bottom"/>
            <w:shd w:val="clear" w:color="auto" w:fill="EAEEF2"/>
          </w:tcPr>
          <w:p>
            <w:pPr>
              <w:spacing w:after="0"/>
              <w:rPr>
                <w:sz w:val="16"/>
                <w:szCs w:val="16"/>
                <w:color w:val="auto"/>
              </w:rPr>
            </w:pPr>
          </w:p>
        </w:tc>
        <w:tc>
          <w:tcPr>
            <w:tcW w:w="660" w:type="dxa"/>
            <w:vAlign w:val="bottom"/>
            <w:shd w:val="clear" w:color="auto" w:fill="EAEEF2"/>
          </w:tcPr>
          <w:p>
            <w:pPr>
              <w:spacing w:after="0"/>
              <w:rPr>
                <w:sz w:val="16"/>
                <w:szCs w:val="16"/>
                <w:color w:val="auto"/>
              </w:rPr>
            </w:pPr>
          </w:p>
        </w:tc>
        <w:tc>
          <w:tcPr>
            <w:tcW w:w="860" w:type="dxa"/>
            <w:vAlign w:val="bottom"/>
            <w:shd w:val="clear" w:color="auto" w:fill="EAEEF2"/>
          </w:tcPr>
          <w:p>
            <w:pPr>
              <w:spacing w:after="0"/>
              <w:rPr>
                <w:sz w:val="16"/>
                <w:szCs w:val="16"/>
                <w:color w:val="auto"/>
              </w:rPr>
            </w:pPr>
          </w:p>
        </w:tc>
        <w:tc>
          <w:tcPr>
            <w:tcW w:w="1120" w:type="dxa"/>
            <w:vAlign w:val="bottom"/>
            <w:shd w:val="clear" w:color="auto" w:fill="EAEEF2"/>
          </w:tcPr>
          <w:p>
            <w:pPr>
              <w:spacing w:after="0"/>
              <w:rPr>
                <w:sz w:val="16"/>
                <w:szCs w:val="16"/>
                <w:color w:val="auto"/>
              </w:rPr>
            </w:pPr>
          </w:p>
        </w:tc>
        <w:tc>
          <w:tcPr>
            <w:tcW w:w="540" w:type="dxa"/>
            <w:vAlign w:val="bottom"/>
            <w:vMerge w:val="restart"/>
            <w:shd w:val="clear" w:color="auto" w:fill="EAEEF2"/>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540" w:type="dxa"/>
            <w:vAlign w:val="bottom"/>
            <w:vMerge w:val="restart"/>
            <w:shd w:val="clear" w:color="auto" w:fill="EAEEF2"/>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540" w:type="dxa"/>
            <w:vAlign w:val="bottom"/>
            <w:vMerge w:val="restart"/>
            <w:shd w:val="clear" w:color="auto" w:fill="EAEEF2"/>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540" w:type="dxa"/>
            <w:vAlign w:val="bottom"/>
            <w:shd w:val="clear" w:color="auto" w:fill="EAEEF2"/>
          </w:tcPr>
          <w:p>
            <w:pPr>
              <w:spacing w:after="0"/>
              <w:rPr>
                <w:sz w:val="16"/>
                <w:szCs w:val="16"/>
                <w:color w:val="auto"/>
              </w:rPr>
            </w:pPr>
          </w:p>
        </w:tc>
        <w:tc>
          <w:tcPr>
            <w:tcW w:w="540" w:type="dxa"/>
            <w:vAlign w:val="bottom"/>
            <w:vMerge w:val="restart"/>
            <w:shd w:val="clear" w:color="auto" w:fill="EAEEF2"/>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0" w:type="dxa"/>
            <w:vAlign w:val="bottom"/>
          </w:tcPr>
          <w:p>
            <w:pPr>
              <w:spacing w:after="0"/>
              <w:rPr>
                <w:sz w:val="1"/>
                <w:szCs w:val="1"/>
                <w:color w:val="auto"/>
              </w:rPr>
            </w:pPr>
          </w:p>
        </w:tc>
      </w:tr>
      <w:tr>
        <w:trPr>
          <w:trHeight w:val="78"/>
        </w:trPr>
        <w:tc>
          <w:tcPr>
            <w:tcW w:w="250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Retired Vice Chairman</w:t>
            </w:r>
          </w:p>
        </w:tc>
        <w:tc>
          <w:tcPr>
            <w:tcW w:w="3400" w:type="dxa"/>
            <w:vAlign w:val="bottom"/>
            <w:shd w:val="clear" w:color="auto" w:fill="EAEEF2"/>
          </w:tcPr>
          <w:p>
            <w:pPr>
              <w:spacing w:after="0"/>
              <w:rPr>
                <w:sz w:val="6"/>
                <w:szCs w:val="6"/>
                <w:color w:val="auto"/>
              </w:rPr>
            </w:pPr>
          </w:p>
        </w:tc>
        <w:tc>
          <w:tcPr>
            <w:tcW w:w="660" w:type="dxa"/>
            <w:vAlign w:val="bottom"/>
            <w:vMerge w:val="restart"/>
            <w:shd w:val="clear" w:color="auto" w:fill="EAEEF2"/>
          </w:tcPr>
          <w:p>
            <w:pPr>
              <w:jc w:val="center"/>
              <w:spacing w:after="0"/>
              <w:rPr>
                <w:sz w:val="20"/>
                <w:szCs w:val="20"/>
                <w:color w:val="auto"/>
              </w:rPr>
            </w:pPr>
            <w:r>
              <w:rPr>
                <w:rFonts w:ascii="Arial" w:cs="Arial" w:eastAsia="Arial" w:hAnsi="Arial"/>
                <w:sz w:val="14"/>
                <w:szCs w:val="14"/>
                <w:color w:val="4D4D4F"/>
              </w:rPr>
              <w:t>77</w:t>
            </w:r>
          </w:p>
        </w:tc>
        <w:tc>
          <w:tcPr>
            <w:tcW w:w="860" w:type="dxa"/>
            <w:vAlign w:val="bottom"/>
            <w:vMerge w:val="restart"/>
            <w:shd w:val="clear" w:color="auto" w:fill="EAEEF2"/>
          </w:tcPr>
          <w:p>
            <w:pPr>
              <w:jc w:val="center"/>
              <w:spacing w:after="0"/>
              <w:rPr>
                <w:sz w:val="20"/>
                <w:szCs w:val="20"/>
                <w:color w:val="auto"/>
              </w:rPr>
            </w:pPr>
            <w:r>
              <w:rPr>
                <w:rFonts w:ascii="Arial" w:cs="Arial" w:eastAsia="Arial" w:hAnsi="Arial"/>
                <w:sz w:val="14"/>
                <w:szCs w:val="14"/>
                <w:color w:val="4D4D4F"/>
              </w:rPr>
              <w:t>2002</w:t>
            </w:r>
          </w:p>
        </w:tc>
        <w:tc>
          <w:tcPr>
            <w:tcW w:w="1120" w:type="dxa"/>
            <w:vAlign w:val="bottom"/>
            <w:shd w:val="clear" w:color="auto" w:fill="EAEEF2"/>
          </w:tcPr>
          <w:p>
            <w:pPr>
              <w:spacing w:after="0"/>
              <w:rPr>
                <w:sz w:val="6"/>
                <w:szCs w:val="6"/>
                <w:color w:val="auto"/>
              </w:rPr>
            </w:pPr>
          </w:p>
        </w:tc>
        <w:tc>
          <w:tcPr>
            <w:tcW w:w="540" w:type="dxa"/>
            <w:vAlign w:val="bottom"/>
            <w:vMerge w:val="continue"/>
            <w:shd w:val="clear" w:color="auto" w:fill="EAEEF2"/>
          </w:tcPr>
          <w:p>
            <w:pPr>
              <w:spacing w:after="0"/>
              <w:rPr>
                <w:sz w:val="6"/>
                <w:szCs w:val="6"/>
                <w:color w:val="auto"/>
              </w:rPr>
            </w:pPr>
          </w:p>
        </w:tc>
        <w:tc>
          <w:tcPr>
            <w:tcW w:w="540" w:type="dxa"/>
            <w:vAlign w:val="bottom"/>
            <w:vMerge w:val="continue"/>
            <w:shd w:val="clear" w:color="auto" w:fill="EAEEF2"/>
          </w:tcPr>
          <w:p>
            <w:pPr>
              <w:spacing w:after="0"/>
              <w:rPr>
                <w:sz w:val="6"/>
                <w:szCs w:val="6"/>
                <w:color w:val="auto"/>
              </w:rPr>
            </w:pPr>
          </w:p>
        </w:tc>
        <w:tc>
          <w:tcPr>
            <w:tcW w:w="540" w:type="dxa"/>
            <w:vAlign w:val="bottom"/>
            <w:vMerge w:val="continue"/>
            <w:shd w:val="clear" w:color="auto" w:fill="EAEEF2"/>
          </w:tcPr>
          <w:p>
            <w:pPr>
              <w:spacing w:after="0"/>
              <w:rPr>
                <w:sz w:val="6"/>
                <w:szCs w:val="6"/>
                <w:color w:val="auto"/>
              </w:rPr>
            </w:pPr>
          </w:p>
        </w:tc>
        <w:tc>
          <w:tcPr>
            <w:tcW w:w="540" w:type="dxa"/>
            <w:vAlign w:val="bottom"/>
            <w:shd w:val="clear" w:color="auto" w:fill="EAEEF2"/>
          </w:tcPr>
          <w:p>
            <w:pPr>
              <w:spacing w:after="0"/>
              <w:rPr>
                <w:sz w:val="6"/>
                <w:szCs w:val="6"/>
                <w:color w:val="auto"/>
              </w:rPr>
            </w:pPr>
          </w:p>
        </w:tc>
        <w:tc>
          <w:tcPr>
            <w:tcW w:w="540" w:type="dxa"/>
            <w:vAlign w:val="bottom"/>
            <w:vMerge w:val="continue"/>
            <w:shd w:val="clear" w:color="auto" w:fill="EAEEF2"/>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500" w:type="dxa"/>
            <w:vAlign w:val="bottom"/>
            <w:vMerge w:val="continue"/>
            <w:shd w:val="clear" w:color="auto" w:fill="EAEEF2"/>
          </w:tcPr>
          <w:p>
            <w:pPr>
              <w:spacing w:after="0"/>
              <w:rPr>
                <w:sz w:val="8"/>
                <w:szCs w:val="8"/>
                <w:color w:val="auto"/>
              </w:rPr>
            </w:pPr>
          </w:p>
        </w:tc>
        <w:tc>
          <w:tcPr>
            <w:tcW w:w="3400" w:type="dxa"/>
            <w:vAlign w:val="bottom"/>
            <w:shd w:val="clear" w:color="auto" w:fill="EAEEF2"/>
          </w:tcPr>
          <w:p>
            <w:pPr>
              <w:spacing w:after="0"/>
              <w:rPr>
                <w:sz w:val="8"/>
                <w:szCs w:val="8"/>
                <w:color w:val="auto"/>
              </w:rPr>
            </w:pPr>
          </w:p>
        </w:tc>
        <w:tc>
          <w:tcPr>
            <w:tcW w:w="660" w:type="dxa"/>
            <w:vAlign w:val="bottom"/>
            <w:vMerge w:val="continue"/>
            <w:shd w:val="clear" w:color="auto" w:fill="EAEEF2"/>
          </w:tcPr>
          <w:p>
            <w:pPr>
              <w:spacing w:after="0"/>
              <w:rPr>
                <w:sz w:val="8"/>
                <w:szCs w:val="8"/>
                <w:color w:val="auto"/>
              </w:rPr>
            </w:pPr>
          </w:p>
        </w:tc>
        <w:tc>
          <w:tcPr>
            <w:tcW w:w="860" w:type="dxa"/>
            <w:vAlign w:val="bottom"/>
            <w:vMerge w:val="continue"/>
            <w:shd w:val="clear" w:color="auto" w:fill="EAEEF2"/>
          </w:tcPr>
          <w:p>
            <w:pPr>
              <w:spacing w:after="0"/>
              <w:rPr>
                <w:sz w:val="8"/>
                <w:szCs w:val="8"/>
                <w:color w:val="auto"/>
              </w:rPr>
            </w:pPr>
          </w:p>
        </w:tc>
        <w:tc>
          <w:tcPr>
            <w:tcW w:w="112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50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Freshpet, Inc.</w:t>
            </w:r>
          </w:p>
        </w:tc>
        <w:tc>
          <w:tcPr>
            <w:tcW w:w="3400" w:type="dxa"/>
            <w:vAlign w:val="bottom"/>
            <w:tcBorders>
              <w:bottom w:val="single" w:sz="8" w:color="EAEEF2"/>
            </w:tcBorders>
            <w:shd w:val="clear" w:color="auto" w:fill="EAEEF2"/>
          </w:tcPr>
          <w:p>
            <w:pPr>
              <w:spacing w:after="0"/>
              <w:rPr>
                <w:sz w:val="16"/>
                <w:szCs w:val="16"/>
                <w:color w:val="auto"/>
              </w:rPr>
            </w:pPr>
          </w:p>
        </w:tc>
        <w:tc>
          <w:tcPr>
            <w:tcW w:w="660" w:type="dxa"/>
            <w:vAlign w:val="bottom"/>
            <w:tcBorders>
              <w:bottom w:val="single" w:sz="8" w:color="EAEEF2"/>
            </w:tcBorders>
            <w:shd w:val="clear" w:color="auto" w:fill="EAEEF2"/>
          </w:tcPr>
          <w:p>
            <w:pPr>
              <w:spacing w:after="0"/>
              <w:rPr>
                <w:sz w:val="16"/>
                <w:szCs w:val="16"/>
                <w:color w:val="auto"/>
              </w:rPr>
            </w:pPr>
          </w:p>
        </w:tc>
        <w:tc>
          <w:tcPr>
            <w:tcW w:w="860" w:type="dxa"/>
            <w:vAlign w:val="bottom"/>
            <w:tcBorders>
              <w:bottom w:val="single" w:sz="8" w:color="EAEEF2"/>
            </w:tcBorders>
            <w:shd w:val="clear" w:color="auto" w:fill="EAEEF2"/>
          </w:tcPr>
          <w:p>
            <w:pPr>
              <w:spacing w:after="0"/>
              <w:rPr>
                <w:sz w:val="16"/>
                <w:szCs w:val="16"/>
                <w:color w:val="auto"/>
              </w:rPr>
            </w:pPr>
          </w:p>
        </w:tc>
        <w:tc>
          <w:tcPr>
            <w:tcW w:w="112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100"/>
              <w:spacing w:after="0"/>
              <w:rPr>
                <w:sz w:val="20"/>
                <w:szCs w:val="20"/>
                <w:color w:val="auto"/>
              </w:rPr>
            </w:pPr>
            <w:r>
              <w:rPr>
                <w:rFonts w:ascii="Arial" w:cs="Arial" w:eastAsia="Arial" w:hAnsi="Arial"/>
                <w:sz w:val="14"/>
                <w:szCs w:val="14"/>
                <w:b w:val="1"/>
                <w:bCs w:val="1"/>
                <w:color w:val="4D4D4F"/>
              </w:rPr>
              <w:t>John L. Manley</w:t>
            </w:r>
          </w:p>
        </w:tc>
        <w:tc>
          <w:tcPr>
            <w:tcW w:w="3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540" w:type="dxa"/>
            <w:vAlign w:val="bottom"/>
          </w:tcPr>
          <w:p>
            <w:pPr>
              <w:spacing w:after="0"/>
              <w:rPr>
                <w:sz w:val="16"/>
                <w:szCs w:val="16"/>
                <w:color w:val="auto"/>
              </w:rPr>
            </w:pPr>
          </w:p>
        </w:tc>
        <w:tc>
          <w:tcPr>
            <w:tcW w:w="54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0" w:type="dxa"/>
            <w:vAlign w:val="bottom"/>
          </w:tcPr>
          <w:p>
            <w:pPr>
              <w:spacing w:after="0"/>
              <w:rPr>
                <w:sz w:val="1"/>
                <w:szCs w:val="1"/>
                <w:color w:val="auto"/>
              </w:rPr>
            </w:pPr>
          </w:p>
        </w:tc>
      </w:tr>
      <w:tr>
        <w:trPr>
          <w:trHeight w:val="78"/>
        </w:trPr>
        <w:tc>
          <w:tcPr>
            <w:tcW w:w="2500" w:type="dxa"/>
            <w:vAlign w:val="bottom"/>
            <w:vMerge w:val="restart"/>
          </w:tcPr>
          <w:p>
            <w:pPr>
              <w:ind w:left="100"/>
              <w:spacing w:after="0"/>
              <w:rPr>
                <w:sz w:val="20"/>
                <w:szCs w:val="20"/>
                <w:color w:val="auto"/>
              </w:rPr>
            </w:pPr>
            <w:r>
              <w:rPr>
                <w:rFonts w:ascii="Arial" w:cs="Arial" w:eastAsia="Arial" w:hAnsi="Arial"/>
                <w:sz w:val="14"/>
                <w:szCs w:val="14"/>
                <w:color w:val="4D4D4F"/>
              </w:rPr>
              <w:t>Retired Partner</w:t>
            </w:r>
          </w:p>
        </w:tc>
        <w:tc>
          <w:tcPr>
            <w:tcW w:w="34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4D4D4F"/>
              </w:rPr>
              <w:t>75</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4D4D4F"/>
              </w:rPr>
              <w:t>2010</w:t>
            </w: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500" w:type="dxa"/>
            <w:vAlign w:val="bottom"/>
            <w:vMerge w:val="continue"/>
          </w:tcPr>
          <w:p>
            <w:pPr>
              <w:spacing w:after="0"/>
              <w:rPr>
                <w:sz w:val="8"/>
                <w:szCs w:val="8"/>
                <w:color w:val="auto"/>
              </w:rPr>
            </w:pPr>
          </w:p>
        </w:tc>
        <w:tc>
          <w:tcPr>
            <w:tcW w:w="34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500" w:type="dxa"/>
            <w:vAlign w:val="bottom"/>
          </w:tcPr>
          <w:p>
            <w:pPr>
              <w:ind w:left="100"/>
              <w:spacing w:after="0"/>
              <w:rPr>
                <w:sz w:val="20"/>
                <w:szCs w:val="20"/>
                <w:color w:val="auto"/>
              </w:rPr>
            </w:pPr>
            <w:r>
              <w:rPr>
                <w:rFonts w:ascii="Arial" w:cs="Arial" w:eastAsia="Arial" w:hAnsi="Arial"/>
                <w:sz w:val="14"/>
                <w:szCs w:val="14"/>
                <w:color w:val="4D4D4F"/>
              </w:rPr>
              <w:t>Deloitte &amp; Touche LLP</w:t>
            </w:r>
          </w:p>
        </w:tc>
        <w:tc>
          <w:tcPr>
            <w:tcW w:w="3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50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Stephen K. Roddenberry</w:t>
            </w:r>
          </w:p>
        </w:tc>
        <w:tc>
          <w:tcPr>
            <w:tcW w:w="3400" w:type="dxa"/>
            <w:vAlign w:val="bottom"/>
            <w:shd w:val="clear" w:color="auto" w:fill="EAEEF2"/>
          </w:tcPr>
          <w:p>
            <w:pPr>
              <w:spacing w:after="0"/>
              <w:rPr>
                <w:sz w:val="16"/>
                <w:szCs w:val="16"/>
                <w:color w:val="auto"/>
              </w:rPr>
            </w:pPr>
          </w:p>
        </w:tc>
        <w:tc>
          <w:tcPr>
            <w:tcW w:w="660" w:type="dxa"/>
            <w:vAlign w:val="bottom"/>
            <w:shd w:val="clear" w:color="auto" w:fill="EAEEF2"/>
          </w:tcPr>
          <w:p>
            <w:pPr>
              <w:spacing w:after="0"/>
              <w:rPr>
                <w:sz w:val="16"/>
                <w:szCs w:val="16"/>
                <w:color w:val="auto"/>
              </w:rPr>
            </w:pPr>
          </w:p>
        </w:tc>
        <w:tc>
          <w:tcPr>
            <w:tcW w:w="860" w:type="dxa"/>
            <w:vAlign w:val="bottom"/>
            <w:shd w:val="clear" w:color="auto" w:fill="EAEEF2"/>
          </w:tcPr>
          <w:p>
            <w:pPr>
              <w:spacing w:after="0"/>
              <w:rPr>
                <w:sz w:val="16"/>
                <w:szCs w:val="16"/>
                <w:color w:val="auto"/>
              </w:rPr>
            </w:pPr>
          </w:p>
        </w:tc>
        <w:tc>
          <w:tcPr>
            <w:tcW w:w="1120" w:type="dxa"/>
            <w:vAlign w:val="bottom"/>
            <w:shd w:val="clear" w:color="auto" w:fill="EAEEF2"/>
          </w:tcPr>
          <w:p>
            <w:pPr>
              <w:spacing w:after="0"/>
              <w:rPr>
                <w:sz w:val="16"/>
                <w:szCs w:val="16"/>
                <w:color w:val="auto"/>
              </w:rPr>
            </w:pPr>
          </w:p>
        </w:tc>
        <w:tc>
          <w:tcPr>
            <w:tcW w:w="540" w:type="dxa"/>
            <w:vAlign w:val="bottom"/>
            <w:shd w:val="clear" w:color="auto" w:fill="EAEEF2"/>
          </w:tcPr>
          <w:p>
            <w:pPr>
              <w:spacing w:after="0"/>
              <w:rPr>
                <w:sz w:val="16"/>
                <w:szCs w:val="16"/>
                <w:color w:val="auto"/>
              </w:rPr>
            </w:pPr>
          </w:p>
        </w:tc>
        <w:tc>
          <w:tcPr>
            <w:tcW w:w="540" w:type="dxa"/>
            <w:vAlign w:val="bottom"/>
            <w:vMerge w:val="restart"/>
            <w:shd w:val="clear" w:color="auto" w:fill="EAEEF2"/>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540" w:type="dxa"/>
            <w:vAlign w:val="bottom"/>
            <w:shd w:val="clear" w:color="auto" w:fill="EAEEF2"/>
          </w:tcPr>
          <w:p>
            <w:pPr>
              <w:spacing w:after="0"/>
              <w:rPr>
                <w:sz w:val="16"/>
                <w:szCs w:val="16"/>
                <w:color w:val="auto"/>
              </w:rPr>
            </w:pPr>
          </w:p>
        </w:tc>
        <w:tc>
          <w:tcPr>
            <w:tcW w:w="540" w:type="dxa"/>
            <w:vAlign w:val="bottom"/>
            <w:shd w:val="clear" w:color="auto" w:fill="EAEEF2"/>
          </w:tcPr>
          <w:p>
            <w:pPr>
              <w:spacing w:after="0"/>
              <w:rPr>
                <w:sz w:val="16"/>
                <w:szCs w:val="16"/>
                <w:color w:val="auto"/>
              </w:rPr>
            </w:pPr>
          </w:p>
        </w:tc>
        <w:tc>
          <w:tcPr>
            <w:tcW w:w="540" w:type="dxa"/>
            <w:vAlign w:val="bottom"/>
            <w:shd w:val="clear" w:color="auto" w:fill="EAEEF2"/>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50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Partner</w:t>
            </w:r>
          </w:p>
        </w:tc>
        <w:tc>
          <w:tcPr>
            <w:tcW w:w="3400" w:type="dxa"/>
            <w:vAlign w:val="bottom"/>
            <w:shd w:val="clear" w:color="auto" w:fill="EAEEF2"/>
          </w:tcPr>
          <w:p>
            <w:pPr>
              <w:spacing w:after="0"/>
              <w:rPr>
                <w:sz w:val="6"/>
                <w:szCs w:val="6"/>
                <w:color w:val="auto"/>
              </w:rPr>
            </w:pPr>
          </w:p>
        </w:tc>
        <w:tc>
          <w:tcPr>
            <w:tcW w:w="660" w:type="dxa"/>
            <w:vAlign w:val="bottom"/>
            <w:vMerge w:val="restart"/>
            <w:shd w:val="clear" w:color="auto" w:fill="EAEEF2"/>
          </w:tcPr>
          <w:p>
            <w:pPr>
              <w:jc w:val="center"/>
              <w:spacing w:after="0"/>
              <w:rPr>
                <w:sz w:val="20"/>
                <w:szCs w:val="20"/>
                <w:color w:val="auto"/>
              </w:rPr>
            </w:pPr>
            <w:r>
              <w:rPr>
                <w:rFonts w:ascii="Arial" w:cs="Arial" w:eastAsia="Arial" w:hAnsi="Arial"/>
                <w:sz w:val="14"/>
                <w:szCs w:val="14"/>
                <w:color w:val="4D4D4F"/>
              </w:rPr>
              <w:t>75</w:t>
            </w:r>
          </w:p>
        </w:tc>
        <w:tc>
          <w:tcPr>
            <w:tcW w:w="860" w:type="dxa"/>
            <w:vAlign w:val="bottom"/>
            <w:vMerge w:val="restart"/>
            <w:shd w:val="clear" w:color="auto" w:fill="EAEEF2"/>
          </w:tcPr>
          <w:p>
            <w:pPr>
              <w:jc w:val="center"/>
              <w:spacing w:after="0"/>
              <w:rPr>
                <w:sz w:val="20"/>
                <w:szCs w:val="20"/>
                <w:color w:val="auto"/>
              </w:rPr>
            </w:pPr>
            <w:r>
              <w:rPr>
                <w:rFonts w:ascii="Arial" w:cs="Arial" w:eastAsia="Arial" w:hAnsi="Arial"/>
                <w:sz w:val="14"/>
                <w:szCs w:val="14"/>
                <w:color w:val="4D4D4F"/>
              </w:rPr>
              <w:t>2006</w:t>
            </w:r>
          </w:p>
        </w:tc>
        <w:tc>
          <w:tcPr>
            <w:tcW w:w="1120" w:type="dxa"/>
            <w:vAlign w:val="bottom"/>
            <w:shd w:val="clear" w:color="auto" w:fill="EAEEF2"/>
          </w:tcPr>
          <w:p>
            <w:pPr>
              <w:spacing w:after="0"/>
              <w:rPr>
                <w:sz w:val="6"/>
                <w:szCs w:val="6"/>
                <w:color w:val="auto"/>
              </w:rPr>
            </w:pPr>
          </w:p>
        </w:tc>
        <w:tc>
          <w:tcPr>
            <w:tcW w:w="540" w:type="dxa"/>
            <w:vAlign w:val="bottom"/>
            <w:shd w:val="clear" w:color="auto" w:fill="EAEEF2"/>
          </w:tcPr>
          <w:p>
            <w:pPr>
              <w:spacing w:after="0"/>
              <w:rPr>
                <w:sz w:val="6"/>
                <w:szCs w:val="6"/>
                <w:color w:val="auto"/>
              </w:rPr>
            </w:pPr>
          </w:p>
        </w:tc>
        <w:tc>
          <w:tcPr>
            <w:tcW w:w="540" w:type="dxa"/>
            <w:vAlign w:val="bottom"/>
            <w:vMerge w:val="continue"/>
            <w:shd w:val="clear" w:color="auto" w:fill="EAEEF2"/>
          </w:tcPr>
          <w:p>
            <w:pPr>
              <w:spacing w:after="0"/>
              <w:rPr>
                <w:sz w:val="6"/>
                <w:szCs w:val="6"/>
                <w:color w:val="auto"/>
              </w:rPr>
            </w:pPr>
          </w:p>
        </w:tc>
        <w:tc>
          <w:tcPr>
            <w:tcW w:w="540" w:type="dxa"/>
            <w:vAlign w:val="bottom"/>
            <w:shd w:val="clear" w:color="auto" w:fill="EAEEF2"/>
          </w:tcPr>
          <w:p>
            <w:pPr>
              <w:spacing w:after="0"/>
              <w:rPr>
                <w:sz w:val="6"/>
                <w:szCs w:val="6"/>
                <w:color w:val="auto"/>
              </w:rPr>
            </w:pPr>
          </w:p>
        </w:tc>
        <w:tc>
          <w:tcPr>
            <w:tcW w:w="540" w:type="dxa"/>
            <w:vAlign w:val="bottom"/>
            <w:shd w:val="clear" w:color="auto" w:fill="EAEEF2"/>
          </w:tcPr>
          <w:p>
            <w:pPr>
              <w:spacing w:after="0"/>
              <w:rPr>
                <w:sz w:val="6"/>
                <w:szCs w:val="6"/>
                <w:color w:val="auto"/>
              </w:rPr>
            </w:pPr>
          </w:p>
        </w:tc>
        <w:tc>
          <w:tcPr>
            <w:tcW w:w="540" w:type="dxa"/>
            <w:vAlign w:val="bottom"/>
            <w:shd w:val="clear" w:color="auto" w:fill="EAEEF2"/>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500" w:type="dxa"/>
            <w:vAlign w:val="bottom"/>
            <w:vMerge w:val="continue"/>
            <w:shd w:val="clear" w:color="auto" w:fill="EAEEF2"/>
          </w:tcPr>
          <w:p>
            <w:pPr>
              <w:spacing w:after="0"/>
              <w:rPr>
                <w:sz w:val="8"/>
                <w:szCs w:val="8"/>
                <w:color w:val="auto"/>
              </w:rPr>
            </w:pPr>
          </w:p>
        </w:tc>
        <w:tc>
          <w:tcPr>
            <w:tcW w:w="3400" w:type="dxa"/>
            <w:vAlign w:val="bottom"/>
            <w:shd w:val="clear" w:color="auto" w:fill="EAEEF2"/>
          </w:tcPr>
          <w:p>
            <w:pPr>
              <w:spacing w:after="0"/>
              <w:rPr>
                <w:sz w:val="8"/>
                <w:szCs w:val="8"/>
                <w:color w:val="auto"/>
              </w:rPr>
            </w:pPr>
          </w:p>
        </w:tc>
        <w:tc>
          <w:tcPr>
            <w:tcW w:w="660" w:type="dxa"/>
            <w:vAlign w:val="bottom"/>
            <w:vMerge w:val="continue"/>
            <w:shd w:val="clear" w:color="auto" w:fill="EAEEF2"/>
          </w:tcPr>
          <w:p>
            <w:pPr>
              <w:spacing w:after="0"/>
              <w:rPr>
                <w:sz w:val="8"/>
                <w:szCs w:val="8"/>
                <w:color w:val="auto"/>
              </w:rPr>
            </w:pPr>
          </w:p>
        </w:tc>
        <w:tc>
          <w:tcPr>
            <w:tcW w:w="860" w:type="dxa"/>
            <w:vAlign w:val="bottom"/>
            <w:vMerge w:val="continue"/>
            <w:shd w:val="clear" w:color="auto" w:fill="EAEEF2"/>
          </w:tcPr>
          <w:p>
            <w:pPr>
              <w:spacing w:after="0"/>
              <w:rPr>
                <w:sz w:val="8"/>
                <w:szCs w:val="8"/>
                <w:color w:val="auto"/>
              </w:rPr>
            </w:pPr>
          </w:p>
        </w:tc>
        <w:tc>
          <w:tcPr>
            <w:tcW w:w="112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50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Akerman LLP</w:t>
            </w:r>
          </w:p>
        </w:tc>
        <w:tc>
          <w:tcPr>
            <w:tcW w:w="3400" w:type="dxa"/>
            <w:vAlign w:val="bottom"/>
            <w:tcBorders>
              <w:bottom w:val="single" w:sz="8" w:color="EAEEF2"/>
            </w:tcBorders>
            <w:shd w:val="clear" w:color="auto" w:fill="EAEEF2"/>
          </w:tcPr>
          <w:p>
            <w:pPr>
              <w:spacing w:after="0"/>
              <w:rPr>
                <w:sz w:val="16"/>
                <w:szCs w:val="16"/>
                <w:color w:val="auto"/>
              </w:rPr>
            </w:pPr>
          </w:p>
        </w:tc>
        <w:tc>
          <w:tcPr>
            <w:tcW w:w="660" w:type="dxa"/>
            <w:vAlign w:val="bottom"/>
            <w:tcBorders>
              <w:bottom w:val="single" w:sz="8" w:color="EAEEF2"/>
            </w:tcBorders>
            <w:shd w:val="clear" w:color="auto" w:fill="EAEEF2"/>
          </w:tcPr>
          <w:p>
            <w:pPr>
              <w:spacing w:after="0"/>
              <w:rPr>
                <w:sz w:val="16"/>
                <w:szCs w:val="16"/>
                <w:color w:val="auto"/>
              </w:rPr>
            </w:pPr>
          </w:p>
        </w:tc>
        <w:tc>
          <w:tcPr>
            <w:tcW w:w="860" w:type="dxa"/>
            <w:vAlign w:val="bottom"/>
            <w:tcBorders>
              <w:bottom w:val="single" w:sz="8" w:color="EAEEF2"/>
            </w:tcBorders>
            <w:shd w:val="clear" w:color="auto" w:fill="EAEEF2"/>
          </w:tcPr>
          <w:p>
            <w:pPr>
              <w:spacing w:after="0"/>
              <w:rPr>
                <w:sz w:val="16"/>
                <w:szCs w:val="16"/>
                <w:color w:val="auto"/>
              </w:rPr>
            </w:pPr>
          </w:p>
        </w:tc>
        <w:tc>
          <w:tcPr>
            <w:tcW w:w="112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540" w:type="dxa"/>
            <w:vAlign w:val="bottom"/>
            <w:tcBorders>
              <w:bottom w:val="single" w:sz="8" w:color="EAEEF2"/>
            </w:tcBorders>
            <w:shd w:val="clear" w:color="auto" w:fill="EAEEF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100"/>
              <w:spacing w:after="0"/>
              <w:rPr>
                <w:sz w:val="20"/>
                <w:szCs w:val="20"/>
                <w:color w:val="auto"/>
              </w:rPr>
            </w:pPr>
            <w:r>
              <w:rPr>
                <w:rFonts w:ascii="Arial" w:cs="Arial" w:eastAsia="Arial" w:hAnsi="Arial"/>
                <w:sz w:val="14"/>
                <w:szCs w:val="14"/>
                <w:b w:val="1"/>
                <w:bCs w:val="1"/>
                <w:color w:val="4D4D4F"/>
              </w:rPr>
              <w:t>Jill B. Smart</w:t>
            </w:r>
          </w:p>
        </w:tc>
        <w:tc>
          <w:tcPr>
            <w:tcW w:w="3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54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500" w:type="dxa"/>
            <w:vAlign w:val="bottom"/>
            <w:vMerge w:val="restart"/>
          </w:tcPr>
          <w:p>
            <w:pPr>
              <w:ind w:left="100"/>
              <w:spacing w:after="0"/>
              <w:rPr>
                <w:sz w:val="20"/>
                <w:szCs w:val="20"/>
                <w:color w:val="auto"/>
              </w:rPr>
            </w:pPr>
            <w:r>
              <w:rPr>
                <w:rFonts w:ascii="Arial" w:cs="Arial" w:eastAsia="Arial" w:hAnsi="Arial"/>
                <w:sz w:val="14"/>
                <w:szCs w:val="14"/>
                <w:color w:val="4D4D4F"/>
              </w:rPr>
              <w:t>President Emeritus, National</w:t>
            </w:r>
          </w:p>
        </w:tc>
        <w:tc>
          <w:tcPr>
            <w:tcW w:w="34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4D4D4F"/>
              </w:rPr>
              <w:t>64</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4D4D4F"/>
              </w:rPr>
              <w:t>2021</w:t>
            </w: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500" w:type="dxa"/>
            <w:vAlign w:val="bottom"/>
            <w:vMerge w:val="continue"/>
          </w:tcPr>
          <w:p>
            <w:pPr>
              <w:spacing w:after="0"/>
              <w:rPr>
                <w:sz w:val="8"/>
                <w:szCs w:val="8"/>
                <w:color w:val="auto"/>
              </w:rPr>
            </w:pPr>
          </w:p>
        </w:tc>
        <w:tc>
          <w:tcPr>
            <w:tcW w:w="34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500" w:type="dxa"/>
            <w:vAlign w:val="bottom"/>
          </w:tcPr>
          <w:p>
            <w:pPr>
              <w:ind w:left="100"/>
              <w:spacing w:after="0"/>
              <w:rPr>
                <w:sz w:val="20"/>
                <w:szCs w:val="20"/>
                <w:color w:val="auto"/>
              </w:rPr>
            </w:pPr>
            <w:r>
              <w:rPr>
                <w:rFonts w:ascii="Arial" w:cs="Arial" w:eastAsia="Arial" w:hAnsi="Arial"/>
                <w:sz w:val="14"/>
                <w:szCs w:val="14"/>
                <w:color w:val="4D4D4F"/>
              </w:rPr>
              <w:t>Academy of Human Resources</w:t>
            </w:r>
          </w:p>
        </w:tc>
        <w:tc>
          <w:tcPr>
            <w:tcW w:w="3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50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Paul H. Stebbins</w:t>
            </w:r>
          </w:p>
        </w:tc>
        <w:tc>
          <w:tcPr>
            <w:tcW w:w="3400" w:type="dxa"/>
            <w:vAlign w:val="bottom"/>
            <w:shd w:val="clear" w:color="auto" w:fill="EAEEF2"/>
          </w:tcPr>
          <w:p>
            <w:pPr>
              <w:spacing w:after="0"/>
              <w:rPr>
                <w:sz w:val="16"/>
                <w:szCs w:val="16"/>
                <w:color w:val="auto"/>
              </w:rPr>
            </w:pPr>
          </w:p>
        </w:tc>
        <w:tc>
          <w:tcPr>
            <w:tcW w:w="660" w:type="dxa"/>
            <w:vAlign w:val="bottom"/>
            <w:shd w:val="clear" w:color="auto" w:fill="EAEEF2"/>
          </w:tcPr>
          <w:p>
            <w:pPr>
              <w:spacing w:after="0"/>
              <w:rPr>
                <w:sz w:val="16"/>
                <w:szCs w:val="16"/>
                <w:color w:val="auto"/>
              </w:rPr>
            </w:pPr>
          </w:p>
        </w:tc>
        <w:tc>
          <w:tcPr>
            <w:tcW w:w="860" w:type="dxa"/>
            <w:vAlign w:val="bottom"/>
            <w:shd w:val="clear" w:color="auto" w:fill="EAEEF2"/>
          </w:tcPr>
          <w:p>
            <w:pPr>
              <w:spacing w:after="0"/>
              <w:rPr>
                <w:sz w:val="16"/>
                <w:szCs w:val="16"/>
                <w:color w:val="auto"/>
              </w:rPr>
            </w:pPr>
          </w:p>
        </w:tc>
        <w:tc>
          <w:tcPr>
            <w:tcW w:w="1120" w:type="dxa"/>
            <w:vAlign w:val="bottom"/>
            <w:shd w:val="clear" w:color="auto" w:fill="EAEEF2"/>
          </w:tcPr>
          <w:p>
            <w:pPr>
              <w:spacing w:after="0"/>
              <w:rPr>
                <w:sz w:val="16"/>
                <w:szCs w:val="16"/>
                <w:color w:val="auto"/>
              </w:rPr>
            </w:pPr>
          </w:p>
        </w:tc>
        <w:tc>
          <w:tcPr>
            <w:tcW w:w="540" w:type="dxa"/>
            <w:vAlign w:val="bottom"/>
            <w:shd w:val="clear" w:color="auto" w:fill="EAEEF2"/>
          </w:tcPr>
          <w:p>
            <w:pPr>
              <w:spacing w:after="0"/>
              <w:rPr>
                <w:sz w:val="16"/>
                <w:szCs w:val="16"/>
                <w:color w:val="auto"/>
              </w:rPr>
            </w:pPr>
          </w:p>
        </w:tc>
        <w:tc>
          <w:tcPr>
            <w:tcW w:w="540" w:type="dxa"/>
            <w:vAlign w:val="bottom"/>
            <w:shd w:val="clear" w:color="auto" w:fill="EAEEF2"/>
          </w:tcPr>
          <w:p>
            <w:pPr>
              <w:spacing w:after="0"/>
              <w:rPr>
                <w:sz w:val="16"/>
                <w:szCs w:val="16"/>
                <w:color w:val="auto"/>
              </w:rPr>
            </w:pPr>
          </w:p>
        </w:tc>
        <w:tc>
          <w:tcPr>
            <w:tcW w:w="540" w:type="dxa"/>
            <w:vAlign w:val="bottom"/>
            <w:shd w:val="clear" w:color="auto" w:fill="EAEEF2"/>
          </w:tcPr>
          <w:p>
            <w:pPr>
              <w:spacing w:after="0"/>
              <w:rPr>
                <w:sz w:val="16"/>
                <w:szCs w:val="16"/>
                <w:color w:val="auto"/>
              </w:rPr>
            </w:pPr>
          </w:p>
        </w:tc>
        <w:tc>
          <w:tcPr>
            <w:tcW w:w="540" w:type="dxa"/>
            <w:vAlign w:val="bottom"/>
            <w:vMerge w:val="restart"/>
            <w:shd w:val="clear" w:color="auto" w:fill="EAEEF2"/>
          </w:tcPr>
          <w:p>
            <w:pPr>
              <w:ind w:left="220"/>
              <w:spacing w:after="0"/>
              <w:rPr>
                <w:sz w:val="20"/>
                <w:szCs w:val="20"/>
                <w:color w:val="auto"/>
              </w:rPr>
            </w:pPr>
            <w:r>
              <w:rPr>
                <w:rFonts w:ascii="Wingdings" w:cs="Wingdings" w:eastAsia="Wingdings" w:hAnsi="Wingdings"/>
                <w:sz w:val="14"/>
                <w:szCs w:val="14"/>
                <w:b w:val="1"/>
                <w:bCs w:val="1"/>
                <w:color w:val="298655"/>
              </w:rPr>
              <w:t>l</w:t>
            </w:r>
          </w:p>
        </w:tc>
        <w:tc>
          <w:tcPr>
            <w:tcW w:w="540" w:type="dxa"/>
            <w:vAlign w:val="bottom"/>
            <w:shd w:val="clear" w:color="auto" w:fill="EAEEF2"/>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50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Chairman Emeritus</w:t>
            </w:r>
          </w:p>
        </w:tc>
        <w:tc>
          <w:tcPr>
            <w:tcW w:w="3400" w:type="dxa"/>
            <w:vAlign w:val="bottom"/>
            <w:shd w:val="clear" w:color="auto" w:fill="EAEEF2"/>
          </w:tcPr>
          <w:p>
            <w:pPr>
              <w:spacing w:after="0"/>
              <w:rPr>
                <w:sz w:val="6"/>
                <w:szCs w:val="6"/>
                <w:color w:val="auto"/>
              </w:rPr>
            </w:pPr>
          </w:p>
        </w:tc>
        <w:tc>
          <w:tcPr>
            <w:tcW w:w="660" w:type="dxa"/>
            <w:vAlign w:val="bottom"/>
            <w:vMerge w:val="restart"/>
            <w:shd w:val="clear" w:color="auto" w:fill="EAEEF2"/>
          </w:tcPr>
          <w:p>
            <w:pPr>
              <w:jc w:val="center"/>
              <w:spacing w:after="0"/>
              <w:rPr>
                <w:sz w:val="20"/>
                <w:szCs w:val="20"/>
                <w:color w:val="auto"/>
              </w:rPr>
            </w:pPr>
            <w:r>
              <w:rPr>
                <w:rFonts w:ascii="Arial" w:cs="Arial" w:eastAsia="Arial" w:hAnsi="Arial"/>
                <w:sz w:val="14"/>
                <w:szCs w:val="14"/>
                <w:color w:val="4D4D4F"/>
              </w:rPr>
              <w:t>67</w:t>
            </w:r>
          </w:p>
        </w:tc>
        <w:tc>
          <w:tcPr>
            <w:tcW w:w="860" w:type="dxa"/>
            <w:vAlign w:val="bottom"/>
            <w:vMerge w:val="restart"/>
            <w:shd w:val="clear" w:color="auto" w:fill="EAEEF2"/>
          </w:tcPr>
          <w:p>
            <w:pPr>
              <w:jc w:val="center"/>
              <w:spacing w:after="0"/>
              <w:rPr>
                <w:sz w:val="20"/>
                <w:szCs w:val="20"/>
                <w:color w:val="auto"/>
              </w:rPr>
            </w:pPr>
            <w:r>
              <w:rPr>
                <w:rFonts w:ascii="Arial" w:cs="Arial" w:eastAsia="Arial" w:hAnsi="Arial"/>
                <w:sz w:val="14"/>
                <w:szCs w:val="14"/>
                <w:color w:val="4D4D4F"/>
              </w:rPr>
              <w:t>1995</w:t>
            </w:r>
          </w:p>
        </w:tc>
        <w:tc>
          <w:tcPr>
            <w:tcW w:w="1120" w:type="dxa"/>
            <w:vAlign w:val="bottom"/>
            <w:shd w:val="clear" w:color="auto" w:fill="EAEEF2"/>
          </w:tcPr>
          <w:p>
            <w:pPr>
              <w:spacing w:after="0"/>
              <w:rPr>
                <w:sz w:val="6"/>
                <w:szCs w:val="6"/>
                <w:color w:val="auto"/>
              </w:rPr>
            </w:pPr>
          </w:p>
        </w:tc>
        <w:tc>
          <w:tcPr>
            <w:tcW w:w="540" w:type="dxa"/>
            <w:vAlign w:val="bottom"/>
            <w:shd w:val="clear" w:color="auto" w:fill="EAEEF2"/>
          </w:tcPr>
          <w:p>
            <w:pPr>
              <w:spacing w:after="0"/>
              <w:rPr>
                <w:sz w:val="6"/>
                <w:szCs w:val="6"/>
                <w:color w:val="auto"/>
              </w:rPr>
            </w:pPr>
          </w:p>
        </w:tc>
        <w:tc>
          <w:tcPr>
            <w:tcW w:w="540" w:type="dxa"/>
            <w:vAlign w:val="bottom"/>
            <w:shd w:val="clear" w:color="auto" w:fill="EAEEF2"/>
          </w:tcPr>
          <w:p>
            <w:pPr>
              <w:spacing w:after="0"/>
              <w:rPr>
                <w:sz w:val="6"/>
                <w:szCs w:val="6"/>
                <w:color w:val="auto"/>
              </w:rPr>
            </w:pPr>
          </w:p>
        </w:tc>
        <w:tc>
          <w:tcPr>
            <w:tcW w:w="540" w:type="dxa"/>
            <w:vAlign w:val="bottom"/>
            <w:shd w:val="clear" w:color="auto" w:fill="EAEEF2"/>
          </w:tcPr>
          <w:p>
            <w:pPr>
              <w:spacing w:after="0"/>
              <w:rPr>
                <w:sz w:val="6"/>
                <w:szCs w:val="6"/>
                <w:color w:val="auto"/>
              </w:rPr>
            </w:pPr>
          </w:p>
        </w:tc>
        <w:tc>
          <w:tcPr>
            <w:tcW w:w="540" w:type="dxa"/>
            <w:vAlign w:val="bottom"/>
            <w:vMerge w:val="continue"/>
            <w:shd w:val="clear" w:color="auto" w:fill="EAEEF2"/>
          </w:tcPr>
          <w:p>
            <w:pPr>
              <w:spacing w:after="0"/>
              <w:rPr>
                <w:sz w:val="6"/>
                <w:szCs w:val="6"/>
                <w:color w:val="auto"/>
              </w:rPr>
            </w:pPr>
          </w:p>
        </w:tc>
        <w:tc>
          <w:tcPr>
            <w:tcW w:w="540" w:type="dxa"/>
            <w:vAlign w:val="bottom"/>
            <w:shd w:val="clear" w:color="auto" w:fill="EAEEF2"/>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500" w:type="dxa"/>
            <w:vAlign w:val="bottom"/>
            <w:vMerge w:val="continue"/>
            <w:shd w:val="clear" w:color="auto" w:fill="EAEEF2"/>
          </w:tcPr>
          <w:p>
            <w:pPr>
              <w:spacing w:after="0"/>
              <w:rPr>
                <w:sz w:val="8"/>
                <w:szCs w:val="8"/>
                <w:color w:val="auto"/>
              </w:rPr>
            </w:pPr>
          </w:p>
        </w:tc>
        <w:tc>
          <w:tcPr>
            <w:tcW w:w="3400" w:type="dxa"/>
            <w:vAlign w:val="bottom"/>
            <w:shd w:val="clear" w:color="auto" w:fill="EAEEF2"/>
          </w:tcPr>
          <w:p>
            <w:pPr>
              <w:spacing w:after="0"/>
              <w:rPr>
                <w:sz w:val="8"/>
                <w:szCs w:val="8"/>
                <w:color w:val="auto"/>
              </w:rPr>
            </w:pPr>
          </w:p>
        </w:tc>
        <w:tc>
          <w:tcPr>
            <w:tcW w:w="660" w:type="dxa"/>
            <w:vAlign w:val="bottom"/>
            <w:vMerge w:val="continue"/>
            <w:shd w:val="clear" w:color="auto" w:fill="EAEEF2"/>
          </w:tcPr>
          <w:p>
            <w:pPr>
              <w:spacing w:after="0"/>
              <w:rPr>
                <w:sz w:val="8"/>
                <w:szCs w:val="8"/>
                <w:color w:val="auto"/>
              </w:rPr>
            </w:pPr>
          </w:p>
        </w:tc>
        <w:tc>
          <w:tcPr>
            <w:tcW w:w="860" w:type="dxa"/>
            <w:vAlign w:val="bottom"/>
            <w:vMerge w:val="continue"/>
            <w:shd w:val="clear" w:color="auto" w:fill="EAEEF2"/>
          </w:tcPr>
          <w:p>
            <w:pPr>
              <w:spacing w:after="0"/>
              <w:rPr>
                <w:sz w:val="8"/>
                <w:szCs w:val="8"/>
                <w:color w:val="auto"/>
              </w:rPr>
            </w:pPr>
          </w:p>
        </w:tc>
        <w:tc>
          <w:tcPr>
            <w:tcW w:w="112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540" w:type="dxa"/>
            <w:vAlign w:val="bottom"/>
            <w:shd w:val="clear" w:color="auto" w:fill="EAEEF2"/>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50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World Kinect Corporation</w:t>
            </w:r>
          </w:p>
        </w:tc>
        <w:tc>
          <w:tcPr>
            <w:tcW w:w="3400" w:type="dxa"/>
            <w:vAlign w:val="bottom"/>
            <w:tcBorders>
              <w:bottom w:val="single" w:sz="8" w:color="EAEEF2"/>
            </w:tcBorders>
            <w:shd w:val="clear" w:color="auto" w:fill="EAEEF2"/>
          </w:tcPr>
          <w:p>
            <w:pPr>
              <w:spacing w:after="0"/>
              <w:rPr>
                <w:sz w:val="18"/>
                <w:szCs w:val="18"/>
                <w:color w:val="auto"/>
              </w:rPr>
            </w:pPr>
          </w:p>
        </w:tc>
        <w:tc>
          <w:tcPr>
            <w:tcW w:w="660" w:type="dxa"/>
            <w:vAlign w:val="bottom"/>
            <w:tcBorders>
              <w:bottom w:val="single" w:sz="8" w:color="EAEEF2"/>
            </w:tcBorders>
            <w:shd w:val="clear" w:color="auto" w:fill="EAEEF2"/>
          </w:tcPr>
          <w:p>
            <w:pPr>
              <w:spacing w:after="0"/>
              <w:rPr>
                <w:sz w:val="18"/>
                <w:szCs w:val="18"/>
                <w:color w:val="auto"/>
              </w:rPr>
            </w:pPr>
          </w:p>
        </w:tc>
        <w:tc>
          <w:tcPr>
            <w:tcW w:w="860" w:type="dxa"/>
            <w:vAlign w:val="bottom"/>
            <w:tcBorders>
              <w:bottom w:val="single" w:sz="8" w:color="EAEEF2"/>
            </w:tcBorders>
            <w:shd w:val="clear" w:color="auto" w:fill="EAEEF2"/>
          </w:tcPr>
          <w:p>
            <w:pPr>
              <w:spacing w:after="0"/>
              <w:rPr>
                <w:sz w:val="18"/>
                <w:szCs w:val="18"/>
                <w:color w:val="auto"/>
              </w:rPr>
            </w:pPr>
          </w:p>
        </w:tc>
        <w:tc>
          <w:tcPr>
            <w:tcW w:w="1120" w:type="dxa"/>
            <w:vAlign w:val="bottom"/>
            <w:tcBorders>
              <w:bottom w:val="single" w:sz="8" w:color="EAEEF2"/>
            </w:tcBorders>
            <w:shd w:val="clear" w:color="auto" w:fill="EAEEF2"/>
          </w:tcPr>
          <w:p>
            <w:pPr>
              <w:spacing w:after="0"/>
              <w:rPr>
                <w:sz w:val="18"/>
                <w:szCs w:val="18"/>
                <w:color w:val="auto"/>
              </w:rPr>
            </w:pPr>
          </w:p>
        </w:tc>
        <w:tc>
          <w:tcPr>
            <w:tcW w:w="540" w:type="dxa"/>
            <w:vAlign w:val="bottom"/>
            <w:tcBorders>
              <w:bottom w:val="single" w:sz="8" w:color="EAEEF2"/>
            </w:tcBorders>
            <w:shd w:val="clear" w:color="auto" w:fill="EAEEF2"/>
          </w:tcPr>
          <w:p>
            <w:pPr>
              <w:spacing w:after="0"/>
              <w:rPr>
                <w:sz w:val="18"/>
                <w:szCs w:val="18"/>
                <w:color w:val="auto"/>
              </w:rPr>
            </w:pPr>
          </w:p>
        </w:tc>
        <w:tc>
          <w:tcPr>
            <w:tcW w:w="540" w:type="dxa"/>
            <w:vAlign w:val="bottom"/>
            <w:tcBorders>
              <w:bottom w:val="single" w:sz="8" w:color="EAEEF2"/>
            </w:tcBorders>
            <w:shd w:val="clear" w:color="auto" w:fill="EAEEF2"/>
          </w:tcPr>
          <w:p>
            <w:pPr>
              <w:spacing w:after="0"/>
              <w:rPr>
                <w:sz w:val="18"/>
                <w:szCs w:val="18"/>
                <w:color w:val="auto"/>
              </w:rPr>
            </w:pPr>
          </w:p>
        </w:tc>
        <w:tc>
          <w:tcPr>
            <w:tcW w:w="540" w:type="dxa"/>
            <w:vAlign w:val="bottom"/>
            <w:tcBorders>
              <w:bottom w:val="single" w:sz="8" w:color="EAEEF2"/>
            </w:tcBorders>
            <w:shd w:val="clear" w:color="auto" w:fill="EAEEF2"/>
          </w:tcPr>
          <w:p>
            <w:pPr>
              <w:spacing w:after="0"/>
              <w:rPr>
                <w:sz w:val="18"/>
                <w:szCs w:val="18"/>
                <w:color w:val="auto"/>
              </w:rPr>
            </w:pPr>
          </w:p>
        </w:tc>
        <w:tc>
          <w:tcPr>
            <w:tcW w:w="540" w:type="dxa"/>
            <w:vAlign w:val="bottom"/>
            <w:tcBorders>
              <w:bottom w:val="single" w:sz="8" w:color="EAEEF2"/>
            </w:tcBorders>
            <w:shd w:val="clear" w:color="auto" w:fill="EAEEF2"/>
          </w:tcPr>
          <w:p>
            <w:pPr>
              <w:spacing w:after="0"/>
              <w:rPr>
                <w:sz w:val="18"/>
                <w:szCs w:val="18"/>
                <w:color w:val="auto"/>
              </w:rPr>
            </w:pPr>
          </w:p>
        </w:tc>
        <w:tc>
          <w:tcPr>
            <w:tcW w:w="540" w:type="dxa"/>
            <w:vAlign w:val="bottom"/>
            <w:tcBorders>
              <w:bottom w:val="single" w:sz="8" w:color="EAEEF2"/>
            </w:tcBorders>
            <w:shd w:val="clear" w:color="auto" w:fill="EAEEF2"/>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2500" w:type="dxa"/>
            <w:vAlign w:val="bottom"/>
            <w:tcBorders>
              <w:top w:val="single" w:sz="8" w:color="298655"/>
            </w:tcBorders>
          </w:tcPr>
          <w:p>
            <w:pPr>
              <w:ind w:left="20"/>
              <w:spacing w:after="0"/>
              <w:rPr>
                <w:sz w:val="20"/>
                <w:szCs w:val="20"/>
                <w:color w:val="auto"/>
              </w:rPr>
            </w:pPr>
            <w:r>
              <w:rPr>
                <w:rFonts w:ascii="Arial" w:cs="Arial" w:eastAsia="Arial" w:hAnsi="Arial"/>
                <w:sz w:val="14"/>
                <w:szCs w:val="14"/>
                <w:color w:val="4D4D4F"/>
              </w:rPr>
              <w:t>A – Audit</w:t>
            </w:r>
          </w:p>
        </w:tc>
        <w:tc>
          <w:tcPr>
            <w:tcW w:w="3400" w:type="dxa"/>
            <w:vAlign w:val="bottom"/>
            <w:tcBorders>
              <w:top w:val="single" w:sz="8" w:color="298655"/>
            </w:tcBorders>
          </w:tcPr>
          <w:p>
            <w:pPr>
              <w:ind w:left="280"/>
              <w:spacing w:after="0"/>
              <w:rPr>
                <w:sz w:val="20"/>
                <w:szCs w:val="20"/>
                <w:color w:val="auto"/>
              </w:rPr>
            </w:pPr>
            <w:r>
              <w:rPr>
                <w:rFonts w:ascii="Arial" w:cs="Arial" w:eastAsia="Arial" w:hAnsi="Arial"/>
                <w:sz w:val="14"/>
                <w:szCs w:val="14"/>
                <w:color w:val="4D4D4F"/>
              </w:rPr>
              <w:t>S – Sustainability &amp; Corporate Responsibility</w:t>
            </w:r>
          </w:p>
        </w:tc>
        <w:tc>
          <w:tcPr>
            <w:tcW w:w="660" w:type="dxa"/>
            <w:vAlign w:val="bottom"/>
            <w:tcBorders>
              <w:top w:val="single" w:sz="8" w:color="298655"/>
            </w:tcBorders>
          </w:tcPr>
          <w:p>
            <w:pPr>
              <w:spacing w:after="0"/>
              <w:rPr>
                <w:sz w:val="24"/>
                <w:szCs w:val="24"/>
                <w:color w:val="auto"/>
              </w:rPr>
            </w:pPr>
          </w:p>
        </w:tc>
        <w:tc>
          <w:tcPr>
            <w:tcW w:w="860" w:type="dxa"/>
            <w:vAlign w:val="bottom"/>
            <w:tcBorders>
              <w:top w:val="single" w:sz="8" w:color="298655"/>
            </w:tcBorders>
          </w:tcPr>
          <w:p>
            <w:pPr>
              <w:spacing w:after="0"/>
              <w:rPr>
                <w:sz w:val="24"/>
                <w:szCs w:val="24"/>
                <w:color w:val="auto"/>
              </w:rPr>
            </w:pPr>
          </w:p>
        </w:tc>
        <w:tc>
          <w:tcPr>
            <w:tcW w:w="1120" w:type="dxa"/>
            <w:vAlign w:val="bottom"/>
            <w:tcBorders>
              <w:top w:val="single" w:sz="8" w:color="298655"/>
            </w:tcBorders>
          </w:tcPr>
          <w:p>
            <w:pPr>
              <w:ind w:left="300"/>
              <w:spacing w:after="0"/>
              <w:rPr>
                <w:sz w:val="20"/>
                <w:szCs w:val="20"/>
                <w:color w:val="auto"/>
              </w:rPr>
            </w:pPr>
            <w:r>
              <w:rPr>
                <w:rFonts w:ascii="Arial" w:cs="Arial" w:eastAsia="Arial" w:hAnsi="Arial"/>
                <w:sz w:val="14"/>
                <w:szCs w:val="14"/>
                <w:color w:val="4D4D4F"/>
              </w:rPr>
              <w:t>– Chair</w:t>
            </w:r>
          </w:p>
        </w:tc>
        <w:tc>
          <w:tcPr>
            <w:tcW w:w="540" w:type="dxa"/>
            <w:vAlign w:val="bottom"/>
            <w:tcBorders>
              <w:top w:val="single" w:sz="8" w:color="298655"/>
            </w:tcBorders>
          </w:tcPr>
          <w:p>
            <w:pPr>
              <w:spacing w:after="0"/>
              <w:rPr>
                <w:sz w:val="24"/>
                <w:szCs w:val="24"/>
                <w:color w:val="auto"/>
              </w:rPr>
            </w:pPr>
          </w:p>
        </w:tc>
        <w:tc>
          <w:tcPr>
            <w:tcW w:w="540" w:type="dxa"/>
            <w:vAlign w:val="bottom"/>
            <w:tcBorders>
              <w:top w:val="single" w:sz="8" w:color="298655"/>
            </w:tcBorders>
          </w:tcPr>
          <w:p>
            <w:pPr>
              <w:spacing w:after="0"/>
              <w:rPr>
                <w:sz w:val="24"/>
                <w:szCs w:val="24"/>
                <w:color w:val="auto"/>
              </w:rPr>
            </w:pPr>
          </w:p>
        </w:tc>
        <w:tc>
          <w:tcPr>
            <w:tcW w:w="540" w:type="dxa"/>
            <w:vAlign w:val="bottom"/>
            <w:tcBorders>
              <w:top w:val="single" w:sz="8" w:color="298655"/>
            </w:tcBorders>
          </w:tcPr>
          <w:p>
            <w:pPr>
              <w:spacing w:after="0"/>
              <w:rPr>
                <w:sz w:val="24"/>
                <w:szCs w:val="24"/>
                <w:color w:val="auto"/>
              </w:rPr>
            </w:pPr>
          </w:p>
        </w:tc>
        <w:tc>
          <w:tcPr>
            <w:tcW w:w="540" w:type="dxa"/>
            <w:vAlign w:val="bottom"/>
            <w:tcBorders>
              <w:top w:val="single" w:sz="8" w:color="298655"/>
            </w:tcBorders>
          </w:tcPr>
          <w:p>
            <w:pPr>
              <w:spacing w:after="0"/>
              <w:rPr>
                <w:sz w:val="24"/>
                <w:szCs w:val="24"/>
                <w:color w:val="auto"/>
              </w:rPr>
            </w:pPr>
          </w:p>
        </w:tc>
        <w:tc>
          <w:tcPr>
            <w:tcW w:w="540" w:type="dxa"/>
            <w:vAlign w:val="bottom"/>
            <w:tcBorders>
              <w:top w:val="single" w:sz="8" w:color="298655"/>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500" w:type="dxa"/>
            <w:vAlign w:val="bottom"/>
          </w:tcPr>
          <w:p>
            <w:pPr>
              <w:ind w:left="20"/>
              <w:spacing w:after="0"/>
              <w:rPr>
                <w:sz w:val="20"/>
                <w:szCs w:val="20"/>
                <w:color w:val="auto"/>
              </w:rPr>
            </w:pPr>
            <w:r>
              <w:rPr>
                <w:rFonts w:ascii="Arial" w:cs="Arial" w:eastAsia="Arial" w:hAnsi="Arial"/>
                <w:sz w:val="14"/>
                <w:szCs w:val="14"/>
                <w:color w:val="4D4D4F"/>
              </w:rPr>
              <w:t>C – Compensation</w:t>
            </w:r>
          </w:p>
        </w:tc>
        <w:tc>
          <w:tcPr>
            <w:tcW w:w="3400" w:type="dxa"/>
            <w:vAlign w:val="bottom"/>
          </w:tcPr>
          <w:p>
            <w:pPr>
              <w:ind w:left="280"/>
              <w:spacing w:after="0"/>
              <w:rPr>
                <w:sz w:val="20"/>
                <w:szCs w:val="20"/>
                <w:color w:val="auto"/>
              </w:rPr>
            </w:pPr>
            <w:r>
              <w:rPr>
                <w:rFonts w:ascii="Arial" w:cs="Arial" w:eastAsia="Arial" w:hAnsi="Arial"/>
                <w:sz w:val="14"/>
                <w:szCs w:val="14"/>
                <w:color w:val="4D4D4F"/>
              </w:rPr>
              <w:t>T – Technology &amp; Operations</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ind w:left="120"/>
              <w:spacing w:after="0"/>
              <w:rPr>
                <w:sz w:val="20"/>
                <w:szCs w:val="20"/>
                <w:color w:val="auto"/>
              </w:rPr>
            </w:pPr>
            <w:r>
              <w:rPr>
                <w:rFonts w:ascii="Wingdings" w:cs="Wingdings" w:eastAsia="Wingdings" w:hAnsi="Wingdings"/>
                <w:sz w:val="14"/>
                <w:szCs w:val="14"/>
                <w:b w:val="1"/>
                <w:bCs w:val="1"/>
                <w:color w:val="298655"/>
              </w:rPr>
              <w:t xml:space="preserve">l </w:t>
            </w:r>
            <w:r>
              <w:rPr>
                <w:rFonts w:ascii="Arial" w:cs="Arial" w:eastAsia="Arial" w:hAnsi="Arial"/>
                <w:sz w:val="14"/>
                <w:szCs w:val="14"/>
                <w:color w:val="4D4D4F"/>
              </w:rPr>
              <w:t>– Member</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500" w:type="dxa"/>
            <w:vAlign w:val="bottom"/>
          </w:tcPr>
          <w:p>
            <w:pPr>
              <w:ind w:left="20"/>
              <w:spacing w:after="0"/>
              <w:rPr>
                <w:sz w:val="20"/>
                <w:szCs w:val="20"/>
                <w:color w:val="auto"/>
              </w:rPr>
            </w:pPr>
            <w:r>
              <w:rPr>
                <w:rFonts w:ascii="Arial" w:cs="Arial" w:eastAsia="Arial" w:hAnsi="Arial"/>
                <w:sz w:val="14"/>
                <w:szCs w:val="14"/>
                <w:color w:val="4D4D4F"/>
              </w:rPr>
              <w:t>G – Governance</w:t>
            </w:r>
          </w:p>
        </w:tc>
        <w:tc>
          <w:tcPr>
            <w:tcW w:w="3400" w:type="dxa"/>
            <w:vAlign w:val="bottom"/>
          </w:tcPr>
          <w:p>
            <w:pPr>
              <w:ind w:left="320"/>
              <w:spacing w:after="0"/>
              <w:rPr>
                <w:sz w:val="20"/>
                <w:szCs w:val="20"/>
                <w:color w:val="auto"/>
              </w:rPr>
            </w:pPr>
            <w:r>
              <w:rPr>
                <w:rFonts w:ascii="Arial" w:cs="Arial" w:eastAsia="Arial" w:hAnsi="Arial"/>
                <w:sz w:val="14"/>
                <w:szCs w:val="14"/>
                <w:color w:val="4D4D4F"/>
              </w:rPr>
              <w:t>* – Includes women and ethnic minorities</w:t>
            </w: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-3448685</wp:posOffset>
            </wp:positionV>
            <wp:extent cx="120015" cy="85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-3448685</wp:posOffset>
            </wp:positionV>
            <wp:extent cx="120015" cy="85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-3465830</wp:posOffset>
            </wp:positionV>
            <wp:extent cx="120015" cy="111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-3080385</wp:posOffset>
            </wp:positionV>
            <wp:extent cx="120015" cy="85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-3080385</wp:posOffset>
            </wp:positionV>
            <wp:extent cx="120015" cy="85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-3097530</wp:posOffset>
            </wp:positionV>
            <wp:extent cx="120015" cy="111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-3097530</wp:posOffset>
            </wp:positionV>
            <wp:extent cx="120015" cy="11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-2711450</wp:posOffset>
            </wp:positionV>
            <wp:extent cx="120015" cy="85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-2711450</wp:posOffset>
            </wp:positionV>
            <wp:extent cx="120015" cy="857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-2343150</wp:posOffset>
            </wp:positionV>
            <wp:extent cx="120015" cy="85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-1974215</wp:posOffset>
            </wp:positionV>
            <wp:extent cx="120015" cy="85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-1991360</wp:posOffset>
            </wp:positionV>
            <wp:extent cx="120015" cy="1111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-1605915</wp:posOffset>
            </wp:positionV>
            <wp:extent cx="120015" cy="857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-1623060</wp:posOffset>
            </wp:positionV>
            <wp:extent cx="120015"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-1236980</wp:posOffset>
            </wp:positionV>
            <wp:extent cx="120015" cy="85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-1236980</wp:posOffset>
            </wp:positionV>
            <wp:extent cx="120015" cy="85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-868680</wp:posOffset>
            </wp:positionV>
            <wp:extent cx="120015" cy="85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-491490</wp:posOffset>
            </wp:positionV>
            <wp:extent cx="102870" cy="93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Board Snapshot</w:t>
      </w:r>
    </w:p>
    <w:p>
      <w:pPr>
        <w:spacing w:after="0" w:line="203" w:lineRule="exact"/>
        <w:rPr>
          <w:sz w:val="20"/>
          <w:szCs w:val="20"/>
          <w:color w:val="auto"/>
        </w:rPr>
      </w:pPr>
    </w:p>
    <w:p>
      <w:pPr>
        <w:ind w:left="1080"/>
        <w:spacing w:after="0"/>
        <w:tabs>
          <w:tab w:leader="none" w:pos="3460" w:val="left"/>
          <w:tab w:leader="none" w:pos="5780" w:val="left"/>
          <w:tab w:leader="none" w:pos="8220" w:val="left"/>
        </w:tabs>
        <w:rPr>
          <w:sz w:val="20"/>
          <w:szCs w:val="20"/>
          <w:color w:val="auto"/>
        </w:rPr>
      </w:pPr>
      <w:r>
        <w:rPr>
          <w:rFonts w:ascii="Arial" w:cs="Arial" w:eastAsia="Arial" w:hAnsi="Arial"/>
          <w:sz w:val="14"/>
          <w:szCs w:val="14"/>
          <w:b w:val="1"/>
          <w:bCs w:val="1"/>
          <w:color w:val="132440"/>
        </w:rPr>
        <w:t>INDEPENDENCE OF THE</w:t>
      </w:r>
      <w:r>
        <w:rPr>
          <w:sz w:val="20"/>
          <w:szCs w:val="20"/>
          <w:color w:val="auto"/>
        </w:rPr>
        <w:tab/>
      </w:r>
      <w:r>
        <w:rPr>
          <w:rFonts w:ascii="Arial" w:cs="Arial" w:eastAsia="Arial" w:hAnsi="Arial"/>
          <w:sz w:val="14"/>
          <w:szCs w:val="14"/>
          <w:b w:val="1"/>
          <w:bCs w:val="1"/>
          <w:color w:val="132440"/>
        </w:rPr>
        <w:t>AGE DIVERSITY OF</w:t>
      </w:r>
      <w:r>
        <w:rPr>
          <w:sz w:val="20"/>
          <w:szCs w:val="20"/>
          <w:color w:val="auto"/>
        </w:rPr>
        <w:tab/>
      </w:r>
      <w:r>
        <w:rPr>
          <w:rFonts w:ascii="Arial" w:cs="Arial" w:eastAsia="Arial" w:hAnsi="Arial"/>
          <w:sz w:val="14"/>
          <w:szCs w:val="14"/>
          <w:b w:val="1"/>
          <w:bCs w:val="1"/>
          <w:color w:val="132440"/>
        </w:rPr>
        <w:t>AVERAGE TENURE OF</w:t>
      </w:r>
      <w:r>
        <w:rPr>
          <w:sz w:val="20"/>
          <w:szCs w:val="20"/>
          <w:color w:val="auto"/>
        </w:rPr>
        <w:tab/>
      </w:r>
      <w:r>
        <w:rPr>
          <w:rFonts w:ascii="Arial" w:cs="Arial" w:eastAsia="Arial" w:hAnsi="Arial"/>
          <w:sz w:val="14"/>
          <w:szCs w:val="14"/>
          <w:b w:val="1"/>
          <w:bCs w:val="1"/>
          <w:color w:val="132440"/>
        </w:rPr>
        <w:t>GENDER DIVERSITY OF</w:t>
      </w:r>
    </w:p>
    <w:p>
      <w:pPr>
        <w:spacing w:after="0" w:line="29" w:lineRule="exact"/>
        <w:rPr>
          <w:sz w:val="20"/>
          <w:szCs w:val="20"/>
          <w:color w:val="auto"/>
        </w:rPr>
      </w:pPr>
    </w:p>
    <w:p>
      <w:pPr>
        <w:ind w:left="1680"/>
        <w:spacing w:after="0"/>
        <w:tabs>
          <w:tab w:leader="none" w:pos="3180" w:val="left"/>
          <w:tab w:leader="none" w:pos="5620" w:val="left"/>
          <w:tab w:leader="none" w:pos="8100" w:val="left"/>
        </w:tabs>
        <w:rPr>
          <w:sz w:val="20"/>
          <w:szCs w:val="20"/>
          <w:color w:val="auto"/>
        </w:rPr>
      </w:pPr>
      <w:r>
        <w:rPr>
          <w:rFonts w:ascii="Arial" w:cs="Arial" w:eastAsia="Arial" w:hAnsi="Arial"/>
          <w:sz w:val="14"/>
          <w:szCs w:val="14"/>
          <w:b w:val="1"/>
          <w:bCs w:val="1"/>
          <w:color w:val="132440"/>
        </w:rPr>
        <w:t>BOARD</w:t>
      </w:r>
      <w:r>
        <w:rPr>
          <w:sz w:val="20"/>
          <w:szCs w:val="20"/>
          <w:color w:val="auto"/>
        </w:rPr>
        <w:tab/>
      </w:r>
      <w:r>
        <w:rPr>
          <w:rFonts w:ascii="Arial" w:cs="Arial" w:eastAsia="Arial" w:hAnsi="Arial"/>
          <w:sz w:val="14"/>
          <w:szCs w:val="14"/>
          <w:b w:val="1"/>
          <w:bCs w:val="1"/>
          <w:color w:val="132440"/>
        </w:rPr>
        <w:t>INDEPENDENT DIRECTORS</w:t>
      </w:r>
      <w:r>
        <w:rPr>
          <w:sz w:val="20"/>
          <w:szCs w:val="20"/>
          <w:color w:val="auto"/>
        </w:rPr>
        <w:tab/>
      </w:r>
      <w:r>
        <w:rPr>
          <w:rFonts w:ascii="Arial" w:cs="Arial" w:eastAsia="Arial" w:hAnsi="Arial"/>
          <w:sz w:val="14"/>
          <w:szCs w:val="14"/>
          <w:b w:val="1"/>
          <w:bCs w:val="1"/>
          <w:color w:val="132440"/>
        </w:rPr>
        <w:t>INDEPENDENT DIRECTORS</w:t>
      </w:r>
      <w:r>
        <w:rPr>
          <w:sz w:val="20"/>
          <w:szCs w:val="20"/>
          <w:color w:val="auto"/>
        </w:rPr>
        <w:tab/>
      </w:r>
      <w:r>
        <w:rPr>
          <w:rFonts w:ascii="Arial" w:cs="Arial" w:eastAsia="Arial" w:hAnsi="Arial"/>
          <w:sz w:val="14"/>
          <w:szCs w:val="14"/>
          <w:b w:val="1"/>
          <w:bCs w:val="1"/>
          <w:color w:val="132440"/>
        </w:rPr>
        <w:t>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83185</wp:posOffset>
            </wp:positionV>
            <wp:extent cx="4517390" cy="13970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17390" cy="13970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1849120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340"/>
        <w:spacing w:after="0"/>
        <w:tabs>
          <w:tab w:leader="none" w:pos="11120" w:val="left"/>
        </w:tabs>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r>
        <w:rPr>
          <w:sz w:val="20"/>
          <w:szCs w:val="20"/>
          <w:color w:val="auto"/>
        </w:rPr>
        <w:tab/>
      </w:r>
      <w:r>
        <w:rPr>
          <w:rFonts w:ascii="Arial" w:cs="Arial" w:eastAsia="Arial" w:hAnsi="Arial"/>
          <w:sz w:val="14"/>
          <w:szCs w:val="14"/>
          <w:b w:val="1"/>
          <w:bCs w:val="1"/>
          <w:color w:val="00529B"/>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14"/>
          <w:szCs w:val="14"/>
          <w:b w:val="1"/>
          <w:bCs w:val="1"/>
          <w:color w:val="5B6770"/>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Environmental, Social and Governance</w:t>
      </w:r>
    </w:p>
    <w:p>
      <w:pPr>
        <w:spacing w:after="0" w:line="155" w:lineRule="exact"/>
        <w:rPr>
          <w:sz w:val="20"/>
          <w:szCs w:val="20"/>
          <w:color w:val="auto"/>
        </w:rPr>
      </w:pPr>
    </w:p>
    <w:p>
      <w:pPr>
        <w:spacing w:after="0" w:line="291" w:lineRule="auto"/>
        <w:rPr>
          <w:sz w:val="20"/>
          <w:szCs w:val="20"/>
          <w:color w:val="auto"/>
        </w:rPr>
      </w:pPr>
      <w:r>
        <w:rPr>
          <w:rFonts w:ascii="Arial" w:cs="Arial" w:eastAsia="Arial" w:hAnsi="Arial"/>
          <w:sz w:val="16"/>
          <w:szCs w:val="16"/>
          <w:color w:val="4D4D4F"/>
        </w:rPr>
        <w:t>At World Kinect, we are focused on driving sustainable value for our customers, shareholders and the planet. We are continuously working to identify opportunities to protect the environment, support our people and conduct our business safely and responsibly. While sustainability and climate change are often associated with business risks, we also believe that it presents a wide range of opportunities for us to support our customers and supply partners in navigating the energy transition. We are not only working on reducing the carbon intensity of our own operations, but are also collaborating with customers, suppliers and other industry partners to facilitate the transition to a sustainable future.</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Recent Highlights</w:t>
      </w:r>
    </w:p>
    <w:p>
      <w:pPr>
        <w:spacing w:after="0" w:line="144" w:lineRule="exact"/>
        <w:rPr>
          <w:sz w:val="20"/>
          <w:szCs w:val="20"/>
          <w:color w:val="auto"/>
        </w:rPr>
      </w:pPr>
    </w:p>
    <w:p>
      <w:pPr>
        <w:ind w:left="500" w:right="240" w:hanging="249"/>
        <w:spacing w:after="0" w:line="321" w:lineRule="auto"/>
        <w:tabs>
          <w:tab w:leader="none" w:pos="489" w:val="left"/>
        </w:tabs>
        <w:numPr>
          <w:ilvl w:val="0"/>
          <w:numId w:val="16"/>
        </w:numPr>
        <w:rPr>
          <w:rFonts w:ascii="Arial" w:cs="Arial" w:eastAsia="Arial" w:hAnsi="Arial"/>
          <w:sz w:val="16"/>
          <w:szCs w:val="16"/>
          <w:b w:val="1"/>
          <w:bCs w:val="1"/>
          <w:color w:val="00529B"/>
        </w:rPr>
      </w:pPr>
      <w:r>
        <w:rPr>
          <w:rFonts w:ascii="Arial" w:cs="Arial" w:eastAsia="Arial" w:hAnsi="Arial"/>
          <w:sz w:val="16"/>
          <w:szCs w:val="16"/>
          <w:color w:val="4D4D4F"/>
        </w:rPr>
        <w:t xml:space="preserve">In December 2023, </w:t>
      </w:r>
      <w:r>
        <w:rPr>
          <w:rFonts w:ascii="Arial" w:cs="Arial" w:eastAsia="Arial" w:hAnsi="Arial"/>
          <w:sz w:val="16"/>
          <w:szCs w:val="16"/>
          <w:b w:val="1"/>
          <w:bCs w:val="1"/>
          <w:color w:val="4D4D4F"/>
        </w:rPr>
        <w:t>we published our 2022 Sustainability Report</w:t>
      </w:r>
      <w:r>
        <w:rPr>
          <w:rFonts w:ascii="Arial" w:cs="Arial" w:eastAsia="Arial" w:hAnsi="Arial"/>
          <w:sz w:val="16"/>
          <w:szCs w:val="16"/>
          <w:color w:val="4D4D4F"/>
        </w:rPr>
        <w:t>, outlining our progress and continued efforts in key environmental, social and governance (“ESG”) areas that are important to us, our business, our employees and other stakeholders.</w:t>
      </w:r>
    </w:p>
    <w:p>
      <w:pPr>
        <w:spacing w:after="0" w:line="101" w:lineRule="exact"/>
        <w:rPr>
          <w:rFonts w:ascii="Arial" w:cs="Arial" w:eastAsia="Arial" w:hAnsi="Arial"/>
          <w:sz w:val="16"/>
          <w:szCs w:val="16"/>
          <w:b w:val="1"/>
          <w:bCs w:val="1"/>
          <w:color w:val="00529B"/>
        </w:rPr>
      </w:pPr>
    </w:p>
    <w:p>
      <w:pPr>
        <w:ind w:left="500" w:right="320" w:hanging="249"/>
        <w:spacing w:after="0" w:line="301" w:lineRule="auto"/>
        <w:tabs>
          <w:tab w:leader="none" w:pos="489" w:val="left"/>
        </w:tabs>
        <w:numPr>
          <w:ilvl w:val="0"/>
          <w:numId w:val="16"/>
        </w:numPr>
        <w:rPr>
          <w:rFonts w:ascii="Arial" w:cs="Arial" w:eastAsia="Arial" w:hAnsi="Arial"/>
          <w:sz w:val="16"/>
          <w:szCs w:val="16"/>
          <w:b w:val="1"/>
          <w:bCs w:val="1"/>
          <w:color w:val="00529B"/>
        </w:rPr>
      </w:pPr>
      <w:r>
        <w:rPr>
          <w:rFonts w:ascii="Arial" w:cs="Arial" w:eastAsia="Arial" w:hAnsi="Arial"/>
          <w:sz w:val="16"/>
          <w:szCs w:val="16"/>
          <w:color w:val="4D4D4F"/>
        </w:rPr>
        <w:t xml:space="preserve">In June 2023, </w:t>
      </w:r>
      <w:r>
        <w:rPr>
          <w:rFonts w:ascii="Arial" w:cs="Arial" w:eastAsia="Arial" w:hAnsi="Arial"/>
          <w:sz w:val="16"/>
          <w:szCs w:val="16"/>
          <w:b w:val="1"/>
          <w:bCs w:val="1"/>
          <w:color w:val="4D4D4F"/>
        </w:rPr>
        <w:t>we participated in the first delivery of sustainable aviation fuel to the Luxembourg airport</w:t>
      </w:r>
      <w:r>
        <w:rPr>
          <w:rFonts w:ascii="Arial" w:cs="Arial" w:eastAsia="Arial" w:hAnsi="Arial"/>
          <w:sz w:val="16"/>
          <w:szCs w:val="16"/>
          <w:color w:val="4D4D4F"/>
        </w:rPr>
        <w:t>, allowing Cargolux Airlines International S.A. to become the first to uplift sustainable aviation fuel at this airport, a significant milestone for both the airport’s and the airline’s journey to decarbonization.</w:t>
      </w:r>
    </w:p>
    <w:p>
      <w:pPr>
        <w:spacing w:after="0" w:line="117" w:lineRule="exact"/>
        <w:rPr>
          <w:rFonts w:ascii="Arial" w:cs="Arial" w:eastAsia="Arial" w:hAnsi="Arial"/>
          <w:sz w:val="16"/>
          <w:szCs w:val="16"/>
          <w:b w:val="1"/>
          <w:bCs w:val="1"/>
          <w:color w:val="00529B"/>
        </w:rPr>
      </w:pPr>
    </w:p>
    <w:p>
      <w:pPr>
        <w:ind w:left="500" w:right="60" w:hanging="249"/>
        <w:spacing w:after="0" w:line="301" w:lineRule="auto"/>
        <w:tabs>
          <w:tab w:leader="none" w:pos="489" w:val="left"/>
        </w:tabs>
        <w:numPr>
          <w:ilvl w:val="0"/>
          <w:numId w:val="16"/>
        </w:numPr>
        <w:rPr>
          <w:rFonts w:ascii="Arial" w:cs="Arial" w:eastAsia="Arial" w:hAnsi="Arial"/>
          <w:sz w:val="16"/>
          <w:szCs w:val="16"/>
          <w:b w:val="1"/>
          <w:bCs w:val="1"/>
          <w:color w:val="00529B"/>
        </w:rPr>
      </w:pPr>
      <w:r>
        <w:rPr>
          <w:rFonts w:ascii="Arial" w:cs="Arial" w:eastAsia="Arial" w:hAnsi="Arial"/>
          <w:sz w:val="16"/>
          <w:szCs w:val="16"/>
          <w:color w:val="4D4D4F"/>
        </w:rPr>
        <w:t xml:space="preserve">We entered into </w:t>
      </w:r>
      <w:r>
        <w:rPr>
          <w:rFonts w:ascii="Arial" w:cs="Arial" w:eastAsia="Arial" w:hAnsi="Arial"/>
          <w:sz w:val="16"/>
          <w:szCs w:val="16"/>
          <w:b w:val="1"/>
          <w:bCs w:val="1"/>
          <w:color w:val="4D4D4F"/>
        </w:rPr>
        <w:t>a six-year, up to 27-million neat gallon agreement</w:t>
      </w:r>
      <w:r>
        <w:rPr>
          <w:rFonts w:ascii="Arial" w:cs="Arial" w:eastAsia="Arial" w:hAnsi="Arial"/>
          <w:sz w:val="16"/>
          <w:szCs w:val="16"/>
          <w:color w:val="4D4D4F"/>
        </w:rPr>
        <w:t xml:space="preserve"> for SAF production and offtake with World Energy, a low-carbon solutions provider. According to World Energy, the new contract has the potential to reduce over 200,000 metric tonnes of CO2 emissions from air travel on a lifecycle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572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96" w:lineRule="exact"/>
        <w:rPr>
          <w:sz w:val="20"/>
          <w:szCs w:val="20"/>
          <w:color w:val="auto"/>
        </w:rPr>
      </w:pPr>
    </w:p>
    <w:p>
      <w:pPr>
        <w:ind w:left="440" w:right="540"/>
        <w:spacing w:after="0" w:line="253" w:lineRule="auto"/>
        <w:rPr>
          <w:sz w:val="20"/>
          <w:szCs w:val="20"/>
          <w:color w:val="auto"/>
        </w:rPr>
      </w:pPr>
      <w:r>
        <w:rPr>
          <w:rFonts w:ascii="Arial" w:cs="Arial" w:eastAsia="Arial" w:hAnsi="Arial"/>
          <w:sz w:val="18"/>
          <w:szCs w:val="18"/>
          <w:color w:val="4D4D4F"/>
        </w:rPr>
        <w:t>“As the world moves towards a cleaner energy landscape, the biggest challenge facing our industry is also our biggest opportunity: the global need for more sustainable and affordable forms of energy. Sustainability is not something we take lightly; it is a business imperative, and we are actively integrating it throughout our entire organization.”</w:t>
      </w:r>
    </w:p>
    <w:p>
      <w:pPr>
        <w:spacing w:after="0" w:line="115"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4D4D4F"/>
        </w:rPr>
        <w:t>– Michael J. Kasbar</w:t>
      </w:r>
      <w:r>
        <w:rPr>
          <w:rFonts w:ascii="Arial" w:cs="Arial" w:eastAsia="Arial" w:hAnsi="Arial"/>
          <w:sz w:val="18"/>
          <w:szCs w:val="18"/>
          <w:color w:val="4D4D4F"/>
        </w:rPr>
        <w:t>, Chairman and Chief Executive Officer</w:t>
      </w:r>
    </w:p>
    <w:p>
      <w:pPr>
        <w:sectPr>
          <w:pgSz w:w="11900" w:h="16838" w:orient="portrait"/>
          <w:cols w:equalWidth="0" w:num="1">
            <w:col w:w="11100"/>
          </w:cols>
          <w:pgMar w:left="320" w:top="279" w:right="47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Compensation Highlights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00529B"/>
        </w:rPr>
        <w:t>Executive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074545" cy="12084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7454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 w:right="1100"/>
        <w:spacing w:after="0" w:line="250" w:lineRule="auto"/>
        <w:rPr>
          <w:sz w:val="20"/>
          <w:szCs w:val="20"/>
          <w:color w:val="auto"/>
        </w:rPr>
      </w:pPr>
      <w:r>
        <w:rPr>
          <w:rFonts w:ascii="Arial" w:cs="Arial" w:eastAsia="Arial" w:hAnsi="Arial"/>
          <w:sz w:val="18"/>
          <w:szCs w:val="18"/>
          <w:b w:val="1"/>
          <w:bCs w:val="1"/>
          <w:color w:val="00529B"/>
        </w:rPr>
        <w:t>We are committed to sound executive compensation practices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5" w:hanging="265"/>
        <w:spacing w:after="0"/>
        <w:tabs>
          <w:tab w:leader="none" w:pos="265" w:val="left"/>
        </w:tabs>
        <w:numPr>
          <w:ilvl w:val="0"/>
          <w:numId w:val="17"/>
        </w:numPr>
        <w:rPr>
          <w:rFonts w:ascii="MS PGothic" w:cs="MS PGothic" w:eastAsia="MS PGothic" w:hAnsi="MS PGothic"/>
          <w:sz w:val="14"/>
          <w:szCs w:val="14"/>
          <w:color w:val="auto"/>
          <w:shd w:val="clear" w:color="auto" w:fill="298655"/>
        </w:rPr>
      </w:pPr>
      <w:r>
        <w:rPr>
          <w:rFonts w:ascii="Arial" w:cs="Arial" w:eastAsia="Arial" w:hAnsi="Arial"/>
          <w:sz w:val="14"/>
          <w:szCs w:val="14"/>
          <w:color w:val="4D4D4F"/>
        </w:rPr>
        <w:t>rigorous performance targets and metrics</w:t>
      </w:r>
    </w:p>
    <w:p>
      <w:pPr>
        <w:spacing w:after="0" w:line="82" w:lineRule="exact"/>
        <w:rPr>
          <w:rFonts w:ascii="MS PGothic" w:cs="MS PGothic" w:eastAsia="MS PGothic" w:hAnsi="MS PGothic"/>
          <w:sz w:val="14"/>
          <w:szCs w:val="14"/>
          <w:color w:val="auto"/>
          <w:shd w:val="clear" w:color="auto" w:fill="298655"/>
        </w:rPr>
      </w:pPr>
    </w:p>
    <w:p>
      <w:pPr>
        <w:ind w:left="265" w:hanging="265"/>
        <w:spacing w:after="0"/>
        <w:tabs>
          <w:tab w:leader="none" w:pos="265" w:val="left"/>
        </w:tabs>
        <w:numPr>
          <w:ilvl w:val="0"/>
          <w:numId w:val="17"/>
        </w:numPr>
        <w:rPr>
          <w:rFonts w:ascii="MS PGothic" w:cs="MS PGothic" w:eastAsia="MS PGothic" w:hAnsi="MS PGothic"/>
          <w:sz w:val="14"/>
          <w:szCs w:val="14"/>
          <w:color w:val="auto"/>
          <w:shd w:val="clear" w:color="auto" w:fill="298655"/>
        </w:rPr>
      </w:pPr>
      <w:r>
        <w:rPr>
          <w:rFonts w:ascii="Arial" w:cs="Arial" w:eastAsia="Arial" w:hAnsi="Arial"/>
          <w:sz w:val="14"/>
          <w:szCs w:val="14"/>
          <w:color w:val="4D4D4F"/>
        </w:rPr>
        <w:t>multi-year vesting and performance periods</w:t>
      </w:r>
    </w:p>
    <w:p>
      <w:pPr>
        <w:spacing w:after="0" w:line="68" w:lineRule="exact"/>
        <w:rPr>
          <w:rFonts w:ascii="MS PGothic" w:cs="MS PGothic" w:eastAsia="MS PGothic" w:hAnsi="MS PGothic"/>
          <w:sz w:val="14"/>
          <w:szCs w:val="14"/>
          <w:color w:val="auto"/>
          <w:shd w:val="clear" w:color="auto" w:fill="298655"/>
        </w:rPr>
      </w:pPr>
    </w:p>
    <w:p>
      <w:pPr>
        <w:ind w:left="265" w:hanging="265"/>
        <w:spacing w:after="0"/>
        <w:tabs>
          <w:tab w:leader="none" w:pos="265" w:val="left"/>
        </w:tabs>
        <w:numPr>
          <w:ilvl w:val="0"/>
          <w:numId w:val="17"/>
        </w:numPr>
        <w:rPr>
          <w:rFonts w:ascii="MS PGothic" w:cs="MS PGothic" w:eastAsia="MS PGothic" w:hAnsi="MS PGothic"/>
          <w:sz w:val="14"/>
          <w:szCs w:val="14"/>
          <w:color w:val="auto"/>
          <w:shd w:val="clear" w:color="auto" w:fill="298655"/>
        </w:rPr>
      </w:pPr>
      <w:r>
        <w:rPr>
          <w:rFonts w:ascii="Arial" w:cs="Arial" w:eastAsia="Arial" w:hAnsi="Arial"/>
          <w:sz w:val="14"/>
          <w:szCs w:val="14"/>
          <w:color w:val="4D4D4F"/>
        </w:rPr>
        <w:t>prohibition on hedging and short sales</w:t>
      </w:r>
    </w:p>
    <w:p>
      <w:pPr>
        <w:spacing w:after="0" w:line="68" w:lineRule="exact"/>
        <w:rPr>
          <w:rFonts w:ascii="MS PGothic" w:cs="MS PGothic" w:eastAsia="MS PGothic" w:hAnsi="MS PGothic"/>
          <w:sz w:val="14"/>
          <w:szCs w:val="14"/>
          <w:color w:val="auto"/>
          <w:shd w:val="clear" w:color="auto" w:fill="298655"/>
        </w:rPr>
      </w:pPr>
    </w:p>
    <w:p>
      <w:pPr>
        <w:ind w:left="265" w:hanging="265"/>
        <w:spacing w:after="0"/>
        <w:tabs>
          <w:tab w:leader="none" w:pos="265" w:val="left"/>
        </w:tabs>
        <w:numPr>
          <w:ilvl w:val="0"/>
          <w:numId w:val="17"/>
        </w:numPr>
        <w:rPr>
          <w:rFonts w:ascii="MS PGothic" w:cs="MS PGothic" w:eastAsia="MS PGothic" w:hAnsi="MS PGothic"/>
          <w:sz w:val="14"/>
          <w:szCs w:val="14"/>
          <w:color w:val="auto"/>
          <w:shd w:val="clear" w:color="auto" w:fill="298655"/>
        </w:rPr>
      </w:pPr>
      <w:r>
        <w:rPr>
          <w:rFonts w:ascii="Arial" w:cs="Arial" w:eastAsia="Arial" w:hAnsi="Arial"/>
          <w:sz w:val="14"/>
          <w:szCs w:val="14"/>
          <w:color w:val="4D4D4F"/>
        </w:rPr>
        <w:t>stock ownership and retention guidelines</w:t>
      </w:r>
    </w:p>
    <w:p>
      <w:pPr>
        <w:spacing w:after="0" w:line="82" w:lineRule="exact"/>
        <w:rPr>
          <w:rFonts w:ascii="MS PGothic" w:cs="MS PGothic" w:eastAsia="MS PGothic" w:hAnsi="MS PGothic"/>
          <w:sz w:val="14"/>
          <w:szCs w:val="14"/>
          <w:color w:val="auto"/>
          <w:shd w:val="clear" w:color="auto" w:fill="298655"/>
        </w:rPr>
      </w:pPr>
    </w:p>
    <w:p>
      <w:pPr>
        <w:ind w:left="265" w:hanging="265"/>
        <w:spacing w:after="0"/>
        <w:tabs>
          <w:tab w:leader="none" w:pos="265" w:val="left"/>
        </w:tabs>
        <w:numPr>
          <w:ilvl w:val="0"/>
          <w:numId w:val="17"/>
        </w:numPr>
        <w:rPr>
          <w:rFonts w:ascii="MS PGothic" w:cs="MS PGothic" w:eastAsia="MS PGothic" w:hAnsi="MS PGothic"/>
          <w:sz w:val="14"/>
          <w:szCs w:val="14"/>
          <w:color w:val="auto"/>
          <w:shd w:val="clear" w:color="auto" w:fill="298655"/>
        </w:rPr>
      </w:pPr>
      <w:r>
        <w:rPr>
          <w:rFonts w:ascii="Arial" w:cs="Arial" w:eastAsia="Arial" w:hAnsi="Arial"/>
          <w:sz w:val="14"/>
          <w:szCs w:val="14"/>
          <w:color w:val="4D4D4F"/>
        </w:rPr>
        <w:t>no repricing of awards</w:t>
      </w:r>
    </w:p>
    <w:p>
      <w:pPr>
        <w:spacing w:after="0" w:line="68" w:lineRule="exact"/>
        <w:rPr>
          <w:rFonts w:ascii="MS PGothic" w:cs="MS PGothic" w:eastAsia="MS PGothic" w:hAnsi="MS PGothic"/>
          <w:sz w:val="14"/>
          <w:szCs w:val="14"/>
          <w:color w:val="auto"/>
          <w:shd w:val="clear" w:color="auto" w:fill="298655"/>
        </w:rPr>
      </w:pPr>
    </w:p>
    <w:p>
      <w:pPr>
        <w:ind w:left="265" w:hanging="265"/>
        <w:spacing w:after="0"/>
        <w:tabs>
          <w:tab w:leader="none" w:pos="265" w:val="left"/>
        </w:tabs>
        <w:numPr>
          <w:ilvl w:val="0"/>
          <w:numId w:val="17"/>
        </w:numPr>
        <w:rPr>
          <w:rFonts w:ascii="MS PGothic" w:cs="MS PGothic" w:eastAsia="MS PGothic" w:hAnsi="MS PGothic"/>
          <w:sz w:val="14"/>
          <w:szCs w:val="14"/>
          <w:color w:val="auto"/>
          <w:shd w:val="clear" w:color="auto" w:fill="298655"/>
        </w:rPr>
      </w:pPr>
      <w:r>
        <w:rPr>
          <w:rFonts w:ascii="Arial" w:cs="Arial" w:eastAsia="Arial" w:hAnsi="Arial"/>
          <w:sz w:val="14"/>
          <w:szCs w:val="14"/>
          <w:color w:val="4D4D4F"/>
        </w:rPr>
        <w:t>clawback policy</w:t>
      </w:r>
    </w:p>
    <w:p>
      <w:pPr>
        <w:spacing w:after="0" w:line="68" w:lineRule="exact"/>
        <w:rPr>
          <w:rFonts w:ascii="MS PGothic" w:cs="MS PGothic" w:eastAsia="MS PGothic" w:hAnsi="MS PGothic"/>
          <w:sz w:val="14"/>
          <w:szCs w:val="14"/>
          <w:color w:val="auto"/>
          <w:shd w:val="clear" w:color="auto" w:fill="298655"/>
        </w:rPr>
      </w:pPr>
    </w:p>
    <w:p>
      <w:pPr>
        <w:ind w:left="265" w:hanging="265"/>
        <w:spacing w:after="0"/>
        <w:tabs>
          <w:tab w:leader="none" w:pos="265" w:val="left"/>
        </w:tabs>
        <w:numPr>
          <w:ilvl w:val="0"/>
          <w:numId w:val="17"/>
        </w:numPr>
        <w:rPr>
          <w:rFonts w:ascii="MS PGothic" w:cs="MS PGothic" w:eastAsia="MS PGothic" w:hAnsi="MS PGothic"/>
          <w:sz w:val="14"/>
          <w:szCs w:val="14"/>
          <w:color w:val="auto"/>
          <w:shd w:val="clear" w:color="auto" w:fill="298655"/>
        </w:rPr>
      </w:pPr>
      <w:r>
        <w:rPr>
          <w:rFonts w:ascii="Arial" w:cs="Arial" w:eastAsia="Arial" w:hAnsi="Arial"/>
          <w:sz w:val="14"/>
          <w:szCs w:val="14"/>
          <w:color w:val="4D4D4F"/>
        </w:rPr>
        <w:t>no extensive perquisites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3" w:right="100" w:hanging="243"/>
        <w:spacing w:after="0" w:line="288" w:lineRule="auto"/>
        <w:tabs>
          <w:tab w:leader="none" w:pos="256" w:val="left"/>
        </w:tabs>
        <w:numPr>
          <w:ilvl w:val="0"/>
          <w:numId w:val="18"/>
        </w:numPr>
        <w:rPr>
          <w:rFonts w:ascii="MS PGothic" w:cs="MS PGothic" w:eastAsia="MS PGothic" w:hAnsi="MS PGothic"/>
          <w:sz w:val="14"/>
          <w:szCs w:val="14"/>
          <w:color w:val="auto"/>
          <w:shd w:val="clear" w:color="auto" w:fill="298655"/>
        </w:rPr>
      </w:pPr>
      <w:r>
        <w:rPr>
          <w:rFonts w:ascii="Arial" w:cs="Arial" w:eastAsia="Arial" w:hAnsi="Arial"/>
          <w:sz w:val="14"/>
          <w:szCs w:val="14"/>
          <w:color w:val="4D4D4F"/>
        </w:rPr>
        <w:t>no tax gross-ups on perquisites or change of control benefits</w:t>
      </w:r>
    </w:p>
    <w:p>
      <w:pPr>
        <w:spacing w:after="0" w:line="32" w:lineRule="exact"/>
        <w:rPr>
          <w:rFonts w:ascii="MS PGothic" w:cs="MS PGothic" w:eastAsia="MS PGothic" w:hAnsi="MS PGothic"/>
          <w:sz w:val="14"/>
          <w:szCs w:val="14"/>
          <w:color w:val="auto"/>
          <w:shd w:val="clear" w:color="auto" w:fill="298655"/>
        </w:rPr>
      </w:pPr>
    </w:p>
    <w:p>
      <w:pPr>
        <w:ind w:left="243" w:right="160" w:hanging="243"/>
        <w:spacing w:after="0" w:line="288" w:lineRule="auto"/>
        <w:tabs>
          <w:tab w:leader="none" w:pos="256" w:val="left"/>
        </w:tabs>
        <w:numPr>
          <w:ilvl w:val="0"/>
          <w:numId w:val="18"/>
        </w:numPr>
        <w:rPr>
          <w:rFonts w:ascii="MS PGothic" w:cs="MS PGothic" w:eastAsia="MS PGothic" w:hAnsi="MS PGothic"/>
          <w:sz w:val="14"/>
          <w:szCs w:val="14"/>
          <w:color w:val="auto"/>
          <w:shd w:val="clear" w:color="auto" w:fill="298655"/>
        </w:rPr>
      </w:pPr>
      <w:r>
        <w:rPr>
          <w:rFonts w:ascii="Arial" w:cs="Arial" w:eastAsia="Arial" w:hAnsi="Arial"/>
          <w:sz w:val="14"/>
          <w:szCs w:val="14"/>
          <w:color w:val="4D4D4F"/>
        </w:rPr>
        <w:t>double-trigger change of control provisions, with no liberal change of control definitions</w:t>
      </w:r>
    </w:p>
    <w:p>
      <w:pPr>
        <w:spacing w:after="0" w:line="32" w:lineRule="exact"/>
        <w:rPr>
          <w:rFonts w:ascii="MS PGothic" w:cs="MS PGothic" w:eastAsia="MS PGothic" w:hAnsi="MS PGothic"/>
          <w:sz w:val="14"/>
          <w:szCs w:val="14"/>
          <w:color w:val="auto"/>
          <w:shd w:val="clear" w:color="auto" w:fill="298655"/>
        </w:rPr>
      </w:pPr>
    </w:p>
    <w:p>
      <w:pPr>
        <w:ind w:left="263" w:hanging="263"/>
        <w:spacing w:after="0"/>
        <w:tabs>
          <w:tab w:leader="none" w:pos="263" w:val="left"/>
        </w:tabs>
        <w:numPr>
          <w:ilvl w:val="0"/>
          <w:numId w:val="18"/>
        </w:numPr>
        <w:rPr>
          <w:rFonts w:ascii="MS PGothic" w:cs="MS PGothic" w:eastAsia="MS PGothic" w:hAnsi="MS PGothic"/>
          <w:sz w:val="14"/>
          <w:szCs w:val="14"/>
          <w:color w:val="auto"/>
          <w:shd w:val="clear" w:color="auto" w:fill="298655"/>
        </w:rPr>
      </w:pPr>
      <w:r>
        <w:rPr>
          <w:rFonts w:ascii="Arial" w:cs="Arial" w:eastAsia="Arial" w:hAnsi="Arial"/>
          <w:sz w:val="14"/>
          <w:szCs w:val="14"/>
          <w:color w:val="4D4D4F"/>
        </w:rPr>
        <w:t>no pension or other supplemental benefits</w:t>
      </w:r>
    </w:p>
    <w:p>
      <w:pPr>
        <w:spacing w:after="0" w:line="68" w:lineRule="exact"/>
        <w:rPr>
          <w:rFonts w:ascii="MS PGothic" w:cs="MS PGothic" w:eastAsia="MS PGothic" w:hAnsi="MS PGothic"/>
          <w:sz w:val="14"/>
          <w:szCs w:val="14"/>
          <w:color w:val="auto"/>
          <w:shd w:val="clear" w:color="auto" w:fill="298655"/>
        </w:rPr>
      </w:pPr>
    </w:p>
    <w:p>
      <w:pPr>
        <w:ind w:left="263" w:hanging="263"/>
        <w:spacing w:after="0"/>
        <w:tabs>
          <w:tab w:leader="none" w:pos="263" w:val="left"/>
        </w:tabs>
        <w:numPr>
          <w:ilvl w:val="0"/>
          <w:numId w:val="18"/>
        </w:numPr>
        <w:rPr>
          <w:rFonts w:ascii="MS PGothic" w:cs="MS PGothic" w:eastAsia="MS PGothic" w:hAnsi="MS PGothic"/>
          <w:sz w:val="14"/>
          <w:szCs w:val="14"/>
          <w:color w:val="auto"/>
          <w:shd w:val="clear" w:color="auto" w:fill="298655"/>
        </w:rPr>
      </w:pPr>
      <w:r>
        <w:rPr>
          <w:rFonts w:ascii="Arial" w:cs="Arial" w:eastAsia="Arial" w:hAnsi="Arial"/>
          <w:sz w:val="14"/>
          <w:szCs w:val="14"/>
          <w:color w:val="4D4D4F"/>
        </w:rPr>
        <w:t>annual compensation risk assessment</w:t>
      </w:r>
    </w:p>
    <w:p>
      <w:pPr>
        <w:spacing w:after="0" w:line="68" w:lineRule="exact"/>
        <w:rPr>
          <w:rFonts w:ascii="MS PGothic" w:cs="MS PGothic" w:eastAsia="MS PGothic" w:hAnsi="MS PGothic"/>
          <w:sz w:val="14"/>
          <w:szCs w:val="14"/>
          <w:color w:val="auto"/>
          <w:shd w:val="clear" w:color="auto" w:fill="298655"/>
        </w:rPr>
      </w:pPr>
    </w:p>
    <w:p>
      <w:pPr>
        <w:ind w:left="263" w:hanging="263"/>
        <w:spacing w:after="0"/>
        <w:tabs>
          <w:tab w:leader="none" w:pos="263" w:val="left"/>
        </w:tabs>
        <w:numPr>
          <w:ilvl w:val="0"/>
          <w:numId w:val="18"/>
        </w:numPr>
        <w:rPr>
          <w:rFonts w:ascii="MS PGothic" w:cs="MS PGothic" w:eastAsia="MS PGothic" w:hAnsi="MS PGothic"/>
          <w:sz w:val="14"/>
          <w:szCs w:val="14"/>
          <w:color w:val="auto"/>
          <w:shd w:val="clear" w:color="auto" w:fill="298655"/>
        </w:rPr>
      </w:pPr>
      <w:r>
        <w:rPr>
          <w:rFonts w:ascii="Arial" w:cs="Arial" w:eastAsia="Arial" w:hAnsi="Arial"/>
          <w:sz w:val="14"/>
          <w:szCs w:val="14"/>
          <w:color w:val="4D4D4F"/>
        </w:rPr>
        <w:t>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-1004570</wp:posOffset>
            </wp:positionV>
            <wp:extent cx="5057775" cy="12084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57775" cy="1208405"/>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3">
            <w:col w:w="3300" w:space="155"/>
            <w:col w:w="3262" w:space="720"/>
            <w:col w:w="3663"/>
          </w:cols>
          <w:pgMar w:left="320" w:top="279" w:right="479" w:bottom="1440" w:gutter="0" w:footer="0" w:header="0"/>
          <w:type w:val="continuous"/>
        </w:sect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4D4D4F"/>
        </w:rPr>
        <w:t>For additional information about our executive compensation practices, see “Compensation Discussion and Analysis,” beginning on page 46.</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Pay-for-Performance Alignment</w:t>
      </w:r>
    </w:p>
    <w:p>
      <w:pPr>
        <w:spacing w:after="0" w:line="14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4D4D4F"/>
        </w:rPr>
        <w:t>Our executive compensation program is designed to attract and retain our executives and motivate them to deliver results that support our growth strategy. We structure our executive compensation program to directly align our compensation levels with current and future performance that creates value for our shareholders, employees, customers and other stakeholders. Consistent with that objective, we select performance metrics and targets that we believe, if achieved, will translate into strong financial performance both in the short- and long-term, resulting in positive returns for our shareholders and other stakeholders. For 2023, 86% of our CEO’s target compensation was at risk, and 77% of our other NEOs’ target compensation was at risk, with compensation value specifically tied to our stock price performance and/or achievement of rigorous, pre-established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0" w:hanging="534"/>
        <w:spacing w:after="0"/>
        <w:tabs>
          <w:tab w:leader="none" w:pos="560" w:val="left"/>
        </w:tabs>
        <w:numPr>
          <w:ilvl w:val="0"/>
          <w:numId w:val="19"/>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79" w:right="479" w:bottom="1440" w:gutter="0" w:footer="0" w:header="0"/>
          <w:type w:val="continuous"/>
        </w:sectPr>
      </w:pPr>
    </w:p>
    <w:bookmarkStart w:id="11" w:name="page12"/>
    <w:bookmarkEnd w:id="11"/>
    <w:p>
      <w:pPr>
        <w:ind w:left="20"/>
        <w:spacing w:after="0"/>
        <w:rPr>
          <w:sz w:val="20"/>
          <w:szCs w:val="20"/>
          <w:color w:val="auto"/>
        </w:rPr>
      </w:pPr>
      <w:r>
        <w:rPr>
          <w:rFonts w:ascii="Arial" w:cs="Arial" w:eastAsia="Arial" w:hAnsi="Arial"/>
          <w:sz w:val="14"/>
          <w:szCs w:val="14"/>
          <w:b w:val="1"/>
          <w:bCs w:val="1"/>
          <w:color w:val="5B6770"/>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TARGET COMPENSATION MIX</w:t>
      </w:r>
    </w:p>
    <w:p>
      <w:pPr>
        <w:spacing w:after="0" w:line="127" w:lineRule="exact"/>
        <w:rPr>
          <w:sz w:val="20"/>
          <w:szCs w:val="20"/>
          <w:color w:val="auto"/>
        </w:rPr>
      </w:pPr>
    </w:p>
    <w:p>
      <w:pPr>
        <w:ind w:left="2180"/>
        <w:spacing w:after="0"/>
        <w:tabs>
          <w:tab w:leader="none" w:pos="6860" w:val="left"/>
        </w:tabs>
        <w:rPr>
          <w:sz w:val="20"/>
          <w:szCs w:val="20"/>
          <w:color w:val="auto"/>
        </w:rPr>
      </w:pPr>
      <w:r>
        <w:rPr>
          <w:rFonts w:ascii="Arial" w:cs="Arial" w:eastAsia="Arial" w:hAnsi="Arial"/>
          <w:sz w:val="16"/>
          <w:szCs w:val="16"/>
          <w:b w:val="1"/>
          <w:bCs w:val="1"/>
          <w:color w:val="132440"/>
        </w:rPr>
        <w:t>CHIEF EXECUTIVE OFFICER</w:t>
      </w:r>
      <w:r>
        <w:rPr>
          <w:sz w:val="20"/>
          <w:szCs w:val="20"/>
          <w:color w:val="auto"/>
        </w:rPr>
        <w:tab/>
      </w:r>
      <w:r>
        <w:rPr>
          <w:rFonts w:ascii="Arial" w:cs="Arial" w:eastAsia="Arial" w:hAnsi="Arial"/>
          <w:sz w:val="16"/>
          <w:szCs w:val="16"/>
          <w:b w:val="1"/>
          <w:bCs w:val="1"/>
          <w:color w:val="132440"/>
        </w:rPr>
        <w:t>AVERAGE OF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97790</wp:posOffset>
            </wp:positionV>
            <wp:extent cx="5795010" cy="17741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9501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2023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15175" cy="1680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680210"/>
                    </a:xfrm>
                    <a:prstGeom prst="rect">
                      <a:avLst/>
                    </a:prstGeom>
                    <a:noFill/>
                  </pic:spPr>
                </pic:pic>
              </a:graphicData>
            </a:graphic>
          </wp:anchor>
        </w:drawing>
      </w:r>
    </w:p>
    <w:p>
      <w:pPr>
        <w:spacing w:after="0" w:line="356" w:lineRule="exact"/>
        <w:rPr>
          <w:sz w:val="20"/>
          <w:szCs w:val="20"/>
          <w:color w:val="auto"/>
        </w:rPr>
      </w:pPr>
    </w:p>
    <w:p>
      <w:pPr>
        <w:ind w:left="660" w:hanging="229"/>
        <w:spacing w:after="0"/>
        <w:tabs>
          <w:tab w:leader="none" w:pos="660" w:val="left"/>
        </w:tabs>
        <w:numPr>
          <w:ilvl w:val="0"/>
          <w:numId w:val="20"/>
        </w:numPr>
        <w:rPr>
          <w:rFonts w:ascii="Arial" w:cs="Arial" w:eastAsia="Arial" w:hAnsi="Arial"/>
          <w:sz w:val="22"/>
          <w:szCs w:val="22"/>
          <w:b w:val="1"/>
          <w:bCs w:val="1"/>
          <w:color w:val="00529B"/>
        </w:rPr>
      </w:pPr>
      <w:r>
        <w:rPr>
          <w:rFonts w:ascii="Arial" w:cs="Arial" w:eastAsia="Arial" w:hAnsi="Arial"/>
          <w:sz w:val="16"/>
          <w:szCs w:val="16"/>
          <w:color w:val="4D4D4F"/>
        </w:rPr>
        <w:t>No changes to CEO 2023 target total compensation</w:t>
      </w:r>
    </w:p>
    <w:p>
      <w:pPr>
        <w:spacing w:after="0" w:line="71" w:lineRule="exact"/>
        <w:rPr>
          <w:rFonts w:ascii="Arial" w:cs="Arial" w:eastAsia="Arial" w:hAnsi="Arial"/>
          <w:sz w:val="22"/>
          <w:szCs w:val="22"/>
          <w:b w:val="1"/>
          <w:bCs w:val="1"/>
          <w:color w:val="00529B"/>
        </w:rPr>
      </w:pPr>
    </w:p>
    <w:p>
      <w:pPr>
        <w:ind w:left="660" w:hanging="229"/>
        <w:spacing w:after="0"/>
        <w:tabs>
          <w:tab w:leader="none" w:pos="660" w:val="left"/>
        </w:tabs>
        <w:numPr>
          <w:ilvl w:val="0"/>
          <w:numId w:val="20"/>
        </w:numPr>
        <w:rPr>
          <w:rFonts w:ascii="Arial" w:cs="Arial" w:eastAsia="Arial" w:hAnsi="Arial"/>
          <w:sz w:val="22"/>
          <w:szCs w:val="22"/>
          <w:b w:val="1"/>
          <w:bCs w:val="1"/>
          <w:color w:val="00529B"/>
        </w:rPr>
      </w:pPr>
      <w:r>
        <w:rPr>
          <w:rFonts w:ascii="Arial" w:cs="Arial" w:eastAsia="Arial" w:hAnsi="Arial"/>
          <w:sz w:val="16"/>
          <w:szCs w:val="16"/>
          <w:color w:val="4D4D4F"/>
        </w:rPr>
        <w:t>Compensation Committee applied discretion to reduce 2023 annual incentive payout</w:t>
      </w:r>
    </w:p>
    <w:p>
      <w:pPr>
        <w:spacing w:after="0" w:line="71" w:lineRule="exact"/>
        <w:rPr>
          <w:rFonts w:ascii="Arial" w:cs="Arial" w:eastAsia="Arial" w:hAnsi="Arial"/>
          <w:sz w:val="22"/>
          <w:szCs w:val="22"/>
          <w:b w:val="1"/>
          <w:bCs w:val="1"/>
          <w:color w:val="00529B"/>
        </w:rPr>
      </w:pPr>
    </w:p>
    <w:p>
      <w:pPr>
        <w:ind w:left="660" w:hanging="229"/>
        <w:spacing w:after="0"/>
        <w:tabs>
          <w:tab w:leader="none" w:pos="660" w:val="left"/>
        </w:tabs>
        <w:numPr>
          <w:ilvl w:val="0"/>
          <w:numId w:val="20"/>
        </w:numPr>
        <w:rPr>
          <w:rFonts w:ascii="Arial" w:cs="Arial" w:eastAsia="Arial" w:hAnsi="Arial"/>
          <w:sz w:val="22"/>
          <w:szCs w:val="22"/>
          <w:b w:val="1"/>
          <w:bCs w:val="1"/>
          <w:color w:val="00529B"/>
        </w:rPr>
      </w:pPr>
      <w:r>
        <w:rPr>
          <w:rFonts w:ascii="Arial" w:cs="Arial" w:eastAsia="Arial" w:hAnsi="Arial"/>
          <w:sz w:val="16"/>
          <w:szCs w:val="16"/>
          <w:color w:val="4D4D4F"/>
        </w:rPr>
        <w:t>2021-2023 long-term performance equity awards forfeited in their entirety</w:t>
      </w:r>
    </w:p>
    <w:p>
      <w:pPr>
        <w:spacing w:after="0" w:line="71" w:lineRule="exact"/>
        <w:rPr>
          <w:rFonts w:ascii="Arial" w:cs="Arial" w:eastAsia="Arial" w:hAnsi="Arial"/>
          <w:sz w:val="22"/>
          <w:szCs w:val="22"/>
          <w:b w:val="1"/>
          <w:bCs w:val="1"/>
          <w:color w:val="00529B"/>
        </w:rPr>
      </w:pPr>
    </w:p>
    <w:p>
      <w:pPr>
        <w:ind w:left="660" w:hanging="229"/>
        <w:spacing w:after="0"/>
        <w:tabs>
          <w:tab w:leader="none" w:pos="660" w:val="left"/>
        </w:tabs>
        <w:numPr>
          <w:ilvl w:val="0"/>
          <w:numId w:val="20"/>
        </w:numPr>
        <w:rPr>
          <w:rFonts w:ascii="Arial" w:cs="Arial" w:eastAsia="Arial" w:hAnsi="Arial"/>
          <w:sz w:val="22"/>
          <w:szCs w:val="22"/>
          <w:b w:val="1"/>
          <w:bCs w:val="1"/>
          <w:color w:val="00529B"/>
        </w:rPr>
      </w:pPr>
      <w:r>
        <w:rPr>
          <w:rFonts w:ascii="Arial" w:cs="Arial" w:eastAsia="Arial" w:hAnsi="Arial"/>
          <w:sz w:val="16"/>
          <w:szCs w:val="16"/>
          <w:color w:val="4D4D4F"/>
        </w:rPr>
        <w:t>Compensation Committee adopted a clawback policy</w:t>
      </w:r>
    </w:p>
    <w:p>
      <w:pPr>
        <w:spacing w:after="0" w:line="71" w:lineRule="exact"/>
        <w:rPr>
          <w:rFonts w:ascii="Arial" w:cs="Arial" w:eastAsia="Arial" w:hAnsi="Arial"/>
          <w:sz w:val="22"/>
          <w:szCs w:val="22"/>
          <w:b w:val="1"/>
          <w:bCs w:val="1"/>
          <w:color w:val="00529B"/>
        </w:rPr>
      </w:pPr>
    </w:p>
    <w:p>
      <w:pPr>
        <w:ind w:left="660" w:hanging="229"/>
        <w:spacing w:after="0"/>
        <w:tabs>
          <w:tab w:leader="none" w:pos="660" w:val="left"/>
        </w:tabs>
        <w:numPr>
          <w:ilvl w:val="0"/>
          <w:numId w:val="20"/>
        </w:numPr>
        <w:rPr>
          <w:rFonts w:ascii="Arial" w:cs="Arial" w:eastAsia="Arial" w:hAnsi="Arial"/>
          <w:sz w:val="22"/>
          <w:szCs w:val="22"/>
          <w:b w:val="1"/>
          <w:bCs w:val="1"/>
          <w:color w:val="00529B"/>
        </w:rPr>
      </w:pPr>
      <w:r>
        <w:rPr>
          <w:rFonts w:ascii="Arial" w:cs="Arial" w:eastAsia="Arial" w:hAnsi="Arial"/>
          <w:sz w:val="16"/>
          <w:szCs w:val="16"/>
          <w:color w:val="4D4D4F"/>
        </w:rPr>
        <w:t>We listened and responded to our shareholders</w:t>
      </w:r>
    </w:p>
    <w:p>
      <w:pPr>
        <w:spacing w:after="0" w:line="71" w:lineRule="exact"/>
        <w:rPr>
          <w:rFonts w:ascii="Arial" w:cs="Arial" w:eastAsia="Arial" w:hAnsi="Arial"/>
          <w:sz w:val="22"/>
          <w:szCs w:val="22"/>
          <w:b w:val="1"/>
          <w:bCs w:val="1"/>
          <w:color w:val="00529B"/>
        </w:rPr>
      </w:pPr>
    </w:p>
    <w:p>
      <w:pPr>
        <w:ind w:left="920" w:hanging="246"/>
        <w:spacing w:after="0"/>
        <w:tabs>
          <w:tab w:leader="none" w:pos="920" w:val="left"/>
        </w:tabs>
        <w:numPr>
          <w:ilvl w:val="1"/>
          <w:numId w:val="20"/>
        </w:numPr>
        <w:rPr>
          <w:rFonts w:ascii="Arial" w:cs="Arial" w:eastAsia="Arial" w:hAnsi="Arial"/>
          <w:sz w:val="22"/>
          <w:szCs w:val="22"/>
          <w:b w:val="1"/>
          <w:bCs w:val="1"/>
          <w:color w:val="00529B"/>
        </w:rPr>
      </w:pPr>
      <w:r>
        <w:rPr>
          <w:rFonts w:ascii="Arial" w:cs="Arial" w:eastAsia="Arial" w:hAnsi="Arial"/>
          <w:sz w:val="16"/>
          <w:szCs w:val="16"/>
          <w:color w:val="4D4D4F"/>
        </w:rPr>
        <w:t>Enhanced our disclosure in this proxy statement to provide a greater level of transparency</w:t>
      </w:r>
    </w:p>
    <w:p>
      <w:pPr>
        <w:spacing w:after="0" w:line="71" w:lineRule="exact"/>
        <w:rPr>
          <w:rFonts w:ascii="Arial" w:cs="Arial" w:eastAsia="Arial" w:hAnsi="Arial"/>
          <w:sz w:val="22"/>
          <w:szCs w:val="22"/>
          <w:b w:val="1"/>
          <w:bCs w:val="1"/>
          <w:color w:val="00529B"/>
        </w:rPr>
      </w:pPr>
    </w:p>
    <w:p>
      <w:pPr>
        <w:ind w:left="920" w:hanging="246"/>
        <w:spacing w:after="0"/>
        <w:tabs>
          <w:tab w:leader="none" w:pos="920" w:val="left"/>
        </w:tabs>
        <w:numPr>
          <w:ilvl w:val="1"/>
          <w:numId w:val="20"/>
        </w:numPr>
        <w:rPr>
          <w:rFonts w:ascii="Arial" w:cs="Arial" w:eastAsia="Arial" w:hAnsi="Arial"/>
          <w:sz w:val="22"/>
          <w:szCs w:val="22"/>
          <w:b w:val="1"/>
          <w:bCs w:val="1"/>
          <w:color w:val="00529B"/>
        </w:rPr>
      </w:pPr>
      <w:r>
        <w:rPr>
          <w:rFonts w:ascii="Arial" w:cs="Arial" w:eastAsia="Arial" w:hAnsi="Arial"/>
          <w:sz w:val="16"/>
          <w:szCs w:val="16"/>
          <w:color w:val="4D4D4F"/>
        </w:rPr>
        <w:t>Simplified the strategic objectives component of the 2024 annual incentive program by substantially reducing the number of objectives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2023 NEO ANNUAL COMPENSATION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40" w:type="dxa"/>
            <w:vAlign w:val="bottom"/>
            <w:shd w:val="clear" w:color="auto" w:fill="578EB1"/>
          </w:tcPr>
          <w:p>
            <w:pPr>
              <w:jc w:val="right"/>
              <w:spacing w:after="0"/>
              <w:rPr>
                <w:sz w:val="20"/>
                <w:szCs w:val="20"/>
                <w:color w:val="auto"/>
              </w:rPr>
            </w:pPr>
            <w:r>
              <w:rPr>
                <w:rFonts w:ascii="Arial" w:cs="Arial" w:eastAsia="Arial" w:hAnsi="Arial"/>
                <w:sz w:val="14"/>
                <w:szCs w:val="14"/>
                <w:b w:val="1"/>
                <w:bCs w:val="1"/>
                <w:color w:val="FFFFFF"/>
              </w:rPr>
              <w:t>Annual Incentive Program</w:t>
            </w:r>
            <w:r>
              <w:rPr>
                <w:rFonts w:ascii="Arial" w:cs="Arial" w:eastAsia="Arial" w:hAnsi="Arial"/>
                <w:sz w:val="18"/>
                <w:szCs w:val="18"/>
                <w:b w:val="1"/>
                <w:bCs w:val="1"/>
                <w:color w:val="FFFFFF"/>
                <w:vertAlign w:val="superscript"/>
              </w:rPr>
              <w:t>(2)</w:t>
            </w:r>
          </w:p>
        </w:tc>
        <w:tc>
          <w:tcPr>
            <w:tcW w:w="480" w:type="dxa"/>
            <w:vAlign w:val="bottom"/>
            <w:shd w:val="clear" w:color="auto" w:fill="578EB1"/>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800" w:type="dxa"/>
            <w:vAlign w:val="bottom"/>
            <w:shd w:val="clear" w:color="auto" w:fill="132440"/>
          </w:tcPr>
          <w:p>
            <w:pPr>
              <w:spacing w:after="0"/>
              <w:rPr>
                <w:sz w:val="16"/>
                <w:szCs w:val="16"/>
                <w:color w:val="auto"/>
              </w:rPr>
            </w:pPr>
          </w:p>
        </w:tc>
        <w:tc>
          <w:tcPr>
            <w:tcW w:w="184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Annual Base Salary</w:t>
            </w:r>
          </w:p>
        </w:tc>
        <w:tc>
          <w:tcPr>
            <w:tcW w:w="2100" w:type="dxa"/>
            <w:vAlign w:val="bottom"/>
            <w:shd w:val="clear" w:color="auto" w:fill="008041"/>
          </w:tcPr>
          <w:p>
            <w:pPr>
              <w:jc w:val="right"/>
              <w:spacing w:after="0" w:line="194" w:lineRule="exact"/>
              <w:rPr>
                <w:sz w:val="20"/>
                <w:szCs w:val="20"/>
                <w:color w:val="auto"/>
              </w:rPr>
            </w:pPr>
            <w:r>
              <w:rPr>
                <w:rFonts w:ascii="Arial" w:cs="Arial" w:eastAsia="Arial" w:hAnsi="Arial"/>
                <w:sz w:val="14"/>
                <w:szCs w:val="14"/>
                <w:b w:val="1"/>
                <w:bCs w:val="1"/>
                <w:color w:val="FFFFFF"/>
              </w:rPr>
              <w:t>Long-Term Incentive</w:t>
            </w:r>
            <w:r>
              <w:rPr>
                <w:rFonts w:ascii="Arial" w:cs="Arial" w:eastAsia="Arial" w:hAnsi="Arial"/>
                <w:sz w:val="18"/>
                <w:szCs w:val="18"/>
                <w:b w:val="1"/>
                <w:bCs w:val="1"/>
                <w:color w:val="FFFFFF"/>
                <w:vertAlign w:val="superscript"/>
              </w:rPr>
              <w:t>(1)</w:t>
            </w:r>
          </w:p>
        </w:tc>
        <w:tc>
          <w:tcPr>
            <w:tcW w:w="2440" w:type="dxa"/>
            <w:vAlign w:val="bottom"/>
            <w:shd w:val="clear" w:color="auto" w:fill="132440"/>
          </w:tcPr>
          <w:p>
            <w:pPr>
              <w:jc w:val="right"/>
              <w:ind w:right="968"/>
              <w:spacing w:after="0"/>
              <w:rPr>
                <w:sz w:val="20"/>
                <w:szCs w:val="20"/>
                <w:color w:val="auto"/>
              </w:rPr>
            </w:pPr>
            <w:r>
              <w:rPr>
                <w:rFonts w:ascii="Arial" w:cs="Arial" w:eastAsia="Arial" w:hAnsi="Arial"/>
                <w:sz w:val="14"/>
                <w:szCs w:val="14"/>
                <w:b w:val="1"/>
                <w:bCs w:val="1"/>
                <w:color w:val="FFFFFF"/>
              </w:rPr>
              <w:t>Amount</w:t>
            </w:r>
          </w:p>
        </w:tc>
        <w:tc>
          <w:tcPr>
            <w:tcW w:w="48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 of</w:t>
            </w:r>
          </w:p>
        </w:tc>
        <w:tc>
          <w:tcPr>
            <w:tcW w:w="1500" w:type="dxa"/>
            <w:vAlign w:val="bottom"/>
            <w:shd w:val="clear" w:color="auto" w:fill="008041"/>
          </w:tcPr>
          <w:p>
            <w:pPr>
              <w:jc w:val="right"/>
              <w:ind w:right="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12"/>
        </w:trPr>
        <w:tc>
          <w:tcPr>
            <w:tcW w:w="280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NEOs</w:t>
            </w:r>
          </w:p>
        </w:tc>
        <w:tc>
          <w:tcPr>
            <w:tcW w:w="184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2100" w:type="dxa"/>
            <w:vAlign w:val="bottom"/>
            <w:shd w:val="clear" w:color="auto" w:fill="008041"/>
          </w:tcPr>
          <w:p>
            <w:pPr>
              <w:jc w:val="right"/>
              <w:spacing w:after="0"/>
              <w:rPr>
                <w:sz w:val="20"/>
                <w:szCs w:val="20"/>
                <w:color w:val="auto"/>
              </w:rPr>
            </w:pPr>
            <w:r>
              <w:rPr>
                <w:rFonts w:ascii="Arial" w:cs="Arial" w:eastAsia="Arial" w:hAnsi="Arial"/>
                <w:sz w:val="14"/>
                <w:szCs w:val="14"/>
                <w:b w:val="1"/>
                <w:bCs w:val="1"/>
                <w:color w:val="FFFFFF"/>
              </w:rPr>
              <w:t>($)</w:t>
            </w:r>
          </w:p>
        </w:tc>
        <w:tc>
          <w:tcPr>
            <w:tcW w:w="2440" w:type="dxa"/>
            <w:vAlign w:val="bottom"/>
            <w:shd w:val="clear" w:color="auto" w:fill="132440"/>
          </w:tcPr>
          <w:p>
            <w:pPr>
              <w:jc w:val="right"/>
              <w:ind w:right="968"/>
              <w:spacing w:after="0"/>
              <w:rPr>
                <w:sz w:val="20"/>
                <w:szCs w:val="20"/>
                <w:color w:val="auto"/>
              </w:rPr>
            </w:pPr>
            <w:r>
              <w:rPr>
                <w:rFonts w:ascii="Arial" w:cs="Arial" w:eastAsia="Arial" w:hAnsi="Arial"/>
                <w:sz w:val="14"/>
                <w:szCs w:val="14"/>
                <w:b w:val="1"/>
                <w:bCs w:val="1"/>
                <w:color w:val="FFFFFF"/>
              </w:rPr>
              <w:t>($)</w:t>
            </w:r>
          </w:p>
        </w:tc>
        <w:tc>
          <w:tcPr>
            <w:tcW w:w="48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Target</w:t>
            </w:r>
          </w:p>
        </w:tc>
        <w:tc>
          <w:tcPr>
            <w:tcW w:w="1500" w:type="dxa"/>
            <w:vAlign w:val="bottom"/>
            <w:shd w:val="clear" w:color="auto" w:fill="008041"/>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3"/>
        </w:trPr>
        <w:tc>
          <w:tcPr>
            <w:tcW w:w="280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Michael J. Kasbar</w:t>
            </w:r>
          </w:p>
        </w:tc>
        <w:tc>
          <w:tcPr>
            <w:tcW w:w="1840" w:type="dxa"/>
            <w:vAlign w:val="bottom"/>
            <w:vMerge w:val="restart"/>
            <w:shd w:val="clear" w:color="auto" w:fill="EAEEF2"/>
          </w:tcPr>
          <w:p>
            <w:pPr>
              <w:jc w:val="right"/>
              <w:spacing w:after="0"/>
              <w:rPr>
                <w:sz w:val="20"/>
                <w:szCs w:val="20"/>
                <w:color w:val="auto"/>
              </w:rPr>
            </w:pPr>
            <w:r>
              <w:rPr>
                <w:rFonts w:ascii="Arial" w:cs="Arial" w:eastAsia="Arial" w:hAnsi="Arial"/>
                <w:sz w:val="14"/>
                <w:szCs w:val="14"/>
                <w:color w:val="4D4D4F"/>
              </w:rPr>
              <w:t>1,000,000</w:t>
            </w:r>
          </w:p>
        </w:tc>
        <w:tc>
          <w:tcPr>
            <w:tcW w:w="2100" w:type="dxa"/>
            <w:vAlign w:val="bottom"/>
            <w:vMerge w:val="restart"/>
            <w:shd w:val="clear" w:color="auto" w:fill="DFEDE5"/>
          </w:tcPr>
          <w:p>
            <w:pPr>
              <w:jc w:val="right"/>
              <w:spacing w:after="0"/>
              <w:rPr>
                <w:sz w:val="20"/>
                <w:szCs w:val="20"/>
                <w:color w:val="auto"/>
              </w:rPr>
            </w:pPr>
            <w:r>
              <w:rPr>
                <w:rFonts w:ascii="Arial" w:cs="Arial" w:eastAsia="Arial" w:hAnsi="Arial"/>
                <w:sz w:val="14"/>
                <w:szCs w:val="14"/>
                <w:color w:val="4D4D4F"/>
              </w:rPr>
              <w:t>4,500,000</w:t>
            </w:r>
          </w:p>
        </w:tc>
        <w:tc>
          <w:tcPr>
            <w:tcW w:w="2440" w:type="dxa"/>
            <w:vAlign w:val="bottom"/>
            <w:vMerge w:val="restart"/>
            <w:shd w:val="clear" w:color="auto" w:fill="EAEEF2"/>
          </w:tcPr>
          <w:p>
            <w:pPr>
              <w:jc w:val="right"/>
              <w:ind w:right="968"/>
              <w:spacing w:after="0"/>
              <w:rPr>
                <w:sz w:val="20"/>
                <w:szCs w:val="20"/>
                <w:color w:val="auto"/>
              </w:rPr>
            </w:pPr>
            <w:r>
              <w:rPr>
                <w:rFonts w:ascii="Arial" w:cs="Arial" w:eastAsia="Arial" w:hAnsi="Arial"/>
                <w:sz w:val="14"/>
                <w:szCs w:val="14"/>
                <w:color w:val="4D4D4F"/>
              </w:rPr>
              <w:t>1,250,000</w:t>
            </w:r>
          </w:p>
        </w:tc>
        <w:tc>
          <w:tcPr>
            <w:tcW w:w="480" w:type="dxa"/>
            <w:vAlign w:val="bottom"/>
            <w:vMerge w:val="restart"/>
            <w:shd w:val="clear" w:color="auto" w:fill="EAEEF2"/>
          </w:tcPr>
          <w:p>
            <w:pPr>
              <w:jc w:val="right"/>
              <w:spacing w:after="0"/>
              <w:rPr>
                <w:sz w:val="20"/>
                <w:szCs w:val="20"/>
                <w:color w:val="auto"/>
              </w:rPr>
            </w:pPr>
            <w:r>
              <w:rPr>
                <w:rFonts w:ascii="Arial" w:cs="Arial" w:eastAsia="Arial" w:hAnsi="Arial"/>
                <w:sz w:val="14"/>
                <w:szCs w:val="14"/>
                <w:color w:val="4D4D4F"/>
              </w:rPr>
              <w:t>71 %</w:t>
            </w:r>
          </w:p>
        </w:tc>
        <w:tc>
          <w:tcPr>
            <w:tcW w:w="1500" w:type="dxa"/>
            <w:vAlign w:val="bottom"/>
            <w:vMerge w:val="restart"/>
            <w:shd w:val="clear" w:color="auto" w:fill="DFEDE5"/>
          </w:tcPr>
          <w:p>
            <w:pPr>
              <w:jc w:val="right"/>
              <w:ind w:right="48"/>
              <w:spacing w:after="0"/>
              <w:rPr>
                <w:sz w:val="20"/>
                <w:szCs w:val="20"/>
                <w:color w:val="auto"/>
              </w:rPr>
            </w:pPr>
            <w:r>
              <w:rPr>
                <w:rFonts w:ascii="Arial" w:cs="Arial" w:eastAsia="Arial" w:hAnsi="Arial"/>
                <w:sz w:val="14"/>
                <w:szCs w:val="14"/>
                <w:color w:val="4D4D4F"/>
              </w:rPr>
              <w:t>6,750,000</w:t>
            </w:r>
          </w:p>
        </w:tc>
        <w:tc>
          <w:tcPr>
            <w:tcW w:w="0" w:type="dxa"/>
            <w:vAlign w:val="bottom"/>
          </w:tcPr>
          <w:p>
            <w:pPr>
              <w:spacing w:after="0"/>
              <w:rPr>
                <w:sz w:val="1"/>
                <w:szCs w:val="1"/>
                <w:color w:val="auto"/>
              </w:rPr>
            </w:pPr>
          </w:p>
        </w:tc>
      </w:tr>
      <w:tr>
        <w:trPr>
          <w:trHeight w:val="123"/>
        </w:trPr>
        <w:tc>
          <w:tcPr>
            <w:tcW w:w="280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Chairman, President and CEO</w:t>
            </w:r>
          </w:p>
        </w:tc>
        <w:tc>
          <w:tcPr>
            <w:tcW w:w="1840" w:type="dxa"/>
            <w:vAlign w:val="bottom"/>
            <w:vMerge w:val="continue"/>
            <w:shd w:val="clear" w:color="auto" w:fill="EAEEF2"/>
          </w:tcPr>
          <w:p>
            <w:pPr>
              <w:spacing w:after="0"/>
              <w:rPr>
                <w:sz w:val="10"/>
                <w:szCs w:val="10"/>
                <w:color w:val="auto"/>
              </w:rPr>
            </w:pPr>
          </w:p>
        </w:tc>
        <w:tc>
          <w:tcPr>
            <w:tcW w:w="2100" w:type="dxa"/>
            <w:vAlign w:val="bottom"/>
            <w:vMerge w:val="continue"/>
            <w:shd w:val="clear" w:color="auto" w:fill="DFEDE5"/>
          </w:tcPr>
          <w:p>
            <w:pPr>
              <w:spacing w:after="0"/>
              <w:rPr>
                <w:sz w:val="10"/>
                <w:szCs w:val="10"/>
                <w:color w:val="auto"/>
              </w:rPr>
            </w:pPr>
          </w:p>
        </w:tc>
        <w:tc>
          <w:tcPr>
            <w:tcW w:w="2440" w:type="dxa"/>
            <w:vAlign w:val="bottom"/>
            <w:vMerge w:val="continue"/>
            <w:shd w:val="clear" w:color="auto" w:fill="EAEEF2"/>
          </w:tcPr>
          <w:p>
            <w:pPr>
              <w:spacing w:after="0"/>
              <w:rPr>
                <w:sz w:val="10"/>
                <w:szCs w:val="10"/>
                <w:color w:val="auto"/>
              </w:rPr>
            </w:pPr>
          </w:p>
        </w:tc>
        <w:tc>
          <w:tcPr>
            <w:tcW w:w="480" w:type="dxa"/>
            <w:vAlign w:val="bottom"/>
            <w:vMerge w:val="continue"/>
            <w:shd w:val="clear" w:color="auto" w:fill="EAEEF2"/>
          </w:tcPr>
          <w:p>
            <w:pPr>
              <w:spacing w:after="0"/>
              <w:rPr>
                <w:sz w:val="10"/>
                <w:szCs w:val="10"/>
                <w:color w:val="auto"/>
              </w:rPr>
            </w:pPr>
          </w:p>
        </w:tc>
        <w:tc>
          <w:tcPr>
            <w:tcW w:w="1500" w:type="dxa"/>
            <w:vAlign w:val="bottom"/>
            <w:vMerge w:val="continue"/>
            <w:shd w:val="clear" w:color="auto" w:fill="DFEDE5"/>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EAEEF2"/>
          </w:tcPr>
          <w:p>
            <w:pPr>
              <w:spacing w:after="0"/>
              <w:rPr>
                <w:sz w:val="5"/>
                <w:szCs w:val="5"/>
                <w:color w:val="auto"/>
              </w:rPr>
            </w:pPr>
          </w:p>
        </w:tc>
        <w:tc>
          <w:tcPr>
            <w:tcW w:w="1840" w:type="dxa"/>
            <w:vAlign w:val="bottom"/>
            <w:shd w:val="clear" w:color="auto" w:fill="EAEEF2"/>
          </w:tcPr>
          <w:p>
            <w:pPr>
              <w:spacing w:after="0"/>
              <w:rPr>
                <w:sz w:val="5"/>
                <w:szCs w:val="5"/>
                <w:color w:val="auto"/>
              </w:rPr>
            </w:pPr>
          </w:p>
        </w:tc>
        <w:tc>
          <w:tcPr>
            <w:tcW w:w="2100" w:type="dxa"/>
            <w:vAlign w:val="bottom"/>
            <w:shd w:val="clear" w:color="auto" w:fill="DFEDE5"/>
          </w:tcPr>
          <w:p>
            <w:pPr>
              <w:spacing w:after="0"/>
              <w:rPr>
                <w:sz w:val="5"/>
                <w:szCs w:val="5"/>
                <w:color w:val="auto"/>
              </w:rPr>
            </w:pPr>
          </w:p>
        </w:tc>
        <w:tc>
          <w:tcPr>
            <w:tcW w:w="2440" w:type="dxa"/>
            <w:vAlign w:val="bottom"/>
            <w:shd w:val="clear" w:color="auto" w:fill="EAEEF2"/>
          </w:tcPr>
          <w:p>
            <w:pPr>
              <w:spacing w:after="0"/>
              <w:rPr>
                <w:sz w:val="5"/>
                <w:szCs w:val="5"/>
                <w:color w:val="auto"/>
              </w:rPr>
            </w:pPr>
          </w:p>
        </w:tc>
        <w:tc>
          <w:tcPr>
            <w:tcW w:w="480" w:type="dxa"/>
            <w:vAlign w:val="bottom"/>
            <w:shd w:val="clear" w:color="auto" w:fill="EAEEF2"/>
          </w:tcPr>
          <w:p>
            <w:pPr>
              <w:spacing w:after="0"/>
              <w:rPr>
                <w:sz w:val="5"/>
                <w:szCs w:val="5"/>
                <w:color w:val="auto"/>
              </w:rPr>
            </w:pPr>
          </w:p>
        </w:tc>
        <w:tc>
          <w:tcPr>
            <w:tcW w:w="1500" w:type="dxa"/>
            <w:vAlign w:val="bottom"/>
            <w:shd w:val="clear" w:color="auto" w:fill="DFEDE5"/>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800" w:type="dxa"/>
            <w:vAlign w:val="bottom"/>
            <w:shd w:val="clear" w:color="auto" w:fill="EAEEF2"/>
          </w:tcPr>
          <w:p>
            <w:pPr>
              <w:spacing w:after="0"/>
              <w:rPr>
                <w:sz w:val="6"/>
                <w:szCs w:val="6"/>
                <w:color w:val="auto"/>
              </w:rPr>
            </w:pPr>
          </w:p>
        </w:tc>
        <w:tc>
          <w:tcPr>
            <w:tcW w:w="1840" w:type="dxa"/>
            <w:vAlign w:val="bottom"/>
            <w:shd w:val="clear" w:color="auto" w:fill="EAEEF2"/>
          </w:tcPr>
          <w:p>
            <w:pPr>
              <w:spacing w:after="0"/>
              <w:rPr>
                <w:sz w:val="6"/>
                <w:szCs w:val="6"/>
                <w:color w:val="auto"/>
              </w:rPr>
            </w:pPr>
          </w:p>
        </w:tc>
        <w:tc>
          <w:tcPr>
            <w:tcW w:w="2100" w:type="dxa"/>
            <w:vAlign w:val="bottom"/>
            <w:shd w:val="clear" w:color="auto" w:fill="DFEDE5"/>
          </w:tcPr>
          <w:p>
            <w:pPr>
              <w:spacing w:after="0"/>
              <w:rPr>
                <w:sz w:val="6"/>
                <w:szCs w:val="6"/>
                <w:color w:val="auto"/>
              </w:rPr>
            </w:pPr>
          </w:p>
        </w:tc>
        <w:tc>
          <w:tcPr>
            <w:tcW w:w="2440" w:type="dxa"/>
            <w:vAlign w:val="bottom"/>
            <w:shd w:val="clear" w:color="auto" w:fill="EAEEF2"/>
          </w:tcPr>
          <w:p>
            <w:pPr>
              <w:spacing w:after="0"/>
              <w:rPr>
                <w:sz w:val="6"/>
                <w:szCs w:val="6"/>
                <w:color w:val="auto"/>
              </w:rPr>
            </w:pPr>
          </w:p>
        </w:tc>
        <w:tc>
          <w:tcPr>
            <w:tcW w:w="480" w:type="dxa"/>
            <w:vAlign w:val="bottom"/>
            <w:shd w:val="clear" w:color="auto" w:fill="EAEEF2"/>
          </w:tcPr>
          <w:p>
            <w:pPr>
              <w:spacing w:after="0"/>
              <w:rPr>
                <w:sz w:val="6"/>
                <w:szCs w:val="6"/>
                <w:color w:val="auto"/>
              </w:rPr>
            </w:pPr>
          </w:p>
        </w:tc>
        <w:tc>
          <w:tcPr>
            <w:tcW w:w="1500" w:type="dxa"/>
            <w:vAlign w:val="bottom"/>
            <w:shd w:val="clear" w:color="auto" w:fill="DFEDE5"/>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800" w:type="dxa"/>
            <w:vAlign w:val="bottom"/>
          </w:tcPr>
          <w:p>
            <w:pPr>
              <w:ind w:left="100"/>
              <w:spacing w:after="0"/>
              <w:rPr>
                <w:sz w:val="20"/>
                <w:szCs w:val="20"/>
                <w:color w:val="auto"/>
              </w:rPr>
            </w:pPr>
            <w:r>
              <w:rPr>
                <w:rFonts w:ascii="Arial" w:cs="Arial" w:eastAsia="Arial" w:hAnsi="Arial"/>
                <w:sz w:val="14"/>
                <w:szCs w:val="14"/>
                <w:b w:val="1"/>
                <w:bCs w:val="1"/>
                <w:color w:val="4D4D4F"/>
              </w:rPr>
              <w:t>Ira M. Birns</w:t>
            </w:r>
          </w:p>
        </w:tc>
        <w:tc>
          <w:tcPr>
            <w:tcW w:w="1840" w:type="dxa"/>
            <w:vAlign w:val="bottom"/>
            <w:vMerge w:val="restart"/>
          </w:tcPr>
          <w:p>
            <w:pPr>
              <w:jc w:val="right"/>
              <w:spacing w:after="0"/>
              <w:rPr>
                <w:sz w:val="20"/>
                <w:szCs w:val="20"/>
                <w:color w:val="auto"/>
              </w:rPr>
            </w:pPr>
            <w:r>
              <w:rPr>
                <w:rFonts w:ascii="Arial" w:cs="Arial" w:eastAsia="Arial" w:hAnsi="Arial"/>
                <w:sz w:val="14"/>
                <w:szCs w:val="14"/>
                <w:color w:val="4D4D4F"/>
              </w:rPr>
              <w:t>700,000</w:t>
            </w:r>
          </w:p>
        </w:tc>
        <w:tc>
          <w:tcPr>
            <w:tcW w:w="2100" w:type="dxa"/>
            <w:vAlign w:val="bottom"/>
            <w:vMerge w:val="restart"/>
          </w:tcPr>
          <w:p>
            <w:pPr>
              <w:jc w:val="right"/>
              <w:spacing w:after="0"/>
              <w:rPr>
                <w:sz w:val="20"/>
                <w:szCs w:val="20"/>
                <w:color w:val="auto"/>
              </w:rPr>
            </w:pPr>
            <w:r>
              <w:rPr>
                <w:rFonts w:ascii="Arial" w:cs="Arial" w:eastAsia="Arial" w:hAnsi="Arial"/>
                <w:sz w:val="14"/>
                <w:szCs w:val="14"/>
                <w:color w:val="4D4D4F"/>
              </w:rPr>
              <w:t>1,550,000</w:t>
            </w:r>
          </w:p>
        </w:tc>
        <w:tc>
          <w:tcPr>
            <w:tcW w:w="2440" w:type="dxa"/>
            <w:vAlign w:val="bottom"/>
            <w:vMerge w:val="restart"/>
          </w:tcPr>
          <w:p>
            <w:pPr>
              <w:jc w:val="right"/>
              <w:ind w:right="968"/>
              <w:spacing w:after="0"/>
              <w:rPr>
                <w:sz w:val="20"/>
                <w:szCs w:val="20"/>
                <w:color w:val="auto"/>
              </w:rPr>
            </w:pPr>
            <w:r>
              <w:rPr>
                <w:rFonts w:ascii="Arial" w:cs="Arial" w:eastAsia="Arial" w:hAnsi="Arial"/>
                <w:sz w:val="14"/>
                <w:szCs w:val="14"/>
                <w:color w:val="4D4D4F"/>
              </w:rPr>
              <w:t>543,000</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4D4D4F"/>
              </w:rPr>
              <w:t>72 %</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4D4D4F"/>
              </w:rPr>
              <w:t>2,793,000</w:t>
            </w:r>
          </w:p>
        </w:tc>
        <w:tc>
          <w:tcPr>
            <w:tcW w:w="0" w:type="dxa"/>
            <w:vAlign w:val="bottom"/>
          </w:tcPr>
          <w:p>
            <w:pPr>
              <w:spacing w:after="0"/>
              <w:rPr>
                <w:sz w:val="1"/>
                <w:szCs w:val="1"/>
                <w:color w:val="auto"/>
              </w:rPr>
            </w:pPr>
          </w:p>
        </w:tc>
      </w:tr>
      <w:tr>
        <w:trPr>
          <w:trHeight w:val="123"/>
        </w:trPr>
        <w:tc>
          <w:tcPr>
            <w:tcW w:w="2800" w:type="dxa"/>
            <w:vAlign w:val="bottom"/>
            <w:vMerge w:val="restart"/>
          </w:tcPr>
          <w:p>
            <w:pPr>
              <w:ind w:left="100"/>
              <w:spacing w:after="0"/>
              <w:rPr>
                <w:sz w:val="20"/>
                <w:szCs w:val="20"/>
                <w:color w:val="auto"/>
              </w:rPr>
            </w:pPr>
            <w:r>
              <w:rPr>
                <w:rFonts w:ascii="Arial" w:cs="Arial" w:eastAsia="Arial" w:hAnsi="Arial"/>
                <w:sz w:val="14"/>
                <w:szCs w:val="14"/>
                <w:color w:val="4D4D4F"/>
              </w:rPr>
              <w:t>Executive Vice President and CFO</w:t>
            </w:r>
          </w:p>
        </w:tc>
        <w:tc>
          <w:tcPr>
            <w:tcW w:w="1840" w:type="dxa"/>
            <w:vAlign w:val="bottom"/>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2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80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John P. Rau</w:t>
            </w:r>
          </w:p>
        </w:tc>
        <w:tc>
          <w:tcPr>
            <w:tcW w:w="1840" w:type="dxa"/>
            <w:vAlign w:val="bottom"/>
            <w:shd w:val="clear" w:color="auto" w:fill="EAEEF2"/>
          </w:tcPr>
          <w:p>
            <w:pPr>
              <w:spacing w:after="0"/>
              <w:rPr>
                <w:sz w:val="16"/>
                <w:szCs w:val="16"/>
                <w:color w:val="auto"/>
              </w:rPr>
            </w:pPr>
          </w:p>
        </w:tc>
        <w:tc>
          <w:tcPr>
            <w:tcW w:w="2100" w:type="dxa"/>
            <w:vAlign w:val="bottom"/>
            <w:shd w:val="clear" w:color="auto" w:fill="DFEDE5"/>
          </w:tcPr>
          <w:p>
            <w:pPr>
              <w:spacing w:after="0"/>
              <w:rPr>
                <w:sz w:val="16"/>
                <w:szCs w:val="16"/>
                <w:color w:val="auto"/>
              </w:rPr>
            </w:pPr>
          </w:p>
        </w:tc>
        <w:tc>
          <w:tcPr>
            <w:tcW w:w="2440" w:type="dxa"/>
            <w:vAlign w:val="bottom"/>
            <w:shd w:val="clear" w:color="auto" w:fill="EAEEF2"/>
          </w:tcPr>
          <w:p>
            <w:pPr>
              <w:spacing w:after="0"/>
              <w:rPr>
                <w:sz w:val="16"/>
                <w:szCs w:val="16"/>
                <w:color w:val="auto"/>
              </w:rPr>
            </w:pPr>
          </w:p>
        </w:tc>
        <w:tc>
          <w:tcPr>
            <w:tcW w:w="480" w:type="dxa"/>
            <w:vAlign w:val="bottom"/>
            <w:shd w:val="clear" w:color="auto" w:fill="EAEEF2"/>
          </w:tcPr>
          <w:p>
            <w:pPr>
              <w:spacing w:after="0"/>
              <w:rPr>
                <w:sz w:val="16"/>
                <w:szCs w:val="16"/>
                <w:color w:val="auto"/>
              </w:rPr>
            </w:pPr>
          </w:p>
        </w:tc>
        <w:tc>
          <w:tcPr>
            <w:tcW w:w="1500" w:type="dxa"/>
            <w:vAlign w:val="bottom"/>
            <w:shd w:val="clear" w:color="auto" w:fill="DFED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Executive Vice President</w:t>
            </w:r>
          </w:p>
        </w:tc>
        <w:tc>
          <w:tcPr>
            <w:tcW w:w="1840" w:type="dxa"/>
            <w:vAlign w:val="bottom"/>
            <w:shd w:val="clear" w:color="auto" w:fill="EAEEF2"/>
          </w:tcPr>
          <w:p>
            <w:pPr>
              <w:jc w:val="right"/>
              <w:spacing w:after="0"/>
              <w:rPr>
                <w:sz w:val="20"/>
                <w:szCs w:val="20"/>
                <w:color w:val="auto"/>
              </w:rPr>
            </w:pPr>
            <w:r>
              <w:rPr>
                <w:rFonts w:ascii="Arial" w:cs="Arial" w:eastAsia="Arial" w:hAnsi="Arial"/>
                <w:sz w:val="14"/>
                <w:szCs w:val="14"/>
                <w:color w:val="4D4D4F"/>
              </w:rPr>
              <w:t>700,000</w:t>
            </w:r>
          </w:p>
        </w:tc>
        <w:tc>
          <w:tcPr>
            <w:tcW w:w="2100" w:type="dxa"/>
            <w:vAlign w:val="bottom"/>
            <w:shd w:val="clear" w:color="auto" w:fill="DFEDE5"/>
          </w:tcPr>
          <w:p>
            <w:pPr>
              <w:jc w:val="right"/>
              <w:spacing w:after="0"/>
              <w:rPr>
                <w:sz w:val="20"/>
                <w:szCs w:val="20"/>
                <w:color w:val="auto"/>
              </w:rPr>
            </w:pPr>
            <w:r>
              <w:rPr>
                <w:rFonts w:ascii="Arial" w:cs="Arial" w:eastAsia="Arial" w:hAnsi="Arial"/>
                <w:sz w:val="14"/>
                <w:szCs w:val="14"/>
                <w:color w:val="4D4D4F"/>
              </w:rPr>
              <w:t>1,550,000</w:t>
            </w:r>
          </w:p>
        </w:tc>
        <w:tc>
          <w:tcPr>
            <w:tcW w:w="2440" w:type="dxa"/>
            <w:vAlign w:val="bottom"/>
            <w:shd w:val="clear" w:color="auto" w:fill="EAEEF2"/>
          </w:tcPr>
          <w:p>
            <w:pPr>
              <w:jc w:val="right"/>
              <w:ind w:right="968"/>
              <w:spacing w:after="0"/>
              <w:rPr>
                <w:sz w:val="20"/>
                <w:szCs w:val="20"/>
                <w:color w:val="auto"/>
              </w:rPr>
            </w:pPr>
            <w:r>
              <w:rPr>
                <w:rFonts w:ascii="Arial" w:cs="Arial" w:eastAsia="Arial" w:hAnsi="Arial"/>
                <w:sz w:val="14"/>
                <w:szCs w:val="14"/>
                <w:color w:val="4D4D4F"/>
              </w:rPr>
              <w:t>543,000</w:t>
            </w:r>
          </w:p>
        </w:tc>
        <w:tc>
          <w:tcPr>
            <w:tcW w:w="480" w:type="dxa"/>
            <w:vAlign w:val="bottom"/>
            <w:shd w:val="clear" w:color="auto" w:fill="EAEEF2"/>
          </w:tcPr>
          <w:p>
            <w:pPr>
              <w:jc w:val="right"/>
              <w:spacing w:after="0"/>
              <w:rPr>
                <w:sz w:val="20"/>
                <w:szCs w:val="20"/>
                <w:color w:val="auto"/>
              </w:rPr>
            </w:pPr>
            <w:r>
              <w:rPr>
                <w:rFonts w:ascii="Arial" w:cs="Arial" w:eastAsia="Arial" w:hAnsi="Arial"/>
                <w:sz w:val="14"/>
                <w:szCs w:val="14"/>
                <w:color w:val="4D4D4F"/>
              </w:rPr>
              <w:t>72 %</w:t>
            </w:r>
          </w:p>
        </w:tc>
        <w:tc>
          <w:tcPr>
            <w:tcW w:w="1500" w:type="dxa"/>
            <w:vAlign w:val="bottom"/>
            <w:shd w:val="clear" w:color="auto" w:fill="DFEDE5"/>
          </w:tcPr>
          <w:p>
            <w:pPr>
              <w:jc w:val="right"/>
              <w:ind w:right="48"/>
              <w:spacing w:after="0"/>
              <w:rPr>
                <w:sz w:val="20"/>
                <w:szCs w:val="20"/>
                <w:color w:val="auto"/>
              </w:rPr>
            </w:pPr>
            <w:r>
              <w:rPr>
                <w:rFonts w:ascii="Arial" w:cs="Arial" w:eastAsia="Arial" w:hAnsi="Arial"/>
                <w:sz w:val="14"/>
                <w:szCs w:val="14"/>
                <w:color w:val="4D4D4F"/>
              </w:rPr>
              <w:t>2,793,000</w:t>
            </w:r>
          </w:p>
        </w:tc>
        <w:tc>
          <w:tcPr>
            <w:tcW w:w="0" w:type="dxa"/>
            <w:vAlign w:val="bottom"/>
          </w:tcPr>
          <w:p>
            <w:pPr>
              <w:spacing w:after="0"/>
              <w:rPr>
                <w:sz w:val="1"/>
                <w:szCs w:val="1"/>
                <w:color w:val="auto"/>
              </w:rPr>
            </w:pPr>
          </w:p>
        </w:tc>
      </w:tr>
      <w:tr>
        <w:trPr>
          <w:trHeight w:val="190"/>
        </w:trPr>
        <w:tc>
          <w:tcPr>
            <w:tcW w:w="280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Global Aviation, Land and Marine</w:t>
            </w:r>
          </w:p>
        </w:tc>
        <w:tc>
          <w:tcPr>
            <w:tcW w:w="1840" w:type="dxa"/>
            <w:vAlign w:val="bottom"/>
            <w:shd w:val="clear" w:color="auto" w:fill="EAEEF2"/>
          </w:tcPr>
          <w:p>
            <w:pPr>
              <w:spacing w:after="0"/>
              <w:rPr>
                <w:sz w:val="16"/>
                <w:szCs w:val="16"/>
                <w:color w:val="auto"/>
              </w:rPr>
            </w:pPr>
          </w:p>
        </w:tc>
        <w:tc>
          <w:tcPr>
            <w:tcW w:w="2100" w:type="dxa"/>
            <w:vAlign w:val="bottom"/>
            <w:shd w:val="clear" w:color="auto" w:fill="DFEDE5"/>
          </w:tcPr>
          <w:p>
            <w:pPr>
              <w:spacing w:after="0"/>
              <w:rPr>
                <w:sz w:val="16"/>
                <w:szCs w:val="16"/>
                <w:color w:val="auto"/>
              </w:rPr>
            </w:pPr>
          </w:p>
        </w:tc>
        <w:tc>
          <w:tcPr>
            <w:tcW w:w="2440" w:type="dxa"/>
            <w:vAlign w:val="bottom"/>
            <w:shd w:val="clear" w:color="auto" w:fill="EAEEF2"/>
          </w:tcPr>
          <w:p>
            <w:pPr>
              <w:spacing w:after="0"/>
              <w:rPr>
                <w:sz w:val="16"/>
                <w:szCs w:val="16"/>
                <w:color w:val="auto"/>
              </w:rPr>
            </w:pPr>
          </w:p>
        </w:tc>
        <w:tc>
          <w:tcPr>
            <w:tcW w:w="480" w:type="dxa"/>
            <w:vAlign w:val="bottom"/>
            <w:shd w:val="clear" w:color="auto" w:fill="EAEEF2"/>
          </w:tcPr>
          <w:p>
            <w:pPr>
              <w:spacing w:after="0"/>
              <w:rPr>
                <w:sz w:val="16"/>
                <w:szCs w:val="16"/>
                <w:color w:val="auto"/>
              </w:rPr>
            </w:pPr>
          </w:p>
        </w:tc>
        <w:tc>
          <w:tcPr>
            <w:tcW w:w="1500" w:type="dxa"/>
            <w:vAlign w:val="bottom"/>
            <w:shd w:val="clear" w:color="auto" w:fill="DFEDE5"/>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800" w:type="dxa"/>
            <w:vAlign w:val="bottom"/>
            <w:tcBorders>
              <w:bottom w:val="single" w:sz="8" w:color="298655"/>
            </w:tcBorders>
            <w:shd w:val="clear" w:color="auto" w:fill="EAEEF2"/>
          </w:tcPr>
          <w:p>
            <w:pPr>
              <w:spacing w:after="0"/>
              <w:rPr>
                <w:sz w:val="6"/>
                <w:szCs w:val="6"/>
                <w:color w:val="auto"/>
              </w:rPr>
            </w:pPr>
          </w:p>
        </w:tc>
        <w:tc>
          <w:tcPr>
            <w:tcW w:w="1840" w:type="dxa"/>
            <w:vAlign w:val="bottom"/>
            <w:tcBorders>
              <w:bottom w:val="single" w:sz="8" w:color="298655"/>
            </w:tcBorders>
            <w:shd w:val="clear" w:color="auto" w:fill="EAEEF2"/>
          </w:tcPr>
          <w:p>
            <w:pPr>
              <w:spacing w:after="0"/>
              <w:rPr>
                <w:sz w:val="6"/>
                <w:szCs w:val="6"/>
                <w:color w:val="auto"/>
              </w:rPr>
            </w:pPr>
          </w:p>
        </w:tc>
        <w:tc>
          <w:tcPr>
            <w:tcW w:w="2100" w:type="dxa"/>
            <w:vAlign w:val="bottom"/>
            <w:tcBorders>
              <w:bottom w:val="single" w:sz="8" w:color="298655"/>
            </w:tcBorders>
            <w:shd w:val="clear" w:color="auto" w:fill="DFEDE5"/>
          </w:tcPr>
          <w:p>
            <w:pPr>
              <w:spacing w:after="0"/>
              <w:rPr>
                <w:sz w:val="6"/>
                <w:szCs w:val="6"/>
                <w:color w:val="auto"/>
              </w:rPr>
            </w:pPr>
          </w:p>
        </w:tc>
        <w:tc>
          <w:tcPr>
            <w:tcW w:w="2440" w:type="dxa"/>
            <w:vAlign w:val="bottom"/>
            <w:tcBorders>
              <w:bottom w:val="single" w:sz="8" w:color="298655"/>
            </w:tcBorders>
            <w:shd w:val="clear" w:color="auto" w:fill="EAEEF2"/>
          </w:tcPr>
          <w:p>
            <w:pPr>
              <w:spacing w:after="0"/>
              <w:rPr>
                <w:sz w:val="6"/>
                <w:szCs w:val="6"/>
                <w:color w:val="auto"/>
              </w:rPr>
            </w:pPr>
          </w:p>
        </w:tc>
        <w:tc>
          <w:tcPr>
            <w:tcW w:w="480" w:type="dxa"/>
            <w:vAlign w:val="bottom"/>
            <w:tcBorders>
              <w:bottom w:val="single" w:sz="8" w:color="298655"/>
            </w:tcBorders>
            <w:shd w:val="clear" w:color="auto" w:fill="EAEEF2"/>
          </w:tcPr>
          <w:p>
            <w:pPr>
              <w:spacing w:after="0"/>
              <w:rPr>
                <w:sz w:val="6"/>
                <w:szCs w:val="6"/>
                <w:color w:val="auto"/>
              </w:rPr>
            </w:pPr>
          </w:p>
        </w:tc>
        <w:tc>
          <w:tcPr>
            <w:tcW w:w="1500" w:type="dxa"/>
            <w:vAlign w:val="bottom"/>
            <w:tcBorders>
              <w:bottom w:val="single" w:sz="8" w:color="298655"/>
            </w:tcBorders>
            <w:shd w:val="clear" w:color="auto" w:fill="DFEDE5"/>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340" w:hanging="332"/>
        <w:spacing w:after="0" w:line="273" w:lineRule="auto"/>
        <w:tabs>
          <w:tab w:leader="none" w:pos="336" w:val="left"/>
        </w:tabs>
        <w:numPr>
          <w:ilvl w:val="0"/>
          <w:numId w:val="21"/>
        </w:numPr>
        <w:rPr>
          <w:rFonts w:ascii="Arial" w:cs="Arial" w:eastAsia="Arial" w:hAnsi="Arial"/>
          <w:sz w:val="14"/>
          <w:szCs w:val="14"/>
          <w:color w:val="4D4D4F"/>
        </w:rPr>
      </w:pPr>
      <w:r>
        <w:rPr>
          <w:rFonts w:ascii="Arial" w:cs="Arial" w:eastAsia="Arial" w:hAnsi="Arial"/>
          <w:sz w:val="14"/>
          <w:szCs w:val="14"/>
          <w:color w:val="4D4D4F"/>
        </w:rPr>
        <w:t>Grant date value consisting of 60% performance-based restricted stock units (at target) and 40% service-based restricted stock units. Reflects the target award values approved by the Compensation Committee, which differ from the accounting grant date fair values as calculated in accordance with ASC 718 and presented in the “Summary Compensation Table” and the “Grants of Plan-Based Awards” table.</w:t>
      </w:r>
    </w:p>
    <w:p>
      <w:pPr>
        <w:spacing w:after="0" w:line="17" w:lineRule="exact"/>
        <w:rPr>
          <w:rFonts w:ascii="Arial" w:cs="Arial" w:eastAsia="Arial" w:hAnsi="Arial"/>
          <w:sz w:val="14"/>
          <w:szCs w:val="14"/>
          <w:color w:val="4D4D4F"/>
        </w:rPr>
      </w:pPr>
    </w:p>
    <w:p>
      <w:pPr>
        <w:ind w:left="320" w:hanging="312"/>
        <w:spacing w:after="0"/>
        <w:tabs>
          <w:tab w:leader="none" w:pos="320" w:val="left"/>
        </w:tabs>
        <w:numPr>
          <w:ilvl w:val="0"/>
          <w:numId w:val="21"/>
        </w:numPr>
        <w:rPr>
          <w:rFonts w:ascii="Arial" w:cs="Arial" w:eastAsia="Arial" w:hAnsi="Arial"/>
          <w:sz w:val="14"/>
          <w:szCs w:val="14"/>
          <w:color w:val="4D4D4F"/>
        </w:rPr>
      </w:pPr>
      <w:r>
        <w:rPr>
          <w:rFonts w:ascii="Arial" w:cs="Arial" w:eastAsia="Arial" w:hAnsi="Arial"/>
          <w:sz w:val="14"/>
          <w:szCs w:val="14"/>
          <w:color w:val="4D4D4F"/>
        </w:rPr>
        <w:t>60% based on adjusted EBITDA and 40% based on strategic objectives, after accounting for Compensation Committee exercise of negative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529B"/>
              </w:rPr>
              <w:t>9</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4"/>
          <w:szCs w:val="14"/>
          <w:b w:val="1"/>
          <w:bCs w:val="1"/>
          <w:color w:val="5B6770"/>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8770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60" w:hanging="488"/>
        <w:spacing w:after="0"/>
        <w:tabs>
          <w:tab w:leader="none" w:pos="960" w:val="left"/>
        </w:tabs>
        <w:numPr>
          <w:ilvl w:val="0"/>
          <w:numId w:val="22"/>
        </w:numPr>
        <w:rPr>
          <w:rFonts w:ascii="Arial" w:cs="Arial" w:eastAsia="Arial" w:hAnsi="Arial"/>
          <w:sz w:val="40"/>
          <w:szCs w:val="40"/>
          <w:b w:val="1"/>
          <w:bCs w:val="1"/>
          <w:color w:val="00529B"/>
        </w:rPr>
      </w:pPr>
      <w:r>
        <w:rPr>
          <w:rFonts w:ascii="Arial" w:cs="Arial" w:eastAsia="Arial" w:hAnsi="Arial"/>
          <w:sz w:val="40"/>
          <w:szCs w:val="40"/>
          <w:color w:val="00529B"/>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139700</wp:posOffset>
            </wp:positionV>
            <wp:extent cx="6995160" cy="13373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337310"/>
                    </a:xfrm>
                    <a:prstGeom prst="rect">
                      <a:avLst/>
                    </a:prstGeom>
                    <a:noFill/>
                  </pic:spPr>
                </pic:pic>
              </a:graphicData>
            </a:graphic>
          </wp:anchor>
        </w:drawing>
      </w:r>
    </w:p>
    <w:p>
      <w:pPr>
        <w:spacing w:after="0" w:line="213" w:lineRule="exact"/>
        <w:rPr>
          <w:sz w:val="20"/>
          <w:szCs w:val="20"/>
          <w:color w:val="auto"/>
        </w:rPr>
      </w:pPr>
    </w:p>
    <w:p>
      <w:pPr>
        <w:ind w:left="400" w:right="560"/>
        <w:spacing w:after="0" w:line="321" w:lineRule="auto"/>
        <w:rPr>
          <w:sz w:val="20"/>
          <w:szCs w:val="20"/>
          <w:color w:val="auto"/>
        </w:rPr>
      </w:pPr>
      <w:r>
        <w:rPr>
          <w:rFonts w:ascii="Arial" w:cs="Arial" w:eastAsia="Arial" w:hAnsi="Arial"/>
          <w:sz w:val="16"/>
          <w:szCs w:val="16"/>
          <w:color w:val="4D4D4F"/>
        </w:rPr>
        <w:t>Nine individuals have been nominated to serve as our directors for the ensuing year and until their successors shall have been duly elected and qualified. All nominees are presently directors.</w:t>
      </w:r>
    </w:p>
    <w:p>
      <w:pPr>
        <w:spacing w:after="0" w:line="102" w:lineRule="exact"/>
        <w:rPr>
          <w:sz w:val="20"/>
          <w:szCs w:val="20"/>
          <w:color w:val="auto"/>
        </w:rPr>
      </w:pPr>
    </w:p>
    <w:p>
      <w:pPr>
        <w:ind w:left="400" w:right="200"/>
        <w:spacing w:after="0" w:line="289" w:lineRule="auto"/>
        <w:rPr>
          <w:sz w:val="20"/>
          <w:szCs w:val="20"/>
          <w:color w:val="auto"/>
        </w:rPr>
      </w:pPr>
      <w:r>
        <w:rPr>
          <w:rFonts w:ascii="Arial" w:cs="Arial" w:eastAsia="Arial" w:hAnsi="Arial"/>
          <w:sz w:val="16"/>
          <w:szCs w:val="16"/>
          <w:color w:val="4D4D4F"/>
        </w:rPr>
        <w:t>The persons named as proxies in the accompanying proxy card have advised management that unless authority is withheld in the proxy, they intend to vote for the election of the individuals identified as nominees below. We do not contemplate that any nominee named below will be unable or will decline to serve. However, if any nominee is unable to serve or declines to serve, the persons named in the accompanying proxy card may vote for another person, or persons, in their discretion, unless our Board chooses to reduce the number of directors serving on the Board. In accordance with our By-Laws, the Board may consist of four to ten directors, and the Board may increase or decrease the number of directors by amending our By-Laws. The Board presently consists of nine directors.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8600" w:type="dxa"/>
            <w:vAlign w:val="bottom"/>
            <w:shd w:val="clear" w:color="auto" w:fill="132440"/>
          </w:tcPr>
          <w:p>
            <w:pPr>
              <w:ind w:left="400"/>
              <w:spacing w:after="0"/>
              <w:rPr>
                <w:sz w:val="20"/>
                <w:szCs w:val="20"/>
                <w:color w:val="auto"/>
              </w:rPr>
            </w:pPr>
            <w:r>
              <w:rPr>
                <w:rFonts w:ascii="Arial" w:cs="Arial" w:eastAsia="Arial" w:hAnsi="Arial"/>
                <w:sz w:val="20"/>
                <w:szCs w:val="20"/>
                <w:color w:val="FFFFFF"/>
              </w:rPr>
              <w:t>The Board of Directors unanimously recommends a vote “FOR” the election of each of the</w:t>
            </w:r>
          </w:p>
        </w:tc>
        <w:tc>
          <w:tcPr>
            <w:tcW w:w="2640" w:type="dxa"/>
            <w:vAlign w:val="bottom"/>
            <w:shd w:val="clear" w:color="auto" w:fill="298655"/>
          </w:tcPr>
          <w:p>
            <w:pPr>
              <w:jc w:val="center"/>
              <w:ind w:left="19"/>
              <w:spacing w:after="0"/>
              <w:rPr>
                <w:sz w:val="20"/>
                <w:szCs w:val="20"/>
                <w:color w:val="auto"/>
              </w:rPr>
            </w:pPr>
            <w:r>
              <w:rPr>
                <w:rFonts w:ascii="Arial" w:cs="Arial" w:eastAsia="Arial" w:hAnsi="Arial"/>
                <w:sz w:val="32"/>
                <w:szCs w:val="32"/>
                <w:b w:val="1"/>
                <w:bCs w:val="1"/>
                <w:color w:val="FFFFFF"/>
              </w:rPr>
              <w:t>“FOR”</w:t>
            </w:r>
          </w:p>
        </w:tc>
      </w:tr>
      <w:tr>
        <w:trPr>
          <w:trHeight w:val="274"/>
        </w:trPr>
        <w:tc>
          <w:tcPr>
            <w:tcW w:w="8600" w:type="dxa"/>
            <w:vAlign w:val="bottom"/>
            <w:shd w:val="clear" w:color="auto" w:fill="132440"/>
          </w:tcPr>
          <w:p>
            <w:pPr>
              <w:ind w:left="400"/>
              <w:spacing w:after="0"/>
              <w:rPr>
                <w:sz w:val="20"/>
                <w:szCs w:val="20"/>
                <w:color w:val="auto"/>
              </w:rPr>
            </w:pPr>
            <w:r>
              <w:rPr>
                <w:rFonts w:ascii="Arial" w:cs="Arial" w:eastAsia="Arial" w:hAnsi="Arial"/>
                <w:sz w:val="20"/>
                <w:szCs w:val="20"/>
                <w:color w:val="FFFFFF"/>
              </w:rPr>
              <w:t>below director nominees.</w:t>
            </w:r>
          </w:p>
        </w:tc>
        <w:tc>
          <w:tcPr>
            <w:tcW w:w="2640" w:type="dxa"/>
            <w:vAlign w:val="bottom"/>
            <w:shd w:val="clear" w:color="auto" w:fill="298655"/>
          </w:tcPr>
          <w:p>
            <w:pPr>
              <w:jc w:val="center"/>
              <w:spacing w:after="0"/>
              <w:rPr>
                <w:sz w:val="20"/>
                <w:szCs w:val="20"/>
                <w:color w:val="auto"/>
              </w:rPr>
            </w:pPr>
            <w:r>
              <w:rPr>
                <w:rFonts w:ascii="Arial" w:cs="Arial" w:eastAsia="Arial" w:hAnsi="Arial"/>
                <w:sz w:val="16"/>
                <w:szCs w:val="16"/>
                <w:color w:val="FFFFFF"/>
              </w:rPr>
              <w:t>each director nominee</w:t>
            </w:r>
          </w:p>
        </w:tc>
      </w:tr>
    </w:tbl>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Director Nominees</w:t>
      </w:r>
    </w:p>
    <w:p>
      <w:pPr>
        <w:spacing w:after="0" w:line="14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4D4D4F"/>
        </w:rPr>
        <w:t>We believe that each of our nominees possesses the experience, skills, characteristics and qualities to fully perform his or her duties as a director and to contribute to our success. In addition, each of our nominees is being nominated because they possess the highest standards of personal integrity, are accomplished in their field, have an understanding of the interests and issues that are important to our shareholders and are able to dedicate sufficient time to fulfilling their obligations as a director. Our nominees as a group complement each other and each other’s respective experiences, skills, characteristics and qualities. For an additional discussion of the nomination process, see “Nominee Qualifications and the Nomination Process” beginning on page 28 of this proxy statement.</w:t>
      </w:r>
    </w:p>
    <w:p>
      <w:pPr>
        <w:spacing w:after="0" w:line="129" w:lineRule="exact"/>
        <w:rPr>
          <w:sz w:val="20"/>
          <w:szCs w:val="20"/>
          <w:color w:val="auto"/>
        </w:rPr>
      </w:pPr>
    </w:p>
    <w:p>
      <w:pPr>
        <w:jc w:val="both"/>
        <w:ind w:right="240"/>
        <w:spacing w:after="0" w:line="301" w:lineRule="auto"/>
        <w:rPr>
          <w:sz w:val="20"/>
          <w:szCs w:val="20"/>
          <w:color w:val="auto"/>
        </w:rPr>
      </w:pPr>
      <w:r>
        <w:rPr>
          <w:rFonts w:ascii="Arial" w:cs="Arial" w:eastAsia="Arial" w:hAnsi="Arial"/>
          <w:sz w:val="16"/>
          <w:szCs w:val="16"/>
          <w:color w:val="4D4D4F"/>
        </w:rPr>
        <w:t>The following sets forth certain information with respect to each nominee standing for election to the Board. The biographies of each of the nominees and directors contain information regarding the individual’s service as a director, business experience, and the qualifications, characteristics or skills that led to the conclusion that the individual should serve as our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0" w:hanging="534"/>
        <w:spacing w:after="0"/>
        <w:tabs>
          <w:tab w:leader="none" w:pos="560" w:val="left"/>
        </w:tabs>
        <w:numPr>
          <w:ilvl w:val="0"/>
          <w:numId w:val="23"/>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4"/>
          <w:szCs w:val="14"/>
          <w:b w:val="1"/>
          <w:bCs w:val="1"/>
          <w:color w:val="5B6770"/>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29B"/>
        </w:rPr>
        <w:t xml:space="preserve">Age: </w:t>
      </w:r>
      <w:r>
        <w:rPr>
          <w:rFonts w:ascii="Arial" w:cs="Arial" w:eastAsia="Arial" w:hAnsi="Arial"/>
          <w:sz w:val="14"/>
          <w:szCs w:val="14"/>
          <w:color w:val="4D4D4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-1167130</wp:posOffset>
            </wp:positionV>
            <wp:extent cx="1645920" cy="17487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45920" cy="1748790"/>
                    </a:xfrm>
                    <a:prstGeom prst="rect">
                      <a:avLst/>
                    </a:prstGeom>
                    <a:noFill/>
                  </pic:spPr>
                </pic:pic>
              </a:graphicData>
            </a:graphic>
          </wp:anchor>
        </w:drawing>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29B"/>
        </w:rPr>
        <w:t xml:space="preserve">Director Since: </w:t>
      </w:r>
      <w:r>
        <w:rPr>
          <w:rFonts w:ascii="Arial" w:cs="Arial" w:eastAsia="Arial" w:hAnsi="Arial"/>
          <w:sz w:val="14"/>
          <w:szCs w:val="14"/>
          <w:color w:val="4D4D4F"/>
        </w:rPr>
        <w:t>1995</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29B"/>
        </w:rPr>
        <w:t xml:space="preserve">Committees: </w:t>
      </w:r>
      <w:r>
        <w:rPr>
          <w:rFonts w:ascii="Arial" w:cs="Arial" w:eastAsia="Arial" w:hAnsi="Arial"/>
          <w:sz w:val="14"/>
          <w:szCs w:val="14"/>
          <w:color w:val="4D4D4F"/>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
        <w:spacing w:after="0"/>
        <w:rPr>
          <w:sz w:val="20"/>
          <w:szCs w:val="20"/>
          <w:color w:val="auto"/>
        </w:rPr>
      </w:pPr>
      <w:r>
        <w:rPr>
          <w:rFonts w:ascii="Arial" w:cs="Arial" w:eastAsia="Arial" w:hAnsi="Arial"/>
          <w:sz w:val="38"/>
          <w:szCs w:val="38"/>
          <w:b w:val="1"/>
          <w:bCs w:val="1"/>
          <w:color w:val="00529B"/>
        </w:rPr>
        <w:t>Michael J. Kasbar</w:t>
      </w:r>
    </w:p>
    <w:p>
      <w:pPr>
        <w:spacing w:after="0" w:line="107"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298655"/>
        </w:rPr>
        <w:t>Chairman, President and Chief Executive Officer</w:t>
      </w:r>
    </w:p>
    <w:p>
      <w:pPr>
        <w:spacing w:after="0" w:line="345"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00529B"/>
        </w:rPr>
        <w:t>BACKGROUND</w:t>
      </w:r>
    </w:p>
    <w:p>
      <w:pPr>
        <w:spacing w:after="0" w:line="204" w:lineRule="exact"/>
        <w:rPr>
          <w:sz w:val="20"/>
          <w:szCs w:val="20"/>
          <w:color w:val="auto"/>
        </w:rPr>
      </w:pPr>
    </w:p>
    <w:p>
      <w:pPr>
        <w:ind w:left="245" w:hanging="245"/>
        <w:spacing w:after="0"/>
        <w:tabs>
          <w:tab w:leader="none" w:pos="245" w:val="left"/>
        </w:tabs>
        <w:numPr>
          <w:ilvl w:val="0"/>
          <w:numId w:val="24"/>
        </w:numPr>
        <w:rPr>
          <w:rFonts w:ascii="Arial" w:cs="Arial" w:eastAsia="Arial" w:hAnsi="Arial"/>
          <w:sz w:val="14"/>
          <w:szCs w:val="14"/>
          <w:b w:val="1"/>
          <w:bCs w:val="1"/>
          <w:color w:val="00529B"/>
        </w:rPr>
      </w:pPr>
      <w:r>
        <w:rPr>
          <w:rFonts w:ascii="Arial" w:cs="Arial" w:eastAsia="Arial" w:hAnsi="Arial"/>
          <w:sz w:val="14"/>
          <w:szCs w:val="14"/>
          <w:color w:val="4D4D4F"/>
        </w:rPr>
        <w:t>Chairman of the Board since May 2014 and has served as our President and Chief Executive Officer since January 2012.</w:t>
      </w:r>
    </w:p>
    <w:p>
      <w:pPr>
        <w:spacing w:after="0" w:line="68" w:lineRule="exact"/>
        <w:rPr>
          <w:rFonts w:ascii="Arial" w:cs="Arial" w:eastAsia="Arial" w:hAnsi="Arial"/>
          <w:sz w:val="14"/>
          <w:szCs w:val="14"/>
          <w:b w:val="1"/>
          <w:bCs w:val="1"/>
          <w:color w:val="00529B"/>
        </w:rPr>
      </w:pPr>
    </w:p>
    <w:p>
      <w:pPr>
        <w:ind w:left="245" w:hanging="245"/>
        <w:spacing w:after="0"/>
        <w:tabs>
          <w:tab w:leader="none" w:pos="245" w:val="left"/>
        </w:tabs>
        <w:numPr>
          <w:ilvl w:val="0"/>
          <w:numId w:val="24"/>
        </w:numPr>
        <w:rPr>
          <w:rFonts w:ascii="Arial" w:cs="Arial" w:eastAsia="Arial" w:hAnsi="Arial"/>
          <w:sz w:val="14"/>
          <w:szCs w:val="14"/>
          <w:b w:val="1"/>
          <w:bCs w:val="1"/>
          <w:color w:val="00529B"/>
        </w:rPr>
      </w:pPr>
      <w:r>
        <w:rPr>
          <w:rFonts w:ascii="Arial" w:cs="Arial" w:eastAsia="Arial" w:hAnsi="Arial"/>
          <w:sz w:val="14"/>
          <w:szCs w:val="14"/>
          <w:color w:val="4D4D4F"/>
        </w:rPr>
        <w:t>President and Chief Operating Officer of our company from July 2002 to December 2011.</w:t>
      </w:r>
    </w:p>
    <w:p>
      <w:pPr>
        <w:spacing w:after="0" w:line="82" w:lineRule="exact"/>
        <w:rPr>
          <w:rFonts w:ascii="Arial" w:cs="Arial" w:eastAsia="Arial" w:hAnsi="Arial"/>
          <w:sz w:val="14"/>
          <w:szCs w:val="14"/>
          <w:b w:val="1"/>
          <w:bCs w:val="1"/>
          <w:color w:val="00529B"/>
        </w:rPr>
      </w:pPr>
    </w:p>
    <w:p>
      <w:pPr>
        <w:ind w:left="245" w:right="220" w:hanging="245"/>
        <w:spacing w:after="0" w:line="301" w:lineRule="auto"/>
        <w:tabs>
          <w:tab w:leader="none" w:pos="241" w:val="left"/>
        </w:tabs>
        <w:numPr>
          <w:ilvl w:val="0"/>
          <w:numId w:val="24"/>
        </w:numPr>
        <w:rPr>
          <w:rFonts w:ascii="Arial" w:cs="Arial" w:eastAsia="Arial" w:hAnsi="Arial"/>
          <w:sz w:val="14"/>
          <w:szCs w:val="14"/>
          <w:b w:val="1"/>
          <w:bCs w:val="1"/>
          <w:color w:val="00529B"/>
        </w:rPr>
      </w:pPr>
      <w:r>
        <w:rPr>
          <w:rFonts w:ascii="Arial" w:cs="Arial" w:eastAsia="Arial" w:hAnsi="Arial"/>
          <w:sz w:val="14"/>
          <w:szCs w:val="14"/>
          <w:color w:val="4D4D4F"/>
        </w:rPr>
        <w:t>Chief Executive Officer of World Fuel Services Americas, Inc. (formerly Trans-Tec Services, Inc.), from January 1995 to July 2002, at the time our principal subsidiary engaged in the marine fuel services business.</w:t>
      </w:r>
    </w:p>
    <w:p>
      <w:pPr>
        <w:spacing w:after="0" w:line="1" w:lineRule="exact"/>
        <w:rPr>
          <w:rFonts w:ascii="Arial" w:cs="Arial" w:eastAsia="Arial" w:hAnsi="Arial"/>
          <w:sz w:val="14"/>
          <w:szCs w:val="14"/>
          <w:b w:val="1"/>
          <w:bCs w:val="1"/>
          <w:color w:val="00529B"/>
        </w:rPr>
      </w:pPr>
    </w:p>
    <w:p>
      <w:pPr>
        <w:ind w:left="245" w:right="380" w:hanging="245"/>
        <w:spacing w:after="0" w:line="311" w:lineRule="auto"/>
        <w:tabs>
          <w:tab w:leader="none" w:pos="241" w:val="left"/>
        </w:tabs>
        <w:numPr>
          <w:ilvl w:val="0"/>
          <w:numId w:val="24"/>
        </w:numPr>
        <w:rPr>
          <w:rFonts w:ascii="Arial" w:cs="Arial" w:eastAsia="Arial" w:hAnsi="Arial"/>
          <w:sz w:val="14"/>
          <w:szCs w:val="14"/>
          <w:b w:val="1"/>
          <w:bCs w:val="1"/>
          <w:color w:val="00529B"/>
        </w:rPr>
      </w:pPr>
      <w:r>
        <w:rPr>
          <w:rFonts w:ascii="Arial" w:cs="Arial" w:eastAsia="Arial" w:hAnsi="Arial"/>
          <w:sz w:val="14"/>
          <w:szCs w:val="14"/>
          <w:color w:val="4D4D4F"/>
        </w:rPr>
        <w:t>Officer, shareholder and director of Trans-Tec Services, Inc., a global marine fuel services company which Mr. Kasbar co-founded in 1985 with Mr. Stebbins, from September 1985 to December 1994.</w:t>
      </w:r>
    </w:p>
    <w:p>
      <w:pPr>
        <w:spacing w:after="0" w:line="1" w:lineRule="exact"/>
        <w:rPr>
          <w:rFonts w:ascii="Arial" w:cs="Arial" w:eastAsia="Arial" w:hAnsi="Arial"/>
          <w:sz w:val="14"/>
          <w:szCs w:val="14"/>
          <w:b w:val="1"/>
          <w:bCs w:val="1"/>
          <w:color w:val="00529B"/>
        </w:rPr>
      </w:pPr>
    </w:p>
    <w:p>
      <w:pPr>
        <w:ind w:left="245" w:hanging="245"/>
        <w:spacing w:after="0"/>
        <w:tabs>
          <w:tab w:leader="none" w:pos="245" w:val="left"/>
        </w:tabs>
        <w:numPr>
          <w:ilvl w:val="0"/>
          <w:numId w:val="24"/>
        </w:numPr>
        <w:rPr>
          <w:rFonts w:ascii="Arial" w:cs="Arial" w:eastAsia="Arial" w:hAnsi="Arial"/>
          <w:sz w:val="14"/>
          <w:szCs w:val="14"/>
          <w:b w:val="1"/>
          <w:bCs w:val="1"/>
          <w:color w:val="00529B"/>
        </w:rPr>
      </w:pPr>
      <w:r>
        <w:rPr>
          <w:rFonts w:ascii="Arial" w:cs="Arial" w:eastAsia="Arial" w:hAnsi="Arial"/>
          <w:sz w:val="14"/>
          <w:szCs w:val="14"/>
          <w:color w:val="4D4D4F"/>
        </w:rPr>
        <w:t>A member of the Business Roundtable.</w:t>
      </w:r>
    </w:p>
    <w:p>
      <w:pPr>
        <w:spacing w:after="0" w:line="68" w:lineRule="exact"/>
        <w:rPr>
          <w:rFonts w:ascii="Arial" w:cs="Arial" w:eastAsia="Arial" w:hAnsi="Arial"/>
          <w:sz w:val="14"/>
          <w:szCs w:val="14"/>
          <w:b w:val="1"/>
          <w:bCs w:val="1"/>
          <w:color w:val="00529B"/>
        </w:rPr>
      </w:pPr>
    </w:p>
    <w:p>
      <w:pPr>
        <w:ind w:left="245" w:hanging="245"/>
        <w:spacing w:after="0"/>
        <w:tabs>
          <w:tab w:leader="none" w:pos="245" w:val="left"/>
        </w:tabs>
        <w:numPr>
          <w:ilvl w:val="0"/>
          <w:numId w:val="24"/>
        </w:numPr>
        <w:rPr>
          <w:rFonts w:ascii="Arial" w:cs="Arial" w:eastAsia="Arial" w:hAnsi="Arial"/>
          <w:sz w:val="14"/>
          <w:szCs w:val="14"/>
          <w:b w:val="1"/>
          <w:bCs w:val="1"/>
          <w:color w:val="00529B"/>
        </w:rPr>
      </w:pPr>
      <w:r>
        <w:rPr>
          <w:rFonts w:ascii="Arial" w:cs="Arial" w:eastAsia="Arial" w:hAnsi="Arial"/>
          <w:sz w:val="14"/>
          <w:szCs w:val="14"/>
          <w:color w:val="4D4D4F"/>
        </w:rPr>
        <w:t>First cousin of our director, Richard A. Kassar.</w:t>
      </w:r>
    </w:p>
    <w:p>
      <w:pPr>
        <w:spacing w:after="0" w:line="200" w:lineRule="exact"/>
        <w:rPr>
          <w:sz w:val="20"/>
          <w:szCs w:val="20"/>
          <w:color w:val="auto"/>
        </w:rPr>
      </w:pPr>
    </w:p>
    <w:p>
      <w:pPr>
        <w:spacing w:after="0" w:line="287"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00529B"/>
        </w:rPr>
        <w:t>SKILLS &amp; QUALIFICATIONS</w:t>
      </w:r>
    </w:p>
    <w:p>
      <w:pPr>
        <w:spacing w:after="0" w:line="190" w:lineRule="exact"/>
        <w:rPr>
          <w:sz w:val="20"/>
          <w:szCs w:val="20"/>
          <w:color w:val="auto"/>
        </w:rPr>
      </w:pPr>
    </w:p>
    <w:p>
      <w:pPr>
        <w:ind w:left="5" w:right="180"/>
        <w:spacing w:after="0" w:line="305" w:lineRule="auto"/>
        <w:rPr>
          <w:sz w:val="20"/>
          <w:szCs w:val="20"/>
          <w:color w:val="auto"/>
        </w:rPr>
      </w:pPr>
      <w:r>
        <w:rPr>
          <w:rFonts w:ascii="Arial" w:cs="Arial" w:eastAsia="Arial" w:hAnsi="Arial"/>
          <w:sz w:val="14"/>
          <w:szCs w:val="14"/>
          <w:color w:val="4D4D4F"/>
        </w:rPr>
        <w:t>Mr. Kasbar brings to the Board a unique understanding of our strategies and operations through over 25 years of service with us and more than 35 years of experience in the fuel services business.</w:t>
      </w:r>
    </w:p>
    <w:p>
      <w:pPr>
        <w:spacing w:after="0" w:line="9"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298655"/>
        </w:rPr>
        <w:t>KEY SKILLS</w:t>
      </w:r>
    </w:p>
    <w:p>
      <w:pPr>
        <w:spacing w:after="0" w:line="190" w:lineRule="exact"/>
        <w:rPr>
          <w:sz w:val="20"/>
          <w:szCs w:val="20"/>
          <w:color w:val="auto"/>
        </w:rPr>
      </w:pPr>
    </w:p>
    <w:p>
      <w:pPr>
        <w:ind w:left="5"/>
        <w:spacing w:after="0"/>
        <w:tabs>
          <w:tab w:leader="none" w:pos="225" w:val="left"/>
          <w:tab w:leader="none" w:pos="2885" w:val="left"/>
          <w:tab w:leader="none" w:pos="3125" w:val="left"/>
          <w:tab w:leader="none" w:pos="5765" w:val="left"/>
          <w:tab w:leader="none" w:pos="6005" w:val="left"/>
        </w:tabs>
        <w:rPr>
          <w:sz w:val="20"/>
          <w:szCs w:val="20"/>
          <w:color w:val="auto"/>
        </w:rPr>
      </w:pP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Commodities Trading</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Human Capital/Talent Management</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International Operations</w:t>
      </w:r>
    </w:p>
    <w:p>
      <w:pPr>
        <w:spacing w:after="0" w:line="69" w:lineRule="exact"/>
        <w:rPr>
          <w:sz w:val="20"/>
          <w:szCs w:val="20"/>
          <w:color w:val="auto"/>
        </w:rPr>
      </w:pPr>
    </w:p>
    <w:p>
      <w:pPr>
        <w:ind w:left="5"/>
        <w:spacing w:after="0"/>
        <w:tabs>
          <w:tab w:leader="none" w:pos="225" w:val="left"/>
          <w:tab w:leader="none" w:pos="2885" w:val="left"/>
          <w:tab w:leader="none" w:pos="3125" w:val="left"/>
          <w:tab w:leader="none" w:pos="5765" w:val="left"/>
          <w:tab w:leader="none" w:pos="6005" w:val="left"/>
        </w:tabs>
        <w:rPr>
          <w:sz w:val="20"/>
          <w:szCs w:val="20"/>
          <w:color w:val="auto"/>
        </w:rPr>
      </w:pP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Energy Industry</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Information Technology</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-1845310</wp:posOffset>
            </wp:positionH>
            <wp:positionV relativeFrom="paragraph">
              <wp:posOffset>177800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-1845310</wp:posOffset>
            </wp:positionH>
            <wp:positionV relativeFrom="paragraph">
              <wp:posOffset>649605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95" w:space="720"/>
            <w:col w:w="8325"/>
          </w:cols>
          <w:pgMar w:left="320" w:top="2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11</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b w:val="1"/>
          <w:bCs w:val="1"/>
          <w:color w:val="5B6770"/>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40" w:top="27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0" w:right="720"/>
        <w:spacing w:after="0" w:line="503" w:lineRule="auto"/>
        <w:rPr>
          <w:sz w:val="20"/>
          <w:szCs w:val="20"/>
          <w:color w:val="auto"/>
        </w:rPr>
      </w:pPr>
      <w:r>
        <w:rPr>
          <w:rFonts w:ascii="Arial" w:cs="Arial" w:eastAsia="Arial" w:hAnsi="Arial"/>
          <w:sz w:val="14"/>
          <w:szCs w:val="14"/>
          <w:b w:val="1"/>
          <w:bCs w:val="1"/>
          <w:color w:val="00529B"/>
        </w:rPr>
        <w:t xml:space="preserve">Independent Director Age: </w:t>
      </w:r>
      <w:r>
        <w:rPr>
          <w:rFonts w:ascii="Arial" w:cs="Arial" w:eastAsia="Arial" w:hAnsi="Arial"/>
          <w:sz w:val="14"/>
          <w:szCs w:val="14"/>
          <w:color w:val="4D4D4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-1536700</wp:posOffset>
            </wp:positionV>
            <wp:extent cx="1628775" cy="31292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28775" cy="312928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00529B"/>
        </w:rPr>
        <w:t xml:space="preserve">Director Since: </w:t>
      </w:r>
      <w:r>
        <w:rPr>
          <w:rFonts w:ascii="Arial" w:cs="Arial" w:eastAsia="Arial" w:hAnsi="Arial"/>
          <w:sz w:val="14"/>
          <w:szCs w:val="14"/>
          <w:color w:val="4D4D4F"/>
        </w:rPr>
        <w:t>2002</w:t>
      </w:r>
    </w:p>
    <w:p>
      <w:pPr>
        <w:spacing w:after="0" w:line="29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0529B"/>
        </w:rPr>
        <w:t>Committees:</w:t>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4D4D4F"/>
        </w:rPr>
        <w:t>Compensation (Chair)</w:t>
      </w:r>
    </w:p>
    <w:p>
      <w:pPr>
        <w:spacing w:after="0" w:line="123" w:lineRule="exact"/>
        <w:rPr>
          <w:sz w:val="20"/>
          <w:szCs w:val="20"/>
          <w:color w:val="auto"/>
        </w:rPr>
      </w:pPr>
    </w:p>
    <w:p>
      <w:pPr>
        <w:ind w:left="80"/>
        <w:spacing w:after="0"/>
        <w:rPr>
          <w:sz w:val="20"/>
          <w:szCs w:val="20"/>
          <w:color w:val="auto"/>
        </w:rPr>
      </w:pPr>
      <w:r>
        <w:rPr>
          <w:rFonts w:ascii="Arial" w:cs="Arial" w:eastAsia="Arial" w:hAnsi="Arial"/>
          <w:sz w:val="14"/>
          <w:szCs w:val="14"/>
          <w:color w:val="4D4D4F"/>
        </w:rPr>
        <w:t>Governance</w:t>
      </w:r>
    </w:p>
    <w:p>
      <w:pPr>
        <w:spacing w:after="0" w:line="136" w:lineRule="exact"/>
        <w:rPr>
          <w:sz w:val="20"/>
          <w:szCs w:val="20"/>
          <w:color w:val="auto"/>
        </w:rPr>
      </w:pPr>
    </w:p>
    <w:p>
      <w:pPr>
        <w:ind w:left="80" w:right="500"/>
        <w:spacing w:after="0" w:line="305" w:lineRule="auto"/>
        <w:rPr>
          <w:sz w:val="20"/>
          <w:szCs w:val="20"/>
          <w:color w:val="auto"/>
        </w:rPr>
      </w:pPr>
      <w:r>
        <w:rPr>
          <w:rFonts w:ascii="Arial" w:cs="Arial" w:eastAsia="Arial" w:hAnsi="Arial"/>
          <w:sz w:val="14"/>
          <w:szCs w:val="14"/>
          <w:color w:val="4D4D4F"/>
        </w:rPr>
        <w:t>Sustainability &amp; Corporate Responsibility</w:t>
      </w:r>
    </w:p>
    <w:p>
      <w:pPr>
        <w:spacing w:after="0" w:line="50" w:lineRule="exact"/>
        <w:rPr>
          <w:sz w:val="20"/>
          <w:szCs w:val="20"/>
          <w:color w:val="auto"/>
        </w:rPr>
      </w:pPr>
    </w:p>
    <w:p>
      <w:pPr>
        <w:ind w:left="80"/>
        <w:spacing w:after="0" w:line="486" w:lineRule="auto"/>
        <w:rPr>
          <w:sz w:val="20"/>
          <w:szCs w:val="20"/>
          <w:color w:val="auto"/>
        </w:rPr>
      </w:pPr>
      <w:r>
        <w:rPr>
          <w:rFonts w:ascii="Arial" w:cs="Arial" w:eastAsia="Arial" w:hAnsi="Arial"/>
          <w:sz w:val="14"/>
          <w:szCs w:val="14"/>
          <w:color w:val="4D4D4F"/>
        </w:rPr>
        <w:t>Technology &amp; Operations Nominating Subcommittee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38"/>
          <w:szCs w:val="38"/>
          <w:b w:val="1"/>
          <w:bCs w:val="1"/>
          <w:color w:val="00529B"/>
        </w:rPr>
        <w:t>Ken Bakshi</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98655"/>
        </w:rPr>
        <w:t>Managing Partner, Trishul Capital Group LLC and Trishul Advisory Group LLC</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BACKGROUND</w:t>
      </w:r>
    </w:p>
    <w:p>
      <w:pPr>
        <w:spacing w:after="0" w:line="204" w:lineRule="exact"/>
        <w:rPr>
          <w:sz w:val="20"/>
          <w:szCs w:val="20"/>
          <w:color w:val="auto"/>
        </w:rPr>
      </w:pPr>
    </w:p>
    <w:p>
      <w:pPr>
        <w:ind w:left="260" w:right="180" w:hanging="252"/>
        <w:spacing w:after="0" w:line="305" w:lineRule="auto"/>
        <w:tabs>
          <w:tab w:leader="none" w:pos="256" w:val="left"/>
        </w:tabs>
        <w:numPr>
          <w:ilvl w:val="0"/>
          <w:numId w:val="25"/>
        </w:numPr>
        <w:rPr>
          <w:rFonts w:ascii="Arial" w:cs="Arial" w:eastAsia="Arial" w:hAnsi="Arial"/>
          <w:sz w:val="14"/>
          <w:szCs w:val="14"/>
          <w:b w:val="1"/>
          <w:bCs w:val="1"/>
          <w:color w:val="00529B"/>
        </w:rPr>
      </w:pPr>
      <w:r>
        <w:rPr>
          <w:rFonts w:ascii="Arial" w:cs="Arial" w:eastAsia="Arial" w:hAnsi="Arial"/>
          <w:sz w:val="14"/>
          <w:szCs w:val="14"/>
          <w:color w:val="4D4D4F"/>
        </w:rPr>
        <w:t>Managing partner of Trishul Capital Group LLC and Trishul Advisory Group LLC, two privately owned equity investment and consulting companies, since June 2003.</w:t>
      </w:r>
    </w:p>
    <w:p>
      <w:pPr>
        <w:spacing w:after="0" w:line="9" w:lineRule="exact"/>
        <w:rPr>
          <w:rFonts w:ascii="Arial" w:cs="Arial" w:eastAsia="Arial" w:hAnsi="Arial"/>
          <w:sz w:val="14"/>
          <w:szCs w:val="14"/>
          <w:b w:val="1"/>
          <w:bCs w:val="1"/>
          <w:color w:val="00529B"/>
        </w:rPr>
      </w:pPr>
    </w:p>
    <w:p>
      <w:pPr>
        <w:ind w:left="260" w:hanging="252"/>
        <w:spacing w:after="0" w:line="301" w:lineRule="auto"/>
        <w:tabs>
          <w:tab w:leader="none" w:pos="256" w:val="left"/>
        </w:tabs>
        <w:numPr>
          <w:ilvl w:val="0"/>
          <w:numId w:val="25"/>
        </w:numPr>
        <w:rPr>
          <w:rFonts w:ascii="Arial" w:cs="Arial" w:eastAsia="Arial" w:hAnsi="Arial"/>
          <w:sz w:val="14"/>
          <w:szCs w:val="14"/>
          <w:b w:val="1"/>
          <w:bCs w:val="1"/>
          <w:color w:val="00529B"/>
        </w:rPr>
      </w:pPr>
      <w:r>
        <w:rPr>
          <w:rFonts w:ascii="Arial" w:cs="Arial" w:eastAsia="Arial" w:hAnsi="Arial"/>
          <w:sz w:val="14"/>
          <w:szCs w:val="14"/>
          <w:color w:val="4D4D4F"/>
        </w:rPr>
        <w:t>Chairman of the board of directors and Chief Executive Officer of Amala Inc., a skin care products company, from April 2008 to July 2013 and Executive Chairman thereafter until June 2015.</w:t>
      </w:r>
    </w:p>
    <w:p>
      <w:pPr>
        <w:spacing w:after="0" w:line="1" w:lineRule="exact"/>
        <w:rPr>
          <w:rFonts w:ascii="Arial" w:cs="Arial" w:eastAsia="Arial" w:hAnsi="Arial"/>
          <w:sz w:val="14"/>
          <w:szCs w:val="14"/>
          <w:b w:val="1"/>
          <w:bCs w:val="1"/>
          <w:color w:val="00529B"/>
        </w:rPr>
      </w:pPr>
    </w:p>
    <w:p>
      <w:pPr>
        <w:ind w:left="260" w:right="40" w:hanging="252"/>
        <w:spacing w:after="0" w:line="311" w:lineRule="auto"/>
        <w:tabs>
          <w:tab w:leader="none" w:pos="256" w:val="left"/>
        </w:tabs>
        <w:numPr>
          <w:ilvl w:val="0"/>
          <w:numId w:val="25"/>
        </w:numPr>
        <w:rPr>
          <w:rFonts w:ascii="Arial" w:cs="Arial" w:eastAsia="Arial" w:hAnsi="Arial"/>
          <w:sz w:val="14"/>
          <w:szCs w:val="14"/>
          <w:b w:val="1"/>
          <w:bCs w:val="1"/>
          <w:color w:val="00529B"/>
        </w:rPr>
      </w:pPr>
      <w:r>
        <w:rPr>
          <w:rFonts w:ascii="Arial" w:cs="Arial" w:eastAsia="Arial" w:hAnsi="Arial"/>
          <w:sz w:val="14"/>
          <w:szCs w:val="14"/>
          <w:color w:val="4D4D4F"/>
        </w:rPr>
        <w:t>Chief Executive Officer of Row 2 Technologies, a software development firm he co-founded, from December 2002 to February 2006 and Vice Chairman thereafter until June 2009.</w:t>
      </w:r>
    </w:p>
    <w:p>
      <w:pPr>
        <w:spacing w:after="0" w:line="1" w:lineRule="exact"/>
        <w:rPr>
          <w:rFonts w:ascii="Arial" w:cs="Arial" w:eastAsia="Arial" w:hAnsi="Arial"/>
          <w:sz w:val="14"/>
          <w:szCs w:val="14"/>
          <w:b w:val="1"/>
          <w:bCs w:val="1"/>
          <w:color w:val="00529B"/>
        </w:rPr>
      </w:pPr>
    </w:p>
    <w:p>
      <w:pPr>
        <w:ind w:left="260" w:right="320" w:hanging="252"/>
        <w:spacing w:after="0" w:line="305" w:lineRule="auto"/>
        <w:tabs>
          <w:tab w:leader="none" w:pos="256" w:val="left"/>
        </w:tabs>
        <w:numPr>
          <w:ilvl w:val="0"/>
          <w:numId w:val="25"/>
        </w:numPr>
        <w:rPr>
          <w:rFonts w:ascii="Arial" w:cs="Arial" w:eastAsia="Arial" w:hAnsi="Arial"/>
          <w:sz w:val="14"/>
          <w:szCs w:val="14"/>
          <w:b w:val="1"/>
          <w:bCs w:val="1"/>
          <w:color w:val="00529B"/>
        </w:rPr>
      </w:pPr>
      <w:r>
        <w:rPr>
          <w:rFonts w:ascii="Arial" w:cs="Arial" w:eastAsia="Arial" w:hAnsi="Arial"/>
          <w:sz w:val="14"/>
          <w:szCs w:val="14"/>
          <w:color w:val="4D4D4F"/>
        </w:rPr>
        <w:t>Executive Vice President and Chief Operating Officer of Vistaar, Inc., an incubator of business-to-business internet-based marketplaces, from July 2000 to December 2002.</w:t>
      </w:r>
    </w:p>
    <w:p>
      <w:pPr>
        <w:spacing w:after="0" w:line="9" w:lineRule="exact"/>
        <w:rPr>
          <w:rFonts w:ascii="Arial" w:cs="Arial" w:eastAsia="Arial" w:hAnsi="Arial"/>
          <w:sz w:val="14"/>
          <w:szCs w:val="14"/>
          <w:b w:val="1"/>
          <w:bCs w:val="1"/>
          <w:color w:val="00529B"/>
        </w:rPr>
      </w:pPr>
    </w:p>
    <w:p>
      <w:pPr>
        <w:ind w:left="260" w:hanging="252"/>
        <w:spacing w:after="0" w:line="301" w:lineRule="auto"/>
        <w:tabs>
          <w:tab w:leader="none" w:pos="256" w:val="left"/>
        </w:tabs>
        <w:numPr>
          <w:ilvl w:val="0"/>
          <w:numId w:val="25"/>
        </w:numPr>
        <w:rPr>
          <w:rFonts w:ascii="Arial" w:cs="Arial" w:eastAsia="Arial" w:hAnsi="Arial"/>
          <w:sz w:val="14"/>
          <w:szCs w:val="14"/>
          <w:b w:val="1"/>
          <w:bCs w:val="1"/>
          <w:color w:val="00529B"/>
        </w:rPr>
      </w:pPr>
      <w:r>
        <w:rPr>
          <w:rFonts w:ascii="Arial" w:cs="Arial" w:eastAsia="Arial" w:hAnsi="Arial"/>
          <w:sz w:val="14"/>
          <w:szCs w:val="14"/>
          <w:color w:val="4D4D4F"/>
        </w:rPr>
        <w:t>Senior Vice President of Wyeth (formerly known as American Home Products Corp.), a NYSE company until 2009 when it was acquired by Pfizer, Inc., from 1998 to 2000.</w:t>
      </w:r>
    </w:p>
    <w:p>
      <w:pPr>
        <w:spacing w:after="0" w:line="1" w:lineRule="exact"/>
        <w:rPr>
          <w:rFonts w:ascii="Arial" w:cs="Arial" w:eastAsia="Arial" w:hAnsi="Arial"/>
          <w:sz w:val="14"/>
          <w:szCs w:val="14"/>
          <w:b w:val="1"/>
          <w:bCs w:val="1"/>
          <w:color w:val="00529B"/>
        </w:rPr>
      </w:pPr>
    </w:p>
    <w:p>
      <w:pPr>
        <w:ind w:left="260" w:hanging="252"/>
        <w:spacing w:after="0" w:line="325" w:lineRule="auto"/>
        <w:tabs>
          <w:tab w:leader="none" w:pos="256" w:val="left"/>
        </w:tabs>
        <w:numPr>
          <w:ilvl w:val="0"/>
          <w:numId w:val="25"/>
        </w:numPr>
        <w:rPr>
          <w:rFonts w:ascii="Arial" w:cs="Arial" w:eastAsia="Arial" w:hAnsi="Arial"/>
          <w:sz w:val="14"/>
          <w:szCs w:val="14"/>
          <w:b w:val="1"/>
          <w:bCs w:val="1"/>
          <w:color w:val="00529B"/>
        </w:rPr>
      </w:pPr>
      <w:r>
        <w:rPr>
          <w:rFonts w:ascii="Arial" w:cs="Arial" w:eastAsia="Arial" w:hAnsi="Arial"/>
          <w:sz w:val="14"/>
          <w:szCs w:val="14"/>
          <w:color w:val="4D4D4F"/>
        </w:rPr>
        <w:t>Prior to 1998, served in various capacities with American Home Products Corp. and American Cyanamid Company, which was acquired by American Home Products Corp. in 1994.</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SKILLS &amp; QUALIFICATIONS</w:t>
      </w:r>
    </w:p>
    <w:p>
      <w:pPr>
        <w:spacing w:after="0" w:line="204" w:lineRule="exact"/>
        <w:rPr>
          <w:sz w:val="20"/>
          <w:szCs w:val="20"/>
          <w:color w:val="auto"/>
        </w:rPr>
      </w:pPr>
    </w:p>
    <w:p>
      <w:pPr>
        <w:ind w:right="200"/>
        <w:spacing w:after="0" w:line="305" w:lineRule="auto"/>
        <w:rPr>
          <w:sz w:val="20"/>
          <w:szCs w:val="20"/>
          <w:color w:val="auto"/>
        </w:rPr>
      </w:pPr>
      <w:r>
        <w:rPr>
          <w:rFonts w:ascii="Arial" w:cs="Arial" w:eastAsia="Arial" w:hAnsi="Arial"/>
          <w:sz w:val="14"/>
          <w:szCs w:val="14"/>
          <w:color w:val="4D4D4F"/>
        </w:rPr>
        <w:t>Mr. Bakshi brings to the Board extensive experience in private equity investments, management consulting and technology and significant international experience running operating units within large multinational publicly traded corporations.</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298655"/>
        </w:rPr>
        <w:t>KEY SKILLS</w:t>
      </w:r>
    </w:p>
    <w:p>
      <w:pPr>
        <w:spacing w:after="0" w:line="190" w:lineRule="exact"/>
        <w:rPr>
          <w:sz w:val="20"/>
          <w:szCs w:val="20"/>
          <w:color w:val="auto"/>
        </w:rPr>
      </w:pPr>
    </w:p>
    <w:p>
      <w:pPr>
        <w:spacing w:after="0"/>
        <w:tabs>
          <w:tab w:leader="none" w:pos="220" w:val="left"/>
          <w:tab w:leader="none" w:pos="2900" w:val="left"/>
          <w:tab w:leader="none" w:pos="3140" w:val="left"/>
          <w:tab w:leader="none" w:pos="5800" w:val="left"/>
          <w:tab w:leader="none" w:pos="6040" w:val="left"/>
        </w:tabs>
        <w:rPr>
          <w:sz w:val="20"/>
          <w:szCs w:val="20"/>
          <w:color w:val="auto"/>
        </w:rPr>
      </w:pP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Accounting/Finance</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Information Technology</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Management</w:t>
      </w:r>
    </w:p>
    <w:p>
      <w:pPr>
        <w:spacing w:after="0" w:line="69" w:lineRule="exact"/>
        <w:rPr>
          <w:sz w:val="20"/>
          <w:szCs w:val="20"/>
          <w:color w:val="auto"/>
        </w:rPr>
      </w:pPr>
    </w:p>
    <w:p>
      <w:pPr>
        <w:spacing w:after="0"/>
        <w:tabs>
          <w:tab w:leader="none" w:pos="220" w:val="left"/>
          <w:tab w:leader="none" w:pos="2900" w:val="left"/>
          <w:tab w:leader="none" w:pos="3140" w:val="left"/>
        </w:tabs>
        <w:rPr>
          <w:sz w:val="20"/>
          <w:szCs w:val="20"/>
          <w:color w:val="auto"/>
        </w:rPr>
      </w:pP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Human Capital/Talent Management</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177800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701040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600"/>
            <w:col w:w="8280"/>
          </w:cols>
          <w:pgMar w:left="340" w:top="27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 w:hanging="534"/>
        <w:spacing w:after="0"/>
        <w:tabs>
          <w:tab w:leader="none" w:pos="540" w:val="left"/>
        </w:tabs>
        <w:numPr>
          <w:ilvl w:val="0"/>
          <w:numId w:val="26"/>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279" w:right="419"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14"/>
          <w:szCs w:val="14"/>
          <w:b w:val="1"/>
          <w:bCs w:val="1"/>
          <w:color w:val="5B6770"/>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0" w:right="640"/>
        <w:spacing w:after="0" w:line="503" w:lineRule="auto"/>
        <w:rPr>
          <w:sz w:val="20"/>
          <w:szCs w:val="20"/>
          <w:color w:val="auto"/>
        </w:rPr>
      </w:pPr>
      <w:r>
        <w:rPr>
          <w:rFonts w:ascii="Arial" w:cs="Arial" w:eastAsia="Arial" w:hAnsi="Arial"/>
          <w:sz w:val="14"/>
          <w:szCs w:val="14"/>
          <w:b w:val="1"/>
          <w:bCs w:val="1"/>
          <w:color w:val="00529B"/>
        </w:rPr>
        <w:t xml:space="preserve">Independent Director Age: </w:t>
      </w:r>
      <w:r>
        <w:rPr>
          <w:rFonts w:ascii="Arial" w:cs="Arial" w:eastAsia="Arial" w:hAnsi="Arial"/>
          <w:sz w:val="14"/>
          <w:szCs w:val="14"/>
          <w:color w:val="4D4D4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-1536700</wp:posOffset>
            </wp:positionV>
            <wp:extent cx="1628775" cy="31546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28775" cy="315468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b w:val="1"/>
          <w:bCs w:val="1"/>
          <w:color w:val="00529B"/>
        </w:rPr>
        <w:t xml:space="preserve">Director Since: </w:t>
      </w:r>
      <w:r>
        <w:rPr>
          <w:rFonts w:ascii="Arial" w:cs="Arial" w:eastAsia="Arial" w:hAnsi="Arial"/>
          <w:sz w:val="14"/>
          <w:szCs w:val="14"/>
          <w:color w:val="4D4D4F"/>
        </w:rPr>
        <w:t>2015</w:t>
      </w:r>
    </w:p>
    <w:p>
      <w:pPr>
        <w:spacing w:after="0" w:line="31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29B"/>
        </w:rPr>
        <w:t>Committees: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Audit</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Governance</w:t>
      </w:r>
    </w:p>
    <w:p>
      <w:pPr>
        <w:spacing w:after="0" w:line="136" w:lineRule="exact"/>
        <w:rPr>
          <w:sz w:val="20"/>
          <w:szCs w:val="20"/>
          <w:color w:val="auto"/>
        </w:rPr>
      </w:pPr>
    </w:p>
    <w:p>
      <w:pPr>
        <w:ind w:left="100" w:right="420"/>
        <w:spacing w:after="0" w:line="305" w:lineRule="auto"/>
        <w:rPr>
          <w:sz w:val="20"/>
          <w:szCs w:val="20"/>
          <w:color w:val="auto"/>
        </w:rPr>
      </w:pPr>
      <w:r>
        <w:rPr>
          <w:rFonts w:ascii="Arial" w:cs="Arial" w:eastAsia="Arial" w:hAnsi="Arial"/>
          <w:sz w:val="14"/>
          <w:szCs w:val="14"/>
          <w:color w:val="4D4D4F"/>
        </w:rPr>
        <w:t>Sustainability &amp; Corporate Responsibility (Chair)</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Technology &amp; Operations (Chair)</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Nominating Subcommittee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38"/>
          <w:szCs w:val="38"/>
          <w:b w:val="1"/>
          <w:bCs w:val="1"/>
          <w:color w:val="00529B"/>
        </w:rPr>
        <w:t>Jorge L. Benitez</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98655"/>
        </w:rPr>
        <w:t>Retired Chief Executive Officer, North America; Accenture plc</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BACKGROUND</w:t>
      </w:r>
    </w:p>
    <w:p>
      <w:pPr>
        <w:spacing w:after="0" w:line="204"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14"/>
          <w:szCs w:val="14"/>
          <w:b w:val="1"/>
          <w:bCs w:val="1"/>
          <w:color w:val="00529B"/>
        </w:rPr>
      </w:pPr>
      <w:r>
        <w:rPr>
          <w:rFonts w:ascii="Arial" w:cs="Arial" w:eastAsia="Arial" w:hAnsi="Arial"/>
          <w:sz w:val="14"/>
          <w:szCs w:val="14"/>
          <w:color w:val="4D4D4F"/>
        </w:rPr>
        <w:t>Retired from Accenture plc in September 2014 after more than 33 years of service.</w:t>
      </w:r>
    </w:p>
    <w:p>
      <w:pPr>
        <w:spacing w:after="0" w:line="68" w:lineRule="exact"/>
        <w:rPr>
          <w:rFonts w:ascii="Arial" w:cs="Arial" w:eastAsia="Arial" w:hAnsi="Arial"/>
          <w:sz w:val="14"/>
          <w:szCs w:val="14"/>
          <w:b w:val="1"/>
          <w:bCs w:val="1"/>
          <w:color w:val="00529B"/>
        </w:rPr>
      </w:pPr>
    </w:p>
    <w:p>
      <w:pPr>
        <w:ind w:left="260" w:right="60" w:hanging="252"/>
        <w:spacing w:after="0" w:line="311" w:lineRule="auto"/>
        <w:tabs>
          <w:tab w:leader="none" w:pos="256" w:val="left"/>
        </w:tabs>
        <w:numPr>
          <w:ilvl w:val="0"/>
          <w:numId w:val="27"/>
        </w:numPr>
        <w:rPr>
          <w:rFonts w:ascii="Arial" w:cs="Arial" w:eastAsia="Arial" w:hAnsi="Arial"/>
          <w:sz w:val="14"/>
          <w:szCs w:val="14"/>
          <w:b w:val="1"/>
          <w:bCs w:val="1"/>
          <w:color w:val="00529B"/>
        </w:rPr>
      </w:pPr>
      <w:r>
        <w:rPr>
          <w:rFonts w:ascii="Arial" w:cs="Arial" w:eastAsia="Arial" w:hAnsi="Arial"/>
          <w:sz w:val="14"/>
          <w:szCs w:val="14"/>
          <w:color w:val="4D4D4F"/>
        </w:rPr>
        <w:t>Chief Executive Officer of North America, where he had primary responsibility for Accenture’s business and operations in North America, from 2011 to 2014.</w:t>
      </w:r>
    </w:p>
    <w:p>
      <w:pPr>
        <w:spacing w:after="0" w:line="1" w:lineRule="exact"/>
        <w:rPr>
          <w:rFonts w:ascii="Arial" w:cs="Arial" w:eastAsia="Arial" w:hAnsi="Arial"/>
          <w:sz w:val="14"/>
          <w:szCs w:val="14"/>
          <w:b w:val="1"/>
          <w:bCs w:val="1"/>
          <w:color w:val="00529B"/>
        </w:rPr>
      </w:pPr>
    </w:p>
    <w:p>
      <w:pPr>
        <w:ind w:left="260" w:right="40" w:hanging="252"/>
        <w:spacing w:after="0" w:line="282" w:lineRule="auto"/>
        <w:tabs>
          <w:tab w:leader="none" w:pos="256" w:val="left"/>
        </w:tabs>
        <w:numPr>
          <w:ilvl w:val="0"/>
          <w:numId w:val="27"/>
        </w:numPr>
        <w:rPr>
          <w:rFonts w:ascii="Arial" w:cs="Arial" w:eastAsia="Arial" w:hAnsi="Arial"/>
          <w:sz w:val="14"/>
          <w:szCs w:val="14"/>
          <w:b w:val="1"/>
          <w:bCs w:val="1"/>
          <w:color w:val="00529B"/>
        </w:rPr>
      </w:pPr>
      <w:r>
        <w:rPr>
          <w:rFonts w:ascii="Arial" w:cs="Arial" w:eastAsia="Arial" w:hAnsi="Arial"/>
          <w:sz w:val="14"/>
          <w:szCs w:val="14"/>
          <w:color w:val="4D4D4F"/>
        </w:rPr>
        <w:t>Chief Operating Officer, Products Operating Group, the largest of Accenture’s five operating groups, from September 2006 to August 2011, where he was responsible for executing the business strategy and ensuring operational excellence across a wide set of consumer industry groups, including: automotive; air, freight and travel services; industrial equipment; and infrastructure and transportation services.</w:t>
      </w:r>
    </w:p>
    <w:p>
      <w:pPr>
        <w:spacing w:after="0" w:line="12" w:lineRule="exact"/>
        <w:rPr>
          <w:rFonts w:ascii="Arial" w:cs="Arial" w:eastAsia="Arial" w:hAnsi="Arial"/>
          <w:sz w:val="14"/>
          <w:szCs w:val="14"/>
          <w:b w:val="1"/>
          <w:bCs w:val="1"/>
          <w:color w:val="00529B"/>
        </w:rPr>
      </w:pPr>
    </w:p>
    <w:p>
      <w:pPr>
        <w:ind w:left="240" w:hanging="232"/>
        <w:spacing w:after="0"/>
        <w:tabs>
          <w:tab w:leader="none" w:pos="240" w:val="left"/>
        </w:tabs>
        <w:numPr>
          <w:ilvl w:val="0"/>
          <w:numId w:val="27"/>
        </w:numPr>
        <w:rPr>
          <w:rFonts w:ascii="Arial" w:cs="Arial" w:eastAsia="Arial" w:hAnsi="Arial"/>
          <w:sz w:val="14"/>
          <w:szCs w:val="14"/>
          <w:b w:val="1"/>
          <w:bCs w:val="1"/>
          <w:color w:val="00529B"/>
        </w:rPr>
      </w:pPr>
      <w:r>
        <w:rPr>
          <w:rFonts w:ascii="Arial" w:cs="Arial" w:eastAsia="Arial" w:hAnsi="Arial"/>
          <w:sz w:val="14"/>
          <w:szCs w:val="14"/>
          <w:color w:val="4D4D4F"/>
        </w:rPr>
        <w:t>Held various senior leadership roles and other positions since joining Accenture in 1981.</w:t>
      </w:r>
    </w:p>
    <w:p>
      <w:pPr>
        <w:spacing w:after="0" w:line="82" w:lineRule="exact"/>
        <w:rPr>
          <w:rFonts w:ascii="Arial" w:cs="Arial" w:eastAsia="Arial" w:hAnsi="Arial"/>
          <w:sz w:val="14"/>
          <w:szCs w:val="14"/>
          <w:b w:val="1"/>
          <w:bCs w:val="1"/>
          <w:color w:val="00529B"/>
        </w:rPr>
      </w:pPr>
    </w:p>
    <w:p>
      <w:pPr>
        <w:ind w:left="260" w:right="140" w:hanging="252"/>
        <w:spacing w:after="0" w:line="301" w:lineRule="auto"/>
        <w:tabs>
          <w:tab w:leader="none" w:pos="256" w:val="left"/>
        </w:tabs>
        <w:numPr>
          <w:ilvl w:val="0"/>
          <w:numId w:val="27"/>
        </w:numPr>
        <w:rPr>
          <w:rFonts w:ascii="Arial" w:cs="Arial" w:eastAsia="Arial" w:hAnsi="Arial"/>
          <w:sz w:val="14"/>
          <w:szCs w:val="14"/>
          <w:b w:val="1"/>
          <w:bCs w:val="1"/>
          <w:color w:val="00529B"/>
        </w:rPr>
      </w:pPr>
      <w:r>
        <w:rPr>
          <w:rFonts w:ascii="Arial" w:cs="Arial" w:eastAsia="Arial" w:hAnsi="Arial"/>
          <w:sz w:val="14"/>
          <w:szCs w:val="14"/>
          <w:color w:val="4D4D4F"/>
        </w:rPr>
        <w:t>Member of the board of directors of Fifth Third Bancorp (NASDAQ: FITB), since 2015, and currently serves as chairman of its technology committee and as a member of its Audit, Finance, and Human Capital and Compensation committees.</w:t>
      </w:r>
    </w:p>
    <w:p>
      <w:pPr>
        <w:spacing w:after="0" w:line="1" w:lineRule="exact"/>
        <w:rPr>
          <w:rFonts w:ascii="Arial" w:cs="Arial" w:eastAsia="Arial" w:hAnsi="Arial"/>
          <w:sz w:val="14"/>
          <w:szCs w:val="14"/>
          <w:b w:val="1"/>
          <w:bCs w:val="1"/>
          <w:color w:val="00529B"/>
        </w:rPr>
      </w:pPr>
    </w:p>
    <w:p>
      <w:pPr>
        <w:ind w:left="260" w:right="480" w:hanging="252"/>
        <w:spacing w:after="0" w:line="325" w:lineRule="auto"/>
        <w:tabs>
          <w:tab w:leader="none" w:pos="256" w:val="left"/>
        </w:tabs>
        <w:numPr>
          <w:ilvl w:val="0"/>
          <w:numId w:val="27"/>
        </w:numPr>
        <w:rPr>
          <w:rFonts w:ascii="Arial" w:cs="Arial" w:eastAsia="Arial" w:hAnsi="Arial"/>
          <w:sz w:val="14"/>
          <w:szCs w:val="14"/>
          <w:b w:val="1"/>
          <w:bCs w:val="1"/>
          <w:color w:val="00529B"/>
        </w:rPr>
      </w:pPr>
      <w:r>
        <w:rPr>
          <w:rFonts w:ascii="Arial" w:cs="Arial" w:eastAsia="Arial" w:hAnsi="Arial"/>
          <w:sz w:val="14"/>
          <w:szCs w:val="14"/>
          <w:color w:val="4D4D4F"/>
        </w:rPr>
        <w:t>Member of the board of directors of Interpublic Group of Companies (NYSE: IPG), since 2023, and currently serves as a member of its Audit and Compensation and Leadership Talent committees.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SKILLS &amp; QUALIFICATIONS</w:t>
      </w:r>
    </w:p>
    <w:p>
      <w:pPr>
        <w:spacing w:after="0" w:line="204" w:lineRule="exact"/>
        <w:rPr>
          <w:sz w:val="20"/>
          <w:szCs w:val="20"/>
          <w:color w:val="auto"/>
        </w:rPr>
      </w:pPr>
    </w:p>
    <w:p>
      <w:pPr>
        <w:ind w:right="220"/>
        <w:spacing w:after="0" w:line="282" w:lineRule="auto"/>
        <w:rPr>
          <w:sz w:val="20"/>
          <w:szCs w:val="20"/>
          <w:color w:val="auto"/>
        </w:rPr>
      </w:pPr>
      <w:r>
        <w:rPr>
          <w:rFonts w:ascii="Arial" w:cs="Arial" w:eastAsia="Arial" w:hAnsi="Arial"/>
          <w:sz w:val="14"/>
          <w:szCs w:val="14"/>
          <w:color w:val="4D4D4F"/>
        </w:rPr>
        <w:t>Mr. Benitez brings to the Board his extensive experience developing and executing business strategies across a range of industries, particularly air, freight and travel and transportation services, as well as significant executive experience running operating units within a large multinational publicly traded corporation and skills in implementing technology and digital solutions across a broad range of platforms.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298655"/>
        </w:rPr>
        <w:t>KEY SKILLS</w:t>
      </w:r>
    </w:p>
    <w:p>
      <w:pPr>
        <w:spacing w:after="0" w:line="190" w:lineRule="exact"/>
        <w:rPr>
          <w:sz w:val="20"/>
          <w:szCs w:val="20"/>
          <w:color w:val="auto"/>
        </w:rPr>
      </w:pPr>
    </w:p>
    <w:p>
      <w:pPr>
        <w:spacing w:after="0"/>
        <w:tabs>
          <w:tab w:leader="none" w:pos="220" w:val="left"/>
          <w:tab w:leader="none" w:pos="2900" w:val="left"/>
          <w:tab w:leader="none" w:pos="3140" w:val="left"/>
          <w:tab w:leader="none" w:pos="5800" w:val="left"/>
          <w:tab w:leader="none" w:pos="6040" w:val="left"/>
        </w:tabs>
        <w:rPr>
          <w:sz w:val="20"/>
          <w:szCs w:val="20"/>
          <w:color w:val="auto"/>
        </w:rPr>
      </w:pP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Accounting/Finance</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Human Capital/Talent Management</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International Operations</w:t>
      </w:r>
    </w:p>
    <w:p>
      <w:pPr>
        <w:spacing w:after="0" w:line="69" w:lineRule="exact"/>
        <w:rPr>
          <w:sz w:val="20"/>
          <w:szCs w:val="20"/>
          <w:color w:val="auto"/>
        </w:rPr>
      </w:pPr>
    </w:p>
    <w:p>
      <w:pPr>
        <w:spacing w:after="0"/>
        <w:tabs>
          <w:tab w:leader="none" w:pos="220" w:val="left"/>
          <w:tab w:leader="none" w:pos="2900" w:val="left"/>
          <w:tab w:leader="none" w:pos="3140" w:val="left"/>
          <w:tab w:leader="none" w:pos="5800" w:val="left"/>
          <w:tab w:leader="none" w:pos="6040" w:val="left"/>
        </w:tabs>
        <w:rPr>
          <w:sz w:val="20"/>
          <w:szCs w:val="20"/>
          <w:color w:val="auto"/>
        </w:rPr>
      </w:pP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Corporate Governance/Other Public</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Information Technology</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Management</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4"/>
          <w:szCs w:val="14"/>
          <w:color w:val="4D4D4F"/>
        </w:rPr>
        <w:t>Company Directorship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165100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533400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680"/>
            <w:col w:w="8360"/>
          </w:cols>
          <w:pgMar w:left="320" w:top="2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13</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color w:val="5B6770"/>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40" w:top="27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0" w:right="600"/>
        <w:spacing w:after="0" w:line="503" w:lineRule="auto"/>
        <w:rPr>
          <w:sz w:val="20"/>
          <w:szCs w:val="20"/>
          <w:color w:val="auto"/>
        </w:rPr>
      </w:pPr>
      <w:r>
        <w:rPr>
          <w:rFonts w:ascii="Arial" w:cs="Arial" w:eastAsia="Arial" w:hAnsi="Arial"/>
          <w:sz w:val="14"/>
          <w:szCs w:val="14"/>
          <w:b w:val="1"/>
          <w:bCs w:val="1"/>
          <w:color w:val="00529B"/>
        </w:rPr>
        <w:t xml:space="preserve">Independent Director Age: </w:t>
      </w:r>
      <w:r>
        <w:rPr>
          <w:rFonts w:ascii="Arial" w:cs="Arial" w:eastAsia="Arial" w:hAnsi="Arial"/>
          <w:sz w:val="14"/>
          <w:szCs w:val="14"/>
          <w:color w:val="4D4D4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-1536700</wp:posOffset>
            </wp:positionV>
            <wp:extent cx="1628775" cy="2837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28775" cy="283718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00529B"/>
        </w:rPr>
        <w:t xml:space="preserve">Director Since: </w:t>
      </w:r>
      <w:r>
        <w:rPr>
          <w:rFonts w:ascii="Arial" w:cs="Arial" w:eastAsia="Arial" w:hAnsi="Arial"/>
          <w:sz w:val="14"/>
          <w:szCs w:val="14"/>
          <w:color w:val="4D4D4F"/>
        </w:rPr>
        <w:t>2020</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0529B"/>
        </w:rPr>
        <w:t>Committees:</w:t>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4D4D4F"/>
        </w:rPr>
        <w:t>Audit</w:t>
      </w:r>
    </w:p>
    <w:p>
      <w:pPr>
        <w:spacing w:after="0" w:line="123" w:lineRule="exact"/>
        <w:rPr>
          <w:sz w:val="20"/>
          <w:szCs w:val="20"/>
          <w:color w:val="auto"/>
        </w:rPr>
      </w:pPr>
    </w:p>
    <w:p>
      <w:pPr>
        <w:ind w:left="80"/>
        <w:spacing w:after="0"/>
        <w:rPr>
          <w:sz w:val="20"/>
          <w:szCs w:val="20"/>
          <w:color w:val="auto"/>
        </w:rPr>
      </w:pPr>
      <w:r>
        <w:rPr>
          <w:rFonts w:ascii="Arial" w:cs="Arial" w:eastAsia="Arial" w:hAnsi="Arial"/>
          <w:sz w:val="14"/>
          <w:szCs w:val="14"/>
          <w:color w:val="4D4D4F"/>
        </w:rPr>
        <w:t>Governance</w:t>
      </w:r>
    </w:p>
    <w:p>
      <w:pPr>
        <w:spacing w:after="0" w:line="136" w:lineRule="exact"/>
        <w:rPr>
          <w:sz w:val="20"/>
          <w:szCs w:val="20"/>
          <w:color w:val="auto"/>
        </w:rPr>
      </w:pPr>
    </w:p>
    <w:p>
      <w:pPr>
        <w:ind w:left="80" w:right="380"/>
        <w:spacing w:after="0" w:line="305" w:lineRule="auto"/>
        <w:rPr>
          <w:sz w:val="20"/>
          <w:szCs w:val="20"/>
          <w:color w:val="auto"/>
        </w:rPr>
      </w:pPr>
      <w:r>
        <w:rPr>
          <w:rFonts w:ascii="Arial" w:cs="Arial" w:eastAsia="Arial" w:hAnsi="Arial"/>
          <w:sz w:val="14"/>
          <w:szCs w:val="14"/>
          <w:color w:val="4D4D4F"/>
        </w:rPr>
        <w:t>Sustainability &amp; Corporate Responsibility</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4"/>
          <w:szCs w:val="14"/>
          <w:color w:val="4D4D4F"/>
        </w:rPr>
        <w:t>Technology &amp;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38"/>
          <w:szCs w:val="38"/>
          <w:b w:val="1"/>
          <w:bCs w:val="1"/>
          <w:color w:val="00529B"/>
        </w:rPr>
        <w:t>Sharda Cherwoo</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98655"/>
        </w:rPr>
        <w:t>Retired Senior Partner, Ernst &amp; Young LLP</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BACKGROUND</w:t>
      </w:r>
    </w:p>
    <w:p>
      <w:pPr>
        <w:spacing w:after="0" w:line="204" w:lineRule="exact"/>
        <w:rPr>
          <w:sz w:val="20"/>
          <w:szCs w:val="20"/>
          <w:color w:val="auto"/>
        </w:rPr>
      </w:pPr>
    </w:p>
    <w:p>
      <w:pPr>
        <w:jc w:val="both"/>
        <w:ind w:left="260" w:right="40" w:hanging="252"/>
        <w:spacing w:after="0" w:line="293" w:lineRule="auto"/>
        <w:tabs>
          <w:tab w:leader="none" w:pos="256" w:val="left"/>
        </w:tabs>
        <w:numPr>
          <w:ilvl w:val="0"/>
          <w:numId w:val="28"/>
        </w:numPr>
        <w:rPr>
          <w:rFonts w:ascii="Arial" w:cs="Arial" w:eastAsia="Arial" w:hAnsi="Arial"/>
          <w:sz w:val="14"/>
          <w:szCs w:val="14"/>
          <w:b w:val="1"/>
          <w:bCs w:val="1"/>
          <w:color w:val="00529B"/>
        </w:rPr>
      </w:pPr>
      <w:r>
        <w:rPr>
          <w:rFonts w:ascii="Arial" w:cs="Arial" w:eastAsia="Arial" w:hAnsi="Arial"/>
          <w:sz w:val="14"/>
          <w:szCs w:val="14"/>
          <w:color w:val="4D4D4F"/>
        </w:rPr>
        <w:t>Retired as a Senior Partner from Ernst &amp; Young LLP (“EY”) in January 2020, after more than 37 years of service, including 28 years as a Client Service Partner with specialized industry focus in private equity, financial services, health care and emerging and disruptive technology companies.</w:t>
      </w:r>
    </w:p>
    <w:p>
      <w:pPr>
        <w:spacing w:after="0" w:line="4" w:lineRule="exact"/>
        <w:rPr>
          <w:rFonts w:ascii="Arial" w:cs="Arial" w:eastAsia="Arial" w:hAnsi="Arial"/>
          <w:sz w:val="14"/>
          <w:szCs w:val="14"/>
          <w:b w:val="1"/>
          <w:bCs w:val="1"/>
          <w:color w:val="00529B"/>
        </w:rPr>
      </w:pPr>
    </w:p>
    <w:p>
      <w:pPr>
        <w:ind w:left="260" w:hanging="252"/>
        <w:spacing w:after="0" w:line="293" w:lineRule="auto"/>
        <w:tabs>
          <w:tab w:leader="none" w:pos="256" w:val="left"/>
        </w:tabs>
        <w:numPr>
          <w:ilvl w:val="0"/>
          <w:numId w:val="28"/>
        </w:numPr>
        <w:rPr>
          <w:rFonts w:ascii="Arial" w:cs="Arial" w:eastAsia="Arial" w:hAnsi="Arial"/>
          <w:sz w:val="14"/>
          <w:szCs w:val="14"/>
          <w:b w:val="1"/>
          <w:bCs w:val="1"/>
          <w:color w:val="00529B"/>
        </w:rPr>
      </w:pPr>
      <w:r>
        <w:rPr>
          <w:rFonts w:ascii="Arial" w:cs="Arial" w:eastAsia="Arial" w:hAnsi="Arial"/>
          <w:sz w:val="14"/>
          <w:szCs w:val="14"/>
          <w:color w:val="4D4D4F"/>
        </w:rPr>
        <w:t>Launched and spearheaded EY’s Intelligent Automation program from October 2015 to January 2020, with a focus on strategic direction, governance and risk management. As part of that role, she also directed EY’s investments in robotic process automation (“RPA”) and digital transformation initiatives.</w:t>
      </w:r>
    </w:p>
    <w:p>
      <w:pPr>
        <w:spacing w:after="0" w:line="4" w:lineRule="exact"/>
        <w:rPr>
          <w:rFonts w:ascii="Arial" w:cs="Arial" w:eastAsia="Arial" w:hAnsi="Arial"/>
          <w:sz w:val="14"/>
          <w:szCs w:val="14"/>
          <w:b w:val="1"/>
          <w:bCs w:val="1"/>
          <w:color w:val="00529B"/>
        </w:rPr>
      </w:pPr>
    </w:p>
    <w:p>
      <w:pPr>
        <w:ind w:left="260" w:right="180" w:hanging="252"/>
        <w:spacing w:after="0" w:line="305" w:lineRule="auto"/>
        <w:tabs>
          <w:tab w:leader="none" w:pos="256" w:val="left"/>
        </w:tabs>
        <w:numPr>
          <w:ilvl w:val="0"/>
          <w:numId w:val="28"/>
        </w:numPr>
        <w:rPr>
          <w:rFonts w:ascii="Arial" w:cs="Arial" w:eastAsia="Arial" w:hAnsi="Arial"/>
          <w:sz w:val="14"/>
          <w:szCs w:val="14"/>
          <w:b w:val="1"/>
          <w:bCs w:val="1"/>
          <w:color w:val="00529B"/>
        </w:rPr>
      </w:pPr>
      <w:r>
        <w:rPr>
          <w:rFonts w:ascii="Arial" w:cs="Arial" w:eastAsia="Arial" w:hAnsi="Arial"/>
          <w:sz w:val="14"/>
          <w:szCs w:val="14"/>
          <w:color w:val="4D4D4F"/>
        </w:rPr>
        <w:t>Founding Chief Executive Officer of EY’s Global Shared Services operations in Bangalore, India, which was EY’s first global offshoring center for client-facing operations, from 2001 to 2004.</w:t>
      </w:r>
    </w:p>
    <w:p>
      <w:pPr>
        <w:spacing w:after="0" w:line="9" w:lineRule="exact"/>
        <w:rPr>
          <w:rFonts w:ascii="Arial" w:cs="Arial" w:eastAsia="Arial" w:hAnsi="Arial"/>
          <w:sz w:val="14"/>
          <w:szCs w:val="14"/>
          <w:b w:val="1"/>
          <w:bCs w:val="1"/>
          <w:color w:val="00529B"/>
        </w:rPr>
      </w:pPr>
    </w:p>
    <w:p>
      <w:pPr>
        <w:ind w:left="240" w:hanging="232"/>
        <w:spacing w:after="0"/>
        <w:tabs>
          <w:tab w:leader="none" w:pos="240" w:val="left"/>
        </w:tabs>
        <w:numPr>
          <w:ilvl w:val="0"/>
          <w:numId w:val="28"/>
        </w:numPr>
        <w:rPr>
          <w:rFonts w:ascii="Arial" w:cs="Arial" w:eastAsia="Arial" w:hAnsi="Arial"/>
          <w:sz w:val="14"/>
          <w:szCs w:val="14"/>
          <w:b w:val="1"/>
          <w:bCs w:val="1"/>
          <w:color w:val="00529B"/>
        </w:rPr>
      </w:pPr>
      <w:r>
        <w:rPr>
          <w:rFonts w:ascii="Arial" w:cs="Arial" w:eastAsia="Arial" w:hAnsi="Arial"/>
          <w:sz w:val="14"/>
          <w:szCs w:val="14"/>
          <w:color w:val="4D4D4F"/>
        </w:rPr>
        <w:t>Member of the board of directors of The Carlyle Group Inc. (NASDAQ: CG) and its audit committee, since June 2023.</w:t>
      </w:r>
    </w:p>
    <w:p>
      <w:pPr>
        <w:spacing w:after="0" w:line="68" w:lineRule="exact"/>
        <w:rPr>
          <w:rFonts w:ascii="Arial" w:cs="Arial" w:eastAsia="Arial" w:hAnsi="Arial"/>
          <w:sz w:val="14"/>
          <w:szCs w:val="14"/>
          <w:b w:val="1"/>
          <w:bCs w:val="1"/>
          <w:color w:val="00529B"/>
        </w:rPr>
      </w:pPr>
    </w:p>
    <w:p>
      <w:pPr>
        <w:ind w:left="260" w:right="60" w:hanging="252"/>
        <w:spacing w:after="0" w:line="305" w:lineRule="auto"/>
        <w:tabs>
          <w:tab w:leader="none" w:pos="256" w:val="left"/>
        </w:tabs>
        <w:numPr>
          <w:ilvl w:val="0"/>
          <w:numId w:val="28"/>
        </w:numPr>
        <w:rPr>
          <w:rFonts w:ascii="Arial" w:cs="Arial" w:eastAsia="Arial" w:hAnsi="Arial"/>
          <w:sz w:val="14"/>
          <w:szCs w:val="14"/>
          <w:b w:val="1"/>
          <w:bCs w:val="1"/>
          <w:color w:val="00529B"/>
        </w:rPr>
      </w:pPr>
      <w:r>
        <w:rPr>
          <w:rFonts w:ascii="Arial" w:cs="Arial" w:eastAsia="Arial" w:hAnsi="Arial"/>
          <w:sz w:val="14"/>
          <w:szCs w:val="14"/>
          <w:color w:val="4D4D4F"/>
        </w:rPr>
        <w:t>Member of the board of directors of Doma Holdings, Inc. (NYSE: DOMA), from August 2021 until January 2023 and served as a member of the audit &amp; risk committee.</w:t>
      </w:r>
    </w:p>
    <w:p>
      <w:pPr>
        <w:spacing w:after="0" w:line="9" w:lineRule="exact"/>
        <w:rPr>
          <w:rFonts w:ascii="Arial" w:cs="Arial" w:eastAsia="Arial" w:hAnsi="Arial"/>
          <w:sz w:val="14"/>
          <w:szCs w:val="14"/>
          <w:b w:val="1"/>
          <w:bCs w:val="1"/>
          <w:color w:val="00529B"/>
        </w:rPr>
      </w:pPr>
    </w:p>
    <w:p>
      <w:pPr>
        <w:ind w:left="260" w:right="80" w:hanging="252"/>
        <w:spacing w:after="0" w:line="283" w:lineRule="auto"/>
        <w:tabs>
          <w:tab w:leader="none" w:pos="256" w:val="left"/>
        </w:tabs>
        <w:numPr>
          <w:ilvl w:val="0"/>
          <w:numId w:val="28"/>
        </w:numPr>
        <w:rPr>
          <w:rFonts w:ascii="Arial" w:cs="Arial" w:eastAsia="Arial" w:hAnsi="Arial"/>
          <w:sz w:val="14"/>
          <w:szCs w:val="14"/>
          <w:b w:val="1"/>
          <w:bCs w:val="1"/>
          <w:color w:val="00529B"/>
        </w:rPr>
      </w:pPr>
      <w:r>
        <w:rPr>
          <w:rFonts w:ascii="Arial" w:cs="Arial" w:eastAsia="Arial" w:hAnsi="Arial"/>
          <w:sz w:val="14"/>
          <w:szCs w:val="14"/>
          <w:color w:val="4D4D4F"/>
        </w:rPr>
        <w:t>Member of the board of directors of World Quantum Growth Acquisition Corp. (NYSE: WQGA), from August 2021 until February 2023 and served as the chair of the audit committee, as well as a member of the compensation and nominating and corporate governance committees.</w:t>
      </w:r>
    </w:p>
    <w:p>
      <w:pPr>
        <w:spacing w:after="0" w:line="24" w:lineRule="exact"/>
        <w:rPr>
          <w:rFonts w:ascii="Arial" w:cs="Arial" w:eastAsia="Arial" w:hAnsi="Arial"/>
          <w:sz w:val="14"/>
          <w:szCs w:val="14"/>
          <w:b w:val="1"/>
          <w:bCs w:val="1"/>
          <w:color w:val="00529B"/>
        </w:rPr>
      </w:pPr>
    </w:p>
    <w:p>
      <w:pPr>
        <w:ind w:left="260" w:right="300" w:hanging="252"/>
        <w:spacing w:after="0" w:line="301" w:lineRule="auto"/>
        <w:tabs>
          <w:tab w:leader="none" w:pos="256" w:val="left"/>
        </w:tabs>
        <w:numPr>
          <w:ilvl w:val="0"/>
          <w:numId w:val="28"/>
        </w:numPr>
        <w:rPr>
          <w:rFonts w:ascii="Arial" w:cs="Arial" w:eastAsia="Arial" w:hAnsi="Arial"/>
          <w:sz w:val="14"/>
          <w:szCs w:val="14"/>
          <w:b w:val="1"/>
          <w:bCs w:val="1"/>
          <w:color w:val="00529B"/>
        </w:rPr>
      </w:pPr>
      <w:r>
        <w:rPr>
          <w:rFonts w:ascii="Arial" w:cs="Arial" w:eastAsia="Arial" w:hAnsi="Arial"/>
          <w:sz w:val="14"/>
          <w:szCs w:val="14"/>
          <w:color w:val="4D4D4F"/>
        </w:rPr>
        <w:t>Member of the advisory board of Land O’Lakes Inc., a member-owned agricultural cooperative, since December 2020 and currently serves on the audit &amp; risk committee and the policy committee.</w:t>
      </w:r>
    </w:p>
    <w:p>
      <w:pPr>
        <w:spacing w:after="0" w:line="1" w:lineRule="exact"/>
        <w:rPr>
          <w:rFonts w:ascii="Arial" w:cs="Arial" w:eastAsia="Arial" w:hAnsi="Arial"/>
          <w:sz w:val="14"/>
          <w:szCs w:val="14"/>
          <w:b w:val="1"/>
          <w:bCs w:val="1"/>
          <w:color w:val="00529B"/>
        </w:rPr>
      </w:pPr>
    </w:p>
    <w:p>
      <w:pPr>
        <w:ind w:left="260" w:right="200" w:hanging="252"/>
        <w:spacing w:after="0" w:line="311" w:lineRule="auto"/>
        <w:tabs>
          <w:tab w:leader="none" w:pos="256" w:val="left"/>
        </w:tabs>
        <w:numPr>
          <w:ilvl w:val="0"/>
          <w:numId w:val="28"/>
        </w:numPr>
        <w:rPr>
          <w:rFonts w:ascii="Arial" w:cs="Arial" w:eastAsia="Arial" w:hAnsi="Arial"/>
          <w:sz w:val="14"/>
          <w:szCs w:val="14"/>
          <w:b w:val="1"/>
          <w:bCs w:val="1"/>
          <w:color w:val="00529B"/>
        </w:rPr>
      </w:pPr>
      <w:r>
        <w:rPr>
          <w:rFonts w:ascii="Arial" w:cs="Arial" w:eastAsia="Arial" w:hAnsi="Arial"/>
          <w:sz w:val="14"/>
          <w:szCs w:val="14"/>
          <w:color w:val="4D4D4F"/>
        </w:rPr>
        <w:t>Member of the board of directors of the International House of New York, a nonprofit board, since June 2008, and serves as the chair of the audit committee.</w:t>
      </w:r>
    </w:p>
    <w:p>
      <w:pPr>
        <w:spacing w:after="0" w:line="1" w:lineRule="exact"/>
        <w:rPr>
          <w:rFonts w:ascii="Arial" w:cs="Arial" w:eastAsia="Arial" w:hAnsi="Arial"/>
          <w:sz w:val="14"/>
          <w:szCs w:val="14"/>
          <w:b w:val="1"/>
          <w:bCs w:val="1"/>
          <w:color w:val="00529B"/>
        </w:rPr>
      </w:pPr>
    </w:p>
    <w:p>
      <w:pPr>
        <w:ind w:left="260" w:right="160" w:hanging="252"/>
        <w:spacing w:after="0" w:line="305" w:lineRule="auto"/>
        <w:tabs>
          <w:tab w:leader="none" w:pos="256" w:val="left"/>
        </w:tabs>
        <w:numPr>
          <w:ilvl w:val="0"/>
          <w:numId w:val="28"/>
        </w:numPr>
        <w:rPr>
          <w:rFonts w:ascii="Arial" w:cs="Arial" w:eastAsia="Arial" w:hAnsi="Arial"/>
          <w:sz w:val="14"/>
          <w:szCs w:val="14"/>
          <w:b w:val="1"/>
          <w:bCs w:val="1"/>
          <w:color w:val="00529B"/>
        </w:rPr>
      </w:pPr>
      <w:r>
        <w:rPr>
          <w:rFonts w:ascii="Arial" w:cs="Arial" w:eastAsia="Arial" w:hAnsi="Arial"/>
          <w:sz w:val="14"/>
          <w:szCs w:val="14"/>
          <w:color w:val="4D4D4F"/>
        </w:rPr>
        <w:t>Serves on the nonprofit boards of Tax Analysts and the National Association of Corporate Directors - New York Chapter, and has been an Executive in Residence at Columbia Business School since 2023.</w:t>
      </w:r>
    </w:p>
    <w:p>
      <w:pPr>
        <w:spacing w:after="0" w:line="9" w:lineRule="exact"/>
        <w:rPr>
          <w:rFonts w:ascii="Arial" w:cs="Arial" w:eastAsia="Arial" w:hAnsi="Arial"/>
          <w:sz w:val="14"/>
          <w:szCs w:val="14"/>
          <w:b w:val="1"/>
          <w:bCs w:val="1"/>
          <w:color w:val="00529B"/>
        </w:rPr>
      </w:pPr>
    </w:p>
    <w:p>
      <w:pPr>
        <w:ind w:left="240" w:hanging="232"/>
        <w:spacing w:after="0"/>
        <w:tabs>
          <w:tab w:leader="none" w:pos="240" w:val="left"/>
        </w:tabs>
        <w:numPr>
          <w:ilvl w:val="0"/>
          <w:numId w:val="28"/>
        </w:numPr>
        <w:rPr>
          <w:rFonts w:ascii="Arial" w:cs="Arial" w:eastAsia="Arial" w:hAnsi="Arial"/>
          <w:sz w:val="14"/>
          <w:szCs w:val="14"/>
          <w:b w:val="1"/>
          <w:bCs w:val="1"/>
          <w:color w:val="00529B"/>
        </w:rPr>
      </w:pPr>
      <w:r>
        <w:rPr>
          <w:rFonts w:ascii="Arial" w:cs="Arial" w:eastAsia="Arial" w:hAnsi="Arial"/>
          <w:sz w:val="14"/>
          <w:szCs w:val="14"/>
          <w:color w:val="4D4D4F"/>
        </w:rPr>
        <w:t>Certified Public Accountant on active status.</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SKILLS &amp; QUALIFICATIONS</w:t>
      </w:r>
    </w:p>
    <w:p>
      <w:pPr>
        <w:spacing w:after="0" w:line="190" w:lineRule="exact"/>
        <w:rPr>
          <w:sz w:val="20"/>
          <w:szCs w:val="20"/>
          <w:color w:val="auto"/>
        </w:rPr>
      </w:pPr>
    </w:p>
    <w:p>
      <w:pPr>
        <w:spacing w:after="0" w:line="293" w:lineRule="auto"/>
        <w:rPr>
          <w:sz w:val="20"/>
          <w:szCs w:val="20"/>
          <w:color w:val="auto"/>
        </w:rPr>
      </w:pPr>
      <w:r>
        <w:rPr>
          <w:rFonts w:ascii="Arial" w:cs="Arial" w:eastAsia="Arial" w:hAnsi="Arial"/>
          <w:sz w:val="14"/>
          <w:szCs w:val="14"/>
          <w:color w:val="4D4D4F"/>
        </w:rPr>
        <w:t>Ms. Cherwoo brings to the Board her extensive experience in implementing and advising companies on digital transformation, talent transformation and artificial intelligence initiatives, as well as financial and tax reporting experience, and significant executive management and international experience in building, leading and operating business units.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298655"/>
        </w:rPr>
        <w:t>KEY SKILLS</w:t>
      </w:r>
    </w:p>
    <w:p>
      <w:pPr>
        <w:spacing w:after="0" w:line="190" w:lineRule="exact"/>
        <w:rPr>
          <w:sz w:val="20"/>
          <w:szCs w:val="20"/>
          <w:color w:val="auto"/>
        </w:rPr>
      </w:pPr>
    </w:p>
    <w:p>
      <w:pPr>
        <w:spacing w:after="0"/>
        <w:tabs>
          <w:tab w:leader="none" w:pos="220" w:val="left"/>
          <w:tab w:leader="none" w:pos="2900" w:val="left"/>
          <w:tab w:leader="none" w:pos="3140" w:val="left"/>
          <w:tab w:leader="none" w:pos="5800" w:val="left"/>
          <w:tab w:leader="none" w:pos="6040" w:val="left"/>
        </w:tabs>
        <w:rPr>
          <w:sz w:val="20"/>
          <w:szCs w:val="20"/>
          <w:color w:val="auto"/>
        </w:rPr>
      </w:pP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Accounting/Finance</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Human Capital/Talent Management</w:t>
      </w:r>
      <w:r>
        <w:rPr>
          <w:sz w:val="20"/>
          <w:szCs w:val="20"/>
          <w:color w:val="auto"/>
        </w:rPr>
        <w:tab/>
      </w:r>
      <w:r>
        <w:rPr>
          <w:rFonts w:ascii="Arial" w:cs="Arial" w:eastAsia="Arial" w:hAnsi="Arial"/>
          <w:sz w:val="14"/>
          <w:szCs w:val="14"/>
          <w:b w:val="1"/>
          <w:bCs w:val="1"/>
          <w:color w:val="00529B"/>
        </w:rPr>
        <w:t>•</w:t>
      </w:r>
      <w:r>
        <w:rPr>
          <w:sz w:val="20"/>
          <w:szCs w:val="20"/>
          <w:color w:val="auto"/>
        </w:rPr>
        <w:tab/>
      </w:r>
      <w:r>
        <w:rPr>
          <w:rFonts w:ascii="Arial" w:cs="Arial" w:eastAsia="Arial" w:hAnsi="Arial"/>
          <w:sz w:val="14"/>
          <w:szCs w:val="14"/>
          <w:color w:val="4D4D4F"/>
        </w:rPr>
        <w:t>International Operations</w:t>
      </w:r>
    </w:p>
    <w:p>
      <w:pPr>
        <w:spacing w:after="0" w:line="69" w:lineRule="exact"/>
        <w:rPr>
          <w:sz w:val="20"/>
          <w:szCs w:val="20"/>
          <w:color w:val="auto"/>
        </w:rPr>
      </w:pPr>
    </w:p>
    <w:p>
      <w:pPr>
        <w:spacing w:after="0"/>
        <w:tabs>
          <w:tab w:leader="none" w:pos="220" w:val="left"/>
          <w:tab w:leader="none" w:pos="2900" w:val="left"/>
          <w:tab w:leader="none" w:pos="3140" w:val="left"/>
          <w:tab w:leader="none" w:pos="5800" w:val="left"/>
          <w:tab w:leader="none" w:pos="6040" w:val="left"/>
        </w:tabs>
        <w:rPr>
          <w:sz w:val="20"/>
          <w:szCs w:val="20"/>
          <w:color w:val="auto"/>
        </w:rPr>
      </w:pP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Corporate Governance/Other Public</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Information Technology</w:t>
      </w:r>
      <w:r>
        <w:rPr>
          <w:sz w:val="20"/>
          <w:szCs w:val="20"/>
          <w:color w:val="auto"/>
        </w:rPr>
        <w:tab/>
      </w:r>
      <w:r>
        <w:rPr>
          <w:rFonts w:ascii="Arial" w:cs="Arial" w:eastAsia="Arial" w:hAnsi="Arial"/>
          <w:sz w:val="14"/>
          <w:szCs w:val="14"/>
          <w:b w:val="1"/>
          <w:bCs w:val="1"/>
          <w:color w:val="00529B"/>
        </w:rPr>
        <w:t>•</w:t>
      </w:r>
      <w:r>
        <w:rPr>
          <w:sz w:val="20"/>
          <w:szCs w:val="20"/>
          <w:color w:val="auto"/>
        </w:rPr>
        <w:tab/>
      </w:r>
      <w:r>
        <w:rPr>
          <w:rFonts w:ascii="Arial" w:cs="Arial" w:eastAsia="Arial" w:hAnsi="Arial"/>
          <w:sz w:val="14"/>
          <w:szCs w:val="14"/>
          <w:color w:val="4D4D4F"/>
        </w:rPr>
        <w:t>Management</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4"/>
          <w:szCs w:val="14"/>
          <w:color w:val="4D4D4F"/>
        </w:rPr>
        <w:t>Company Directorship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165100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533400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720"/>
            <w:col w:w="8300"/>
          </w:cols>
          <w:pgMar w:left="340" w:top="27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0" w:hanging="534"/>
        <w:spacing w:after="0"/>
        <w:tabs>
          <w:tab w:leader="none" w:pos="540" w:val="left"/>
        </w:tabs>
        <w:numPr>
          <w:ilvl w:val="0"/>
          <w:numId w:val="29"/>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279" w:right="399" w:bottom="1440"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14"/>
          <w:szCs w:val="14"/>
          <w:b w:val="1"/>
          <w:bCs w:val="1"/>
          <w:color w:val="5B6770"/>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0" w:right="600"/>
        <w:spacing w:after="0" w:line="503" w:lineRule="auto"/>
        <w:rPr>
          <w:sz w:val="20"/>
          <w:szCs w:val="20"/>
          <w:color w:val="auto"/>
        </w:rPr>
      </w:pPr>
      <w:r>
        <w:rPr>
          <w:rFonts w:ascii="Arial" w:cs="Arial" w:eastAsia="Arial" w:hAnsi="Arial"/>
          <w:sz w:val="14"/>
          <w:szCs w:val="14"/>
          <w:b w:val="1"/>
          <w:bCs w:val="1"/>
          <w:color w:val="00529B"/>
        </w:rPr>
        <w:t xml:space="preserve">Independent Director Age: </w:t>
      </w:r>
      <w:r>
        <w:rPr>
          <w:rFonts w:ascii="Arial" w:cs="Arial" w:eastAsia="Arial" w:hAnsi="Arial"/>
          <w:sz w:val="14"/>
          <w:szCs w:val="14"/>
          <w:color w:val="4D4D4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-1536700</wp:posOffset>
            </wp:positionV>
            <wp:extent cx="1628775" cy="27260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28775" cy="27260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b w:val="1"/>
          <w:bCs w:val="1"/>
          <w:color w:val="00529B"/>
        </w:rPr>
        <w:t xml:space="preserve">Director Since: </w:t>
      </w:r>
      <w:r>
        <w:rPr>
          <w:rFonts w:ascii="Arial" w:cs="Arial" w:eastAsia="Arial" w:hAnsi="Arial"/>
          <w:sz w:val="14"/>
          <w:szCs w:val="14"/>
          <w:color w:val="4D4D4F"/>
        </w:rPr>
        <w:t>2002</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29B"/>
        </w:rPr>
        <w:t>Committees: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Audit</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Compensation</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Governance</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Technology &amp;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38"/>
          <w:szCs w:val="38"/>
          <w:b w:val="1"/>
          <w:bCs w:val="1"/>
          <w:color w:val="00529B"/>
        </w:rPr>
        <w:t>Richard A. Kassar</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98655"/>
        </w:rPr>
        <w:t>Retired Vice Chairman, Freshpet Inc.</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BACKGROUND</w:t>
      </w:r>
    </w:p>
    <w:p>
      <w:pPr>
        <w:spacing w:after="0" w:line="204" w:lineRule="exact"/>
        <w:rPr>
          <w:sz w:val="20"/>
          <w:szCs w:val="20"/>
          <w:color w:val="auto"/>
        </w:rPr>
      </w:pPr>
    </w:p>
    <w:p>
      <w:pPr>
        <w:ind w:left="260" w:right="460" w:hanging="252"/>
        <w:spacing w:after="0" w:line="293" w:lineRule="auto"/>
        <w:tabs>
          <w:tab w:leader="none" w:pos="256" w:val="left"/>
        </w:tabs>
        <w:numPr>
          <w:ilvl w:val="0"/>
          <w:numId w:val="30"/>
        </w:numPr>
        <w:rPr>
          <w:rFonts w:ascii="Arial" w:cs="Arial" w:eastAsia="Arial" w:hAnsi="Arial"/>
          <w:sz w:val="14"/>
          <w:szCs w:val="14"/>
          <w:b w:val="1"/>
          <w:bCs w:val="1"/>
          <w:color w:val="00529B"/>
        </w:rPr>
      </w:pPr>
      <w:r>
        <w:rPr>
          <w:rFonts w:ascii="Arial" w:cs="Arial" w:eastAsia="Arial" w:hAnsi="Arial"/>
          <w:sz w:val="14"/>
          <w:szCs w:val="14"/>
          <w:color w:val="4D4D4F"/>
        </w:rPr>
        <w:t>Vice Chairman of Freshpet, Inc. (NASDAQ: FRPT) from October 2020 until June 2023, and served as its Interim Chief Financial Officer from September 2022 to December 2022, its Chief Financial Officer from July 2014 to October 2020, its President from January 2011 to July 2014 and its Chief Executive Officer from October 2006 to December 2010.</w:t>
      </w:r>
    </w:p>
    <w:p>
      <w:pPr>
        <w:spacing w:after="0" w:line="4" w:lineRule="exact"/>
        <w:rPr>
          <w:rFonts w:ascii="Arial" w:cs="Arial" w:eastAsia="Arial" w:hAnsi="Arial"/>
          <w:sz w:val="14"/>
          <w:szCs w:val="14"/>
          <w:b w:val="1"/>
          <w:bCs w:val="1"/>
          <w:color w:val="00529B"/>
        </w:rPr>
      </w:pPr>
    </w:p>
    <w:p>
      <w:pPr>
        <w:ind w:left="260" w:right="380" w:hanging="252"/>
        <w:spacing w:after="0" w:line="305" w:lineRule="auto"/>
        <w:tabs>
          <w:tab w:leader="none" w:pos="256" w:val="left"/>
        </w:tabs>
        <w:numPr>
          <w:ilvl w:val="0"/>
          <w:numId w:val="30"/>
        </w:numPr>
        <w:rPr>
          <w:rFonts w:ascii="Arial" w:cs="Arial" w:eastAsia="Arial" w:hAnsi="Arial"/>
          <w:sz w:val="14"/>
          <w:szCs w:val="14"/>
          <w:b w:val="1"/>
          <w:bCs w:val="1"/>
          <w:color w:val="00529B"/>
        </w:rPr>
      </w:pPr>
      <w:r>
        <w:rPr>
          <w:rFonts w:ascii="Arial" w:cs="Arial" w:eastAsia="Arial" w:hAnsi="Arial"/>
          <w:sz w:val="14"/>
          <w:szCs w:val="14"/>
          <w:color w:val="4D4D4F"/>
        </w:rPr>
        <w:t>Chief Financial Officer of Transformational CPG Acquisition Corp., a special purpose acquisition company, from 2021 until 2022.</w:t>
      </w:r>
    </w:p>
    <w:p>
      <w:pPr>
        <w:spacing w:after="0" w:line="9" w:lineRule="exact"/>
        <w:rPr>
          <w:rFonts w:ascii="Arial" w:cs="Arial" w:eastAsia="Arial" w:hAnsi="Arial"/>
          <w:sz w:val="14"/>
          <w:szCs w:val="14"/>
          <w:b w:val="1"/>
          <w:bCs w:val="1"/>
          <w:color w:val="00529B"/>
        </w:rPr>
      </w:pPr>
    </w:p>
    <w:p>
      <w:pPr>
        <w:ind w:left="260" w:right="100" w:hanging="252"/>
        <w:spacing w:after="0" w:line="301" w:lineRule="auto"/>
        <w:tabs>
          <w:tab w:leader="none" w:pos="256" w:val="left"/>
        </w:tabs>
        <w:numPr>
          <w:ilvl w:val="0"/>
          <w:numId w:val="30"/>
        </w:numPr>
        <w:rPr>
          <w:rFonts w:ascii="Arial" w:cs="Arial" w:eastAsia="Arial" w:hAnsi="Arial"/>
          <w:sz w:val="14"/>
          <w:szCs w:val="14"/>
          <w:b w:val="1"/>
          <w:bCs w:val="1"/>
          <w:color w:val="00529B"/>
        </w:rPr>
      </w:pPr>
      <w:r>
        <w:rPr>
          <w:rFonts w:ascii="Arial" w:cs="Arial" w:eastAsia="Arial" w:hAnsi="Arial"/>
          <w:sz w:val="14"/>
          <w:szCs w:val="14"/>
          <w:color w:val="4D4D4F"/>
        </w:rPr>
        <w:t>Senior Vice President and Chief Financial Officer of The Meow Mix Company, a cat food company, from February 2002 to July 2006.</w:t>
      </w:r>
    </w:p>
    <w:p>
      <w:pPr>
        <w:spacing w:after="0" w:line="1" w:lineRule="exact"/>
        <w:rPr>
          <w:rFonts w:ascii="Arial" w:cs="Arial" w:eastAsia="Arial" w:hAnsi="Arial"/>
          <w:sz w:val="14"/>
          <w:szCs w:val="14"/>
          <w:b w:val="1"/>
          <w:bCs w:val="1"/>
          <w:color w:val="00529B"/>
        </w:rPr>
      </w:pPr>
    </w:p>
    <w:p>
      <w:pPr>
        <w:ind w:left="260" w:right="300" w:hanging="252"/>
        <w:spacing w:after="0" w:line="311" w:lineRule="auto"/>
        <w:tabs>
          <w:tab w:leader="none" w:pos="256" w:val="left"/>
        </w:tabs>
        <w:numPr>
          <w:ilvl w:val="0"/>
          <w:numId w:val="30"/>
        </w:numPr>
        <w:rPr>
          <w:rFonts w:ascii="Arial" w:cs="Arial" w:eastAsia="Arial" w:hAnsi="Arial"/>
          <w:sz w:val="14"/>
          <w:szCs w:val="14"/>
          <w:b w:val="1"/>
          <w:bCs w:val="1"/>
          <w:color w:val="00529B"/>
        </w:rPr>
      </w:pPr>
      <w:r>
        <w:rPr>
          <w:rFonts w:ascii="Arial" w:cs="Arial" w:eastAsia="Arial" w:hAnsi="Arial"/>
          <w:sz w:val="14"/>
          <w:szCs w:val="14"/>
          <w:color w:val="4D4D4F"/>
        </w:rPr>
        <w:t>Self-employed as a consultant to venture capital firms, advising them primarily on the acquisition of consumer brands, from May 2001 to January 2002.</w:t>
      </w:r>
    </w:p>
    <w:p>
      <w:pPr>
        <w:spacing w:after="0" w:line="1" w:lineRule="exact"/>
        <w:rPr>
          <w:rFonts w:ascii="Arial" w:cs="Arial" w:eastAsia="Arial" w:hAnsi="Arial"/>
          <w:sz w:val="14"/>
          <w:szCs w:val="14"/>
          <w:b w:val="1"/>
          <w:bCs w:val="1"/>
          <w:color w:val="00529B"/>
        </w:rPr>
      </w:pPr>
    </w:p>
    <w:p>
      <w:pPr>
        <w:ind w:left="260" w:right="120" w:hanging="252"/>
        <w:spacing w:after="0" w:line="305" w:lineRule="auto"/>
        <w:tabs>
          <w:tab w:leader="none" w:pos="256" w:val="left"/>
        </w:tabs>
        <w:numPr>
          <w:ilvl w:val="0"/>
          <w:numId w:val="30"/>
        </w:numPr>
        <w:rPr>
          <w:rFonts w:ascii="Arial" w:cs="Arial" w:eastAsia="Arial" w:hAnsi="Arial"/>
          <w:sz w:val="14"/>
          <w:szCs w:val="14"/>
          <w:b w:val="1"/>
          <w:bCs w:val="1"/>
          <w:color w:val="00529B"/>
        </w:rPr>
      </w:pPr>
      <w:r>
        <w:rPr>
          <w:rFonts w:ascii="Arial" w:cs="Arial" w:eastAsia="Arial" w:hAnsi="Arial"/>
          <w:sz w:val="14"/>
          <w:szCs w:val="14"/>
          <w:color w:val="4D4D4F"/>
        </w:rPr>
        <w:t>Co-President and Chief Financial Officer of Global Household Brands, a manufacturer of household products, from December 1999 to May 2001.</w:t>
      </w:r>
    </w:p>
    <w:p>
      <w:pPr>
        <w:spacing w:after="0" w:line="9" w:lineRule="exact"/>
        <w:rPr>
          <w:rFonts w:ascii="Arial" w:cs="Arial" w:eastAsia="Arial" w:hAnsi="Arial"/>
          <w:sz w:val="14"/>
          <w:szCs w:val="14"/>
          <w:b w:val="1"/>
          <w:bCs w:val="1"/>
          <w:color w:val="00529B"/>
        </w:rPr>
      </w:pPr>
    </w:p>
    <w:p>
      <w:pPr>
        <w:ind w:left="260" w:right="320" w:hanging="252"/>
        <w:spacing w:after="0" w:line="301" w:lineRule="auto"/>
        <w:tabs>
          <w:tab w:leader="none" w:pos="256" w:val="left"/>
        </w:tabs>
        <w:numPr>
          <w:ilvl w:val="0"/>
          <w:numId w:val="30"/>
        </w:numPr>
        <w:rPr>
          <w:rFonts w:ascii="Arial" w:cs="Arial" w:eastAsia="Arial" w:hAnsi="Arial"/>
          <w:sz w:val="14"/>
          <w:szCs w:val="14"/>
          <w:b w:val="1"/>
          <w:bCs w:val="1"/>
          <w:color w:val="00529B"/>
        </w:rPr>
      </w:pPr>
      <w:r>
        <w:rPr>
          <w:rFonts w:ascii="Arial" w:cs="Arial" w:eastAsia="Arial" w:hAnsi="Arial"/>
          <w:sz w:val="14"/>
          <w:szCs w:val="14"/>
          <w:color w:val="4D4D4F"/>
        </w:rPr>
        <w:t>Held various positions at Chock Full O’Nuts, a coffee company, from 1986 to December 1999, and most recently served as Senior Vice President and Chief Operating Officer.</w:t>
      </w:r>
    </w:p>
    <w:p>
      <w:pPr>
        <w:spacing w:after="0" w:line="1" w:lineRule="exact"/>
        <w:rPr>
          <w:rFonts w:ascii="Arial" w:cs="Arial" w:eastAsia="Arial" w:hAnsi="Arial"/>
          <w:sz w:val="14"/>
          <w:szCs w:val="14"/>
          <w:b w:val="1"/>
          <w:bCs w:val="1"/>
          <w:color w:val="00529B"/>
        </w:rPr>
      </w:pPr>
    </w:p>
    <w:p>
      <w:pPr>
        <w:ind w:left="260" w:right="400" w:hanging="252"/>
        <w:spacing w:after="0" w:line="311" w:lineRule="auto"/>
        <w:tabs>
          <w:tab w:leader="none" w:pos="256" w:val="left"/>
        </w:tabs>
        <w:numPr>
          <w:ilvl w:val="0"/>
          <w:numId w:val="30"/>
        </w:numPr>
        <w:rPr>
          <w:rFonts w:ascii="Arial" w:cs="Arial" w:eastAsia="Arial" w:hAnsi="Arial"/>
          <w:sz w:val="14"/>
          <w:szCs w:val="14"/>
          <w:b w:val="1"/>
          <w:bCs w:val="1"/>
          <w:color w:val="00529B"/>
        </w:rPr>
      </w:pPr>
      <w:r>
        <w:rPr>
          <w:rFonts w:ascii="Arial" w:cs="Arial" w:eastAsia="Arial" w:hAnsi="Arial"/>
          <w:sz w:val="14"/>
          <w:szCs w:val="14"/>
          <w:color w:val="4D4D4F"/>
        </w:rPr>
        <w:t>Director, member of the compensation committee and chairman of the audit committee of Vaughan Foods, Inc., a Nasdaq company until March 2010, which was sold in October 2011.</w:t>
      </w:r>
    </w:p>
    <w:p>
      <w:pPr>
        <w:spacing w:after="0" w:line="1" w:lineRule="exact"/>
        <w:rPr>
          <w:rFonts w:ascii="Arial" w:cs="Arial" w:eastAsia="Arial" w:hAnsi="Arial"/>
          <w:sz w:val="14"/>
          <w:szCs w:val="14"/>
          <w:b w:val="1"/>
          <w:bCs w:val="1"/>
          <w:color w:val="00529B"/>
        </w:rPr>
      </w:pPr>
    </w:p>
    <w:p>
      <w:pPr>
        <w:ind w:left="260" w:right="340" w:hanging="252"/>
        <w:spacing w:after="0" w:line="305" w:lineRule="auto"/>
        <w:tabs>
          <w:tab w:leader="none" w:pos="256" w:val="left"/>
        </w:tabs>
        <w:numPr>
          <w:ilvl w:val="0"/>
          <w:numId w:val="30"/>
        </w:numPr>
        <w:rPr>
          <w:rFonts w:ascii="Arial" w:cs="Arial" w:eastAsia="Arial" w:hAnsi="Arial"/>
          <w:sz w:val="14"/>
          <w:szCs w:val="14"/>
          <w:b w:val="1"/>
          <w:bCs w:val="1"/>
          <w:color w:val="00529B"/>
        </w:rPr>
      </w:pPr>
      <w:r>
        <w:rPr>
          <w:rFonts w:ascii="Arial" w:cs="Arial" w:eastAsia="Arial" w:hAnsi="Arial"/>
          <w:sz w:val="14"/>
          <w:szCs w:val="14"/>
          <w:color w:val="4D4D4F"/>
        </w:rPr>
        <w:t>Director, member of the compensation committee and chairman of the audit committee of Velocity Express, Inc., a Nasdaq company until August 2009, which was sold in November 2009.</w:t>
      </w:r>
    </w:p>
    <w:p>
      <w:pPr>
        <w:spacing w:after="0" w:line="9" w:lineRule="exact"/>
        <w:rPr>
          <w:rFonts w:ascii="Arial" w:cs="Arial" w:eastAsia="Arial" w:hAnsi="Arial"/>
          <w:sz w:val="14"/>
          <w:szCs w:val="14"/>
          <w:b w:val="1"/>
          <w:bCs w:val="1"/>
          <w:color w:val="00529B"/>
        </w:rPr>
      </w:pPr>
    </w:p>
    <w:p>
      <w:pPr>
        <w:ind w:left="240" w:hanging="232"/>
        <w:spacing w:after="0"/>
        <w:tabs>
          <w:tab w:leader="none" w:pos="240" w:val="left"/>
        </w:tabs>
        <w:numPr>
          <w:ilvl w:val="0"/>
          <w:numId w:val="30"/>
        </w:numPr>
        <w:rPr>
          <w:rFonts w:ascii="Arial" w:cs="Arial" w:eastAsia="Arial" w:hAnsi="Arial"/>
          <w:sz w:val="14"/>
          <w:szCs w:val="14"/>
          <w:b w:val="1"/>
          <w:bCs w:val="1"/>
          <w:color w:val="00529B"/>
        </w:rPr>
      </w:pPr>
      <w:r>
        <w:rPr>
          <w:rFonts w:ascii="Arial" w:cs="Arial" w:eastAsia="Arial" w:hAnsi="Arial"/>
          <w:sz w:val="14"/>
          <w:szCs w:val="14"/>
          <w:color w:val="4D4D4F"/>
        </w:rPr>
        <w:t>First cousin of Michael J. Kasbar, our Chairman, President and Chief Executive Officer.</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SKILLS &amp; QUALIFICATIONS</w:t>
      </w:r>
    </w:p>
    <w:p>
      <w:pPr>
        <w:spacing w:after="0" w:line="190" w:lineRule="exact"/>
        <w:rPr>
          <w:sz w:val="20"/>
          <w:szCs w:val="20"/>
          <w:color w:val="auto"/>
        </w:rPr>
      </w:pPr>
    </w:p>
    <w:p>
      <w:pPr>
        <w:ind w:right="480"/>
        <w:spacing w:after="0" w:line="305" w:lineRule="auto"/>
        <w:rPr>
          <w:sz w:val="20"/>
          <w:szCs w:val="20"/>
          <w:color w:val="auto"/>
        </w:rPr>
      </w:pPr>
      <w:r>
        <w:rPr>
          <w:rFonts w:ascii="Arial" w:cs="Arial" w:eastAsia="Arial" w:hAnsi="Arial"/>
          <w:sz w:val="14"/>
          <w:szCs w:val="14"/>
          <w:color w:val="4D4D4F"/>
        </w:rPr>
        <w:t>Mr. Kassar brings to the Board his extensive executive experience in brand management, consumer products and corporate finance and has significant experience as a senior finance executive.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298655"/>
        </w:rPr>
        <w:t>KEY SKILLS</w:t>
      </w:r>
    </w:p>
    <w:p>
      <w:pPr>
        <w:spacing w:after="0" w:line="190" w:lineRule="exact"/>
        <w:rPr>
          <w:sz w:val="20"/>
          <w:szCs w:val="20"/>
          <w:color w:val="auto"/>
        </w:rPr>
      </w:pPr>
    </w:p>
    <w:p>
      <w:pPr>
        <w:spacing w:after="0"/>
        <w:tabs>
          <w:tab w:leader="none" w:pos="220" w:val="left"/>
          <w:tab w:leader="none" w:pos="2900" w:val="left"/>
          <w:tab w:leader="none" w:pos="3140" w:val="left"/>
          <w:tab w:leader="none" w:pos="5800" w:val="left"/>
          <w:tab w:leader="none" w:pos="6040" w:val="left"/>
        </w:tabs>
        <w:rPr>
          <w:sz w:val="20"/>
          <w:szCs w:val="20"/>
          <w:color w:val="auto"/>
        </w:rPr>
      </w:pP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Accounting/Finance</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Corporate Governance/Other Public</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Investment Banking/Capital</w:t>
      </w:r>
    </w:p>
    <w:p>
      <w:pPr>
        <w:spacing w:after="0" w:line="29" w:lineRule="exact"/>
        <w:rPr>
          <w:sz w:val="20"/>
          <w:szCs w:val="20"/>
          <w:color w:val="auto"/>
        </w:rPr>
      </w:pPr>
    </w:p>
    <w:p>
      <w:pPr>
        <w:ind w:left="3160"/>
        <w:spacing w:after="0"/>
        <w:tabs>
          <w:tab w:leader="none" w:pos="6040" w:val="left"/>
        </w:tabs>
        <w:rPr>
          <w:sz w:val="20"/>
          <w:szCs w:val="20"/>
          <w:color w:val="auto"/>
        </w:rPr>
      </w:pPr>
      <w:r>
        <w:rPr>
          <w:rFonts w:ascii="Arial" w:cs="Arial" w:eastAsia="Arial" w:hAnsi="Arial"/>
          <w:sz w:val="14"/>
          <w:szCs w:val="14"/>
          <w:color w:val="4D4D4F"/>
        </w:rPr>
        <w:t>Company Directorship</w:t>
      </w:r>
      <w:r>
        <w:rPr>
          <w:sz w:val="20"/>
          <w:szCs w:val="20"/>
          <w:color w:val="auto"/>
        </w:rPr>
        <w:tab/>
      </w:r>
      <w:r>
        <w:rPr>
          <w:rFonts w:ascii="Arial" w:cs="Arial" w:eastAsia="Arial" w:hAnsi="Arial"/>
          <w:sz w:val="14"/>
          <w:szCs w:val="14"/>
          <w:color w:val="4D4D4F"/>
        </w:rPr>
        <w:t>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168910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537845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720"/>
            <w:col w:w="8360"/>
          </w:cols>
          <w:pgMar w:left="320" w:top="2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15</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b w:val="1"/>
          <w:bCs w:val="1"/>
          <w:color w:val="5B6770"/>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40" w:top="27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0" w:right="600"/>
        <w:spacing w:after="0" w:line="503" w:lineRule="auto"/>
        <w:rPr>
          <w:sz w:val="20"/>
          <w:szCs w:val="20"/>
          <w:color w:val="auto"/>
        </w:rPr>
      </w:pPr>
      <w:r>
        <w:rPr>
          <w:rFonts w:ascii="Arial" w:cs="Arial" w:eastAsia="Arial" w:hAnsi="Arial"/>
          <w:sz w:val="14"/>
          <w:szCs w:val="14"/>
          <w:b w:val="1"/>
          <w:bCs w:val="1"/>
          <w:color w:val="00529B"/>
        </w:rPr>
        <w:t xml:space="preserve">Independent Director Age: </w:t>
      </w:r>
      <w:r>
        <w:rPr>
          <w:rFonts w:ascii="Arial" w:cs="Arial" w:eastAsia="Arial" w:hAnsi="Arial"/>
          <w:sz w:val="14"/>
          <w:szCs w:val="14"/>
          <w:color w:val="4D4D4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-1536700</wp:posOffset>
            </wp:positionV>
            <wp:extent cx="1628775" cy="27260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28775" cy="27260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00529B"/>
        </w:rPr>
        <w:t xml:space="preserve">Director Since: </w:t>
      </w:r>
      <w:r>
        <w:rPr>
          <w:rFonts w:ascii="Arial" w:cs="Arial" w:eastAsia="Arial" w:hAnsi="Arial"/>
          <w:sz w:val="14"/>
          <w:szCs w:val="14"/>
          <w:color w:val="4D4D4F"/>
        </w:rPr>
        <w:t>2010</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0529B"/>
        </w:rPr>
        <w:t>Committees:</w:t>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4D4D4F"/>
        </w:rPr>
        <w:t>Audit (Chair)</w:t>
      </w:r>
    </w:p>
    <w:p>
      <w:pPr>
        <w:spacing w:after="0" w:line="123" w:lineRule="exact"/>
        <w:rPr>
          <w:sz w:val="20"/>
          <w:szCs w:val="20"/>
          <w:color w:val="auto"/>
        </w:rPr>
      </w:pPr>
    </w:p>
    <w:p>
      <w:pPr>
        <w:ind w:left="80"/>
        <w:spacing w:after="0"/>
        <w:rPr>
          <w:sz w:val="20"/>
          <w:szCs w:val="20"/>
          <w:color w:val="auto"/>
        </w:rPr>
      </w:pPr>
      <w:r>
        <w:rPr>
          <w:rFonts w:ascii="Arial" w:cs="Arial" w:eastAsia="Arial" w:hAnsi="Arial"/>
          <w:sz w:val="14"/>
          <w:szCs w:val="14"/>
          <w:color w:val="4D4D4F"/>
        </w:rPr>
        <w:t>Governance</w:t>
      </w:r>
    </w:p>
    <w:p>
      <w:pPr>
        <w:spacing w:after="0" w:line="136" w:lineRule="exact"/>
        <w:rPr>
          <w:sz w:val="20"/>
          <w:szCs w:val="20"/>
          <w:color w:val="auto"/>
        </w:rPr>
      </w:pPr>
    </w:p>
    <w:p>
      <w:pPr>
        <w:ind w:left="80" w:right="360"/>
        <w:spacing w:after="0" w:line="466" w:lineRule="auto"/>
        <w:rPr>
          <w:sz w:val="20"/>
          <w:szCs w:val="20"/>
          <w:color w:val="auto"/>
        </w:rPr>
      </w:pPr>
      <w:r>
        <w:rPr>
          <w:rFonts w:ascii="Arial" w:cs="Arial" w:eastAsia="Arial" w:hAnsi="Arial"/>
          <w:sz w:val="14"/>
          <w:szCs w:val="14"/>
          <w:color w:val="4D4D4F"/>
        </w:rPr>
        <w:t>Technology &amp; Operations Nominating Subcommittee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38"/>
          <w:szCs w:val="38"/>
          <w:b w:val="1"/>
          <w:bCs w:val="1"/>
          <w:color w:val="00529B"/>
        </w:rPr>
        <w:t>John L. Manley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98655"/>
        </w:rPr>
        <w:t>Retired Senior Partner, Deloitte &amp; Touche LLP</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BACKGROUND</w:t>
      </w:r>
    </w:p>
    <w:p>
      <w:pPr>
        <w:spacing w:after="0" w:line="204" w:lineRule="exact"/>
        <w:rPr>
          <w:sz w:val="20"/>
          <w:szCs w:val="20"/>
          <w:color w:val="auto"/>
        </w:rPr>
      </w:pPr>
    </w:p>
    <w:p>
      <w:pPr>
        <w:ind w:left="240" w:hanging="232"/>
        <w:spacing w:after="0"/>
        <w:tabs>
          <w:tab w:leader="none" w:pos="240" w:val="left"/>
        </w:tabs>
        <w:numPr>
          <w:ilvl w:val="0"/>
          <w:numId w:val="31"/>
        </w:numPr>
        <w:rPr>
          <w:rFonts w:ascii="Arial" w:cs="Arial" w:eastAsia="Arial" w:hAnsi="Arial"/>
          <w:sz w:val="14"/>
          <w:szCs w:val="14"/>
          <w:b w:val="1"/>
          <w:bCs w:val="1"/>
          <w:color w:val="00529B"/>
        </w:rPr>
      </w:pPr>
      <w:r>
        <w:rPr>
          <w:rFonts w:ascii="Arial" w:cs="Arial" w:eastAsia="Arial" w:hAnsi="Arial"/>
          <w:sz w:val="14"/>
          <w:szCs w:val="14"/>
          <w:color w:val="4D4D4F"/>
        </w:rPr>
        <w:t>Retired from Deloitte &amp; Touche LLP in 2009 after more than 27 years as a partner.</w:t>
      </w:r>
    </w:p>
    <w:p>
      <w:pPr>
        <w:spacing w:after="0" w:line="68" w:lineRule="exact"/>
        <w:rPr>
          <w:rFonts w:ascii="Arial" w:cs="Arial" w:eastAsia="Arial" w:hAnsi="Arial"/>
          <w:sz w:val="14"/>
          <w:szCs w:val="14"/>
          <w:b w:val="1"/>
          <w:bCs w:val="1"/>
          <w:color w:val="00529B"/>
        </w:rPr>
      </w:pPr>
    </w:p>
    <w:p>
      <w:pPr>
        <w:ind w:left="240" w:hanging="232"/>
        <w:spacing w:after="0"/>
        <w:tabs>
          <w:tab w:leader="none" w:pos="240" w:val="left"/>
        </w:tabs>
        <w:numPr>
          <w:ilvl w:val="0"/>
          <w:numId w:val="31"/>
        </w:numPr>
        <w:rPr>
          <w:rFonts w:ascii="Arial" w:cs="Arial" w:eastAsia="Arial" w:hAnsi="Arial"/>
          <w:sz w:val="14"/>
          <w:szCs w:val="14"/>
          <w:b w:val="1"/>
          <w:bCs w:val="1"/>
          <w:color w:val="00529B"/>
        </w:rPr>
      </w:pPr>
      <w:r>
        <w:rPr>
          <w:rFonts w:ascii="Arial" w:cs="Arial" w:eastAsia="Arial" w:hAnsi="Arial"/>
          <w:sz w:val="14"/>
          <w:szCs w:val="14"/>
          <w:color w:val="4D4D4F"/>
        </w:rPr>
        <w:t>Managing Partner of Deloitte’s Northeast Region Audit and Enterprise Risk Services Practice from 2006 to 2009.</w:t>
      </w:r>
    </w:p>
    <w:p>
      <w:pPr>
        <w:spacing w:after="0" w:line="82" w:lineRule="exact"/>
        <w:rPr>
          <w:rFonts w:ascii="Arial" w:cs="Arial" w:eastAsia="Arial" w:hAnsi="Arial"/>
          <w:sz w:val="14"/>
          <w:szCs w:val="14"/>
          <w:b w:val="1"/>
          <w:bCs w:val="1"/>
          <w:color w:val="00529B"/>
        </w:rPr>
      </w:pPr>
    </w:p>
    <w:p>
      <w:pPr>
        <w:ind w:left="260" w:right="380" w:hanging="252"/>
        <w:spacing w:after="0" w:line="301" w:lineRule="auto"/>
        <w:tabs>
          <w:tab w:leader="none" w:pos="256" w:val="left"/>
        </w:tabs>
        <w:numPr>
          <w:ilvl w:val="0"/>
          <w:numId w:val="31"/>
        </w:numPr>
        <w:rPr>
          <w:rFonts w:ascii="Arial" w:cs="Arial" w:eastAsia="Arial" w:hAnsi="Arial"/>
          <w:sz w:val="14"/>
          <w:szCs w:val="14"/>
          <w:b w:val="1"/>
          <w:bCs w:val="1"/>
          <w:color w:val="00529B"/>
        </w:rPr>
      </w:pPr>
      <w:r>
        <w:rPr>
          <w:rFonts w:ascii="Arial" w:cs="Arial" w:eastAsia="Arial" w:hAnsi="Arial"/>
          <w:sz w:val="14"/>
          <w:szCs w:val="14"/>
          <w:color w:val="4D4D4F"/>
        </w:rPr>
        <w:t>Founded and was the National Director of Deloitte’s Regulatory Consulting Practice, which included practices in financial services, health care, government contracting, energy and utilities.</w:t>
      </w:r>
    </w:p>
    <w:p>
      <w:pPr>
        <w:spacing w:after="0" w:line="1" w:lineRule="exact"/>
        <w:rPr>
          <w:rFonts w:ascii="Arial" w:cs="Arial" w:eastAsia="Arial" w:hAnsi="Arial"/>
          <w:sz w:val="14"/>
          <w:szCs w:val="14"/>
          <w:b w:val="1"/>
          <w:bCs w:val="1"/>
          <w:color w:val="00529B"/>
        </w:rPr>
      </w:pPr>
    </w:p>
    <w:p>
      <w:pPr>
        <w:ind w:left="260" w:hanging="252"/>
        <w:spacing w:after="0" w:line="293" w:lineRule="auto"/>
        <w:tabs>
          <w:tab w:leader="none" w:pos="256" w:val="left"/>
        </w:tabs>
        <w:numPr>
          <w:ilvl w:val="0"/>
          <w:numId w:val="31"/>
        </w:numPr>
        <w:rPr>
          <w:rFonts w:ascii="Arial" w:cs="Arial" w:eastAsia="Arial" w:hAnsi="Arial"/>
          <w:sz w:val="14"/>
          <w:szCs w:val="14"/>
          <w:b w:val="1"/>
          <w:bCs w:val="1"/>
          <w:color w:val="00529B"/>
        </w:rPr>
      </w:pPr>
      <w:r>
        <w:rPr>
          <w:rFonts w:ascii="Arial" w:cs="Arial" w:eastAsia="Arial" w:hAnsi="Arial"/>
          <w:sz w:val="14"/>
          <w:szCs w:val="14"/>
          <w:color w:val="4D4D4F"/>
        </w:rPr>
        <w:t>Had seven years of regulatory experience with the SEC and the Commodity Futures Trading Commission, or CFTC, in various positions, including serving as the Chief Accountant and Director of the Division of Trading and Markets of the CFTC, before joining Deloitte.</w:t>
      </w:r>
    </w:p>
    <w:p>
      <w:pPr>
        <w:spacing w:after="0" w:line="4" w:lineRule="exact"/>
        <w:rPr>
          <w:rFonts w:ascii="Arial" w:cs="Arial" w:eastAsia="Arial" w:hAnsi="Arial"/>
          <w:sz w:val="14"/>
          <w:szCs w:val="14"/>
          <w:b w:val="1"/>
          <w:bCs w:val="1"/>
          <w:color w:val="00529B"/>
        </w:rPr>
      </w:pPr>
    </w:p>
    <w:p>
      <w:pPr>
        <w:ind w:left="240" w:hanging="232"/>
        <w:spacing w:after="0"/>
        <w:tabs>
          <w:tab w:leader="none" w:pos="240" w:val="left"/>
        </w:tabs>
        <w:numPr>
          <w:ilvl w:val="0"/>
          <w:numId w:val="31"/>
        </w:numPr>
        <w:rPr>
          <w:rFonts w:ascii="Arial" w:cs="Arial" w:eastAsia="Arial" w:hAnsi="Arial"/>
          <w:sz w:val="14"/>
          <w:szCs w:val="14"/>
          <w:b w:val="1"/>
          <w:bCs w:val="1"/>
          <w:color w:val="00529B"/>
        </w:rPr>
      </w:pPr>
      <w:r>
        <w:rPr>
          <w:rFonts w:ascii="Arial" w:cs="Arial" w:eastAsia="Arial" w:hAnsi="Arial"/>
          <w:sz w:val="14"/>
          <w:szCs w:val="14"/>
          <w:color w:val="4D4D4F"/>
        </w:rPr>
        <w:t>Director and Chairman of the audit committee of UBS Trust Company N.A. from 2013 to August 2015.</w:t>
      </w:r>
    </w:p>
    <w:p>
      <w:pPr>
        <w:spacing w:after="0" w:line="82" w:lineRule="exact"/>
        <w:rPr>
          <w:rFonts w:ascii="Arial" w:cs="Arial" w:eastAsia="Arial" w:hAnsi="Arial"/>
          <w:sz w:val="14"/>
          <w:szCs w:val="14"/>
          <w:b w:val="1"/>
          <w:bCs w:val="1"/>
          <w:color w:val="00529B"/>
        </w:rPr>
      </w:pPr>
    </w:p>
    <w:p>
      <w:pPr>
        <w:ind w:left="240" w:hanging="232"/>
        <w:spacing w:after="0"/>
        <w:tabs>
          <w:tab w:leader="none" w:pos="240" w:val="left"/>
        </w:tabs>
        <w:numPr>
          <w:ilvl w:val="0"/>
          <w:numId w:val="31"/>
        </w:numPr>
        <w:rPr>
          <w:rFonts w:ascii="Arial" w:cs="Arial" w:eastAsia="Arial" w:hAnsi="Arial"/>
          <w:sz w:val="14"/>
          <w:szCs w:val="14"/>
          <w:b w:val="1"/>
          <w:bCs w:val="1"/>
          <w:color w:val="00529B"/>
        </w:rPr>
      </w:pPr>
      <w:r>
        <w:rPr>
          <w:rFonts w:ascii="Arial" w:cs="Arial" w:eastAsia="Arial" w:hAnsi="Arial"/>
          <w:sz w:val="14"/>
          <w:szCs w:val="14"/>
          <w:color w:val="4D4D4F"/>
        </w:rPr>
        <w:t>A Certified Public Accountant on inactive status.</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SKILLS &amp; QUALIFICATIONS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4D4D4F"/>
        </w:rPr>
        <w:t>Mr. Manley brings to the Board extensive executive management, financial reporting, risk management and regulatory experience.</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298655"/>
        </w:rPr>
        <w:t>KEY SKILLS</w:t>
      </w:r>
    </w:p>
    <w:p>
      <w:pPr>
        <w:spacing w:after="0" w:line="190" w:lineRule="exact"/>
        <w:rPr>
          <w:sz w:val="20"/>
          <w:szCs w:val="20"/>
          <w:color w:val="auto"/>
        </w:rPr>
      </w:pPr>
    </w:p>
    <w:p>
      <w:pPr>
        <w:spacing w:after="0"/>
        <w:tabs>
          <w:tab w:leader="none" w:pos="220" w:val="left"/>
          <w:tab w:leader="none" w:pos="2900" w:val="left"/>
          <w:tab w:leader="none" w:pos="3140" w:val="left"/>
          <w:tab w:leader="none" w:pos="5800" w:val="left"/>
          <w:tab w:leader="none" w:pos="6040" w:val="left"/>
        </w:tabs>
        <w:rPr>
          <w:sz w:val="20"/>
          <w:szCs w:val="20"/>
          <w:color w:val="auto"/>
        </w:rPr>
      </w:pP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Accounting/Finance</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Commodities Trading</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Management</w:t>
      </w:r>
    </w:p>
    <w:p>
      <w:pPr>
        <w:spacing w:after="0" w:line="69" w:lineRule="exact"/>
        <w:rPr>
          <w:sz w:val="20"/>
          <w:szCs w:val="20"/>
          <w:color w:val="auto"/>
        </w:rPr>
      </w:pPr>
    </w:p>
    <w:p>
      <w:pPr>
        <w:spacing w:after="0"/>
        <w:tabs>
          <w:tab w:leader="none" w:pos="220" w:val="left"/>
          <w:tab w:leader="none" w:pos="2900" w:val="left"/>
          <w:tab w:leader="none" w:pos="3140" w:val="left"/>
        </w:tabs>
        <w:rPr>
          <w:sz w:val="20"/>
          <w:szCs w:val="20"/>
          <w:color w:val="auto"/>
        </w:rPr>
      </w:pP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Corporate Governance/Other Public</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Legal and Regulatory</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4"/>
          <w:szCs w:val="14"/>
          <w:color w:val="4D4D4F"/>
        </w:rPr>
        <w:t>Company Directorship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165100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720"/>
            <w:col w:w="8280"/>
          </w:cols>
          <w:pgMar w:left="340" w:top="27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0" w:right="240"/>
        <w:spacing w:after="0" w:line="513" w:lineRule="auto"/>
        <w:rPr>
          <w:sz w:val="20"/>
          <w:szCs w:val="20"/>
          <w:color w:val="auto"/>
        </w:rPr>
      </w:pPr>
      <w:r>
        <w:rPr>
          <w:rFonts w:ascii="Arial" w:cs="Arial" w:eastAsia="Arial" w:hAnsi="Arial"/>
          <w:sz w:val="14"/>
          <w:szCs w:val="14"/>
          <w:b w:val="1"/>
          <w:bCs w:val="1"/>
          <w:color w:val="00529B"/>
        </w:rPr>
        <w:t xml:space="preserve">Lead Independent Director Age: </w:t>
      </w:r>
      <w:r>
        <w:rPr>
          <w:rFonts w:ascii="Arial" w:cs="Arial" w:eastAsia="Arial" w:hAnsi="Arial"/>
          <w:sz w:val="14"/>
          <w:szCs w:val="14"/>
          <w:color w:val="4D4D4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-1544955</wp:posOffset>
            </wp:positionV>
            <wp:extent cx="1628775" cy="24942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28775" cy="249428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00529B"/>
        </w:rPr>
        <w:t xml:space="preserve">Director Since: </w:t>
      </w:r>
      <w:r>
        <w:rPr>
          <w:rFonts w:ascii="Arial" w:cs="Arial" w:eastAsia="Arial" w:hAnsi="Arial"/>
          <w:sz w:val="14"/>
          <w:szCs w:val="14"/>
          <w:color w:val="4D4D4F"/>
        </w:rPr>
        <w:t>2006</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0529B"/>
        </w:rPr>
        <w:t>Committees:</w:t>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4D4D4F"/>
        </w:rPr>
        <w:t>Compensation</w:t>
      </w:r>
    </w:p>
    <w:p>
      <w:pPr>
        <w:spacing w:after="0" w:line="123" w:lineRule="exact"/>
        <w:rPr>
          <w:sz w:val="20"/>
          <w:szCs w:val="20"/>
          <w:color w:val="auto"/>
        </w:rPr>
      </w:pPr>
    </w:p>
    <w:p>
      <w:pPr>
        <w:ind w:left="80" w:right="160"/>
        <w:spacing w:after="0" w:line="305" w:lineRule="auto"/>
        <w:rPr>
          <w:sz w:val="20"/>
          <w:szCs w:val="20"/>
          <w:color w:val="auto"/>
        </w:rPr>
      </w:pPr>
      <w:r>
        <w:rPr>
          <w:rFonts w:ascii="Arial" w:cs="Arial" w:eastAsia="Arial" w:hAnsi="Arial"/>
          <w:sz w:val="14"/>
          <w:szCs w:val="14"/>
          <w:color w:val="4D4D4F"/>
        </w:rPr>
        <w:t>Governance (Chair, Presiding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8"/>
          <w:szCs w:val="38"/>
          <w:b w:val="1"/>
          <w:bCs w:val="1"/>
          <w:color w:val="00529B"/>
        </w:rPr>
        <w:t>Stephen K. Roddenberry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98655"/>
        </w:rPr>
        <w:t>Partner, Akerman LLP</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BACKGROUND</w:t>
      </w:r>
    </w:p>
    <w:p>
      <w:pPr>
        <w:spacing w:after="0" w:line="204" w:lineRule="exact"/>
        <w:rPr>
          <w:sz w:val="20"/>
          <w:szCs w:val="20"/>
          <w:color w:val="auto"/>
        </w:rPr>
      </w:pPr>
    </w:p>
    <w:p>
      <w:pPr>
        <w:ind w:left="240" w:hanging="232"/>
        <w:spacing w:after="0"/>
        <w:tabs>
          <w:tab w:leader="none" w:pos="240" w:val="left"/>
        </w:tabs>
        <w:numPr>
          <w:ilvl w:val="0"/>
          <w:numId w:val="32"/>
        </w:numPr>
        <w:rPr>
          <w:rFonts w:ascii="Arial" w:cs="Arial" w:eastAsia="Arial" w:hAnsi="Arial"/>
          <w:sz w:val="14"/>
          <w:szCs w:val="14"/>
          <w:b w:val="1"/>
          <w:bCs w:val="1"/>
          <w:color w:val="00529B"/>
        </w:rPr>
      </w:pPr>
      <w:r>
        <w:rPr>
          <w:rFonts w:ascii="Arial" w:cs="Arial" w:eastAsia="Arial" w:hAnsi="Arial"/>
          <w:sz w:val="14"/>
          <w:szCs w:val="14"/>
          <w:color w:val="4D4D4F"/>
        </w:rPr>
        <w:t>Partner in the law firm of Akerman LLP where he has been employed as an attorney since 1988.</w:t>
      </w:r>
    </w:p>
    <w:p>
      <w:pPr>
        <w:spacing w:after="0" w:line="68" w:lineRule="exact"/>
        <w:rPr>
          <w:rFonts w:ascii="Arial" w:cs="Arial" w:eastAsia="Arial" w:hAnsi="Arial"/>
          <w:sz w:val="14"/>
          <w:szCs w:val="14"/>
          <w:b w:val="1"/>
          <w:bCs w:val="1"/>
          <w:color w:val="00529B"/>
        </w:rPr>
      </w:pPr>
    </w:p>
    <w:p>
      <w:pPr>
        <w:ind w:left="260" w:right="440" w:hanging="252"/>
        <w:spacing w:after="0" w:line="305" w:lineRule="auto"/>
        <w:tabs>
          <w:tab w:leader="none" w:pos="256" w:val="left"/>
        </w:tabs>
        <w:numPr>
          <w:ilvl w:val="0"/>
          <w:numId w:val="32"/>
        </w:numPr>
        <w:rPr>
          <w:rFonts w:ascii="Arial" w:cs="Arial" w:eastAsia="Arial" w:hAnsi="Arial"/>
          <w:sz w:val="14"/>
          <w:szCs w:val="14"/>
          <w:b w:val="1"/>
          <w:bCs w:val="1"/>
          <w:color w:val="00529B"/>
        </w:rPr>
      </w:pPr>
      <w:r>
        <w:rPr>
          <w:rFonts w:ascii="Arial" w:cs="Arial" w:eastAsia="Arial" w:hAnsi="Arial"/>
          <w:sz w:val="14"/>
          <w:szCs w:val="14"/>
          <w:color w:val="4D4D4F"/>
        </w:rPr>
        <w:t>Advises clients in corporate compliance and governance issues, public and private securities transactions, mergers and acquisitions, and private equity investments.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SKILLS &amp; QUALIFICATIONS</w:t>
      </w:r>
    </w:p>
    <w:p>
      <w:pPr>
        <w:spacing w:after="0" w:line="190" w:lineRule="exact"/>
        <w:rPr>
          <w:sz w:val="20"/>
          <w:szCs w:val="20"/>
          <w:color w:val="auto"/>
        </w:rPr>
      </w:pPr>
    </w:p>
    <w:p>
      <w:pPr>
        <w:ind w:right="140"/>
        <w:spacing w:after="0" w:line="305" w:lineRule="auto"/>
        <w:rPr>
          <w:sz w:val="20"/>
          <w:szCs w:val="20"/>
          <w:color w:val="auto"/>
        </w:rPr>
      </w:pPr>
      <w:r>
        <w:rPr>
          <w:rFonts w:ascii="Arial" w:cs="Arial" w:eastAsia="Arial" w:hAnsi="Arial"/>
          <w:sz w:val="14"/>
          <w:szCs w:val="14"/>
          <w:color w:val="4D4D4F"/>
        </w:rPr>
        <w:t>Mr. Roddenberry brings to the Board extensive experience in private equity, mergers and acquisitions, investment management, venture capital, public finance and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298655"/>
        </w:rPr>
        <w:t>KEY SKILLS</w:t>
      </w:r>
    </w:p>
    <w:p>
      <w:pPr>
        <w:spacing w:after="0" w:line="204" w:lineRule="exact"/>
        <w:rPr>
          <w:sz w:val="20"/>
          <w:szCs w:val="20"/>
          <w:color w:val="auto"/>
        </w:rPr>
      </w:pPr>
    </w:p>
    <w:p>
      <w:pPr>
        <w:spacing w:after="0"/>
        <w:tabs>
          <w:tab w:leader="none" w:pos="220" w:val="left"/>
          <w:tab w:leader="none" w:pos="2900" w:val="left"/>
          <w:tab w:leader="none" w:pos="3140" w:val="left"/>
          <w:tab w:leader="none" w:pos="5800" w:val="left"/>
          <w:tab w:leader="none" w:pos="6040" w:val="left"/>
        </w:tabs>
        <w:rPr>
          <w:sz w:val="20"/>
          <w:szCs w:val="20"/>
          <w:color w:val="auto"/>
        </w:rPr>
      </w:pP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Corporate Governance/Other Public</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Investment Banking/Capital</w:t>
      </w:r>
      <w:r>
        <w:rPr>
          <w:sz w:val="20"/>
          <w:szCs w:val="20"/>
          <w:color w:val="auto"/>
        </w:rPr>
        <w:tab/>
      </w:r>
      <w:r>
        <w:rPr>
          <w:rFonts w:ascii="Arial" w:cs="Arial" w:eastAsia="Arial" w:hAnsi="Arial"/>
          <w:sz w:val="14"/>
          <w:szCs w:val="14"/>
          <w:b w:val="1"/>
          <w:bCs w:val="1"/>
          <w:color w:val="298655"/>
        </w:rPr>
        <w:t>•</w:t>
      </w:r>
      <w:r>
        <w:rPr>
          <w:sz w:val="20"/>
          <w:szCs w:val="20"/>
          <w:color w:val="auto"/>
        </w:rPr>
        <w:tab/>
      </w:r>
      <w:r>
        <w:rPr>
          <w:rFonts w:ascii="Arial" w:cs="Arial" w:eastAsia="Arial" w:hAnsi="Arial"/>
          <w:sz w:val="14"/>
          <w:szCs w:val="14"/>
          <w:color w:val="4D4D4F"/>
        </w:rPr>
        <w:t>Legal and Regulatory</w:t>
      </w:r>
    </w:p>
    <w:p>
      <w:pPr>
        <w:spacing w:after="0" w:line="29" w:lineRule="exact"/>
        <w:rPr>
          <w:sz w:val="20"/>
          <w:szCs w:val="20"/>
          <w:color w:val="auto"/>
        </w:rPr>
      </w:pPr>
    </w:p>
    <w:p>
      <w:pPr>
        <w:ind w:left="260"/>
        <w:spacing w:after="0"/>
        <w:tabs>
          <w:tab w:leader="none" w:pos="3140" w:val="left"/>
        </w:tabs>
        <w:rPr>
          <w:sz w:val="20"/>
          <w:szCs w:val="20"/>
          <w:color w:val="auto"/>
        </w:rPr>
      </w:pPr>
      <w:r>
        <w:rPr>
          <w:rFonts w:ascii="Arial" w:cs="Arial" w:eastAsia="Arial" w:hAnsi="Arial"/>
          <w:sz w:val="14"/>
          <w:szCs w:val="14"/>
          <w:color w:val="4D4D4F"/>
        </w:rPr>
        <w:t>Company Directorship</w:t>
      </w:r>
      <w:r>
        <w:rPr>
          <w:sz w:val="20"/>
          <w:szCs w:val="20"/>
          <w:color w:val="auto"/>
        </w:rPr>
        <w:tab/>
      </w:r>
      <w:r>
        <w:rPr>
          <w:rFonts w:ascii="Arial" w:cs="Arial" w:eastAsia="Arial" w:hAnsi="Arial"/>
          <w:sz w:val="14"/>
          <w:szCs w:val="14"/>
          <w:color w:val="4D4D4F"/>
        </w:rPr>
        <w:t>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280670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648970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2140" w:space="720"/>
            <w:col w:w="8280"/>
          </w:cols>
          <w:pgMar w:left="340" w:top="27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hanging="534"/>
        <w:spacing w:after="0"/>
        <w:tabs>
          <w:tab w:leader="none" w:pos="540" w:val="left"/>
        </w:tabs>
        <w:numPr>
          <w:ilvl w:val="0"/>
          <w:numId w:val="33"/>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139700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279" w:right="419" w:bottom="1440" w:gutter="0" w:footer="0" w:header="0"/>
          <w:type w:val="continuous"/>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5B6770"/>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 w:right="600"/>
        <w:spacing w:after="0" w:line="503" w:lineRule="auto"/>
        <w:rPr>
          <w:sz w:val="20"/>
          <w:szCs w:val="20"/>
          <w:color w:val="auto"/>
        </w:rPr>
      </w:pPr>
      <w:r>
        <w:rPr>
          <w:rFonts w:ascii="Arial" w:cs="Arial" w:eastAsia="Arial" w:hAnsi="Arial"/>
          <w:sz w:val="14"/>
          <w:szCs w:val="14"/>
          <w:b w:val="1"/>
          <w:bCs w:val="1"/>
          <w:color w:val="00529B"/>
        </w:rPr>
        <w:t xml:space="preserve">Independent Director Age: </w:t>
      </w:r>
      <w:r>
        <w:rPr>
          <w:rFonts w:ascii="Arial" w:cs="Arial" w:eastAsia="Arial" w:hAnsi="Arial"/>
          <w:sz w:val="14"/>
          <w:szCs w:val="14"/>
          <w:color w:val="4D4D4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-1570990</wp:posOffset>
            </wp:positionV>
            <wp:extent cx="1628775" cy="23831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28775" cy="23831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b w:val="1"/>
          <w:bCs w:val="1"/>
          <w:color w:val="00529B"/>
        </w:rPr>
        <w:t xml:space="preserve">Director Since: </w:t>
      </w:r>
      <w:r>
        <w:rPr>
          <w:rFonts w:ascii="Arial" w:cs="Arial" w:eastAsia="Arial" w:hAnsi="Arial"/>
          <w:sz w:val="14"/>
          <w:szCs w:val="14"/>
          <w:color w:val="4D4D4F"/>
        </w:rPr>
        <w:t>2021</w:t>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29B"/>
        </w:rPr>
        <w:t>Committees: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Compensation</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38"/>
          <w:szCs w:val="38"/>
          <w:b w:val="1"/>
          <w:bCs w:val="1"/>
          <w:color w:val="00529B"/>
        </w:rPr>
        <w:t>Jill B. Smart</w:t>
      </w:r>
    </w:p>
    <w:p>
      <w:pPr>
        <w:spacing w:after="0" w:line="107" w:lineRule="exact"/>
        <w:rPr>
          <w:sz w:val="20"/>
          <w:szCs w:val="20"/>
          <w:color w:val="auto"/>
        </w:rPr>
      </w:pPr>
    </w:p>
    <w:p>
      <w:pPr>
        <w:ind w:right="3720"/>
        <w:spacing w:after="0" w:line="294" w:lineRule="auto"/>
        <w:rPr>
          <w:sz w:val="20"/>
          <w:szCs w:val="20"/>
          <w:color w:val="auto"/>
        </w:rPr>
      </w:pPr>
      <w:r>
        <w:rPr>
          <w:rFonts w:ascii="Arial" w:cs="Arial" w:eastAsia="Arial" w:hAnsi="Arial"/>
          <w:sz w:val="16"/>
          <w:szCs w:val="16"/>
          <w:b w:val="1"/>
          <w:bCs w:val="1"/>
          <w:i w:val="1"/>
          <w:iCs w:val="1"/>
          <w:color w:val="298655"/>
        </w:rPr>
        <w:t>Retired Chief Human Resources Officer, Accenture plc President Emeritus, National Academy of Human Resources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BACKGROUND</w:t>
      </w:r>
    </w:p>
    <w:p>
      <w:pPr>
        <w:spacing w:after="0" w:line="204" w:lineRule="exact"/>
        <w:rPr>
          <w:sz w:val="20"/>
          <w:szCs w:val="20"/>
          <w:color w:val="auto"/>
        </w:rPr>
      </w:pPr>
    </w:p>
    <w:p>
      <w:pPr>
        <w:ind w:left="240" w:hanging="232"/>
        <w:spacing w:after="0"/>
        <w:tabs>
          <w:tab w:leader="none" w:pos="240" w:val="left"/>
        </w:tabs>
        <w:numPr>
          <w:ilvl w:val="0"/>
          <w:numId w:val="34"/>
        </w:numPr>
        <w:rPr>
          <w:rFonts w:ascii="Arial" w:cs="Arial" w:eastAsia="Arial" w:hAnsi="Arial"/>
          <w:sz w:val="14"/>
          <w:szCs w:val="14"/>
          <w:b w:val="1"/>
          <w:bCs w:val="1"/>
          <w:color w:val="00529B"/>
        </w:rPr>
      </w:pPr>
      <w:r>
        <w:rPr>
          <w:rFonts w:ascii="Arial" w:cs="Arial" w:eastAsia="Arial" w:hAnsi="Arial"/>
          <w:sz w:val="14"/>
          <w:szCs w:val="14"/>
          <w:color w:val="4D4D4F"/>
        </w:rPr>
        <w:t>Retired from Accenture plc in 2014 after more than 33 years of global professional services.</w:t>
      </w:r>
    </w:p>
    <w:p>
      <w:pPr>
        <w:spacing w:after="0" w:line="68" w:lineRule="exact"/>
        <w:rPr>
          <w:rFonts w:ascii="Arial" w:cs="Arial" w:eastAsia="Arial" w:hAnsi="Arial"/>
          <w:sz w:val="14"/>
          <w:szCs w:val="14"/>
          <w:b w:val="1"/>
          <w:bCs w:val="1"/>
          <w:color w:val="00529B"/>
        </w:rPr>
      </w:pPr>
    </w:p>
    <w:p>
      <w:pPr>
        <w:ind w:left="240" w:hanging="232"/>
        <w:spacing w:after="0"/>
        <w:tabs>
          <w:tab w:leader="none" w:pos="240" w:val="left"/>
        </w:tabs>
        <w:numPr>
          <w:ilvl w:val="0"/>
          <w:numId w:val="34"/>
        </w:numPr>
        <w:rPr>
          <w:rFonts w:ascii="Arial" w:cs="Arial" w:eastAsia="Arial" w:hAnsi="Arial"/>
          <w:sz w:val="14"/>
          <w:szCs w:val="14"/>
          <w:b w:val="1"/>
          <w:bCs w:val="1"/>
          <w:color w:val="00529B"/>
        </w:rPr>
      </w:pPr>
      <w:r>
        <w:rPr>
          <w:rFonts w:ascii="Arial" w:cs="Arial" w:eastAsia="Arial" w:hAnsi="Arial"/>
          <w:sz w:val="14"/>
          <w:szCs w:val="14"/>
          <w:color w:val="4D4D4F"/>
        </w:rPr>
        <w:t>Chief Human Resources Officer at Accenture plc from 2004 to 2014.</w:t>
      </w:r>
    </w:p>
    <w:p>
      <w:pPr>
        <w:spacing w:after="0" w:line="82" w:lineRule="exact"/>
        <w:rPr>
          <w:rFonts w:ascii="Arial" w:cs="Arial" w:eastAsia="Arial" w:hAnsi="Arial"/>
          <w:sz w:val="14"/>
          <w:szCs w:val="14"/>
          <w:b w:val="1"/>
          <w:bCs w:val="1"/>
          <w:color w:val="00529B"/>
        </w:rPr>
      </w:pPr>
    </w:p>
    <w:p>
      <w:pPr>
        <w:ind w:left="260" w:right="140" w:hanging="252"/>
        <w:spacing w:after="0" w:line="301" w:lineRule="auto"/>
        <w:tabs>
          <w:tab w:leader="none" w:pos="256" w:val="left"/>
        </w:tabs>
        <w:numPr>
          <w:ilvl w:val="0"/>
          <w:numId w:val="34"/>
        </w:numPr>
        <w:rPr>
          <w:rFonts w:ascii="Arial" w:cs="Arial" w:eastAsia="Arial" w:hAnsi="Arial"/>
          <w:sz w:val="14"/>
          <w:szCs w:val="14"/>
          <w:b w:val="1"/>
          <w:bCs w:val="1"/>
          <w:color w:val="00529B"/>
        </w:rPr>
      </w:pPr>
      <w:r>
        <w:rPr>
          <w:rFonts w:ascii="Arial" w:cs="Arial" w:eastAsia="Arial" w:hAnsi="Arial"/>
          <w:sz w:val="14"/>
          <w:szCs w:val="14"/>
          <w:color w:val="4D4D4F"/>
        </w:rPr>
        <w:t>President Emeritus of the National Academy of Human Resources since 2023, after having served as its President from 2015 to 2023.</w:t>
      </w:r>
    </w:p>
    <w:p>
      <w:pPr>
        <w:spacing w:after="0" w:line="1" w:lineRule="exact"/>
        <w:rPr>
          <w:rFonts w:ascii="Arial" w:cs="Arial" w:eastAsia="Arial" w:hAnsi="Arial"/>
          <w:sz w:val="14"/>
          <w:szCs w:val="14"/>
          <w:b w:val="1"/>
          <w:bCs w:val="1"/>
          <w:color w:val="00529B"/>
        </w:rPr>
      </w:pPr>
    </w:p>
    <w:p>
      <w:pPr>
        <w:ind w:left="260" w:right="760" w:hanging="252"/>
        <w:spacing w:after="0" w:line="311" w:lineRule="auto"/>
        <w:tabs>
          <w:tab w:leader="none" w:pos="256" w:val="left"/>
        </w:tabs>
        <w:numPr>
          <w:ilvl w:val="0"/>
          <w:numId w:val="34"/>
        </w:numPr>
        <w:rPr>
          <w:rFonts w:ascii="Arial" w:cs="Arial" w:eastAsia="Arial" w:hAnsi="Arial"/>
          <w:sz w:val="14"/>
          <w:szCs w:val="14"/>
          <w:b w:val="1"/>
          <w:bCs w:val="1"/>
          <w:color w:val="00529B"/>
        </w:rPr>
      </w:pPr>
      <w:r>
        <w:rPr>
          <w:rFonts w:ascii="Arial" w:cs="Arial" w:eastAsia="Arial" w:hAnsi="Arial"/>
          <w:sz w:val="14"/>
          <w:szCs w:val="14"/>
          <w:color w:val="4D4D4F"/>
        </w:rPr>
        <w:t>Member of the board of directors of EPAM Systems Inc. (NYSE: EPAM), a global product development and platform engineering services company, since 2016 and currently serves as the chair of the compensation committee.</w:t>
      </w:r>
    </w:p>
    <w:p>
      <w:pPr>
        <w:spacing w:after="0" w:line="1" w:lineRule="exact"/>
        <w:rPr>
          <w:rFonts w:ascii="Arial" w:cs="Arial" w:eastAsia="Arial" w:hAnsi="Arial"/>
          <w:sz w:val="14"/>
          <w:szCs w:val="14"/>
          <w:b w:val="1"/>
          <w:bCs w:val="1"/>
          <w:color w:val="00529B"/>
        </w:rPr>
      </w:pPr>
    </w:p>
    <w:p>
      <w:pPr>
        <w:ind w:left="260" w:right="460" w:hanging="252"/>
        <w:spacing w:after="0" w:line="305" w:lineRule="auto"/>
        <w:tabs>
          <w:tab w:leader="none" w:pos="256" w:val="left"/>
        </w:tabs>
        <w:numPr>
          <w:ilvl w:val="0"/>
          <w:numId w:val="34"/>
        </w:numPr>
        <w:rPr>
          <w:rFonts w:ascii="Arial" w:cs="Arial" w:eastAsia="Arial" w:hAnsi="Arial"/>
          <w:sz w:val="14"/>
          <w:szCs w:val="14"/>
          <w:b w:val="1"/>
          <w:bCs w:val="1"/>
          <w:color w:val="00529B"/>
        </w:rPr>
      </w:pPr>
      <w:r>
        <w:rPr>
          <w:rFonts w:ascii="Arial" w:cs="Arial" w:eastAsia="Arial" w:hAnsi="Arial"/>
          <w:sz w:val="14"/>
          <w:szCs w:val="14"/>
          <w:color w:val="4D4D4F"/>
        </w:rPr>
        <w:t>Member of the board of directors of HireRight Holdings Corporation (NYSE: HRT), a provider of on-demand employment background checks and screening, since 2018 and currently serves as a member of the compensation committee.</w:t>
      </w:r>
    </w:p>
    <w:p>
      <w:pPr>
        <w:spacing w:after="0" w:line="9" w:lineRule="exact"/>
        <w:rPr>
          <w:rFonts w:ascii="Arial" w:cs="Arial" w:eastAsia="Arial" w:hAnsi="Arial"/>
          <w:sz w:val="14"/>
          <w:szCs w:val="14"/>
          <w:b w:val="1"/>
          <w:bCs w:val="1"/>
          <w:color w:val="00529B"/>
        </w:rPr>
      </w:pPr>
    </w:p>
    <w:p>
      <w:pPr>
        <w:ind w:left="260" w:right="40" w:hanging="252"/>
        <w:spacing w:after="0" w:line="301" w:lineRule="auto"/>
        <w:tabs>
          <w:tab w:leader="none" w:pos="256" w:val="left"/>
        </w:tabs>
        <w:numPr>
          <w:ilvl w:val="0"/>
          <w:numId w:val="34"/>
        </w:numPr>
        <w:rPr>
          <w:rFonts w:ascii="Arial" w:cs="Arial" w:eastAsia="Arial" w:hAnsi="Arial"/>
          <w:sz w:val="14"/>
          <w:szCs w:val="14"/>
          <w:b w:val="1"/>
          <w:bCs w:val="1"/>
          <w:color w:val="00529B"/>
        </w:rPr>
      </w:pPr>
      <w:r>
        <w:rPr>
          <w:rFonts w:ascii="Arial" w:cs="Arial" w:eastAsia="Arial" w:hAnsi="Arial"/>
          <w:sz w:val="14"/>
          <w:szCs w:val="14"/>
          <w:color w:val="4D4D4F"/>
        </w:rPr>
        <w:t>Member of the board of directors of AlixPartners, a results-driven global management consulting firm that specializes in helping businesses address their most complex and critical challenges, since 2018.</w:t>
      </w:r>
    </w:p>
    <w:p>
      <w:pPr>
        <w:spacing w:after="0" w:line="1" w:lineRule="exact"/>
        <w:rPr>
          <w:rFonts w:ascii="Arial" w:cs="Arial" w:eastAsia="Arial" w:hAnsi="Arial"/>
          <w:sz w:val="14"/>
          <w:szCs w:val="14"/>
          <w:b w:val="1"/>
          <w:bCs w:val="1"/>
          <w:color w:val="00529B"/>
        </w:rPr>
      </w:pPr>
    </w:p>
    <w:p>
      <w:pPr>
        <w:ind w:left="260" w:right="220" w:hanging="252"/>
        <w:spacing w:after="0" w:line="311" w:lineRule="auto"/>
        <w:tabs>
          <w:tab w:leader="none" w:pos="256" w:val="left"/>
        </w:tabs>
        <w:numPr>
          <w:ilvl w:val="0"/>
          <w:numId w:val="34"/>
        </w:numPr>
        <w:rPr>
          <w:rFonts w:ascii="Arial" w:cs="Arial" w:eastAsia="Arial" w:hAnsi="Arial"/>
          <w:sz w:val="14"/>
          <w:szCs w:val="14"/>
          <w:b w:val="1"/>
          <w:bCs w:val="1"/>
          <w:color w:val="00529B"/>
        </w:rPr>
      </w:pPr>
      <w:r>
        <w:rPr>
          <w:rFonts w:ascii="Arial" w:cs="Arial" w:eastAsia="Arial" w:hAnsi="Arial"/>
          <w:sz w:val="14"/>
          <w:szCs w:val="14"/>
          <w:color w:val="4D4D4F"/>
        </w:rPr>
        <w:t>Member of the advisory board of Cerity Partners, an SEC-registered investment advisor and wealth management firm, since 2018.</w:t>
      </w:r>
    </w:p>
    <w:p>
      <w:pPr>
        <w:spacing w:after="0" w:line="1" w:lineRule="exact"/>
        <w:rPr>
          <w:rFonts w:ascii="Arial" w:cs="Arial" w:eastAsia="Arial" w:hAnsi="Arial"/>
          <w:sz w:val="14"/>
          <w:szCs w:val="14"/>
          <w:b w:val="1"/>
          <w:bCs w:val="1"/>
          <w:color w:val="00529B"/>
        </w:rPr>
      </w:pPr>
    </w:p>
    <w:p>
      <w:pPr>
        <w:ind w:left="260" w:right="380" w:hanging="252"/>
        <w:spacing w:after="0" w:line="305" w:lineRule="auto"/>
        <w:tabs>
          <w:tab w:leader="none" w:pos="256" w:val="left"/>
        </w:tabs>
        <w:numPr>
          <w:ilvl w:val="0"/>
          <w:numId w:val="34"/>
        </w:numPr>
        <w:rPr>
          <w:rFonts w:ascii="Arial" w:cs="Arial" w:eastAsia="Arial" w:hAnsi="Arial"/>
          <w:sz w:val="14"/>
          <w:szCs w:val="14"/>
          <w:b w:val="1"/>
          <w:bCs w:val="1"/>
          <w:color w:val="00529B"/>
        </w:rPr>
      </w:pPr>
      <w:r>
        <w:rPr>
          <w:rFonts w:ascii="Arial" w:cs="Arial" w:eastAsia="Arial" w:hAnsi="Arial"/>
          <w:sz w:val="14"/>
          <w:szCs w:val="14"/>
          <w:color w:val="4D4D4F"/>
        </w:rPr>
        <w:t>Member of the board of Alexander Mann Solutions (AMS), a recruiting process outsourcing firm, from 2015 until its sale in 2018.</w:t>
      </w:r>
    </w:p>
    <w:p>
      <w:pPr>
        <w:spacing w:after="0" w:line="9" w:lineRule="exact"/>
        <w:rPr>
          <w:rFonts w:ascii="Arial" w:cs="Arial" w:eastAsia="Arial" w:hAnsi="Arial"/>
          <w:sz w:val="14"/>
          <w:szCs w:val="14"/>
          <w:b w:val="1"/>
          <w:bCs w:val="1"/>
          <w:color w:val="00529B"/>
        </w:rPr>
      </w:pPr>
    </w:p>
    <w:p>
      <w:pPr>
        <w:ind w:left="260" w:right="140" w:hanging="252"/>
        <w:spacing w:after="0" w:line="301" w:lineRule="auto"/>
        <w:tabs>
          <w:tab w:leader="none" w:pos="256" w:val="left"/>
        </w:tabs>
        <w:numPr>
          <w:ilvl w:val="0"/>
          <w:numId w:val="34"/>
        </w:numPr>
        <w:rPr>
          <w:rFonts w:ascii="Arial" w:cs="Arial" w:eastAsia="Arial" w:hAnsi="Arial"/>
          <w:sz w:val="14"/>
          <w:szCs w:val="14"/>
          <w:b w:val="1"/>
          <w:bCs w:val="1"/>
          <w:color w:val="00529B"/>
        </w:rPr>
      </w:pPr>
      <w:r>
        <w:rPr>
          <w:rFonts w:ascii="Arial" w:cs="Arial" w:eastAsia="Arial" w:hAnsi="Arial"/>
          <w:sz w:val="14"/>
          <w:szCs w:val="14"/>
          <w:color w:val="4D4D4F"/>
        </w:rPr>
        <w:t>Member of the advisory board of JB Training Solutions, a Chicago-based learning and employee development company, from 2017 through 2019.</w:t>
      </w:r>
    </w:p>
    <w:p>
      <w:pPr>
        <w:spacing w:after="0" w:line="1" w:lineRule="exact"/>
        <w:rPr>
          <w:rFonts w:ascii="Arial" w:cs="Arial" w:eastAsia="Arial" w:hAnsi="Arial"/>
          <w:sz w:val="14"/>
          <w:szCs w:val="14"/>
          <w:b w:val="1"/>
          <w:bCs w:val="1"/>
          <w:color w:val="00529B"/>
        </w:rPr>
      </w:pPr>
    </w:p>
    <w:p>
      <w:pPr>
        <w:ind w:left="240" w:hanging="232"/>
        <w:spacing w:after="0"/>
        <w:tabs>
          <w:tab w:leader="none" w:pos="240" w:val="left"/>
        </w:tabs>
        <w:numPr>
          <w:ilvl w:val="0"/>
          <w:numId w:val="34"/>
        </w:numPr>
        <w:rPr>
          <w:rFonts w:ascii="Arial" w:cs="Arial" w:eastAsia="Arial" w:hAnsi="Arial"/>
          <w:sz w:val="14"/>
          <w:szCs w:val="14"/>
          <w:b w:val="1"/>
          <w:bCs w:val="1"/>
          <w:color w:val="00529B"/>
        </w:rPr>
      </w:pPr>
      <w:r>
        <w:rPr>
          <w:rFonts w:ascii="Arial" w:cs="Arial" w:eastAsia="Arial" w:hAnsi="Arial"/>
          <w:sz w:val="14"/>
          <w:szCs w:val="14"/>
          <w:color w:val="4D4D4F"/>
        </w:rPr>
        <w:t>Founder and CEO of JBSmart Consulting, LLC, where she provides HR advisory and coaching services.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SKILLS &amp; QUALIFICATIONS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4D4D4F"/>
        </w:rPr>
        <w:t>Ms. Smart brings to the Board extensive experience in consulting, organizational transformation and human resources.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298655"/>
        </w:rPr>
        <w:t>KEY SKILLS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0" w:type="dxa"/>
            <w:vAlign w:val="bottom"/>
          </w:tcPr>
          <w:p>
            <w:pPr>
              <w:spacing w:after="0"/>
              <w:rPr>
                <w:sz w:val="20"/>
                <w:szCs w:val="20"/>
                <w:color w:val="auto"/>
              </w:rPr>
            </w:pPr>
            <w:r>
              <w:rPr>
                <w:rFonts w:ascii="Arial" w:cs="Arial" w:eastAsia="Arial" w:hAnsi="Arial"/>
                <w:sz w:val="14"/>
                <w:szCs w:val="14"/>
                <w:b w:val="1"/>
                <w:bCs w:val="1"/>
                <w:color w:val="298655"/>
              </w:rPr>
              <w:t>•</w:t>
            </w:r>
          </w:p>
        </w:tc>
        <w:tc>
          <w:tcPr>
            <w:tcW w:w="2580" w:type="dxa"/>
            <w:vAlign w:val="bottom"/>
          </w:tcPr>
          <w:p>
            <w:pPr>
              <w:ind w:left="80"/>
              <w:spacing w:after="0"/>
              <w:rPr>
                <w:sz w:val="20"/>
                <w:szCs w:val="20"/>
                <w:color w:val="auto"/>
              </w:rPr>
            </w:pPr>
            <w:r>
              <w:rPr>
                <w:rFonts w:ascii="Arial" w:cs="Arial" w:eastAsia="Arial" w:hAnsi="Arial"/>
                <w:sz w:val="14"/>
                <w:szCs w:val="14"/>
                <w:color w:val="4D4D4F"/>
              </w:rPr>
              <w:t>Corporate Governance/Other Public</w:t>
            </w:r>
          </w:p>
        </w:tc>
        <w:tc>
          <w:tcPr>
            <w:tcW w:w="320" w:type="dxa"/>
            <w:vAlign w:val="bottom"/>
          </w:tcPr>
          <w:p>
            <w:pPr>
              <w:ind w:left="180"/>
              <w:spacing w:after="0"/>
              <w:rPr>
                <w:sz w:val="20"/>
                <w:szCs w:val="20"/>
                <w:color w:val="auto"/>
              </w:rPr>
            </w:pPr>
            <w:r>
              <w:rPr>
                <w:rFonts w:ascii="Arial" w:cs="Arial" w:eastAsia="Arial" w:hAnsi="Arial"/>
                <w:sz w:val="14"/>
                <w:szCs w:val="14"/>
                <w:b w:val="1"/>
                <w:bCs w:val="1"/>
                <w:color w:val="298655"/>
              </w:rPr>
              <w:t>•</w:t>
            </w:r>
          </w:p>
        </w:tc>
        <w:tc>
          <w:tcPr>
            <w:tcW w:w="2200" w:type="dxa"/>
            <w:vAlign w:val="bottom"/>
          </w:tcPr>
          <w:p>
            <w:pPr>
              <w:ind w:left="100"/>
              <w:spacing w:after="0"/>
              <w:rPr>
                <w:sz w:val="20"/>
                <w:szCs w:val="20"/>
                <w:color w:val="auto"/>
              </w:rPr>
            </w:pPr>
            <w:r>
              <w:rPr>
                <w:rFonts w:ascii="Arial" w:cs="Arial" w:eastAsia="Arial" w:hAnsi="Arial"/>
                <w:sz w:val="14"/>
                <w:szCs w:val="14"/>
                <w:color w:val="4D4D4F"/>
              </w:rPr>
              <w:t>Information Technology</w:t>
            </w:r>
          </w:p>
        </w:tc>
        <w:tc>
          <w:tcPr>
            <w:tcW w:w="2200" w:type="dxa"/>
            <w:vAlign w:val="bottom"/>
          </w:tcPr>
          <w:p>
            <w:pPr>
              <w:ind w:left="560"/>
              <w:spacing w:after="0"/>
              <w:rPr>
                <w:sz w:val="20"/>
                <w:szCs w:val="20"/>
                <w:color w:val="auto"/>
              </w:rPr>
            </w:pPr>
            <w:r>
              <w:rPr>
                <w:rFonts w:ascii="Arial" w:cs="Arial" w:eastAsia="Arial" w:hAnsi="Arial"/>
                <w:sz w:val="14"/>
                <w:szCs w:val="14"/>
                <w:b w:val="1"/>
                <w:bCs w:val="1"/>
                <w:color w:val="298655"/>
              </w:rPr>
              <w:t xml:space="preserve">•   </w:t>
            </w:r>
            <w:r>
              <w:rPr>
                <w:rFonts w:ascii="Arial" w:cs="Arial" w:eastAsia="Arial" w:hAnsi="Arial"/>
                <w:sz w:val="14"/>
                <w:szCs w:val="14"/>
                <w:color w:val="4D4D4F"/>
              </w:rPr>
              <w:t>Human Capital/ Talent</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2580" w:type="dxa"/>
            <w:vAlign w:val="bottom"/>
          </w:tcPr>
          <w:p>
            <w:pPr>
              <w:ind w:left="100"/>
              <w:spacing w:after="0"/>
              <w:rPr>
                <w:sz w:val="20"/>
                <w:szCs w:val="20"/>
                <w:color w:val="auto"/>
              </w:rPr>
            </w:pPr>
            <w:r>
              <w:rPr>
                <w:rFonts w:ascii="Arial" w:cs="Arial" w:eastAsia="Arial" w:hAnsi="Arial"/>
                <w:sz w:val="14"/>
                <w:szCs w:val="14"/>
                <w:color w:val="4D4D4F"/>
              </w:rPr>
              <w:t>Company Directorship</w:t>
            </w:r>
          </w:p>
        </w:tc>
        <w:tc>
          <w:tcPr>
            <w:tcW w:w="320" w:type="dxa"/>
            <w:vAlign w:val="bottom"/>
            <w:vMerge w:val="restart"/>
          </w:tcPr>
          <w:p>
            <w:pPr>
              <w:ind w:left="180"/>
              <w:spacing w:after="0"/>
              <w:rPr>
                <w:sz w:val="20"/>
                <w:szCs w:val="20"/>
                <w:color w:val="auto"/>
              </w:rPr>
            </w:pPr>
            <w:r>
              <w:rPr>
                <w:rFonts w:ascii="Arial" w:cs="Arial" w:eastAsia="Arial" w:hAnsi="Arial"/>
                <w:sz w:val="14"/>
                <w:szCs w:val="14"/>
                <w:b w:val="1"/>
                <w:bCs w:val="1"/>
                <w:color w:val="298655"/>
              </w:rPr>
              <w:t>•</w:t>
            </w:r>
          </w:p>
        </w:tc>
        <w:tc>
          <w:tcPr>
            <w:tcW w:w="2200" w:type="dxa"/>
            <w:vAlign w:val="bottom"/>
            <w:vMerge w:val="restart"/>
          </w:tcPr>
          <w:p>
            <w:pPr>
              <w:ind w:left="100"/>
              <w:spacing w:after="0"/>
              <w:rPr>
                <w:sz w:val="20"/>
                <w:szCs w:val="20"/>
                <w:color w:val="auto"/>
              </w:rPr>
            </w:pPr>
            <w:r>
              <w:rPr>
                <w:rFonts w:ascii="Arial" w:cs="Arial" w:eastAsia="Arial" w:hAnsi="Arial"/>
                <w:sz w:val="14"/>
                <w:szCs w:val="14"/>
                <w:color w:val="4D4D4F"/>
              </w:rPr>
              <w:t>International Operations</w:t>
            </w:r>
          </w:p>
        </w:tc>
        <w:tc>
          <w:tcPr>
            <w:tcW w:w="2200" w:type="dxa"/>
            <w:vAlign w:val="bottom"/>
          </w:tcPr>
          <w:p>
            <w:pPr>
              <w:ind w:left="800"/>
              <w:spacing w:after="0"/>
              <w:rPr>
                <w:sz w:val="20"/>
                <w:szCs w:val="20"/>
                <w:color w:val="auto"/>
              </w:rPr>
            </w:pPr>
            <w:r>
              <w:rPr>
                <w:rFonts w:ascii="Arial" w:cs="Arial" w:eastAsia="Arial" w:hAnsi="Arial"/>
                <w:sz w:val="14"/>
                <w:szCs w:val="14"/>
                <w:color w:val="4D4D4F"/>
              </w:rPr>
              <w:t>Management</w:t>
            </w:r>
          </w:p>
        </w:tc>
        <w:tc>
          <w:tcPr>
            <w:tcW w:w="0" w:type="dxa"/>
            <w:vAlign w:val="bottom"/>
          </w:tcPr>
          <w:p>
            <w:pPr>
              <w:spacing w:after="0"/>
              <w:rPr>
                <w:sz w:val="1"/>
                <w:szCs w:val="1"/>
                <w:color w:val="auto"/>
              </w:rPr>
            </w:pPr>
          </w:p>
        </w:tc>
      </w:tr>
      <w:tr>
        <w:trPr>
          <w:trHeight w:val="60"/>
        </w:trPr>
        <w:tc>
          <w:tcPr>
            <w:tcW w:w="160" w:type="dxa"/>
            <w:vAlign w:val="bottom"/>
            <w:vMerge w:val="restart"/>
          </w:tcPr>
          <w:p>
            <w:pPr>
              <w:spacing w:after="0"/>
              <w:rPr>
                <w:sz w:val="20"/>
                <w:szCs w:val="20"/>
                <w:color w:val="auto"/>
              </w:rPr>
            </w:pPr>
            <w:r>
              <w:rPr>
                <w:rFonts w:ascii="Arial" w:cs="Arial" w:eastAsia="Arial" w:hAnsi="Arial"/>
                <w:sz w:val="14"/>
                <w:szCs w:val="14"/>
                <w:b w:val="1"/>
                <w:bCs w:val="1"/>
                <w:color w:val="298655"/>
              </w:rPr>
              <w:t>•</w:t>
            </w:r>
          </w:p>
        </w:tc>
        <w:tc>
          <w:tcPr>
            <w:tcW w:w="2580" w:type="dxa"/>
            <w:vAlign w:val="bottom"/>
            <w:vMerge w:val="restart"/>
          </w:tcPr>
          <w:p>
            <w:pPr>
              <w:ind w:left="80"/>
              <w:spacing w:after="0"/>
              <w:rPr>
                <w:sz w:val="20"/>
                <w:szCs w:val="20"/>
                <w:color w:val="auto"/>
              </w:rPr>
            </w:pPr>
            <w:r>
              <w:rPr>
                <w:rFonts w:ascii="Arial" w:cs="Arial" w:eastAsia="Arial" w:hAnsi="Arial"/>
                <w:sz w:val="14"/>
                <w:szCs w:val="14"/>
                <w:color w:val="4D4D4F"/>
              </w:rPr>
              <w:t>Management</w:t>
            </w:r>
          </w:p>
        </w:tc>
        <w:tc>
          <w:tcPr>
            <w:tcW w:w="320" w:type="dxa"/>
            <w:vAlign w:val="bottom"/>
            <w:vMerge w:val="continue"/>
          </w:tcPr>
          <w:p>
            <w:pPr>
              <w:spacing w:after="0"/>
              <w:rPr>
                <w:sz w:val="5"/>
                <w:szCs w:val="5"/>
                <w:color w:val="auto"/>
              </w:rPr>
            </w:pPr>
          </w:p>
        </w:tc>
        <w:tc>
          <w:tcPr>
            <w:tcW w:w="2200" w:type="dxa"/>
            <w:vAlign w:val="bottom"/>
            <w:vMerge w:val="continue"/>
          </w:tcPr>
          <w:p>
            <w:pPr>
              <w:spacing w:after="0"/>
              <w:rPr>
                <w:sz w:val="5"/>
                <w:szCs w:val="5"/>
                <w:color w:val="auto"/>
              </w:rPr>
            </w:pPr>
          </w:p>
        </w:tc>
        <w:tc>
          <w:tcPr>
            <w:tcW w:w="2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60" w:type="dxa"/>
            <w:vAlign w:val="bottom"/>
            <w:vMerge w:val="continue"/>
          </w:tcPr>
          <w:p>
            <w:pPr>
              <w:spacing w:after="0"/>
              <w:rPr>
                <w:sz w:val="16"/>
                <w:szCs w:val="16"/>
                <w:color w:val="auto"/>
              </w:rPr>
            </w:pPr>
          </w:p>
        </w:tc>
        <w:tc>
          <w:tcPr>
            <w:tcW w:w="25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147320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515620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720"/>
            <w:col w:w="8360"/>
          </w:cols>
          <w:pgMar w:left="320" w:top="2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17</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color w:val="5B6770"/>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2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0" w:right="600"/>
        <w:spacing w:after="0" w:line="503" w:lineRule="auto"/>
        <w:rPr>
          <w:sz w:val="20"/>
          <w:szCs w:val="20"/>
          <w:color w:val="auto"/>
        </w:rPr>
      </w:pPr>
      <w:r>
        <w:rPr>
          <w:rFonts w:ascii="Arial" w:cs="Arial" w:eastAsia="Arial" w:hAnsi="Arial"/>
          <w:sz w:val="14"/>
          <w:szCs w:val="14"/>
          <w:b w:val="1"/>
          <w:bCs w:val="1"/>
          <w:color w:val="00529B"/>
        </w:rPr>
        <w:t xml:space="preserve">Independent Director Age: </w:t>
      </w:r>
      <w:r>
        <w:rPr>
          <w:rFonts w:ascii="Arial" w:cs="Arial" w:eastAsia="Arial" w:hAnsi="Arial"/>
          <w:sz w:val="14"/>
          <w:szCs w:val="14"/>
          <w:color w:val="4D4D4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-1536700</wp:posOffset>
            </wp:positionV>
            <wp:extent cx="1628775" cy="22891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28775" cy="2289175"/>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00529B"/>
        </w:rPr>
        <w:t xml:space="preserve">Director Since: </w:t>
      </w:r>
      <w:r>
        <w:rPr>
          <w:rFonts w:ascii="Arial" w:cs="Arial" w:eastAsia="Arial" w:hAnsi="Arial"/>
          <w:sz w:val="14"/>
          <w:szCs w:val="14"/>
          <w:color w:val="4D4D4F"/>
        </w:rPr>
        <w:t>1995</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0529B"/>
        </w:rPr>
        <w:t>Committees:</w:t>
      </w:r>
    </w:p>
    <w:p>
      <w:pPr>
        <w:spacing w:after="0" w:line="136" w:lineRule="exact"/>
        <w:rPr>
          <w:sz w:val="20"/>
          <w:szCs w:val="20"/>
          <w:color w:val="auto"/>
        </w:rPr>
      </w:pPr>
    </w:p>
    <w:p>
      <w:pPr>
        <w:ind w:left="80" w:right="380"/>
        <w:spacing w:after="0" w:line="305" w:lineRule="auto"/>
        <w:rPr>
          <w:sz w:val="20"/>
          <w:szCs w:val="20"/>
          <w:color w:val="auto"/>
        </w:rPr>
      </w:pPr>
      <w:r>
        <w:rPr>
          <w:rFonts w:ascii="Arial" w:cs="Arial" w:eastAsia="Arial" w:hAnsi="Arial"/>
          <w:sz w:val="14"/>
          <w:szCs w:val="14"/>
          <w:color w:val="4D4D4F"/>
        </w:rPr>
        <w:t>Sustainability &amp; Corporate 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38"/>
          <w:szCs w:val="38"/>
          <w:b w:val="1"/>
          <w:bCs w:val="1"/>
          <w:color w:val="00529B"/>
        </w:rPr>
        <w:t>Paul H Stebbins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98655"/>
        </w:rPr>
        <w:t>Chairman Emeritus, World Kinect Corporation</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BACKGROUND</w:t>
      </w:r>
    </w:p>
    <w:p>
      <w:pPr>
        <w:spacing w:after="0" w:line="204"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4"/>
          <w:szCs w:val="14"/>
          <w:b w:val="1"/>
          <w:bCs w:val="1"/>
          <w:color w:val="00529B"/>
        </w:rPr>
      </w:pPr>
      <w:r>
        <w:rPr>
          <w:rFonts w:ascii="Arial" w:cs="Arial" w:eastAsia="Arial" w:hAnsi="Arial"/>
          <w:sz w:val="14"/>
          <w:szCs w:val="14"/>
          <w:color w:val="4D4D4F"/>
        </w:rPr>
        <w:t>Our Chairman Emeritus since May 2014 and prior to that, our Executive Chairman, from January 2012 to May 2014.</w:t>
      </w:r>
    </w:p>
    <w:p>
      <w:pPr>
        <w:spacing w:after="0" w:line="68" w:lineRule="exact"/>
        <w:rPr>
          <w:rFonts w:ascii="Arial" w:cs="Arial" w:eastAsia="Arial" w:hAnsi="Arial"/>
          <w:sz w:val="14"/>
          <w:szCs w:val="14"/>
          <w:b w:val="1"/>
          <w:bCs w:val="1"/>
          <w:color w:val="00529B"/>
        </w:rPr>
      </w:pPr>
    </w:p>
    <w:p>
      <w:pPr>
        <w:ind w:left="240" w:hanging="232"/>
        <w:spacing w:after="0"/>
        <w:tabs>
          <w:tab w:leader="none" w:pos="240" w:val="left"/>
        </w:tabs>
        <w:numPr>
          <w:ilvl w:val="0"/>
          <w:numId w:val="35"/>
        </w:numPr>
        <w:rPr>
          <w:rFonts w:ascii="Arial" w:cs="Arial" w:eastAsia="Arial" w:hAnsi="Arial"/>
          <w:sz w:val="14"/>
          <w:szCs w:val="14"/>
          <w:b w:val="1"/>
          <w:bCs w:val="1"/>
          <w:color w:val="00529B"/>
        </w:rPr>
      </w:pPr>
      <w:r>
        <w:rPr>
          <w:rFonts w:ascii="Arial" w:cs="Arial" w:eastAsia="Arial" w:hAnsi="Arial"/>
          <w:sz w:val="14"/>
          <w:szCs w:val="14"/>
          <w:color w:val="4D4D4F"/>
        </w:rPr>
        <w:t>Chairman and Chief Executive Officer of our Company from July 2002 to December 2011.</w:t>
      </w:r>
    </w:p>
    <w:p>
      <w:pPr>
        <w:spacing w:after="0" w:line="82" w:lineRule="exact"/>
        <w:rPr>
          <w:rFonts w:ascii="Arial" w:cs="Arial" w:eastAsia="Arial" w:hAnsi="Arial"/>
          <w:sz w:val="14"/>
          <w:szCs w:val="14"/>
          <w:b w:val="1"/>
          <w:bCs w:val="1"/>
          <w:color w:val="00529B"/>
        </w:rPr>
      </w:pPr>
    </w:p>
    <w:p>
      <w:pPr>
        <w:ind w:left="240" w:hanging="232"/>
        <w:spacing w:after="0"/>
        <w:tabs>
          <w:tab w:leader="none" w:pos="240" w:val="left"/>
        </w:tabs>
        <w:numPr>
          <w:ilvl w:val="0"/>
          <w:numId w:val="35"/>
        </w:numPr>
        <w:rPr>
          <w:rFonts w:ascii="Arial" w:cs="Arial" w:eastAsia="Arial" w:hAnsi="Arial"/>
          <w:sz w:val="14"/>
          <w:szCs w:val="14"/>
          <w:b w:val="1"/>
          <w:bCs w:val="1"/>
          <w:color w:val="00529B"/>
        </w:rPr>
      </w:pPr>
      <w:r>
        <w:rPr>
          <w:rFonts w:ascii="Arial" w:cs="Arial" w:eastAsia="Arial" w:hAnsi="Arial"/>
          <w:sz w:val="14"/>
          <w:szCs w:val="14"/>
          <w:color w:val="4D4D4F"/>
        </w:rPr>
        <w:t>President and Chief Operating Officer of our Company from August 2000 to July 2002.</w:t>
      </w:r>
    </w:p>
    <w:p>
      <w:pPr>
        <w:spacing w:after="0" w:line="68" w:lineRule="exact"/>
        <w:rPr>
          <w:rFonts w:ascii="Arial" w:cs="Arial" w:eastAsia="Arial" w:hAnsi="Arial"/>
          <w:sz w:val="14"/>
          <w:szCs w:val="14"/>
          <w:b w:val="1"/>
          <w:bCs w:val="1"/>
          <w:color w:val="00529B"/>
        </w:rPr>
      </w:pPr>
    </w:p>
    <w:p>
      <w:pPr>
        <w:ind w:left="260" w:right="100" w:hanging="252"/>
        <w:spacing w:after="0" w:line="305" w:lineRule="auto"/>
        <w:tabs>
          <w:tab w:leader="none" w:pos="256" w:val="left"/>
        </w:tabs>
        <w:numPr>
          <w:ilvl w:val="0"/>
          <w:numId w:val="35"/>
        </w:numPr>
        <w:rPr>
          <w:rFonts w:ascii="Arial" w:cs="Arial" w:eastAsia="Arial" w:hAnsi="Arial"/>
          <w:sz w:val="14"/>
          <w:szCs w:val="14"/>
          <w:b w:val="1"/>
          <w:bCs w:val="1"/>
          <w:color w:val="00529B"/>
        </w:rPr>
      </w:pPr>
      <w:r>
        <w:rPr>
          <w:rFonts w:ascii="Arial" w:cs="Arial" w:eastAsia="Arial" w:hAnsi="Arial"/>
          <w:sz w:val="14"/>
          <w:szCs w:val="14"/>
          <w:color w:val="4D4D4F"/>
        </w:rPr>
        <w:t>President and Chief Operating Officer of World Fuel Services Americas, Inc. (formerly Trans-Tec Services, Inc.), from January 1995 to August 2000, at the time our principal subsidiary engaged in the marine fuel services business.</w:t>
      </w:r>
    </w:p>
    <w:p>
      <w:pPr>
        <w:spacing w:after="0" w:line="9" w:lineRule="exact"/>
        <w:rPr>
          <w:rFonts w:ascii="Arial" w:cs="Arial" w:eastAsia="Arial" w:hAnsi="Arial"/>
          <w:sz w:val="14"/>
          <w:szCs w:val="14"/>
          <w:b w:val="1"/>
          <w:bCs w:val="1"/>
          <w:color w:val="00529B"/>
        </w:rPr>
      </w:pPr>
    </w:p>
    <w:p>
      <w:pPr>
        <w:ind w:left="260" w:right="260" w:hanging="252"/>
        <w:spacing w:after="0" w:line="301" w:lineRule="auto"/>
        <w:tabs>
          <w:tab w:leader="none" w:pos="256" w:val="left"/>
        </w:tabs>
        <w:numPr>
          <w:ilvl w:val="0"/>
          <w:numId w:val="35"/>
        </w:numPr>
        <w:rPr>
          <w:rFonts w:ascii="Arial" w:cs="Arial" w:eastAsia="Arial" w:hAnsi="Arial"/>
          <w:sz w:val="14"/>
          <w:szCs w:val="14"/>
          <w:b w:val="1"/>
          <w:bCs w:val="1"/>
          <w:color w:val="00529B"/>
        </w:rPr>
      </w:pPr>
      <w:r>
        <w:rPr>
          <w:rFonts w:ascii="Arial" w:cs="Arial" w:eastAsia="Arial" w:hAnsi="Arial"/>
          <w:sz w:val="14"/>
          <w:szCs w:val="14"/>
          <w:color w:val="4D4D4F"/>
        </w:rPr>
        <w:t>Officer, shareholder and director of Trans-Tec Services, Inc., a global marine fuel services company, which Mr. Stebbins co-founded in 1985 with Mr. Kasbar, from September 1985 to December 1994.</w:t>
      </w:r>
    </w:p>
    <w:p>
      <w:pPr>
        <w:spacing w:after="0" w:line="1" w:lineRule="exact"/>
        <w:rPr>
          <w:rFonts w:ascii="Arial" w:cs="Arial" w:eastAsia="Arial" w:hAnsi="Arial"/>
          <w:sz w:val="14"/>
          <w:szCs w:val="14"/>
          <w:b w:val="1"/>
          <w:bCs w:val="1"/>
          <w:color w:val="00529B"/>
        </w:rPr>
      </w:pPr>
    </w:p>
    <w:p>
      <w:pPr>
        <w:ind w:left="260" w:right="440" w:hanging="252"/>
        <w:spacing w:after="0" w:line="311" w:lineRule="auto"/>
        <w:tabs>
          <w:tab w:leader="none" w:pos="256" w:val="left"/>
        </w:tabs>
        <w:numPr>
          <w:ilvl w:val="0"/>
          <w:numId w:val="35"/>
        </w:numPr>
        <w:rPr>
          <w:rFonts w:ascii="Arial" w:cs="Arial" w:eastAsia="Arial" w:hAnsi="Arial"/>
          <w:sz w:val="14"/>
          <w:szCs w:val="14"/>
          <w:b w:val="1"/>
          <w:bCs w:val="1"/>
          <w:color w:val="00529B"/>
        </w:rPr>
      </w:pPr>
      <w:r>
        <w:rPr>
          <w:rFonts w:ascii="Arial" w:cs="Arial" w:eastAsia="Arial" w:hAnsi="Arial"/>
          <w:sz w:val="14"/>
          <w:szCs w:val="14"/>
          <w:color w:val="4D4D4F"/>
        </w:rPr>
        <w:t>Member of the board of directors of First Solar, Inc. (NASDAQ: FSLR) since December 2006 and currently serves as the chairman of the nominating and governance committee and a member of the audit and compensation committees.</w:t>
      </w:r>
    </w:p>
    <w:p>
      <w:pPr>
        <w:spacing w:after="0" w:line="1" w:lineRule="exact"/>
        <w:rPr>
          <w:rFonts w:ascii="Arial" w:cs="Arial" w:eastAsia="Arial" w:hAnsi="Arial"/>
          <w:sz w:val="14"/>
          <w:szCs w:val="14"/>
          <w:b w:val="1"/>
          <w:bCs w:val="1"/>
          <w:color w:val="00529B"/>
        </w:rPr>
      </w:pPr>
    </w:p>
    <w:p>
      <w:pPr>
        <w:ind w:left="260" w:hanging="252"/>
        <w:spacing w:after="0" w:line="305" w:lineRule="auto"/>
        <w:tabs>
          <w:tab w:leader="none" w:pos="256" w:val="left"/>
        </w:tabs>
        <w:numPr>
          <w:ilvl w:val="0"/>
          <w:numId w:val="35"/>
        </w:numPr>
        <w:rPr>
          <w:rFonts w:ascii="Arial" w:cs="Arial" w:eastAsia="Arial" w:hAnsi="Arial"/>
          <w:sz w:val="14"/>
          <w:szCs w:val="14"/>
          <w:b w:val="1"/>
          <w:bCs w:val="1"/>
          <w:color w:val="00529B"/>
        </w:rPr>
      </w:pPr>
      <w:r>
        <w:rPr>
          <w:rFonts w:ascii="Arial" w:cs="Arial" w:eastAsia="Arial" w:hAnsi="Arial"/>
          <w:sz w:val="14"/>
          <w:szCs w:val="14"/>
          <w:color w:val="4D4D4F"/>
        </w:rPr>
        <w:t>A member of the Board of Advisors of the Amigos de las Americas Foundation of Houston, Texas (amigosinternational.org) and member of the Board of Advisors of Silkroad founded by Yo-Yo Ma (silkroad.org).</w:t>
      </w:r>
    </w:p>
    <w:p>
      <w:pPr>
        <w:spacing w:after="0" w:line="9" w:lineRule="exact"/>
        <w:rPr>
          <w:rFonts w:ascii="Arial" w:cs="Arial" w:eastAsia="Arial" w:hAnsi="Arial"/>
          <w:sz w:val="14"/>
          <w:szCs w:val="14"/>
          <w:b w:val="1"/>
          <w:bCs w:val="1"/>
          <w:color w:val="00529B"/>
        </w:rPr>
      </w:pPr>
    </w:p>
    <w:p>
      <w:pPr>
        <w:ind w:left="240" w:hanging="232"/>
        <w:spacing w:after="0"/>
        <w:tabs>
          <w:tab w:leader="none" w:pos="240" w:val="left"/>
        </w:tabs>
        <w:numPr>
          <w:ilvl w:val="0"/>
          <w:numId w:val="35"/>
        </w:numPr>
        <w:rPr>
          <w:rFonts w:ascii="Arial" w:cs="Arial" w:eastAsia="Arial" w:hAnsi="Arial"/>
          <w:sz w:val="14"/>
          <w:szCs w:val="14"/>
          <w:b w:val="1"/>
          <w:bCs w:val="1"/>
          <w:color w:val="00529B"/>
        </w:rPr>
      </w:pPr>
      <w:r>
        <w:rPr>
          <w:rFonts w:ascii="Arial" w:cs="Arial" w:eastAsia="Arial" w:hAnsi="Arial"/>
          <w:sz w:val="14"/>
          <w:szCs w:val="14"/>
          <w:color w:val="4D4D4F"/>
        </w:rPr>
        <w:t>Founding member of FixUSNow (FixUSNow.org) and member of the Council on Foreign Relations (CFR.org).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SKILLS &amp; QUALIFICATIONS</w:t>
      </w:r>
    </w:p>
    <w:p>
      <w:pPr>
        <w:spacing w:after="0" w:line="190" w:lineRule="exact"/>
        <w:rPr>
          <w:sz w:val="20"/>
          <w:szCs w:val="20"/>
          <w:color w:val="auto"/>
        </w:rPr>
      </w:pPr>
    </w:p>
    <w:p>
      <w:pPr>
        <w:ind w:right="160"/>
        <w:spacing w:after="0" w:line="305" w:lineRule="auto"/>
        <w:rPr>
          <w:sz w:val="20"/>
          <w:szCs w:val="20"/>
          <w:color w:val="auto"/>
        </w:rPr>
      </w:pPr>
      <w:r>
        <w:rPr>
          <w:rFonts w:ascii="Arial" w:cs="Arial" w:eastAsia="Arial" w:hAnsi="Arial"/>
          <w:sz w:val="14"/>
          <w:szCs w:val="14"/>
          <w:color w:val="4D4D4F"/>
        </w:rPr>
        <w:t>Mr. Stebbins brings to the Board a unique understanding of our strategies and operations through over 25 years of service to our Company and more than 35 years of experience in the fuel services business.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298655"/>
        </w:rPr>
        <w:t>KEY SKILLS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0" w:type="dxa"/>
            <w:vAlign w:val="bottom"/>
          </w:tcPr>
          <w:p>
            <w:pPr>
              <w:spacing w:after="0"/>
              <w:rPr>
                <w:sz w:val="20"/>
                <w:szCs w:val="20"/>
                <w:color w:val="auto"/>
              </w:rPr>
            </w:pPr>
            <w:r>
              <w:rPr>
                <w:rFonts w:ascii="Arial" w:cs="Arial" w:eastAsia="Arial" w:hAnsi="Arial"/>
                <w:sz w:val="14"/>
                <w:szCs w:val="14"/>
                <w:b w:val="1"/>
                <w:bCs w:val="1"/>
                <w:color w:val="298655"/>
              </w:rPr>
              <w:t>•</w:t>
            </w:r>
          </w:p>
        </w:tc>
        <w:tc>
          <w:tcPr>
            <w:tcW w:w="2300" w:type="dxa"/>
            <w:vAlign w:val="bottom"/>
          </w:tcPr>
          <w:p>
            <w:pPr>
              <w:ind w:left="80"/>
              <w:spacing w:after="0"/>
              <w:rPr>
                <w:sz w:val="20"/>
                <w:szCs w:val="20"/>
                <w:color w:val="auto"/>
              </w:rPr>
            </w:pPr>
            <w:r>
              <w:rPr>
                <w:rFonts w:ascii="Arial" w:cs="Arial" w:eastAsia="Arial" w:hAnsi="Arial"/>
                <w:sz w:val="14"/>
                <w:szCs w:val="14"/>
                <w:color w:val="4D4D4F"/>
              </w:rPr>
              <w:t>Accounting/Finance</w:t>
            </w:r>
          </w:p>
        </w:tc>
        <w:tc>
          <w:tcPr>
            <w:tcW w:w="600" w:type="dxa"/>
            <w:vAlign w:val="bottom"/>
          </w:tcPr>
          <w:p>
            <w:pPr>
              <w:ind w:left="460"/>
              <w:spacing w:after="0"/>
              <w:rPr>
                <w:sz w:val="20"/>
                <w:szCs w:val="20"/>
                <w:color w:val="auto"/>
              </w:rPr>
            </w:pPr>
            <w:r>
              <w:rPr>
                <w:rFonts w:ascii="Arial" w:cs="Arial" w:eastAsia="Arial" w:hAnsi="Arial"/>
                <w:sz w:val="14"/>
                <w:szCs w:val="14"/>
                <w:b w:val="1"/>
                <w:bCs w:val="1"/>
                <w:color w:val="298655"/>
              </w:rPr>
              <w:t>•</w:t>
            </w:r>
          </w:p>
        </w:tc>
        <w:tc>
          <w:tcPr>
            <w:tcW w:w="2540" w:type="dxa"/>
            <w:vAlign w:val="bottom"/>
          </w:tcPr>
          <w:p>
            <w:pPr>
              <w:ind w:left="80"/>
              <w:spacing w:after="0"/>
              <w:rPr>
                <w:sz w:val="20"/>
                <w:szCs w:val="20"/>
                <w:color w:val="auto"/>
              </w:rPr>
            </w:pPr>
            <w:r>
              <w:rPr>
                <w:rFonts w:ascii="Arial" w:cs="Arial" w:eastAsia="Arial" w:hAnsi="Arial"/>
                <w:sz w:val="14"/>
                <w:szCs w:val="14"/>
                <w:color w:val="4D4D4F"/>
              </w:rPr>
              <w:t>Commodities Trading</w:t>
            </w:r>
          </w:p>
        </w:tc>
        <w:tc>
          <w:tcPr>
            <w:tcW w:w="340" w:type="dxa"/>
            <w:vAlign w:val="bottom"/>
          </w:tcPr>
          <w:p>
            <w:pPr>
              <w:ind w:left="200"/>
              <w:spacing w:after="0"/>
              <w:rPr>
                <w:sz w:val="20"/>
                <w:szCs w:val="20"/>
                <w:color w:val="auto"/>
              </w:rPr>
            </w:pPr>
            <w:r>
              <w:rPr>
                <w:rFonts w:ascii="Arial" w:cs="Arial" w:eastAsia="Arial" w:hAnsi="Arial"/>
                <w:sz w:val="14"/>
                <w:szCs w:val="14"/>
                <w:b w:val="1"/>
                <w:bCs w:val="1"/>
                <w:color w:val="298655"/>
              </w:rPr>
              <w:t>•</w:t>
            </w:r>
          </w:p>
        </w:tc>
        <w:tc>
          <w:tcPr>
            <w:tcW w:w="2400" w:type="dxa"/>
            <w:vAlign w:val="bottom"/>
          </w:tcPr>
          <w:p>
            <w:pPr>
              <w:ind w:left="100"/>
              <w:spacing w:after="0"/>
              <w:rPr>
                <w:sz w:val="20"/>
                <w:szCs w:val="20"/>
                <w:color w:val="auto"/>
              </w:rPr>
            </w:pPr>
            <w:r>
              <w:rPr>
                <w:rFonts w:ascii="Arial" w:cs="Arial" w:eastAsia="Arial" w:hAnsi="Arial"/>
                <w:sz w:val="14"/>
                <w:szCs w:val="14"/>
                <w:color w:val="4D4D4F"/>
              </w:rPr>
              <w:t>Corporate Governance/Other Public</w:t>
            </w:r>
          </w:p>
        </w:tc>
        <w:tc>
          <w:tcPr>
            <w:tcW w:w="0" w:type="dxa"/>
            <w:vAlign w:val="bottom"/>
          </w:tcPr>
          <w:p>
            <w:pPr>
              <w:spacing w:after="0"/>
              <w:rPr>
                <w:sz w:val="1"/>
                <w:szCs w:val="1"/>
                <w:color w:val="auto"/>
              </w:rPr>
            </w:pPr>
          </w:p>
        </w:tc>
      </w:tr>
      <w:tr>
        <w:trPr>
          <w:trHeight w:val="190"/>
        </w:trPr>
        <w:tc>
          <w:tcPr>
            <w:tcW w:w="160" w:type="dxa"/>
            <w:vAlign w:val="bottom"/>
            <w:vMerge w:val="restart"/>
          </w:tcPr>
          <w:p>
            <w:pPr>
              <w:spacing w:after="0"/>
              <w:rPr>
                <w:sz w:val="20"/>
                <w:szCs w:val="20"/>
                <w:color w:val="auto"/>
              </w:rPr>
            </w:pPr>
            <w:r>
              <w:rPr>
                <w:rFonts w:ascii="Arial" w:cs="Arial" w:eastAsia="Arial" w:hAnsi="Arial"/>
                <w:sz w:val="14"/>
                <w:szCs w:val="14"/>
                <w:b w:val="1"/>
                <w:bCs w:val="1"/>
                <w:color w:val="298655"/>
              </w:rPr>
              <w:t>•</w:t>
            </w:r>
          </w:p>
        </w:tc>
        <w:tc>
          <w:tcPr>
            <w:tcW w:w="2300" w:type="dxa"/>
            <w:vAlign w:val="bottom"/>
            <w:vMerge w:val="restart"/>
          </w:tcPr>
          <w:p>
            <w:pPr>
              <w:ind w:left="80"/>
              <w:spacing w:after="0"/>
              <w:rPr>
                <w:sz w:val="20"/>
                <w:szCs w:val="20"/>
                <w:color w:val="auto"/>
              </w:rPr>
            </w:pPr>
            <w:r>
              <w:rPr>
                <w:rFonts w:ascii="Arial" w:cs="Arial" w:eastAsia="Arial" w:hAnsi="Arial"/>
                <w:sz w:val="14"/>
                <w:szCs w:val="14"/>
                <w:color w:val="4D4D4F"/>
              </w:rPr>
              <w:t>Energy Industry</w:t>
            </w:r>
          </w:p>
        </w:tc>
        <w:tc>
          <w:tcPr>
            <w:tcW w:w="600" w:type="dxa"/>
            <w:vAlign w:val="bottom"/>
            <w:vMerge w:val="restart"/>
          </w:tcPr>
          <w:p>
            <w:pPr>
              <w:ind w:left="460"/>
              <w:spacing w:after="0"/>
              <w:rPr>
                <w:sz w:val="20"/>
                <w:szCs w:val="20"/>
                <w:color w:val="auto"/>
              </w:rPr>
            </w:pPr>
            <w:r>
              <w:rPr>
                <w:rFonts w:ascii="Arial" w:cs="Arial" w:eastAsia="Arial" w:hAnsi="Arial"/>
                <w:sz w:val="14"/>
                <w:szCs w:val="14"/>
                <w:b w:val="1"/>
                <w:bCs w:val="1"/>
                <w:color w:val="298655"/>
              </w:rPr>
              <w:t>•</w:t>
            </w:r>
          </w:p>
        </w:tc>
        <w:tc>
          <w:tcPr>
            <w:tcW w:w="2540" w:type="dxa"/>
            <w:vAlign w:val="bottom"/>
            <w:vMerge w:val="restart"/>
          </w:tcPr>
          <w:p>
            <w:pPr>
              <w:ind w:left="80"/>
              <w:spacing w:after="0"/>
              <w:rPr>
                <w:sz w:val="20"/>
                <w:szCs w:val="20"/>
                <w:color w:val="auto"/>
              </w:rPr>
            </w:pPr>
            <w:r>
              <w:rPr>
                <w:rFonts w:ascii="Arial" w:cs="Arial" w:eastAsia="Arial" w:hAnsi="Arial"/>
                <w:sz w:val="14"/>
                <w:szCs w:val="14"/>
                <w:color w:val="4D4D4F"/>
              </w:rPr>
              <w:t>International Operations</w:t>
            </w:r>
          </w:p>
        </w:tc>
        <w:tc>
          <w:tcPr>
            <w:tcW w:w="340" w:type="dxa"/>
            <w:vAlign w:val="bottom"/>
          </w:tcPr>
          <w:p>
            <w:pPr>
              <w:spacing w:after="0"/>
              <w:rPr>
                <w:sz w:val="16"/>
                <w:szCs w:val="16"/>
                <w:color w:val="auto"/>
              </w:rPr>
            </w:pPr>
          </w:p>
        </w:tc>
        <w:tc>
          <w:tcPr>
            <w:tcW w:w="2400" w:type="dxa"/>
            <w:vAlign w:val="bottom"/>
          </w:tcPr>
          <w:p>
            <w:pPr>
              <w:ind w:left="100"/>
              <w:spacing w:after="0"/>
              <w:rPr>
                <w:sz w:val="20"/>
                <w:szCs w:val="20"/>
                <w:color w:val="auto"/>
              </w:rPr>
            </w:pPr>
            <w:r>
              <w:rPr>
                <w:rFonts w:ascii="Arial" w:cs="Arial" w:eastAsia="Arial" w:hAnsi="Arial"/>
                <w:sz w:val="14"/>
                <w:szCs w:val="14"/>
                <w:color w:val="4D4D4F"/>
              </w:rPr>
              <w:t>Company Directorships</w:t>
            </w:r>
          </w:p>
        </w:tc>
        <w:tc>
          <w:tcPr>
            <w:tcW w:w="0" w:type="dxa"/>
            <w:vAlign w:val="bottom"/>
          </w:tcPr>
          <w:p>
            <w:pPr>
              <w:spacing w:after="0"/>
              <w:rPr>
                <w:sz w:val="1"/>
                <w:szCs w:val="1"/>
                <w:color w:val="auto"/>
              </w:rPr>
            </w:pPr>
          </w:p>
        </w:tc>
      </w:tr>
      <w:tr>
        <w:trPr>
          <w:trHeight w:val="60"/>
        </w:trPr>
        <w:tc>
          <w:tcPr>
            <w:tcW w:w="160" w:type="dxa"/>
            <w:vAlign w:val="bottom"/>
            <w:vMerge w:val="continue"/>
          </w:tcPr>
          <w:p>
            <w:pPr>
              <w:spacing w:after="0"/>
              <w:rPr>
                <w:sz w:val="5"/>
                <w:szCs w:val="5"/>
                <w:color w:val="auto"/>
              </w:rPr>
            </w:pPr>
          </w:p>
        </w:tc>
        <w:tc>
          <w:tcPr>
            <w:tcW w:w="23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540" w:type="dxa"/>
            <w:vAlign w:val="bottom"/>
            <w:vMerge w:val="continue"/>
          </w:tcPr>
          <w:p>
            <w:pPr>
              <w:spacing w:after="0"/>
              <w:rPr>
                <w:sz w:val="5"/>
                <w:szCs w:val="5"/>
                <w:color w:val="auto"/>
              </w:rPr>
            </w:pPr>
          </w:p>
        </w:tc>
        <w:tc>
          <w:tcPr>
            <w:tcW w:w="340" w:type="dxa"/>
            <w:vAlign w:val="bottom"/>
            <w:vMerge w:val="restart"/>
          </w:tcPr>
          <w:p>
            <w:pPr>
              <w:ind w:left="200"/>
              <w:spacing w:after="0"/>
              <w:rPr>
                <w:sz w:val="20"/>
                <w:szCs w:val="20"/>
                <w:color w:val="auto"/>
              </w:rPr>
            </w:pPr>
            <w:r>
              <w:rPr>
                <w:rFonts w:ascii="Arial" w:cs="Arial" w:eastAsia="Arial" w:hAnsi="Arial"/>
                <w:sz w:val="14"/>
                <w:szCs w:val="14"/>
                <w:b w:val="1"/>
                <w:bCs w:val="1"/>
                <w:color w:val="298655"/>
              </w:rPr>
              <w:t>•</w:t>
            </w:r>
          </w:p>
        </w:tc>
        <w:tc>
          <w:tcPr>
            <w:tcW w:w="2400" w:type="dxa"/>
            <w:vAlign w:val="bottom"/>
            <w:vMerge w:val="restart"/>
          </w:tcPr>
          <w:p>
            <w:pPr>
              <w:ind w:left="100"/>
              <w:spacing w:after="0"/>
              <w:rPr>
                <w:sz w:val="20"/>
                <w:szCs w:val="20"/>
                <w:color w:val="auto"/>
              </w:rPr>
            </w:pPr>
            <w:r>
              <w:rPr>
                <w:rFonts w:ascii="Arial" w:cs="Arial" w:eastAsia="Arial" w:hAnsi="Arial"/>
                <w:sz w:val="14"/>
                <w:szCs w:val="14"/>
                <w:color w:val="4D4D4F"/>
              </w:rPr>
              <w:t>Management</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20"/>
                <w:szCs w:val="20"/>
                <w:color w:val="auto"/>
              </w:rPr>
            </w:pPr>
            <w:r>
              <w:rPr>
                <w:rFonts w:ascii="Arial" w:cs="Arial" w:eastAsia="Arial" w:hAnsi="Arial"/>
                <w:sz w:val="14"/>
                <w:szCs w:val="14"/>
                <w:b w:val="1"/>
                <w:bCs w:val="1"/>
                <w:color w:val="298655"/>
              </w:rPr>
              <w:t>•</w:t>
            </w:r>
          </w:p>
        </w:tc>
        <w:tc>
          <w:tcPr>
            <w:tcW w:w="2300" w:type="dxa"/>
            <w:vAlign w:val="bottom"/>
          </w:tcPr>
          <w:p>
            <w:pPr>
              <w:ind w:left="80"/>
              <w:spacing w:after="0"/>
              <w:rPr>
                <w:sz w:val="20"/>
                <w:szCs w:val="20"/>
                <w:color w:val="auto"/>
              </w:rPr>
            </w:pPr>
            <w:r>
              <w:rPr>
                <w:rFonts w:ascii="Arial" w:cs="Arial" w:eastAsia="Arial" w:hAnsi="Arial"/>
                <w:sz w:val="14"/>
                <w:szCs w:val="14"/>
                <w:color w:val="4D4D4F"/>
              </w:rPr>
              <w:t>Investment Banking/Capital</w:t>
            </w:r>
          </w:p>
        </w:tc>
        <w:tc>
          <w:tcPr>
            <w:tcW w:w="600" w:type="dxa"/>
            <w:vAlign w:val="bottom"/>
          </w:tcPr>
          <w:p>
            <w:pPr>
              <w:ind w:left="460"/>
              <w:spacing w:after="0"/>
              <w:rPr>
                <w:sz w:val="20"/>
                <w:szCs w:val="20"/>
                <w:color w:val="auto"/>
              </w:rPr>
            </w:pPr>
            <w:r>
              <w:rPr>
                <w:rFonts w:ascii="Arial" w:cs="Arial" w:eastAsia="Arial" w:hAnsi="Arial"/>
                <w:sz w:val="14"/>
                <w:szCs w:val="14"/>
                <w:b w:val="1"/>
                <w:bCs w:val="1"/>
                <w:color w:val="298655"/>
              </w:rPr>
              <w:t>•</w:t>
            </w:r>
          </w:p>
        </w:tc>
        <w:tc>
          <w:tcPr>
            <w:tcW w:w="2540" w:type="dxa"/>
            <w:vAlign w:val="bottom"/>
          </w:tcPr>
          <w:p>
            <w:pPr>
              <w:ind w:left="80"/>
              <w:spacing w:after="0"/>
              <w:rPr>
                <w:sz w:val="20"/>
                <w:szCs w:val="20"/>
                <w:color w:val="auto"/>
              </w:rPr>
            </w:pPr>
            <w:r>
              <w:rPr>
                <w:rFonts w:ascii="Arial" w:cs="Arial" w:eastAsia="Arial" w:hAnsi="Arial"/>
                <w:sz w:val="14"/>
                <w:szCs w:val="14"/>
                <w:color w:val="4D4D4F"/>
              </w:rPr>
              <w:t>Human Capital/Talent Management</w:t>
            </w:r>
          </w:p>
        </w:tc>
        <w:tc>
          <w:tcPr>
            <w:tcW w:w="340" w:type="dxa"/>
            <w:vAlign w:val="bottom"/>
            <w:vMerge w:val="continue"/>
          </w:tcPr>
          <w:p>
            <w:pPr>
              <w:spacing w:after="0"/>
              <w:rPr>
                <w:sz w:val="19"/>
                <w:szCs w:val="19"/>
                <w:color w:val="auto"/>
              </w:rPr>
            </w:pPr>
          </w:p>
        </w:tc>
        <w:tc>
          <w:tcPr>
            <w:tcW w:w="2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2300" w:type="dxa"/>
            <w:vAlign w:val="bottom"/>
          </w:tcPr>
          <w:p>
            <w:pPr>
              <w:ind w:left="100"/>
              <w:spacing w:after="0"/>
              <w:rPr>
                <w:sz w:val="20"/>
                <w:szCs w:val="20"/>
                <w:color w:val="auto"/>
              </w:rPr>
            </w:pPr>
            <w:r>
              <w:rPr>
                <w:rFonts w:ascii="Arial" w:cs="Arial" w:eastAsia="Arial" w:hAnsi="Arial"/>
                <w:sz w:val="14"/>
                <w:szCs w:val="14"/>
                <w:color w:val="4D4D4F"/>
              </w:rPr>
              <w:t>Markets</w:t>
            </w:r>
          </w:p>
        </w:tc>
        <w:tc>
          <w:tcPr>
            <w:tcW w:w="6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151130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519430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720"/>
            <w:col w:w="8340"/>
          </w:cols>
          <w:pgMar w:left="340" w:top="27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0" w:hanging="534"/>
        <w:spacing w:after="0"/>
        <w:tabs>
          <w:tab w:leader="none" w:pos="540" w:val="left"/>
        </w:tabs>
        <w:numPr>
          <w:ilvl w:val="0"/>
          <w:numId w:val="36"/>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79" w:right="359" w:bottom="1440" w:gutter="0" w:footer="0" w:header="0"/>
          <w:type w:val="continuous"/>
        </w:sectPr>
      </w:pPr>
    </w:p>
    <w:bookmarkStart w:id="21" w:name="page22"/>
    <w:bookmarkEnd w:id="21"/>
    <w:p>
      <w:pPr>
        <w:ind w:left="20"/>
        <w:spacing w:after="0"/>
        <w:rPr>
          <w:sz w:val="20"/>
          <w:szCs w:val="20"/>
          <w:color w:val="auto"/>
        </w:rPr>
      </w:pPr>
      <w:r>
        <w:rPr>
          <w:rFonts w:ascii="Arial" w:cs="Arial" w:eastAsia="Arial" w:hAnsi="Arial"/>
          <w:sz w:val="54"/>
          <w:szCs w:val="54"/>
          <w:b w:val="1"/>
          <w:bCs w:val="1"/>
          <w:color w:val="01549C"/>
        </w:rPr>
        <w:drawing>
          <wp:anchor simplePos="0" relativeHeight="251657728" behindDoc="1" locked="0" layoutInCell="0" allowOverlap="1">
            <wp:simplePos x="0" y="0"/>
            <wp:positionH relativeFrom="page">
              <wp:posOffset>6080125</wp:posOffset>
            </wp:positionH>
            <wp:positionV relativeFrom="page">
              <wp:posOffset>620395</wp:posOffset>
            </wp:positionV>
            <wp:extent cx="1157605" cy="6172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17220"/>
                    </a:xfrm>
                    <a:prstGeom prst="rect">
                      <a:avLst/>
                    </a:prstGeom>
                    <a:noFill/>
                  </pic:spPr>
                </pic:pic>
              </a:graphicData>
            </a:graphic>
          </wp:anchor>
        </w:drawing>
        <w:t>Corporate Governance</w:t>
      </w: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Board and Committee Governance</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Board Leadership Structure</w:t>
      </w:r>
    </w:p>
    <w:p>
      <w:pPr>
        <w:spacing w:after="0" w:line="144"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4D4D4F"/>
        </w:rPr>
        <w:t>The Board regularly considers the appropriate leadership structure for us and does not have a formal policy with respect to the separation of the positions of Chief Executive Officer and Chairman of the Board. Rather, the Board believes that different Board leadership structures may be appropriate for us at different times, and that it should have the flexibility to make this decision based on its evaluation of current circumstances. When making this decision, the Board considers factors such as:</w:t>
      </w:r>
    </w:p>
    <w:p>
      <w:pPr>
        <w:spacing w:after="0" w:line="121" w:lineRule="exact"/>
        <w:rPr>
          <w:sz w:val="20"/>
          <w:szCs w:val="20"/>
          <w:color w:val="auto"/>
        </w:rPr>
      </w:pPr>
    </w:p>
    <w:p>
      <w:pPr>
        <w:ind w:left="480" w:hanging="229"/>
        <w:spacing w:after="0"/>
        <w:tabs>
          <w:tab w:leader="none" w:pos="480" w:val="left"/>
        </w:tabs>
        <w:numPr>
          <w:ilvl w:val="0"/>
          <w:numId w:val="37"/>
        </w:numPr>
        <w:rPr>
          <w:rFonts w:ascii="Arial" w:cs="Arial" w:eastAsia="Arial" w:hAnsi="Arial"/>
          <w:sz w:val="16"/>
          <w:szCs w:val="16"/>
          <w:b w:val="1"/>
          <w:bCs w:val="1"/>
          <w:color w:val="00529B"/>
        </w:rPr>
      </w:pPr>
      <w:r>
        <w:rPr>
          <w:rFonts w:ascii="Arial" w:cs="Arial" w:eastAsia="Arial" w:hAnsi="Arial"/>
          <w:sz w:val="16"/>
          <w:szCs w:val="16"/>
          <w:color w:val="4D4D4F"/>
        </w:rPr>
        <w:t>the person filling each role;</w:t>
      </w:r>
    </w:p>
    <w:p>
      <w:pPr>
        <w:spacing w:after="0" w:line="194" w:lineRule="exact"/>
        <w:rPr>
          <w:rFonts w:ascii="Arial" w:cs="Arial" w:eastAsia="Arial" w:hAnsi="Arial"/>
          <w:sz w:val="16"/>
          <w:szCs w:val="16"/>
          <w:b w:val="1"/>
          <w:bCs w:val="1"/>
          <w:color w:val="00529B"/>
        </w:rPr>
      </w:pPr>
    </w:p>
    <w:p>
      <w:pPr>
        <w:ind w:left="480" w:hanging="229"/>
        <w:spacing w:after="0"/>
        <w:tabs>
          <w:tab w:leader="none" w:pos="480" w:val="left"/>
        </w:tabs>
        <w:numPr>
          <w:ilvl w:val="0"/>
          <w:numId w:val="37"/>
        </w:numPr>
        <w:rPr>
          <w:rFonts w:ascii="Arial" w:cs="Arial" w:eastAsia="Arial" w:hAnsi="Arial"/>
          <w:sz w:val="16"/>
          <w:szCs w:val="16"/>
          <w:b w:val="1"/>
          <w:bCs w:val="1"/>
          <w:color w:val="00529B"/>
        </w:rPr>
      </w:pPr>
      <w:r>
        <w:rPr>
          <w:rFonts w:ascii="Arial" w:cs="Arial" w:eastAsia="Arial" w:hAnsi="Arial"/>
          <w:sz w:val="16"/>
          <w:szCs w:val="16"/>
          <w:color w:val="4D4D4F"/>
        </w:rPr>
        <w:t>the presence of a lead independent director and the person in that role;</w:t>
      </w:r>
    </w:p>
    <w:p>
      <w:pPr>
        <w:spacing w:after="0" w:line="194" w:lineRule="exact"/>
        <w:rPr>
          <w:rFonts w:ascii="Arial" w:cs="Arial" w:eastAsia="Arial" w:hAnsi="Arial"/>
          <w:sz w:val="16"/>
          <w:szCs w:val="16"/>
          <w:b w:val="1"/>
          <w:bCs w:val="1"/>
          <w:color w:val="00529B"/>
        </w:rPr>
      </w:pPr>
    </w:p>
    <w:p>
      <w:pPr>
        <w:ind w:left="480" w:hanging="229"/>
        <w:spacing w:after="0"/>
        <w:tabs>
          <w:tab w:leader="none" w:pos="480" w:val="left"/>
        </w:tabs>
        <w:numPr>
          <w:ilvl w:val="0"/>
          <w:numId w:val="37"/>
        </w:numPr>
        <w:rPr>
          <w:rFonts w:ascii="Arial" w:cs="Arial" w:eastAsia="Arial" w:hAnsi="Arial"/>
          <w:sz w:val="16"/>
          <w:szCs w:val="16"/>
          <w:b w:val="1"/>
          <w:bCs w:val="1"/>
          <w:color w:val="00529B"/>
        </w:rPr>
      </w:pPr>
      <w:r>
        <w:rPr>
          <w:rFonts w:ascii="Arial" w:cs="Arial" w:eastAsia="Arial" w:hAnsi="Arial"/>
          <w:sz w:val="16"/>
          <w:szCs w:val="16"/>
          <w:color w:val="4D4D4F"/>
        </w:rPr>
        <w:t>the composition, independence and effectiveness of the entire Board; and</w:t>
      </w:r>
    </w:p>
    <w:p>
      <w:pPr>
        <w:spacing w:after="0" w:line="194" w:lineRule="exact"/>
        <w:rPr>
          <w:rFonts w:ascii="Arial" w:cs="Arial" w:eastAsia="Arial" w:hAnsi="Arial"/>
          <w:sz w:val="16"/>
          <w:szCs w:val="16"/>
          <w:b w:val="1"/>
          <w:bCs w:val="1"/>
          <w:color w:val="00529B"/>
        </w:rPr>
      </w:pPr>
    </w:p>
    <w:p>
      <w:pPr>
        <w:ind w:left="480" w:hanging="229"/>
        <w:spacing w:after="0"/>
        <w:tabs>
          <w:tab w:leader="none" w:pos="480" w:val="left"/>
        </w:tabs>
        <w:numPr>
          <w:ilvl w:val="0"/>
          <w:numId w:val="37"/>
        </w:numPr>
        <w:rPr>
          <w:rFonts w:ascii="Arial" w:cs="Arial" w:eastAsia="Arial" w:hAnsi="Arial"/>
          <w:sz w:val="16"/>
          <w:szCs w:val="16"/>
          <w:b w:val="1"/>
          <w:bCs w:val="1"/>
          <w:color w:val="00529B"/>
        </w:rPr>
      </w:pPr>
      <w:r>
        <w:rPr>
          <w:rFonts w:ascii="Arial" w:cs="Arial" w:eastAsia="Arial" w:hAnsi="Arial"/>
          <w:sz w:val="16"/>
          <w:szCs w:val="16"/>
          <w:color w:val="4D4D4F"/>
        </w:rPr>
        <w:t>other corporate governance structures in place.</w:t>
      </w:r>
    </w:p>
    <w:p>
      <w:pPr>
        <w:spacing w:after="0" w:line="19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4D4D4F"/>
        </w:rPr>
        <w:t>Mr. Kasbar currently serves as Chairman of the Board in addition to his role as President and Chief Executive Officer. Our Board believes that our Chief Executive Officer is in the best position to most effectively serve as the Chairman of the Board given that he has the primary responsibility for managing our day-to-day operations and therefore has a detailed and in-depth knowledge of the issues, opportunities and challenges facing us and our business. The Board also believes that the Chief Executive Officer serving as Chairman of the Board further promotes information flow between management and the Board and enhances the quality of the Board’s overall decision-making process.</w:t>
      </w:r>
    </w:p>
    <w:p>
      <w:pPr>
        <w:spacing w:after="0" w:line="12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4D4D4F"/>
        </w:rPr>
        <w:t>In making its decision to combine the roles of Chief Executive Officer and Chairman of the Board, the Board considered that its leadership structure was appropriate given the following strong governance structures and processes in place to ensure the independence of the Board, eliminate conflicts of interest and prevent the dominance of the Board by senior management:</w:t>
      </w:r>
    </w:p>
    <w:p>
      <w:pPr>
        <w:spacing w:after="0" w:line="118" w:lineRule="exact"/>
        <w:rPr>
          <w:sz w:val="20"/>
          <w:szCs w:val="20"/>
          <w:color w:val="auto"/>
        </w:rPr>
      </w:pPr>
    </w:p>
    <w:p>
      <w:pPr>
        <w:ind w:left="480" w:hanging="229"/>
        <w:spacing w:after="0"/>
        <w:tabs>
          <w:tab w:leader="none" w:pos="480" w:val="left"/>
        </w:tabs>
        <w:numPr>
          <w:ilvl w:val="0"/>
          <w:numId w:val="38"/>
        </w:numPr>
        <w:rPr>
          <w:rFonts w:ascii="Arial" w:cs="Arial" w:eastAsia="Arial" w:hAnsi="Arial"/>
          <w:sz w:val="16"/>
          <w:szCs w:val="16"/>
          <w:b w:val="1"/>
          <w:bCs w:val="1"/>
          <w:color w:val="00529B"/>
        </w:rPr>
      </w:pPr>
      <w:r>
        <w:rPr>
          <w:rFonts w:ascii="Arial" w:cs="Arial" w:eastAsia="Arial" w:hAnsi="Arial"/>
          <w:sz w:val="16"/>
          <w:szCs w:val="16"/>
          <w:color w:val="4D4D4F"/>
        </w:rPr>
        <w:t>the presence of, and the responsibilities and authority of, the Board’s strong lead independent director;</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38"/>
        </w:numPr>
        <w:rPr>
          <w:rFonts w:ascii="Arial" w:cs="Arial" w:eastAsia="Arial" w:hAnsi="Arial"/>
          <w:sz w:val="16"/>
          <w:szCs w:val="16"/>
          <w:b w:val="1"/>
          <w:bCs w:val="1"/>
          <w:color w:val="00529B"/>
        </w:rPr>
      </w:pPr>
      <w:r>
        <w:rPr>
          <w:rFonts w:ascii="Arial" w:cs="Arial" w:eastAsia="Arial" w:hAnsi="Arial"/>
          <w:sz w:val="16"/>
          <w:szCs w:val="16"/>
          <w:color w:val="4D4D4F"/>
        </w:rPr>
        <w:t>the composition of the Board, which includes a super-majority of independent non-management directors;</w:t>
      </w:r>
    </w:p>
    <w:p>
      <w:pPr>
        <w:spacing w:after="0" w:line="126" w:lineRule="exact"/>
        <w:rPr>
          <w:rFonts w:ascii="Arial" w:cs="Arial" w:eastAsia="Arial" w:hAnsi="Arial"/>
          <w:sz w:val="16"/>
          <w:szCs w:val="16"/>
          <w:b w:val="1"/>
          <w:bCs w:val="1"/>
          <w:color w:val="00529B"/>
        </w:rPr>
      </w:pPr>
    </w:p>
    <w:p>
      <w:pPr>
        <w:ind w:left="480" w:hanging="229"/>
        <w:spacing w:after="0"/>
        <w:tabs>
          <w:tab w:leader="none" w:pos="480" w:val="left"/>
        </w:tabs>
        <w:numPr>
          <w:ilvl w:val="0"/>
          <w:numId w:val="38"/>
        </w:numPr>
        <w:rPr>
          <w:rFonts w:ascii="Arial" w:cs="Arial" w:eastAsia="Arial" w:hAnsi="Arial"/>
          <w:sz w:val="16"/>
          <w:szCs w:val="16"/>
          <w:b w:val="1"/>
          <w:bCs w:val="1"/>
          <w:color w:val="00529B"/>
        </w:rPr>
      </w:pPr>
      <w:r>
        <w:rPr>
          <w:rFonts w:ascii="Arial" w:cs="Arial" w:eastAsia="Arial" w:hAnsi="Arial"/>
          <w:sz w:val="16"/>
          <w:szCs w:val="16"/>
          <w:color w:val="4D4D4F"/>
        </w:rPr>
        <w:t>the composition of the Board’s standing committees, which are composed of, and chaired solely by, independent non-management directors;</w:t>
      </w:r>
    </w:p>
    <w:p>
      <w:pPr>
        <w:spacing w:after="0" w:line="140" w:lineRule="exact"/>
        <w:rPr>
          <w:rFonts w:ascii="Arial" w:cs="Arial" w:eastAsia="Arial" w:hAnsi="Arial"/>
          <w:sz w:val="16"/>
          <w:szCs w:val="16"/>
          <w:b w:val="1"/>
          <w:bCs w:val="1"/>
          <w:color w:val="00529B"/>
        </w:rPr>
      </w:pPr>
    </w:p>
    <w:p>
      <w:pPr>
        <w:ind w:left="500" w:right="300" w:hanging="249"/>
        <w:spacing w:after="0" w:line="321" w:lineRule="auto"/>
        <w:tabs>
          <w:tab w:leader="none" w:pos="489" w:val="left"/>
        </w:tabs>
        <w:numPr>
          <w:ilvl w:val="0"/>
          <w:numId w:val="38"/>
        </w:numPr>
        <w:rPr>
          <w:rFonts w:ascii="Arial" w:cs="Arial" w:eastAsia="Arial" w:hAnsi="Arial"/>
          <w:sz w:val="16"/>
          <w:szCs w:val="16"/>
          <w:b w:val="1"/>
          <w:bCs w:val="1"/>
          <w:color w:val="00529B"/>
        </w:rPr>
      </w:pPr>
      <w:r>
        <w:rPr>
          <w:rFonts w:ascii="Arial" w:cs="Arial" w:eastAsia="Arial" w:hAnsi="Arial"/>
          <w:sz w:val="16"/>
          <w:szCs w:val="16"/>
          <w:color w:val="4D4D4F"/>
        </w:rPr>
        <w:t>the fact that the independent non-management directors meet in regular executive sessions without management present to discuss, among other things, the effectiveness of our management, the quality of the Board meetings and any other issues and concerns; and</w:t>
      </w:r>
    </w:p>
    <w:p>
      <w:pPr>
        <w:spacing w:after="0" w:line="47" w:lineRule="exact"/>
        <w:rPr>
          <w:rFonts w:ascii="Arial" w:cs="Arial" w:eastAsia="Arial" w:hAnsi="Arial"/>
          <w:sz w:val="16"/>
          <w:szCs w:val="16"/>
          <w:b w:val="1"/>
          <w:bCs w:val="1"/>
          <w:color w:val="00529B"/>
        </w:rPr>
      </w:pPr>
    </w:p>
    <w:p>
      <w:pPr>
        <w:ind w:left="480" w:hanging="229"/>
        <w:spacing w:after="0"/>
        <w:tabs>
          <w:tab w:leader="none" w:pos="480" w:val="left"/>
        </w:tabs>
        <w:numPr>
          <w:ilvl w:val="0"/>
          <w:numId w:val="38"/>
        </w:numPr>
        <w:rPr>
          <w:rFonts w:ascii="Arial" w:cs="Arial" w:eastAsia="Arial" w:hAnsi="Arial"/>
          <w:sz w:val="16"/>
          <w:szCs w:val="16"/>
          <w:b w:val="1"/>
          <w:bCs w:val="1"/>
          <w:color w:val="00529B"/>
        </w:rPr>
      </w:pPr>
      <w:r>
        <w:rPr>
          <w:rFonts w:ascii="Arial" w:cs="Arial" w:eastAsia="Arial" w:hAnsi="Arial"/>
          <w:sz w:val="16"/>
          <w:szCs w:val="16"/>
          <w:color w:val="4D4D4F"/>
        </w:rPr>
        <w:t>the fact that all Board members have unrestricted access to management and outside advisors.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Lead Independent Director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4D4D4F"/>
        </w:rPr>
        <w:t>Our independent directors annually elect our Lead Independent Director. Consistent with best practices, our Lead Independent Director:</w:t>
      </w:r>
    </w:p>
    <w:p>
      <w:pPr>
        <w:spacing w:after="0" w:line="194" w:lineRule="exact"/>
        <w:rPr>
          <w:sz w:val="20"/>
          <w:szCs w:val="20"/>
          <w:color w:val="auto"/>
        </w:rPr>
      </w:pPr>
    </w:p>
    <w:p>
      <w:pPr>
        <w:ind w:left="480" w:hanging="229"/>
        <w:spacing w:after="0"/>
        <w:tabs>
          <w:tab w:leader="none" w:pos="480" w:val="left"/>
        </w:tabs>
        <w:numPr>
          <w:ilvl w:val="0"/>
          <w:numId w:val="39"/>
        </w:numPr>
        <w:rPr>
          <w:rFonts w:ascii="Arial" w:cs="Arial" w:eastAsia="Arial" w:hAnsi="Arial"/>
          <w:sz w:val="16"/>
          <w:szCs w:val="16"/>
          <w:b w:val="1"/>
          <w:bCs w:val="1"/>
          <w:color w:val="00529B"/>
        </w:rPr>
      </w:pPr>
      <w:r>
        <w:rPr>
          <w:rFonts w:ascii="Arial" w:cs="Arial" w:eastAsia="Arial" w:hAnsi="Arial"/>
          <w:sz w:val="16"/>
          <w:szCs w:val="16"/>
          <w:color w:val="4D4D4F"/>
        </w:rPr>
        <w:t>presides at all meetings of the Board at which the Chairman of the Board is not present, including executive sessions of the independent directors;</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39"/>
        </w:numPr>
        <w:rPr>
          <w:rFonts w:ascii="Arial" w:cs="Arial" w:eastAsia="Arial" w:hAnsi="Arial"/>
          <w:sz w:val="16"/>
          <w:szCs w:val="16"/>
          <w:b w:val="1"/>
          <w:bCs w:val="1"/>
          <w:color w:val="00529B"/>
        </w:rPr>
      </w:pPr>
      <w:r>
        <w:rPr>
          <w:rFonts w:ascii="Arial" w:cs="Arial" w:eastAsia="Arial" w:hAnsi="Arial"/>
          <w:sz w:val="16"/>
          <w:szCs w:val="16"/>
          <w:color w:val="4D4D4F"/>
        </w:rPr>
        <w:t>serves as a liaison between the Chairman of the Board and the independent directors;</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39"/>
        </w:numPr>
        <w:rPr>
          <w:rFonts w:ascii="Arial" w:cs="Arial" w:eastAsia="Arial" w:hAnsi="Arial"/>
          <w:sz w:val="16"/>
          <w:szCs w:val="16"/>
          <w:b w:val="1"/>
          <w:bCs w:val="1"/>
          <w:color w:val="00529B"/>
        </w:rPr>
      </w:pPr>
      <w:r>
        <w:rPr>
          <w:rFonts w:ascii="Arial" w:cs="Arial" w:eastAsia="Arial" w:hAnsi="Arial"/>
          <w:sz w:val="16"/>
          <w:szCs w:val="16"/>
          <w:color w:val="4D4D4F"/>
        </w:rPr>
        <w:t>reviews Board meeting agendas and schedules to assure that there is sufficient time for discussion of all agenda items;</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39"/>
        </w:numPr>
        <w:rPr>
          <w:rFonts w:ascii="Arial" w:cs="Arial" w:eastAsia="Arial" w:hAnsi="Arial"/>
          <w:sz w:val="16"/>
          <w:szCs w:val="16"/>
          <w:b w:val="1"/>
          <w:bCs w:val="1"/>
          <w:color w:val="00529B"/>
        </w:rPr>
      </w:pPr>
      <w:r>
        <w:rPr>
          <w:rFonts w:ascii="Arial" w:cs="Arial" w:eastAsia="Arial" w:hAnsi="Arial"/>
          <w:sz w:val="16"/>
          <w:szCs w:val="16"/>
          <w:color w:val="4D4D4F"/>
        </w:rPr>
        <w:t>has the authority to call meetings of the independent directors;</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39"/>
        </w:numPr>
        <w:rPr>
          <w:rFonts w:ascii="Arial" w:cs="Arial" w:eastAsia="Arial" w:hAnsi="Arial"/>
          <w:sz w:val="16"/>
          <w:szCs w:val="16"/>
          <w:b w:val="1"/>
          <w:bCs w:val="1"/>
          <w:color w:val="00529B"/>
        </w:rPr>
      </w:pPr>
      <w:r>
        <w:rPr>
          <w:rFonts w:ascii="Arial" w:cs="Arial" w:eastAsia="Arial" w:hAnsi="Arial"/>
          <w:sz w:val="16"/>
          <w:szCs w:val="16"/>
          <w:color w:val="4D4D4F"/>
        </w:rPr>
        <w:t>if requested by major shareholders, ensures that he or she is available for consultations and direct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19</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80" w:hanging="229"/>
        <w:spacing w:after="0"/>
        <w:tabs>
          <w:tab w:leader="none" w:pos="480" w:val="left"/>
        </w:tabs>
        <w:numPr>
          <w:ilvl w:val="0"/>
          <w:numId w:val="40"/>
        </w:numPr>
        <w:rPr>
          <w:rFonts w:ascii="Arial" w:cs="Arial" w:eastAsia="Arial" w:hAnsi="Arial"/>
          <w:sz w:val="16"/>
          <w:szCs w:val="16"/>
          <w:b w:val="1"/>
          <w:bCs w:val="1"/>
          <w:color w:val="00529B"/>
        </w:rPr>
      </w:pPr>
      <w:r>
        <w:rPr>
          <w:rFonts w:ascii="Arial" w:cs="Arial" w:eastAsia="Arial" w:hAnsi="Arial"/>
          <w:sz w:val="16"/>
          <w:szCs w:val="16"/>
          <w:color w:val="4D4D4F"/>
        </w:rPr>
        <w:t>has the authority to retain outside advisors and consultants who report directly to the Board; and</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40"/>
        </w:numPr>
        <w:rPr>
          <w:rFonts w:ascii="Arial" w:cs="Arial" w:eastAsia="Arial" w:hAnsi="Arial"/>
          <w:sz w:val="16"/>
          <w:szCs w:val="16"/>
          <w:b w:val="1"/>
          <w:bCs w:val="1"/>
          <w:color w:val="00529B"/>
        </w:rPr>
      </w:pPr>
      <w:r>
        <w:rPr>
          <w:rFonts w:ascii="Arial" w:cs="Arial" w:eastAsia="Arial" w:hAnsi="Arial"/>
          <w:sz w:val="16"/>
          <w:szCs w:val="16"/>
          <w:color w:val="4D4D4F"/>
        </w:rPr>
        <w:t>consults with and assists the Chief Executive Officer in accomplishing his or her objectives as the Chief Executive Officer deems appropriate.</w:t>
      </w:r>
    </w:p>
    <w:p>
      <w:pPr>
        <w:spacing w:after="0" w:line="194"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4D4D4F"/>
        </w:rPr>
        <w:t>Currently, Mr. Roddenberry serves as our Lead Independent Director. The Board believes that having a lead independent director benefits us and our shareholders by providing leadership and an organizational structure for the independent directors.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Shareholder Engagement</w:t>
      </w:r>
    </w:p>
    <w:p>
      <w:pPr>
        <w:spacing w:after="0" w:line="14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4D4D4F"/>
        </w:rPr>
        <w:t>We regularly engage with our shareholders to better understand their perspectives on our Company, including our business strategies, financial performance and matters of corporate governance and executive compensation. This dialogue has helped inform the Board’s decision-making processes and ensure our interests remain well-aligned with those of our shareholders. In recent years, these engagements have covered governance issues, such as majority voting, board leadership and director nomination processes, and compensation and capital allocation priorities.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4D4D4F"/>
        </w:rPr>
        <w:t>In addition to our ongoing engagement activities, in connection with our 2023 say-on-pay proposal, we conducted an expanded shareholder engagement effort between the filing of our 2023 proxy statement and the 2023 Annual Meeting and again in the fall of 2023 and early 2024. The Compensation Committee Chair, with the support of the Chair of both the Sustainability &amp; Corporate Responsibility and Technology &amp; Operations Committees as well as representatives from our investor relations, legal, talent management and sustainability teams, led and attended these telephonic one-on-one meetings focused specifically on executive compensation, corporate governance and sustainability. We discuss these engagements later in this proxy statement under “Compensation Discussion &amp; Analysis.”</w:t>
      </w:r>
    </w:p>
    <w:p>
      <w:pPr>
        <w:spacing w:after="0" w:line="129"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4D4D4F"/>
        </w:rPr>
        <w:t>The table below discusses our shareholder engagement activities and some of the actions we have taken in the past few years as a result of the feedback we received from our shareholders. We believe that these engagements provide valuable feedback and insight to shareholders' perspectives on key topics, which is shared regularly with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3574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357441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p>
      <w:pPr>
        <w:spacing w:after="0" w:line="334" w:lineRule="exact"/>
        <w:rPr>
          <w:sz w:val="20"/>
          <w:szCs w:val="20"/>
          <w:color w:val="auto"/>
        </w:rPr>
      </w:pPr>
    </w:p>
    <w:p>
      <w:pPr>
        <w:ind w:left="360" w:right="160"/>
        <w:spacing w:after="0" w:line="289" w:lineRule="auto"/>
        <w:rPr>
          <w:sz w:val="20"/>
          <w:szCs w:val="20"/>
          <w:color w:val="auto"/>
        </w:rPr>
      </w:pPr>
      <w:r>
        <w:rPr>
          <w:rFonts w:ascii="Arial" w:cs="Arial" w:eastAsia="Arial" w:hAnsi="Arial"/>
          <w:sz w:val="16"/>
          <w:szCs w:val="16"/>
          <w:color w:val="4D4D4F"/>
        </w:rPr>
        <w:t>In connection with the 2023 say-on-pay proposal, we conducted an expanded shareholder engagement effort between the filing of our 2023 proxy statement and the 2023 Annual Meeting, and again in the fall of 2023 and early 2024.</w:t>
      </w:r>
    </w:p>
    <w:p>
      <w:pPr>
        <w:spacing w:after="0" w:line="129" w:lineRule="exact"/>
        <w:rPr>
          <w:sz w:val="20"/>
          <w:szCs w:val="20"/>
          <w:color w:val="auto"/>
        </w:rPr>
      </w:pPr>
    </w:p>
    <w:p>
      <w:pPr>
        <w:ind w:left="360" w:right="260"/>
        <w:spacing w:after="0" w:line="295" w:lineRule="auto"/>
        <w:rPr>
          <w:sz w:val="20"/>
          <w:szCs w:val="20"/>
          <w:color w:val="auto"/>
        </w:rPr>
      </w:pPr>
      <w:r>
        <w:rPr>
          <w:rFonts w:ascii="Arial" w:cs="Arial" w:eastAsia="Arial" w:hAnsi="Arial"/>
          <w:sz w:val="16"/>
          <w:szCs w:val="16"/>
          <w:color w:val="4D4D4F"/>
        </w:rPr>
        <w:t xml:space="preserve">As part of that outreach, we reached out to our </w:t>
      </w:r>
      <w:r>
        <w:rPr>
          <w:rFonts w:ascii="Arial" w:cs="Arial" w:eastAsia="Arial" w:hAnsi="Arial"/>
          <w:sz w:val="16"/>
          <w:szCs w:val="16"/>
          <w:b w:val="1"/>
          <w:bCs w:val="1"/>
          <w:color w:val="00529B"/>
        </w:rPr>
        <w:t>top 20 shareholders</w:t>
      </w:r>
      <w:r>
        <w:rPr>
          <w:rFonts w:ascii="Arial" w:cs="Arial" w:eastAsia="Arial" w:hAnsi="Arial"/>
          <w:sz w:val="16"/>
          <w:szCs w:val="16"/>
          <w:color w:val="4D4D4F"/>
        </w:rPr>
        <w:t xml:space="preserve"> </w:t>
      </w:r>
      <w:r>
        <w:rPr>
          <w:rFonts w:ascii="Arial" w:cs="Arial" w:eastAsia="Arial" w:hAnsi="Arial"/>
          <w:sz w:val="16"/>
          <w:szCs w:val="16"/>
          <w:b w:val="1"/>
          <w:bCs w:val="1"/>
          <w:color w:val="00529B"/>
        </w:rPr>
        <w:t xml:space="preserve">representing ~60% </w:t>
      </w:r>
      <w:r>
        <w:rPr>
          <w:rFonts w:ascii="Arial" w:cs="Arial" w:eastAsia="Arial" w:hAnsi="Arial"/>
          <w:sz w:val="16"/>
          <w:szCs w:val="16"/>
          <w:color w:val="4D4D4F"/>
        </w:rPr>
        <w:t>of our outstanding</w:t>
      </w:r>
      <w:r>
        <w:rPr>
          <w:rFonts w:ascii="Arial" w:cs="Arial" w:eastAsia="Arial" w:hAnsi="Arial"/>
          <w:sz w:val="16"/>
          <w:szCs w:val="16"/>
          <w:b w:val="1"/>
          <w:bCs w:val="1"/>
          <w:color w:val="00529B"/>
        </w:rPr>
        <w:t xml:space="preserve"> </w:t>
      </w:r>
      <w:r>
        <w:rPr>
          <w:rFonts w:ascii="Arial" w:cs="Arial" w:eastAsia="Arial" w:hAnsi="Arial"/>
          <w:sz w:val="16"/>
          <w:szCs w:val="16"/>
          <w:color w:val="4D4D4F"/>
        </w:rPr>
        <w:t>shares.</w:t>
      </w:r>
    </w:p>
    <w:p>
      <w:pPr>
        <w:spacing w:after="0" w:line="135" w:lineRule="exact"/>
        <w:rPr>
          <w:sz w:val="20"/>
          <w:szCs w:val="20"/>
          <w:color w:val="auto"/>
        </w:rPr>
      </w:pPr>
    </w:p>
    <w:p>
      <w:pPr>
        <w:ind w:left="360" w:right="220"/>
        <w:spacing w:after="0" w:line="301" w:lineRule="auto"/>
        <w:rPr>
          <w:sz w:val="20"/>
          <w:szCs w:val="20"/>
          <w:color w:val="auto"/>
        </w:rPr>
      </w:pPr>
      <w:r>
        <w:rPr>
          <w:rFonts w:ascii="Arial" w:cs="Arial" w:eastAsia="Arial" w:hAnsi="Arial"/>
          <w:sz w:val="16"/>
          <w:szCs w:val="16"/>
          <w:b w:val="1"/>
          <w:bCs w:val="1"/>
          <w:color w:val="00529B"/>
        </w:rPr>
        <w:t xml:space="preserve">We met one-on-one with shareholders representing ~ 43% </w:t>
      </w:r>
      <w:r>
        <w:rPr>
          <w:rFonts w:ascii="Arial" w:cs="Arial" w:eastAsia="Arial" w:hAnsi="Arial"/>
          <w:sz w:val="16"/>
          <w:szCs w:val="16"/>
          <w:color w:val="4D4D4F"/>
        </w:rPr>
        <w:t>of our outstanding</w:t>
      </w:r>
      <w:r>
        <w:rPr>
          <w:rFonts w:ascii="Arial" w:cs="Arial" w:eastAsia="Arial" w:hAnsi="Arial"/>
          <w:sz w:val="16"/>
          <w:szCs w:val="16"/>
          <w:b w:val="1"/>
          <w:bCs w:val="1"/>
          <w:color w:val="00529B"/>
        </w:rPr>
        <w:t xml:space="preserve"> </w:t>
      </w:r>
      <w:r>
        <w:rPr>
          <w:rFonts w:ascii="Arial" w:cs="Arial" w:eastAsia="Arial" w:hAnsi="Arial"/>
          <w:sz w:val="16"/>
          <w:szCs w:val="16"/>
          <w:color w:val="4D4D4F"/>
        </w:rPr>
        <w:t>shares.</w:t>
      </w:r>
    </w:p>
    <w:p>
      <w:pPr>
        <w:spacing w:after="0" w:line="118" w:lineRule="exact"/>
        <w:rPr>
          <w:sz w:val="20"/>
          <w:szCs w:val="20"/>
          <w:color w:val="auto"/>
        </w:rPr>
      </w:pPr>
    </w:p>
    <w:p>
      <w:pPr>
        <w:ind w:left="360" w:right="500"/>
        <w:spacing w:after="0" w:line="321" w:lineRule="auto"/>
        <w:rPr>
          <w:sz w:val="20"/>
          <w:szCs w:val="20"/>
          <w:color w:val="auto"/>
        </w:rPr>
      </w:pPr>
      <w:r>
        <w:rPr>
          <w:rFonts w:ascii="Arial" w:cs="Arial" w:eastAsia="Arial" w:hAnsi="Arial"/>
          <w:sz w:val="16"/>
          <w:szCs w:val="16"/>
          <w:b w:val="1"/>
          <w:bCs w:val="1"/>
          <w:color w:val="00529B"/>
        </w:rPr>
        <w:t xml:space="preserve">100% of meetings </w:t>
      </w:r>
      <w:r>
        <w:rPr>
          <w:rFonts w:ascii="Arial" w:cs="Arial" w:eastAsia="Arial" w:hAnsi="Arial"/>
          <w:sz w:val="16"/>
          <w:szCs w:val="16"/>
          <w:color w:val="4D4D4F"/>
        </w:rPr>
        <w:t>were attended by</w:t>
      </w:r>
      <w:r>
        <w:rPr>
          <w:rFonts w:ascii="Arial" w:cs="Arial" w:eastAsia="Arial" w:hAnsi="Arial"/>
          <w:sz w:val="16"/>
          <w:szCs w:val="16"/>
          <w:b w:val="1"/>
          <w:bCs w:val="1"/>
          <w:color w:val="00529B"/>
        </w:rPr>
        <w:t xml:space="preserve"> </w:t>
      </w:r>
      <w:r>
        <w:rPr>
          <w:rFonts w:ascii="Arial" w:cs="Arial" w:eastAsia="Arial" w:hAnsi="Arial"/>
          <w:sz w:val="16"/>
          <w:szCs w:val="16"/>
          <w:color w:val="4D4D4F"/>
        </w:rPr>
        <w:t>independent board members.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4D4D4F"/>
        </w:rPr>
        <w:t>As a result of the feedback we received from our shareholders over the last few years, we have, among other things:</w:t>
      </w:r>
    </w:p>
    <w:p>
      <w:pPr>
        <w:spacing w:after="0" w:line="88" w:lineRule="exact"/>
        <w:rPr>
          <w:sz w:val="20"/>
          <w:szCs w:val="20"/>
          <w:color w:val="auto"/>
        </w:rPr>
      </w:pPr>
    </w:p>
    <w:p>
      <w:pPr>
        <w:ind w:left="240" w:right="320" w:hanging="236"/>
        <w:spacing w:after="0" w:line="268" w:lineRule="auto"/>
        <w:tabs>
          <w:tab w:leader="none" w:pos="254" w:val="left"/>
        </w:tabs>
        <w:numPr>
          <w:ilvl w:val="0"/>
          <w:numId w:val="41"/>
        </w:numPr>
        <w:rPr>
          <w:rFonts w:ascii="MS PGothic" w:cs="MS PGothic" w:eastAsia="MS PGothic" w:hAnsi="MS PGothic"/>
          <w:sz w:val="16"/>
          <w:szCs w:val="16"/>
          <w:color w:val="auto"/>
          <w:shd w:val="clear" w:color="auto" w:fill="298655"/>
        </w:rPr>
      </w:pPr>
      <w:r>
        <w:rPr>
          <w:rFonts w:ascii="Arial" w:cs="Arial" w:eastAsia="Arial" w:hAnsi="Arial"/>
          <w:sz w:val="16"/>
          <w:szCs w:val="16"/>
          <w:color w:val="4D4D4F"/>
        </w:rPr>
        <w:t>disclosed performance metrics for the Transformational Awards in the supplemental proxy materials filed on June 7, 2023;</w:t>
      </w:r>
    </w:p>
    <w:p>
      <w:pPr>
        <w:spacing w:after="0" w:line="61" w:lineRule="exact"/>
        <w:rPr>
          <w:rFonts w:ascii="MS PGothic" w:cs="MS PGothic" w:eastAsia="MS PGothic" w:hAnsi="MS PGothic"/>
          <w:sz w:val="16"/>
          <w:szCs w:val="16"/>
          <w:color w:val="auto"/>
          <w:shd w:val="clear" w:color="auto" w:fill="298655"/>
        </w:rPr>
      </w:pPr>
    </w:p>
    <w:p>
      <w:pPr>
        <w:ind w:left="240" w:right="240" w:hanging="236"/>
        <w:spacing w:after="0" w:line="268" w:lineRule="auto"/>
        <w:tabs>
          <w:tab w:leader="none" w:pos="254" w:val="left"/>
        </w:tabs>
        <w:numPr>
          <w:ilvl w:val="0"/>
          <w:numId w:val="41"/>
        </w:numPr>
        <w:rPr>
          <w:rFonts w:ascii="MS PGothic" w:cs="MS PGothic" w:eastAsia="MS PGothic" w:hAnsi="MS PGothic"/>
          <w:sz w:val="16"/>
          <w:szCs w:val="16"/>
          <w:color w:val="auto"/>
          <w:shd w:val="clear" w:color="auto" w:fill="298655"/>
        </w:rPr>
      </w:pPr>
      <w:r>
        <w:rPr>
          <w:rFonts w:ascii="Arial" w:cs="Arial" w:eastAsia="Arial" w:hAnsi="Arial"/>
          <w:sz w:val="16"/>
          <w:szCs w:val="16"/>
          <w:color w:val="4D4D4F"/>
        </w:rPr>
        <w:t>reaffirmed that special awards should be rare and committed not to grant additional special equity awards to executives absent compelling circumstances;</w:t>
      </w:r>
    </w:p>
    <w:p>
      <w:pPr>
        <w:spacing w:after="0" w:line="61" w:lineRule="exact"/>
        <w:rPr>
          <w:rFonts w:ascii="MS PGothic" w:cs="MS PGothic" w:eastAsia="MS PGothic" w:hAnsi="MS PGothic"/>
          <w:sz w:val="16"/>
          <w:szCs w:val="16"/>
          <w:color w:val="auto"/>
          <w:shd w:val="clear" w:color="auto" w:fill="298655"/>
        </w:rPr>
      </w:pPr>
    </w:p>
    <w:p>
      <w:pPr>
        <w:ind w:left="240" w:right="360" w:hanging="236"/>
        <w:spacing w:after="0" w:line="257" w:lineRule="auto"/>
        <w:tabs>
          <w:tab w:leader="none" w:pos="254" w:val="left"/>
        </w:tabs>
        <w:numPr>
          <w:ilvl w:val="0"/>
          <w:numId w:val="41"/>
        </w:numPr>
        <w:rPr>
          <w:rFonts w:ascii="MS PGothic" w:cs="MS PGothic" w:eastAsia="MS PGothic" w:hAnsi="MS PGothic"/>
          <w:sz w:val="16"/>
          <w:szCs w:val="16"/>
          <w:color w:val="auto"/>
          <w:shd w:val="clear" w:color="auto" w:fill="298655"/>
        </w:rPr>
      </w:pPr>
      <w:r>
        <w:rPr>
          <w:rFonts w:ascii="Arial" w:cs="Arial" w:eastAsia="Arial" w:hAnsi="Arial"/>
          <w:sz w:val="16"/>
          <w:szCs w:val="16"/>
          <w:color w:val="4D4D4F"/>
        </w:rPr>
        <w:t>increased the weighting of the financial performance metrics in the 2024 annual incentive program from 60% to 75%, with the strategic objectives weighting reduced from 40% to 25%</w:t>
      </w:r>
    </w:p>
    <w:p>
      <w:pPr>
        <w:spacing w:after="0" w:line="56" w:lineRule="exact"/>
        <w:rPr>
          <w:rFonts w:ascii="MS PGothic" w:cs="MS PGothic" w:eastAsia="MS PGothic" w:hAnsi="MS PGothic"/>
          <w:sz w:val="16"/>
          <w:szCs w:val="16"/>
          <w:color w:val="auto"/>
          <w:shd w:val="clear" w:color="auto" w:fill="298655"/>
        </w:rPr>
      </w:pPr>
    </w:p>
    <w:p>
      <w:pPr>
        <w:ind w:left="240" w:right="240" w:hanging="236"/>
        <w:spacing w:after="0" w:line="284" w:lineRule="auto"/>
        <w:tabs>
          <w:tab w:leader="none" w:pos="254" w:val="left"/>
        </w:tabs>
        <w:numPr>
          <w:ilvl w:val="0"/>
          <w:numId w:val="41"/>
        </w:numPr>
        <w:rPr>
          <w:rFonts w:ascii="MS PGothic" w:cs="MS PGothic" w:eastAsia="MS PGothic" w:hAnsi="MS PGothic"/>
          <w:sz w:val="16"/>
          <w:szCs w:val="16"/>
          <w:color w:val="auto"/>
          <w:shd w:val="clear" w:color="auto" w:fill="298655"/>
        </w:rPr>
      </w:pPr>
      <w:r>
        <w:rPr>
          <w:rFonts w:ascii="Arial" w:cs="Arial" w:eastAsia="Arial" w:hAnsi="Arial"/>
          <w:sz w:val="16"/>
          <w:szCs w:val="16"/>
          <w:color w:val="4D4D4F"/>
        </w:rPr>
        <w:t>amended our CEO’s legacy employment agreement to eliminate the modified single-trigger and evergreen provision;</w:t>
      </w:r>
    </w:p>
    <w:p>
      <w:pPr>
        <w:spacing w:after="0" w:line="37" w:lineRule="exact"/>
        <w:rPr>
          <w:rFonts w:ascii="MS PGothic" w:cs="MS PGothic" w:eastAsia="MS PGothic" w:hAnsi="MS PGothic"/>
          <w:sz w:val="16"/>
          <w:szCs w:val="16"/>
          <w:color w:val="auto"/>
          <w:shd w:val="clear" w:color="auto" w:fill="298655"/>
        </w:rPr>
      </w:pPr>
    </w:p>
    <w:p>
      <w:pPr>
        <w:ind w:left="260" w:hanging="256"/>
        <w:spacing w:after="0"/>
        <w:tabs>
          <w:tab w:leader="none" w:pos="260" w:val="left"/>
        </w:tabs>
        <w:numPr>
          <w:ilvl w:val="0"/>
          <w:numId w:val="41"/>
        </w:numPr>
        <w:rPr>
          <w:rFonts w:ascii="MS PGothic" w:cs="MS PGothic" w:eastAsia="MS PGothic" w:hAnsi="MS PGothic"/>
          <w:sz w:val="16"/>
          <w:szCs w:val="16"/>
          <w:color w:val="auto"/>
          <w:shd w:val="clear" w:color="auto" w:fill="298655"/>
        </w:rPr>
      </w:pPr>
      <w:r>
        <w:rPr>
          <w:rFonts w:ascii="Arial" w:cs="Arial" w:eastAsia="Arial" w:hAnsi="Arial"/>
          <w:sz w:val="16"/>
          <w:szCs w:val="16"/>
          <w:color w:val="4D4D4F"/>
        </w:rPr>
        <w:t>adopted a director resignation policy for uncontested elections;</w:t>
      </w:r>
    </w:p>
    <w:p>
      <w:pPr>
        <w:spacing w:after="0" w:line="99" w:lineRule="exact"/>
        <w:rPr>
          <w:rFonts w:ascii="MS PGothic" w:cs="MS PGothic" w:eastAsia="MS PGothic" w:hAnsi="MS PGothic"/>
          <w:sz w:val="16"/>
          <w:szCs w:val="16"/>
          <w:color w:val="auto"/>
          <w:shd w:val="clear" w:color="auto" w:fill="298655"/>
        </w:rPr>
      </w:pPr>
    </w:p>
    <w:p>
      <w:pPr>
        <w:ind w:left="240" w:right="320" w:hanging="236"/>
        <w:spacing w:after="0" w:line="284" w:lineRule="auto"/>
        <w:tabs>
          <w:tab w:leader="none" w:pos="254" w:val="left"/>
        </w:tabs>
        <w:numPr>
          <w:ilvl w:val="0"/>
          <w:numId w:val="41"/>
        </w:numPr>
        <w:rPr>
          <w:rFonts w:ascii="MS PGothic" w:cs="MS PGothic" w:eastAsia="MS PGothic" w:hAnsi="MS PGothic"/>
          <w:sz w:val="16"/>
          <w:szCs w:val="16"/>
          <w:color w:val="auto"/>
          <w:shd w:val="clear" w:color="auto" w:fill="298655"/>
        </w:rPr>
      </w:pPr>
      <w:r>
        <w:rPr>
          <w:rFonts w:ascii="Arial" w:cs="Arial" w:eastAsia="Arial" w:hAnsi="Arial"/>
          <w:sz w:val="16"/>
          <w:szCs w:val="16"/>
          <w:color w:val="4D4D4F"/>
        </w:rPr>
        <w:t>enhanced our disclosure in this proxy statement to provide a greater level of transparency around specific strategic objectives, achieved results, and determination of final payouts;</w:t>
      </w:r>
    </w:p>
    <w:p>
      <w:pPr>
        <w:spacing w:after="0" w:line="37" w:lineRule="exact"/>
        <w:rPr>
          <w:rFonts w:ascii="MS PGothic" w:cs="MS PGothic" w:eastAsia="MS PGothic" w:hAnsi="MS PGothic"/>
          <w:sz w:val="16"/>
          <w:szCs w:val="16"/>
          <w:color w:val="auto"/>
          <w:shd w:val="clear" w:color="auto" w:fill="298655"/>
        </w:rPr>
      </w:pPr>
    </w:p>
    <w:p>
      <w:pPr>
        <w:ind w:left="240" w:right="180" w:hanging="236"/>
        <w:spacing w:after="0" w:line="257" w:lineRule="auto"/>
        <w:tabs>
          <w:tab w:leader="none" w:pos="254" w:val="left"/>
        </w:tabs>
        <w:numPr>
          <w:ilvl w:val="0"/>
          <w:numId w:val="41"/>
        </w:numPr>
        <w:rPr>
          <w:rFonts w:ascii="MS PGothic" w:cs="MS PGothic" w:eastAsia="MS PGothic" w:hAnsi="MS PGothic"/>
          <w:sz w:val="16"/>
          <w:szCs w:val="16"/>
          <w:color w:val="auto"/>
          <w:shd w:val="clear" w:color="auto" w:fill="298655"/>
        </w:rPr>
      </w:pPr>
      <w:r>
        <w:rPr>
          <w:rFonts w:ascii="Arial" w:cs="Arial" w:eastAsia="Arial" w:hAnsi="Arial"/>
          <w:sz w:val="16"/>
          <w:szCs w:val="16"/>
          <w:color w:val="4D4D4F"/>
        </w:rPr>
        <w:t>amended our Governance Committee charter and Corporate Governance Principles to better reflect the Board’s perspective and existing practice regarding the inclusion of diverse candidates in our director nomination process;</w:t>
      </w:r>
    </w:p>
    <w:p>
      <w:pPr>
        <w:spacing w:after="0" w:line="70" w:lineRule="exact"/>
        <w:rPr>
          <w:rFonts w:ascii="MS PGothic" w:cs="MS PGothic" w:eastAsia="MS PGothic" w:hAnsi="MS PGothic"/>
          <w:sz w:val="16"/>
          <w:szCs w:val="16"/>
          <w:color w:val="auto"/>
          <w:shd w:val="clear" w:color="auto" w:fill="298655"/>
        </w:rPr>
      </w:pPr>
    </w:p>
    <w:p>
      <w:pPr>
        <w:ind w:left="240" w:right="440" w:hanging="236"/>
        <w:spacing w:after="0" w:line="248" w:lineRule="auto"/>
        <w:tabs>
          <w:tab w:leader="none" w:pos="254" w:val="left"/>
        </w:tabs>
        <w:numPr>
          <w:ilvl w:val="0"/>
          <w:numId w:val="41"/>
        </w:numPr>
        <w:rPr>
          <w:rFonts w:ascii="MS PGothic" w:cs="MS PGothic" w:eastAsia="MS PGothic" w:hAnsi="MS PGothic"/>
          <w:sz w:val="16"/>
          <w:szCs w:val="16"/>
          <w:color w:val="auto"/>
          <w:shd w:val="clear" w:color="auto" w:fill="298655"/>
        </w:rPr>
      </w:pPr>
      <w:r>
        <w:rPr>
          <w:rFonts w:ascii="Arial" w:cs="Arial" w:eastAsia="Arial" w:hAnsi="Arial"/>
          <w:sz w:val="16"/>
          <w:szCs w:val="16"/>
          <w:color w:val="4D4D4F"/>
        </w:rPr>
        <w:t>modified our executive compensation programs to shift the total direct compensation (“TDC”) payable to our NEOs by increasing the portion of TDC payable in equity and the portion of TDC that is long-term performance based; and</w:t>
      </w:r>
    </w:p>
    <w:p>
      <w:pPr>
        <w:spacing w:after="0" w:line="77" w:lineRule="exact"/>
        <w:rPr>
          <w:rFonts w:ascii="MS PGothic" w:cs="MS PGothic" w:eastAsia="MS PGothic" w:hAnsi="MS PGothic"/>
          <w:sz w:val="16"/>
          <w:szCs w:val="16"/>
          <w:color w:val="auto"/>
          <w:shd w:val="clear" w:color="auto" w:fill="298655"/>
        </w:rPr>
      </w:pPr>
    </w:p>
    <w:p>
      <w:pPr>
        <w:ind w:left="240" w:right="580" w:hanging="236"/>
        <w:spacing w:after="0" w:line="257" w:lineRule="auto"/>
        <w:tabs>
          <w:tab w:leader="none" w:pos="254" w:val="left"/>
        </w:tabs>
        <w:numPr>
          <w:ilvl w:val="0"/>
          <w:numId w:val="41"/>
        </w:numPr>
        <w:rPr>
          <w:rFonts w:ascii="MS PGothic" w:cs="MS PGothic" w:eastAsia="MS PGothic" w:hAnsi="MS PGothic"/>
          <w:sz w:val="16"/>
          <w:szCs w:val="16"/>
          <w:color w:val="auto"/>
          <w:shd w:val="clear" w:color="auto" w:fill="298655"/>
        </w:rPr>
      </w:pPr>
      <w:r>
        <w:rPr>
          <w:rFonts w:ascii="Arial" w:cs="Arial" w:eastAsia="Arial" w:hAnsi="Arial"/>
          <w:sz w:val="16"/>
          <w:szCs w:val="16"/>
          <w:color w:val="4D4D4F"/>
        </w:rPr>
        <w:t>expanded our disclosures regarding our ESG principles and practices through, among other things, publishing our Sustainability Report and Task Force on Climate-Related Financial Disclosures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568325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720"/>
            <w:col w:w="7000"/>
          </w:cols>
          <w:pgMar w:left="320" w:top="27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0" w:hanging="534"/>
        <w:spacing w:after="0"/>
        <w:tabs>
          <w:tab w:leader="none" w:pos="560" w:val="left"/>
        </w:tabs>
        <w:numPr>
          <w:ilvl w:val="0"/>
          <w:numId w:val="42"/>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23" w:name="page24"/>
    <w:bookmarkEnd w:id="23"/>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Meetings</w:t>
      </w:r>
    </w:p>
    <w:p>
      <w:pPr>
        <w:spacing w:after="0" w:line="144"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4D4D4F"/>
        </w:rPr>
        <w:t>During 2023, the Board met five times. Each director attended at least 75% of the aggregate of the total number of meetings of the Board and the total number of meetings held by each of the Board committees on which he or she served. In addition, it is our policy that each director should attend all meetings of shareholders, absent extenuating circumstances. All of our directors who were standing for election at the 2023 Annual Meeting of shareholders attended the meeting.</w:t>
      </w:r>
    </w:p>
    <w:p>
      <w:pPr>
        <w:spacing w:after="0" w:line="121"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4D4D4F"/>
        </w:rPr>
        <w:t>All of our independent directors meet in executive session (without management present) during scheduled Board meetings and at other times as they may deem necessary. Mr. Roddenberry currently serves as the presiding director over all executive sessions of the independent directors.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Director Independence</w:t>
      </w:r>
    </w:p>
    <w:p>
      <w:pPr>
        <w:spacing w:after="0" w:line="14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4D4D4F"/>
        </w:rPr>
        <w:t>Our Corporate Governance Principles require that a majority of our directors meet the standards for independence required by the applicable NYSE listing standards. In addition, members of our Audit Committee must meet the independence standards for audit committee members adopted by the SEC. Members of the Audit Committee must also have no relationship with us that interferes with their exercise of independent judgment. Members of our Compensation Committee must meet the definition of “non-employee director” contained in Rule 16b-3 under the Securities Exchange Act of 1934, as amended (the “Exchange Act”) and meet the independence requirements under the NYSE listing standards. The Board may also consider other factors in making its determination that a director has no material relationship with us that could compromise that director’s independence.</w:t>
      </w:r>
    </w:p>
    <w:p>
      <w:pPr>
        <w:spacing w:after="0" w:line="1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4D4D4F"/>
        </w:rPr>
        <w:t>Our Corporate Governance Principles provide that no more than two members of management shall serve on the Board. Mr. Kasbar is the only member of management currently serving on our Board. All of our other directors, Messrs. Bakshi, Benitez, Kassar, Manley, Roddenberry and Stebbins, and Mses. Cherwoo and Smart, are independent under NYSE listing standards, and all of our Audit Committee members and Compensation Committee members are independent under the standards applicable to membership in such committees. In making this determination, our Board considered that Mr. Kassar is the first cousin of Mr. Kasbar, and the Board determined that the familial relationship between Messrs. Kasbar and Kassar was not material because it would not adversely affect Mr. Kassar’s ability to exercise his independent judgment as our director. Mr. Kasbar is deemed not to be an independent director because of his employment relationship with us and therefore he is precluded from sitting on any of our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21</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Annual Board and Committee Self-Evaluations</w:t>
      </w:r>
    </w:p>
    <w:p>
      <w:pPr>
        <w:spacing w:after="0" w:line="144" w:lineRule="exact"/>
        <w:rPr>
          <w:sz w:val="20"/>
          <w:szCs w:val="20"/>
          <w:color w:val="auto"/>
        </w:rPr>
      </w:pPr>
    </w:p>
    <w:p>
      <w:pPr>
        <w:ind w:right="760"/>
        <w:spacing w:after="0" w:line="321" w:lineRule="auto"/>
        <w:rPr>
          <w:sz w:val="20"/>
          <w:szCs w:val="20"/>
          <w:color w:val="auto"/>
        </w:rPr>
      </w:pPr>
      <w:r>
        <w:rPr>
          <w:rFonts w:ascii="Arial" w:cs="Arial" w:eastAsia="Arial" w:hAnsi="Arial"/>
          <w:sz w:val="16"/>
          <w:szCs w:val="16"/>
          <w:color w:val="4D4D4F"/>
        </w:rPr>
        <w:t>Our Board and its committees conduct self-evaluations to ensure they are performing effectively and to identify opportunities to improve Board and committee performance.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623"/>
        </w:trPr>
        <w:tc>
          <w:tcPr>
            <w:tcW w:w="5120" w:type="dxa"/>
            <w:vAlign w:val="bottom"/>
            <w:shd w:val="clear" w:color="auto" w:fill="132440"/>
          </w:tcPr>
          <w:p>
            <w:pPr>
              <w:ind w:left="200"/>
              <w:spacing w:after="0"/>
              <w:rPr>
                <w:sz w:val="20"/>
                <w:szCs w:val="20"/>
                <w:color w:val="auto"/>
              </w:rPr>
            </w:pPr>
            <w:r>
              <w:rPr>
                <w:rFonts w:ascii="Arial" w:cs="Arial" w:eastAsia="Arial" w:hAnsi="Arial"/>
                <w:sz w:val="40"/>
                <w:szCs w:val="40"/>
                <w:b w:val="1"/>
                <w:bCs w:val="1"/>
                <w:color w:val="578EB1"/>
              </w:rPr>
              <w:t xml:space="preserve">1 </w:t>
            </w:r>
            <w:r>
              <w:rPr>
                <w:rFonts w:ascii="Arial" w:cs="Arial" w:eastAsia="Arial" w:hAnsi="Arial"/>
                <w:sz w:val="16"/>
                <w:szCs w:val="16"/>
                <w:b w:val="1"/>
                <w:bCs w:val="1"/>
                <w:color w:val="FFFFFF"/>
              </w:rPr>
              <w:t>SCOPE AND FORMAT OF EVALUATION</w:t>
            </w:r>
          </w:p>
        </w:tc>
        <w:tc>
          <w:tcPr>
            <w:tcW w:w="980" w:type="dxa"/>
            <w:vAlign w:val="bottom"/>
          </w:tcPr>
          <w:p>
            <w:pPr>
              <w:spacing w:after="0"/>
              <w:rPr>
                <w:sz w:val="24"/>
                <w:szCs w:val="24"/>
                <w:color w:val="auto"/>
              </w:rPr>
            </w:pPr>
          </w:p>
        </w:tc>
        <w:tc>
          <w:tcPr>
            <w:tcW w:w="5140" w:type="dxa"/>
            <w:vAlign w:val="bottom"/>
            <w:shd w:val="clear" w:color="auto" w:fill="132440"/>
          </w:tcPr>
          <w:p>
            <w:pPr>
              <w:ind w:left="180"/>
              <w:spacing w:after="0"/>
              <w:rPr>
                <w:sz w:val="20"/>
                <w:szCs w:val="20"/>
                <w:color w:val="auto"/>
              </w:rPr>
            </w:pPr>
            <w:r>
              <w:rPr>
                <w:rFonts w:ascii="Arial" w:cs="Arial" w:eastAsia="Arial" w:hAnsi="Arial"/>
                <w:sz w:val="40"/>
                <w:szCs w:val="40"/>
                <w:b w:val="1"/>
                <w:bCs w:val="1"/>
                <w:color w:val="578EB1"/>
              </w:rPr>
              <w:t xml:space="preserve">2 </w:t>
            </w:r>
            <w:r>
              <w:rPr>
                <w:rFonts w:ascii="Arial" w:cs="Arial" w:eastAsia="Arial" w:hAnsi="Arial"/>
                <w:sz w:val="16"/>
                <w:szCs w:val="16"/>
                <w:b w:val="1"/>
                <w:bCs w:val="1"/>
                <w:color w:val="FFFFFF"/>
              </w:rPr>
              <w:t>SELF-ASSESSMENTS</w:t>
            </w:r>
          </w:p>
        </w:tc>
        <w:tc>
          <w:tcPr>
            <w:tcW w:w="0" w:type="dxa"/>
            <w:vAlign w:val="bottom"/>
          </w:tcPr>
          <w:p>
            <w:pPr>
              <w:spacing w:after="0"/>
              <w:rPr>
                <w:sz w:val="1"/>
                <w:szCs w:val="1"/>
                <w:color w:val="auto"/>
              </w:rPr>
            </w:pPr>
          </w:p>
        </w:tc>
      </w:tr>
      <w:tr>
        <w:trPr>
          <w:trHeight w:val="66"/>
        </w:trPr>
        <w:tc>
          <w:tcPr>
            <w:tcW w:w="5120" w:type="dxa"/>
            <w:vAlign w:val="bottom"/>
            <w:shd w:val="clear" w:color="auto" w:fill="132440"/>
          </w:tcPr>
          <w:p>
            <w:pPr>
              <w:spacing w:after="0"/>
              <w:rPr>
                <w:sz w:val="5"/>
                <w:szCs w:val="5"/>
                <w:color w:val="auto"/>
              </w:rPr>
            </w:pPr>
          </w:p>
        </w:tc>
        <w:tc>
          <w:tcPr>
            <w:tcW w:w="980" w:type="dxa"/>
            <w:vAlign w:val="bottom"/>
          </w:tcPr>
          <w:p>
            <w:pPr>
              <w:spacing w:after="0"/>
              <w:rPr>
                <w:sz w:val="5"/>
                <w:szCs w:val="5"/>
                <w:color w:val="auto"/>
              </w:rPr>
            </w:pPr>
          </w:p>
        </w:tc>
        <w:tc>
          <w:tcPr>
            <w:tcW w:w="5140" w:type="dxa"/>
            <w:vAlign w:val="bottom"/>
            <w:shd w:val="clear" w:color="auto" w:fill="132440"/>
          </w:tcPr>
          <w:p>
            <w:pPr>
              <w:spacing w:after="0"/>
              <w:rPr>
                <w:sz w:val="5"/>
                <w:szCs w:val="5"/>
                <w:color w:val="auto"/>
              </w:rPr>
            </w:pPr>
          </w:p>
        </w:tc>
        <w:tc>
          <w:tcPr>
            <w:tcW w:w="0" w:type="dxa"/>
            <w:vAlign w:val="bottom"/>
          </w:tcPr>
          <w:p>
            <w:pPr>
              <w:spacing w:after="0"/>
              <w:rPr>
                <w:sz w:val="1"/>
                <w:szCs w:val="1"/>
                <w:color w:val="auto"/>
              </w:rPr>
            </w:pPr>
          </w:p>
        </w:tc>
      </w:tr>
      <w:tr>
        <w:trPr>
          <w:trHeight w:val="361"/>
        </w:trPr>
        <w:tc>
          <w:tcPr>
            <w:tcW w:w="512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The Governance Committee annually reviews the format and scope of</w:t>
            </w:r>
          </w:p>
        </w:tc>
        <w:tc>
          <w:tcPr>
            <w:tcW w:w="980" w:type="dxa"/>
            <w:vAlign w:val="bottom"/>
          </w:tcPr>
          <w:p>
            <w:pPr>
              <w:spacing w:after="0"/>
              <w:rPr>
                <w:sz w:val="24"/>
                <w:szCs w:val="24"/>
                <w:color w:val="auto"/>
              </w:rPr>
            </w:pP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Once the format and content of the evaluation is approved, a Board self-</w:t>
            </w:r>
          </w:p>
        </w:tc>
        <w:tc>
          <w:tcPr>
            <w:tcW w:w="0" w:type="dxa"/>
            <w:vAlign w:val="bottom"/>
          </w:tcPr>
          <w:p>
            <w:pPr>
              <w:spacing w:after="0"/>
              <w:rPr>
                <w:sz w:val="1"/>
                <w:szCs w:val="1"/>
                <w:color w:val="auto"/>
              </w:rPr>
            </w:pPr>
          </w:p>
        </w:tc>
      </w:tr>
      <w:tr>
        <w:trPr>
          <w:trHeight w:val="189"/>
        </w:trPr>
        <w:tc>
          <w:tcPr>
            <w:tcW w:w="512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our Board’s evaluation process in light of general corporate governance</w:t>
            </w:r>
          </w:p>
        </w:tc>
        <w:tc>
          <w:tcPr>
            <w:tcW w:w="980" w:type="dxa"/>
            <w:vAlign w:val="bottom"/>
          </w:tcPr>
          <w:p>
            <w:pPr>
              <w:spacing w:after="0"/>
              <w:rPr>
                <w:sz w:val="16"/>
                <w:szCs w:val="16"/>
                <w:color w:val="auto"/>
              </w:rPr>
            </w:pP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assessment is conducted under the oversight of the Governance</w:t>
            </w:r>
          </w:p>
        </w:tc>
        <w:tc>
          <w:tcPr>
            <w:tcW w:w="0" w:type="dxa"/>
            <w:vAlign w:val="bottom"/>
          </w:tcPr>
          <w:p>
            <w:pPr>
              <w:spacing w:after="0"/>
              <w:rPr>
                <w:sz w:val="1"/>
                <w:szCs w:val="1"/>
                <w:color w:val="auto"/>
              </w:rPr>
            </w:pPr>
          </w:p>
        </w:tc>
      </w:tr>
      <w:tr>
        <w:trPr>
          <w:trHeight w:val="189"/>
        </w:trPr>
        <w:tc>
          <w:tcPr>
            <w:tcW w:w="512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developments and best practices, recommending any changes it</w:t>
            </w:r>
          </w:p>
        </w:tc>
        <w:tc>
          <w:tcPr>
            <w:tcW w:w="980" w:type="dxa"/>
            <w:vAlign w:val="bottom"/>
            <w:vMerge w:val="restart"/>
          </w:tcPr>
          <w:p>
            <w:pPr>
              <w:jc w:val="right"/>
              <w:ind w:right="102"/>
              <w:spacing w:after="0"/>
              <w:rPr>
                <w:sz w:val="20"/>
                <w:szCs w:val="20"/>
                <w:color w:val="auto"/>
              </w:rPr>
            </w:pPr>
            <w:r>
              <w:rPr>
                <w:rFonts w:ascii="Wingdings" w:cs="Wingdings" w:eastAsia="Wingdings" w:hAnsi="Wingdings"/>
                <w:sz w:val="40"/>
                <w:szCs w:val="40"/>
                <w:b w:val="1"/>
                <w:bCs w:val="1"/>
                <w:color w:val="00529B"/>
              </w:rPr>
              <w:t>à</w:t>
            </w: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Committee and for each committee, led by the committee chair. To</w:t>
            </w:r>
          </w:p>
        </w:tc>
        <w:tc>
          <w:tcPr>
            <w:tcW w:w="0" w:type="dxa"/>
            <w:vAlign w:val="bottom"/>
          </w:tcPr>
          <w:p>
            <w:pPr>
              <w:spacing w:after="0"/>
              <w:rPr>
                <w:sz w:val="1"/>
                <w:szCs w:val="1"/>
                <w:color w:val="auto"/>
              </w:rPr>
            </w:pPr>
          </w:p>
        </w:tc>
      </w:tr>
      <w:tr>
        <w:trPr>
          <w:trHeight w:val="189"/>
        </w:trPr>
        <w:tc>
          <w:tcPr>
            <w:tcW w:w="512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believes are appropriate. The chair of each of our committees also</w:t>
            </w:r>
          </w:p>
        </w:tc>
        <w:tc>
          <w:tcPr>
            <w:tcW w:w="980" w:type="dxa"/>
            <w:vAlign w:val="bottom"/>
            <w:vMerge w:val="continue"/>
          </w:tcPr>
          <w:p>
            <w:pPr>
              <w:spacing w:after="0"/>
              <w:rPr>
                <w:sz w:val="16"/>
                <w:szCs w:val="16"/>
                <w:color w:val="auto"/>
              </w:rPr>
            </w:pP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ensure that the evaluation process remains dynamic, the Board also</w:t>
            </w:r>
          </w:p>
        </w:tc>
        <w:tc>
          <w:tcPr>
            <w:tcW w:w="0" w:type="dxa"/>
            <w:vAlign w:val="bottom"/>
          </w:tcPr>
          <w:p>
            <w:pPr>
              <w:spacing w:after="0"/>
              <w:rPr>
                <w:sz w:val="1"/>
                <w:szCs w:val="1"/>
                <w:color w:val="auto"/>
              </w:rPr>
            </w:pPr>
          </w:p>
        </w:tc>
      </w:tr>
      <w:tr>
        <w:trPr>
          <w:trHeight w:val="203"/>
        </w:trPr>
        <w:tc>
          <w:tcPr>
            <w:tcW w:w="512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reviews and updates, as appropriate, a separate assessment of</w:t>
            </w:r>
          </w:p>
        </w:tc>
        <w:tc>
          <w:tcPr>
            <w:tcW w:w="980" w:type="dxa"/>
            <w:vAlign w:val="bottom"/>
            <w:vMerge w:val="continue"/>
          </w:tcPr>
          <w:p>
            <w:pPr>
              <w:spacing w:after="0"/>
              <w:rPr>
                <w:sz w:val="17"/>
                <w:szCs w:val="17"/>
                <w:color w:val="auto"/>
              </w:rPr>
            </w:pP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periodically uses an interactive format, where the Lead Independent</w:t>
            </w:r>
          </w:p>
        </w:tc>
        <w:tc>
          <w:tcPr>
            <w:tcW w:w="0" w:type="dxa"/>
            <w:vAlign w:val="bottom"/>
          </w:tcPr>
          <w:p>
            <w:pPr>
              <w:spacing w:after="0"/>
              <w:rPr>
                <w:sz w:val="1"/>
                <w:szCs w:val="1"/>
                <w:color w:val="auto"/>
              </w:rPr>
            </w:pPr>
          </w:p>
        </w:tc>
      </w:tr>
      <w:tr>
        <w:trPr>
          <w:trHeight w:val="189"/>
        </w:trPr>
        <w:tc>
          <w:tcPr>
            <w:tcW w:w="512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committee performance, which is provided to the members of each</w:t>
            </w:r>
          </w:p>
        </w:tc>
        <w:tc>
          <w:tcPr>
            <w:tcW w:w="980" w:type="dxa"/>
            <w:vAlign w:val="bottom"/>
          </w:tcPr>
          <w:p>
            <w:pPr>
              <w:spacing w:after="0"/>
              <w:rPr>
                <w:sz w:val="16"/>
                <w:szCs w:val="16"/>
                <w:color w:val="auto"/>
              </w:rPr>
            </w:pP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Director conducts individual meetings with each director rather than</w:t>
            </w:r>
          </w:p>
        </w:tc>
        <w:tc>
          <w:tcPr>
            <w:tcW w:w="0" w:type="dxa"/>
            <w:vAlign w:val="bottom"/>
          </w:tcPr>
          <w:p>
            <w:pPr>
              <w:spacing w:after="0"/>
              <w:rPr>
                <w:sz w:val="1"/>
                <w:szCs w:val="1"/>
                <w:color w:val="auto"/>
              </w:rPr>
            </w:pPr>
          </w:p>
        </w:tc>
      </w:tr>
      <w:tr>
        <w:trPr>
          <w:trHeight w:val="189"/>
        </w:trPr>
        <w:tc>
          <w:tcPr>
            <w:tcW w:w="512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committee for comment and feedback. These self-evaluations cover a</w:t>
            </w:r>
          </w:p>
        </w:tc>
        <w:tc>
          <w:tcPr>
            <w:tcW w:w="980" w:type="dxa"/>
            <w:vAlign w:val="bottom"/>
          </w:tcPr>
          <w:p>
            <w:pPr>
              <w:spacing w:after="0"/>
              <w:rPr>
                <w:sz w:val="16"/>
                <w:szCs w:val="16"/>
                <w:color w:val="auto"/>
              </w:rPr>
            </w:pP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circulating a written survey to elicit candid and fulsome feedback. After</w:t>
            </w:r>
          </w:p>
        </w:tc>
        <w:tc>
          <w:tcPr>
            <w:tcW w:w="0" w:type="dxa"/>
            <w:vAlign w:val="bottom"/>
          </w:tcPr>
          <w:p>
            <w:pPr>
              <w:spacing w:after="0"/>
              <w:rPr>
                <w:sz w:val="1"/>
                <w:szCs w:val="1"/>
                <w:color w:val="auto"/>
              </w:rPr>
            </w:pPr>
          </w:p>
        </w:tc>
      </w:tr>
      <w:tr>
        <w:trPr>
          <w:trHeight w:val="189"/>
        </w:trPr>
        <w:tc>
          <w:tcPr>
            <w:tcW w:w="512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variety of topics, including his or her assessment of their own</w:t>
            </w:r>
          </w:p>
        </w:tc>
        <w:tc>
          <w:tcPr>
            <w:tcW w:w="980" w:type="dxa"/>
            <w:vAlign w:val="bottom"/>
          </w:tcPr>
          <w:p>
            <w:pPr>
              <w:spacing w:after="0"/>
              <w:rPr>
                <w:sz w:val="16"/>
                <w:szCs w:val="16"/>
                <w:color w:val="auto"/>
              </w:rPr>
            </w:pP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completing the self-evaluation process, the Lead Independent Director</w:t>
            </w:r>
          </w:p>
        </w:tc>
        <w:tc>
          <w:tcPr>
            <w:tcW w:w="0" w:type="dxa"/>
            <w:vAlign w:val="bottom"/>
          </w:tcPr>
          <w:p>
            <w:pPr>
              <w:spacing w:after="0"/>
              <w:rPr>
                <w:sz w:val="1"/>
                <w:szCs w:val="1"/>
                <w:color w:val="auto"/>
              </w:rPr>
            </w:pPr>
          </w:p>
        </w:tc>
      </w:tr>
      <w:tr>
        <w:trPr>
          <w:trHeight w:val="189"/>
        </w:trPr>
        <w:tc>
          <w:tcPr>
            <w:tcW w:w="512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performance as director, Board dynamics and the effectiveness of the</w:t>
            </w:r>
          </w:p>
        </w:tc>
        <w:tc>
          <w:tcPr>
            <w:tcW w:w="980" w:type="dxa"/>
            <w:vAlign w:val="bottom"/>
          </w:tcPr>
          <w:p>
            <w:pPr>
              <w:spacing w:after="0"/>
              <w:rPr>
                <w:sz w:val="16"/>
                <w:szCs w:val="16"/>
                <w:color w:val="auto"/>
              </w:rPr>
            </w:pP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then summarizes and reviews the results with the Board and each Board</w:t>
            </w:r>
          </w:p>
        </w:tc>
        <w:tc>
          <w:tcPr>
            <w:tcW w:w="0" w:type="dxa"/>
            <w:vAlign w:val="bottom"/>
          </w:tcPr>
          <w:p>
            <w:pPr>
              <w:spacing w:after="0"/>
              <w:rPr>
                <w:sz w:val="1"/>
                <w:szCs w:val="1"/>
                <w:color w:val="auto"/>
              </w:rPr>
            </w:pPr>
          </w:p>
        </w:tc>
      </w:tr>
      <w:tr>
        <w:trPr>
          <w:trHeight w:val="200"/>
        </w:trPr>
        <w:tc>
          <w:tcPr>
            <w:tcW w:w="512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Board and its committees.</w:t>
            </w:r>
          </w:p>
        </w:tc>
        <w:tc>
          <w:tcPr>
            <w:tcW w:w="980" w:type="dxa"/>
            <w:vAlign w:val="bottom"/>
          </w:tcPr>
          <w:p>
            <w:pPr>
              <w:spacing w:after="0"/>
              <w:rPr>
                <w:sz w:val="17"/>
                <w:szCs w:val="17"/>
                <w:color w:val="auto"/>
              </w:rPr>
            </w:pP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committee.</w:t>
            </w:r>
          </w:p>
        </w:tc>
        <w:tc>
          <w:tcPr>
            <w:tcW w:w="0" w:type="dxa"/>
            <w:vAlign w:val="bottom"/>
          </w:tcPr>
          <w:p>
            <w:pPr>
              <w:spacing w:after="0"/>
              <w:rPr>
                <w:sz w:val="1"/>
                <w:szCs w:val="1"/>
                <w:color w:val="auto"/>
              </w:rPr>
            </w:pPr>
          </w:p>
        </w:tc>
      </w:tr>
      <w:tr>
        <w:trPr>
          <w:trHeight w:val="546"/>
        </w:trPr>
        <w:tc>
          <w:tcPr>
            <w:tcW w:w="5120" w:type="dxa"/>
            <w:vAlign w:val="bottom"/>
            <w:shd w:val="clear" w:color="auto" w:fill="EAEEF2"/>
          </w:tcPr>
          <w:p>
            <w:pPr>
              <w:spacing w:after="0"/>
              <w:rPr>
                <w:sz w:val="24"/>
                <w:szCs w:val="24"/>
                <w:color w:val="auto"/>
              </w:rPr>
            </w:pPr>
          </w:p>
        </w:tc>
        <w:tc>
          <w:tcPr>
            <w:tcW w:w="980" w:type="dxa"/>
            <w:vAlign w:val="bottom"/>
          </w:tcPr>
          <w:p>
            <w:pPr>
              <w:spacing w:after="0"/>
              <w:rPr>
                <w:sz w:val="24"/>
                <w:szCs w:val="24"/>
                <w:color w:val="auto"/>
              </w:rPr>
            </w:pPr>
          </w:p>
        </w:tc>
        <w:tc>
          <w:tcPr>
            <w:tcW w:w="5140" w:type="dxa"/>
            <w:vAlign w:val="bottom"/>
            <w:shd w:val="clear" w:color="auto" w:fill="EAEEF2"/>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5120" w:type="dxa"/>
            <w:vAlign w:val="bottom"/>
          </w:tcPr>
          <w:p>
            <w:pPr>
              <w:ind w:left="2680"/>
              <w:spacing w:after="0"/>
              <w:rPr>
                <w:sz w:val="20"/>
                <w:szCs w:val="20"/>
                <w:color w:val="auto"/>
              </w:rPr>
            </w:pPr>
            <w:r>
              <w:rPr>
                <w:rFonts w:ascii="Wingdings" w:cs="Wingdings" w:eastAsia="Wingdings" w:hAnsi="Wingdings"/>
                <w:sz w:val="40"/>
                <w:szCs w:val="40"/>
                <w:b w:val="1"/>
                <w:bCs w:val="1"/>
                <w:color w:val="00529B"/>
              </w:rPr>
              <w:t>á</w:t>
            </w:r>
          </w:p>
        </w:tc>
        <w:tc>
          <w:tcPr>
            <w:tcW w:w="980" w:type="dxa"/>
            <w:vAlign w:val="bottom"/>
          </w:tcPr>
          <w:p>
            <w:pPr>
              <w:spacing w:after="0"/>
              <w:rPr>
                <w:sz w:val="24"/>
                <w:szCs w:val="24"/>
                <w:color w:val="auto"/>
              </w:rPr>
            </w:pPr>
          </w:p>
        </w:tc>
        <w:tc>
          <w:tcPr>
            <w:tcW w:w="5140" w:type="dxa"/>
            <w:vAlign w:val="bottom"/>
          </w:tcPr>
          <w:p>
            <w:pPr>
              <w:ind w:left="2700"/>
              <w:spacing w:after="0"/>
              <w:rPr>
                <w:sz w:val="20"/>
                <w:szCs w:val="20"/>
                <w:color w:val="auto"/>
              </w:rPr>
            </w:pPr>
            <w:r>
              <w:rPr>
                <w:rFonts w:ascii="Wingdings" w:cs="Wingdings" w:eastAsia="Wingdings" w:hAnsi="Wingdings"/>
                <w:sz w:val="40"/>
                <w:szCs w:val="40"/>
                <w:b w:val="1"/>
                <w:bCs w:val="1"/>
                <w:color w:val="00529B"/>
              </w:rPr>
              <w:t>â</w:t>
            </w:r>
          </w:p>
        </w:tc>
        <w:tc>
          <w:tcPr>
            <w:tcW w:w="0" w:type="dxa"/>
            <w:vAlign w:val="bottom"/>
          </w:tcPr>
          <w:p>
            <w:pPr>
              <w:spacing w:after="0"/>
              <w:rPr>
                <w:sz w:val="1"/>
                <w:szCs w:val="1"/>
                <w:color w:val="auto"/>
              </w:rPr>
            </w:pPr>
          </w:p>
        </w:tc>
      </w:tr>
      <w:tr>
        <w:trPr>
          <w:trHeight w:val="67"/>
        </w:trPr>
        <w:tc>
          <w:tcPr>
            <w:tcW w:w="5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5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3"/>
        </w:trPr>
        <w:tc>
          <w:tcPr>
            <w:tcW w:w="5120" w:type="dxa"/>
            <w:vAlign w:val="bottom"/>
            <w:shd w:val="clear" w:color="auto" w:fill="132440"/>
          </w:tcPr>
          <w:p>
            <w:pPr>
              <w:ind w:left="200"/>
              <w:spacing w:after="0"/>
              <w:rPr>
                <w:sz w:val="20"/>
                <w:szCs w:val="20"/>
                <w:color w:val="auto"/>
              </w:rPr>
            </w:pPr>
            <w:r>
              <w:rPr>
                <w:rFonts w:ascii="Arial" w:cs="Arial" w:eastAsia="Arial" w:hAnsi="Arial"/>
                <w:sz w:val="40"/>
                <w:szCs w:val="40"/>
                <w:b w:val="1"/>
                <w:bCs w:val="1"/>
                <w:color w:val="578EB1"/>
              </w:rPr>
              <w:t xml:space="preserve">4 </w:t>
            </w:r>
            <w:r>
              <w:rPr>
                <w:rFonts w:ascii="Arial" w:cs="Arial" w:eastAsia="Arial" w:hAnsi="Arial"/>
                <w:sz w:val="16"/>
                <w:szCs w:val="16"/>
                <w:b w:val="1"/>
                <w:bCs w:val="1"/>
                <w:color w:val="FFFFFF"/>
              </w:rPr>
              <w:t>ONGOING BOARD FEEDBACK</w:t>
            </w:r>
          </w:p>
        </w:tc>
        <w:tc>
          <w:tcPr>
            <w:tcW w:w="980" w:type="dxa"/>
            <w:vAlign w:val="bottom"/>
          </w:tcPr>
          <w:p>
            <w:pPr>
              <w:spacing w:after="0"/>
              <w:rPr>
                <w:sz w:val="24"/>
                <w:szCs w:val="24"/>
                <w:color w:val="auto"/>
              </w:rPr>
            </w:pPr>
          </w:p>
        </w:tc>
        <w:tc>
          <w:tcPr>
            <w:tcW w:w="5140" w:type="dxa"/>
            <w:vAlign w:val="bottom"/>
            <w:shd w:val="clear" w:color="auto" w:fill="132440"/>
          </w:tcPr>
          <w:p>
            <w:pPr>
              <w:ind w:left="180"/>
              <w:spacing w:after="0"/>
              <w:rPr>
                <w:sz w:val="20"/>
                <w:szCs w:val="20"/>
                <w:color w:val="auto"/>
              </w:rPr>
            </w:pPr>
            <w:r>
              <w:rPr>
                <w:rFonts w:ascii="Arial" w:cs="Arial" w:eastAsia="Arial" w:hAnsi="Arial"/>
                <w:sz w:val="40"/>
                <w:szCs w:val="40"/>
                <w:b w:val="1"/>
                <w:bCs w:val="1"/>
                <w:color w:val="578EB1"/>
              </w:rPr>
              <w:t xml:space="preserve">3 </w:t>
            </w:r>
            <w:r>
              <w:rPr>
                <w:rFonts w:ascii="Arial" w:cs="Arial" w:eastAsia="Arial" w:hAnsi="Arial"/>
                <w:sz w:val="16"/>
                <w:szCs w:val="16"/>
                <w:b w:val="1"/>
                <w:bCs w:val="1"/>
                <w:color w:val="FFFFFF"/>
              </w:rPr>
              <w:t>REVIEW SESSIONS</w:t>
            </w:r>
          </w:p>
        </w:tc>
        <w:tc>
          <w:tcPr>
            <w:tcW w:w="0" w:type="dxa"/>
            <w:vAlign w:val="bottom"/>
          </w:tcPr>
          <w:p>
            <w:pPr>
              <w:spacing w:after="0"/>
              <w:rPr>
                <w:sz w:val="1"/>
                <w:szCs w:val="1"/>
                <w:color w:val="auto"/>
              </w:rPr>
            </w:pPr>
          </w:p>
        </w:tc>
      </w:tr>
      <w:tr>
        <w:trPr>
          <w:trHeight w:val="66"/>
        </w:trPr>
        <w:tc>
          <w:tcPr>
            <w:tcW w:w="5120" w:type="dxa"/>
            <w:vAlign w:val="bottom"/>
            <w:shd w:val="clear" w:color="auto" w:fill="132440"/>
          </w:tcPr>
          <w:p>
            <w:pPr>
              <w:spacing w:after="0"/>
              <w:rPr>
                <w:sz w:val="5"/>
                <w:szCs w:val="5"/>
                <w:color w:val="auto"/>
              </w:rPr>
            </w:pPr>
          </w:p>
        </w:tc>
        <w:tc>
          <w:tcPr>
            <w:tcW w:w="980" w:type="dxa"/>
            <w:vAlign w:val="bottom"/>
          </w:tcPr>
          <w:p>
            <w:pPr>
              <w:spacing w:after="0"/>
              <w:rPr>
                <w:sz w:val="5"/>
                <w:szCs w:val="5"/>
                <w:color w:val="auto"/>
              </w:rPr>
            </w:pPr>
          </w:p>
        </w:tc>
        <w:tc>
          <w:tcPr>
            <w:tcW w:w="5140" w:type="dxa"/>
            <w:vAlign w:val="bottom"/>
            <w:shd w:val="clear" w:color="auto" w:fill="132440"/>
          </w:tcPr>
          <w:p>
            <w:pPr>
              <w:spacing w:after="0"/>
              <w:rPr>
                <w:sz w:val="5"/>
                <w:szCs w:val="5"/>
                <w:color w:val="auto"/>
              </w:rPr>
            </w:pPr>
          </w:p>
        </w:tc>
        <w:tc>
          <w:tcPr>
            <w:tcW w:w="0" w:type="dxa"/>
            <w:vAlign w:val="bottom"/>
          </w:tcPr>
          <w:p>
            <w:pPr>
              <w:spacing w:after="0"/>
              <w:rPr>
                <w:sz w:val="1"/>
                <w:szCs w:val="1"/>
                <w:color w:val="auto"/>
              </w:rPr>
            </w:pPr>
          </w:p>
        </w:tc>
      </w:tr>
      <w:tr>
        <w:trPr>
          <w:trHeight w:val="374"/>
        </w:trPr>
        <w:tc>
          <w:tcPr>
            <w:tcW w:w="512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In addition to annual self-evaluations, the Board evaluates and modifies</w:t>
            </w:r>
          </w:p>
        </w:tc>
        <w:tc>
          <w:tcPr>
            <w:tcW w:w="980" w:type="dxa"/>
            <w:vAlign w:val="bottom"/>
            <w:vMerge w:val="restart"/>
          </w:tcPr>
          <w:p>
            <w:pPr>
              <w:jc w:val="right"/>
              <w:ind w:right="102"/>
              <w:spacing w:after="0"/>
              <w:rPr>
                <w:sz w:val="20"/>
                <w:szCs w:val="20"/>
                <w:color w:val="auto"/>
              </w:rPr>
            </w:pPr>
            <w:r>
              <w:rPr>
                <w:rFonts w:ascii="Wingdings" w:cs="Wingdings" w:eastAsia="Wingdings" w:hAnsi="Wingdings"/>
                <w:sz w:val="40"/>
                <w:szCs w:val="40"/>
                <w:b w:val="1"/>
                <w:bCs w:val="1"/>
                <w:color w:val="00529B"/>
              </w:rPr>
              <w:t>ß</w:t>
            </w: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The feedback received from the evaluations is discussed during an</w:t>
            </w:r>
          </w:p>
        </w:tc>
        <w:tc>
          <w:tcPr>
            <w:tcW w:w="0" w:type="dxa"/>
            <w:vAlign w:val="bottom"/>
          </w:tcPr>
          <w:p>
            <w:pPr>
              <w:spacing w:after="0"/>
              <w:rPr>
                <w:sz w:val="1"/>
                <w:szCs w:val="1"/>
                <w:color w:val="auto"/>
              </w:rPr>
            </w:pPr>
          </w:p>
        </w:tc>
      </w:tr>
      <w:tr>
        <w:trPr>
          <w:trHeight w:val="189"/>
        </w:trPr>
        <w:tc>
          <w:tcPr>
            <w:tcW w:w="512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its oversight of our business operations on an ongoing basis. During</w:t>
            </w:r>
          </w:p>
        </w:tc>
        <w:tc>
          <w:tcPr>
            <w:tcW w:w="980" w:type="dxa"/>
            <w:vAlign w:val="bottom"/>
            <w:vMerge w:val="continue"/>
          </w:tcPr>
          <w:p>
            <w:pPr>
              <w:spacing w:after="0"/>
              <w:rPr>
                <w:sz w:val="16"/>
                <w:szCs w:val="16"/>
                <w:color w:val="auto"/>
              </w:rPr>
            </w:pP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executive session with the Governance Committee and the individual</w:t>
            </w:r>
          </w:p>
        </w:tc>
        <w:tc>
          <w:tcPr>
            <w:tcW w:w="0" w:type="dxa"/>
            <w:vAlign w:val="bottom"/>
          </w:tcPr>
          <w:p>
            <w:pPr>
              <w:spacing w:after="0"/>
              <w:rPr>
                <w:sz w:val="1"/>
                <w:szCs w:val="1"/>
                <w:color w:val="auto"/>
              </w:rPr>
            </w:pPr>
          </w:p>
        </w:tc>
      </w:tr>
      <w:tr>
        <w:trPr>
          <w:trHeight w:val="189"/>
        </w:trPr>
        <w:tc>
          <w:tcPr>
            <w:tcW w:w="512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executive sessions, the independent directors raise and consider agenda</w:t>
            </w:r>
          </w:p>
        </w:tc>
        <w:tc>
          <w:tcPr>
            <w:tcW w:w="980" w:type="dxa"/>
            <w:vAlign w:val="bottom"/>
            <w:vMerge w:val="continue"/>
          </w:tcPr>
          <w:p>
            <w:pPr>
              <w:spacing w:after="0"/>
              <w:rPr>
                <w:sz w:val="16"/>
                <w:szCs w:val="16"/>
                <w:color w:val="auto"/>
              </w:rPr>
            </w:pP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committees, as appropriate. Policies and practices are enhanced or</w:t>
            </w:r>
          </w:p>
        </w:tc>
        <w:tc>
          <w:tcPr>
            <w:tcW w:w="0" w:type="dxa"/>
            <w:vAlign w:val="bottom"/>
          </w:tcPr>
          <w:p>
            <w:pPr>
              <w:spacing w:after="0"/>
              <w:rPr>
                <w:sz w:val="1"/>
                <w:szCs w:val="1"/>
                <w:color w:val="auto"/>
              </w:rPr>
            </w:pPr>
          </w:p>
        </w:tc>
      </w:tr>
      <w:tr>
        <w:trPr>
          <w:trHeight w:val="189"/>
        </w:trPr>
        <w:tc>
          <w:tcPr>
            <w:tcW w:w="512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topics that they believe deserve additional focus and raise new topics to</w:t>
            </w:r>
          </w:p>
        </w:tc>
        <w:tc>
          <w:tcPr>
            <w:tcW w:w="980" w:type="dxa"/>
            <w:vAlign w:val="bottom"/>
          </w:tcPr>
          <w:p>
            <w:pPr>
              <w:spacing w:after="0"/>
              <w:rPr>
                <w:sz w:val="16"/>
                <w:szCs w:val="16"/>
                <w:color w:val="auto"/>
              </w:rPr>
            </w:pP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modified, as appropriate, based on the evaluation findings and other</w:t>
            </w:r>
          </w:p>
        </w:tc>
        <w:tc>
          <w:tcPr>
            <w:tcW w:w="0" w:type="dxa"/>
            <w:vAlign w:val="bottom"/>
          </w:tcPr>
          <w:p>
            <w:pPr>
              <w:spacing w:after="0"/>
              <w:rPr>
                <w:sz w:val="1"/>
                <w:szCs w:val="1"/>
                <w:color w:val="auto"/>
              </w:rPr>
            </w:pPr>
          </w:p>
        </w:tc>
      </w:tr>
      <w:tr>
        <w:trPr>
          <w:trHeight w:val="200"/>
        </w:trPr>
        <w:tc>
          <w:tcPr>
            <w:tcW w:w="512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be addressed in future meetings.</w:t>
            </w:r>
          </w:p>
        </w:tc>
        <w:tc>
          <w:tcPr>
            <w:tcW w:w="980" w:type="dxa"/>
            <w:vAlign w:val="bottom"/>
          </w:tcPr>
          <w:p>
            <w:pPr>
              <w:spacing w:after="0"/>
              <w:rPr>
                <w:sz w:val="17"/>
                <w:szCs w:val="17"/>
                <w:color w:val="auto"/>
              </w:rPr>
            </w:pP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feedback, including one-on-one discussions. Follow-up items are</w:t>
            </w:r>
          </w:p>
        </w:tc>
        <w:tc>
          <w:tcPr>
            <w:tcW w:w="0" w:type="dxa"/>
            <w:vAlign w:val="bottom"/>
          </w:tcPr>
          <w:p>
            <w:pPr>
              <w:spacing w:after="0"/>
              <w:rPr>
                <w:sz w:val="1"/>
                <w:szCs w:val="1"/>
                <w:color w:val="auto"/>
              </w:rPr>
            </w:pPr>
          </w:p>
        </w:tc>
      </w:tr>
      <w:tr>
        <w:trPr>
          <w:trHeight w:val="203"/>
        </w:trPr>
        <w:tc>
          <w:tcPr>
            <w:tcW w:w="5120" w:type="dxa"/>
            <w:vAlign w:val="bottom"/>
            <w:shd w:val="clear" w:color="auto" w:fill="EAEEF2"/>
          </w:tcPr>
          <w:p>
            <w:pPr>
              <w:spacing w:after="0"/>
              <w:rPr>
                <w:sz w:val="17"/>
                <w:szCs w:val="17"/>
                <w:color w:val="auto"/>
              </w:rPr>
            </w:pPr>
          </w:p>
        </w:tc>
        <w:tc>
          <w:tcPr>
            <w:tcW w:w="980" w:type="dxa"/>
            <w:vAlign w:val="bottom"/>
          </w:tcPr>
          <w:p>
            <w:pPr>
              <w:spacing w:after="0"/>
              <w:rPr>
                <w:sz w:val="17"/>
                <w:szCs w:val="17"/>
                <w:color w:val="auto"/>
              </w:rPr>
            </w:pPr>
          </w:p>
        </w:tc>
        <w:tc>
          <w:tcPr>
            <w:tcW w:w="5140" w:type="dxa"/>
            <w:vAlign w:val="bottom"/>
            <w:shd w:val="clear" w:color="auto" w:fill="EAEEF2"/>
          </w:tcPr>
          <w:p>
            <w:pPr>
              <w:ind w:left="100"/>
              <w:spacing w:after="0"/>
              <w:rPr>
                <w:sz w:val="20"/>
                <w:szCs w:val="20"/>
                <w:color w:val="auto"/>
              </w:rPr>
            </w:pPr>
            <w:r>
              <w:rPr>
                <w:rFonts w:ascii="Arial" w:cs="Arial" w:eastAsia="Arial" w:hAnsi="Arial"/>
                <w:sz w:val="15"/>
                <w:szCs w:val="15"/>
                <w:color w:val="4D4D4F"/>
              </w:rPr>
              <w:t>discussed at subsequent Board and committee meetings as necessary.</w:t>
            </w:r>
          </w:p>
        </w:tc>
        <w:tc>
          <w:tcPr>
            <w:tcW w:w="0" w:type="dxa"/>
            <w:vAlign w:val="bottom"/>
          </w:tcPr>
          <w:p>
            <w:pPr>
              <w:spacing w:after="0"/>
              <w:rPr>
                <w:sz w:val="1"/>
                <w:szCs w:val="1"/>
                <w:color w:val="auto"/>
              </w:rPr>
            </w:pPr>
          </w:p>
        </w:tc>
      </w:tr>
      <w:tr>
        <w:trPr>
          <w:trHeight w:val="370"/>
        </w:trPr>
        <w:tc>
          <w:tcPr>
            <w:tcW w:w="5120" w:type="dxa"/>
            <w:vAlign w:val="bottom"/>
            <w:shd w:val="clear" w:color="auto" w:fill="EAEEF2"/>
          </w:tcPr>
          <w:p>
            <w:pPr>
              <w:spacing w:after="0"/>
              <w:rPr>
                <w:sz w:val="24"/>
                <w:szCs w:val="24"/>
                <w:color w:val="auto"/>
              </w:rPr>
            </w:pPr>
          </w:p>
        </w:tc>
        <w:tc>
          <w:tcPr>
            <w:tcW w:w="980" w:type="dxa"/>
            <w:vAlign w:val="bottom"/>
          </w:tcPr>
          <w:p>
            <w:pPr>
              <w:spacing w:after="0"/>
              <w:rPr>
                <w:sz w:val="24"/>
                <w:szCs w:val="24"/>
                <w:color w:val="auto"/>
              </w:rPr>
            </w:pPr>
          </w:p>
        </w:tc>
        <w:tc>
          <w:tcPr>
            <w:tcW w:w="5140" w:type="dxa"/>
            <w:vAlign w:val="bottom"/>
            <w:shd w:val="clear" w:color="auto" w:fill="EAEEF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0" w:hanging="534"/>
        <w:spacing w:after="0"/>
        <w:tabs>
          <w:tab w:leader="none" w:pos="560" w:val="left"/>
        </w:tabs>
        <w:numPr>
          <w:ilvl w:val="0"/>
          <w:numId w:val="43"/>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4D4D4F"/>
        </w:rPr>
        <w:t>Based on the results of these evaluations, as well as ongoing feedback provided by directors, our Board’s practices have evolved over time through the implementation of enhancements such as: changes to committee composition and oversight responsibilities, additional presentations on specified topics, identification of focus areas for continuing education and refinements to board meeting materials and presentation format.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2023 Self-Evaluation Process</w:t>
      </w:r>
    </w:p>
    <w:p>
      <w:pPr>
        <w:spacing w:after="0" w:line="144"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4D4D4F"/>
        </w:rPr>
        <w:t>For 2023, the Board decided to utilize individual interviews for the self-evaluation process and Mr. Roddenberry, our Lead Independent Director, interviewed each other Board member to solicit his or her evaluation of Board, Committee and individual director effectiveness, Board education, timing and scope of materials provided to the Board and Committee as well as other factors affecting Board dynamics. The Lead Independent Director then reviewed the results with the Governance Committee, composed of all the independent directors, and with each Committee in early 2024.</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Corporate Governance Principles</w:t>
      </w:r>
    </w:p>
    <w:p>
      <w:pPr>
        <w:spacing w:after="0" w:line="144"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4D4D4F"/>
        </w:rPr>
        <w:t>The Board has adopted Corporate Governance Principles, which are amended from time to time to incorporate certain current best practices in corporate governance. The Corporate Governance Principles describe our corporate governance practices and policies, and provide a framework for our Board governance. The topics addressed in our Corporate Governance Principles include, among other things:</w:t>
      </w:r>
    </w:p>
    <w:p>
      <w:pPr>
        <w:spacing w:after="0" w:line="125" w:lineRule="exact"/>
        <w:rPr>
          <w:sz w:val="20"/>
          <w:szCs w:val="20"/>
          <w:color w:val="auto"/>
        </w:rPr>
      </w:pPr>
    </w:p>
    <w:p>
      <w:pPr>
        <w:ind w:left="480" w:hanging="229"/>
        <w:spacing w:after="0"/>
        <w:tabs>
          <w:tab w:leader="none" w:pos="480" w:val="left"/>
        </w:tabs>
        <w:numPr>
          <w:ilvl w:val="0"/>
          <w:numId w:val="44"/>
        </w:numPr>
        <w:rPr>
          <w:rFonts w:ascii="Arial" w:cs="Arial" w:eastAsia="Arial" w:hAnsi="Arial"/>
          <w:sz w:val="16"/>
          <w:szCs w:val="16"/>
          <w:b w:val="1"/>
          <w:bCs w:val="1"/>
          <w:color w:val="00529B"/>
        </w:rPr>
      </w:pPr>
      <w:r>
        <w:rPr>
          <w:rFonts w:ascii="Arial" w:cs="Arial" w:eastAsia="Arial" w:hAnsi="Arial"/>
          <w:sz w:val="16"/>
          <w:szCs w:val="16"/>
          <w:color w:val="4D4D4F"/>
        </w:rPr>
        <w:t>the role of the Lead Independent Director;</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44"/>
        </w:numPr>
        <w:rPr>
          <w:rFonts w:ascii="Arial" w:cs="Arial" w:eastAsia="Arial" w:hAnsi="Arial"/>
          <w:sz w:val="16"/>
          <w:szCs w:val="16"/>
          <w:b w:val="1"/>
          <w:bCs w:val="1"/>
          <w:color w:val="00529B"/>
        </w:rPr>
      </w:pPr>
      <w:r>
        <w:rPr>
          <w:rFonts w:ascii="Arial" w:cs="Arial" w:eastAsia="Arial" w:hAnsi="Arial"/>
          <w:sz w:val="16"/>
          <w:szCs w:val="16"/>
          <w:color w:val="4D4D4F"/>
        </w:rPr>
        <w:t>director independence;</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44"/>
        </w:numPr>
        <w:rPr>
          <w:rFonts w:ascii="Arial" w:cs="Arial" w:eastAsia="Arial" w:hAnsi="Arial"/>
          <w:sz w:val="16"/>
          <w:szCs w:val="16"/>
          <w:b w:val="1"/>
          <w:bCs w:val="1"/>
          <w:color w:val="00529B"/>
        </w:rPr>
      </w:pPr>
      <w:r>
        <w:rPr>
          <w:rFonts w:ascii="Arial" w:cs="Arial" w:eastAsia="Arial" w:hAnsi="Arial"/>
          <w:sz w:val="16"/>
          <w:szCs w:val="16"/>
          <w:color w:val="4D4D4F"/>
        </w:rPr>
        <w:t>director qualifications, functions and tenure;</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44"/>
        </w:numPr>
        <w:rPr>
          <w:rFonts w:ascii="Arial" w:cs="Arial" w:eastAsia="Arial" w:hAnsi="Arial"/>
          <w:sz w:val="16"/>
          <w:szCs w:val="16"/>
          <w:b w:val="1"/>
          <w:bCs w:val="1"/>
          <w:color w:val="00529B"/>
        </w:rPr>
      </w:pPr>
      <w:r>
        <w:rPr>
          <w:rFonts w:ascii="Arial" w:cs="Arial" w:eastAsia="Arial" w:hAnsi="Arial"/>
          <w:sz w:val="16"/>
          <w:szCs w:val="16"/>
          <w:color w:val="4D4D4F"/>
        </w:rPr>
        <w:t>committees of the Board;</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44"/>
        </w:numPr>
        <w:rPr>
          <w:rFonts w:ascii="Arial" w:cs="Arial" w:eastAsia="Arial" w:hAnsi="Arial"/>
          <w:sz w:val="16"/>
          <w:szCs w:val="16"/>
          <w:b w:val="1"/>
          <w:bCs w:val="1"/>
          <w:color w:val="00529B"/>
        </w:rPr>
      </w:pPr>
      <w:r>
        <w:rPr>
          <w:rFonts w:ascii="Arial" w:cs="Arial" w:eastAsia="Arial" w:hAnsi="Arial"/>
          <w:sz w:val="16"/>
          <w:szCs w:val="16"/>
          <w:color w:val="4D4D4F"/>
        </w:rPr>
        <w:t>director orientation and continuing education;</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44"/>
        </w:numPr>
        <w:rPr>
          <w:rFonts w:ascii="Arial" w:cs="Arial" w:eastAsia="Arial" w:hAnsi="Arial"/>
          <w:sz w:val="16"/>
          <w:szCs w:val="16"/>
          <w:b w:val="1"/>
          <w:bCs w:val="1"/>
          <w:color w:val="00529B"/>
        </w:rPr>
      </w:pPr>
      <w:r>
        <w:rPr>
          <w:rFonts w:ascii="Arial" w:cs="Arial" w:eastAsia="Arial" w:hAnsi="Arial"/>
          <w:sz w:val="16"/>
          <w:szCs w:val="16"/>
          <w:color w:val="4D4D4F"/>
        </w:rPr>
        <w:t>management development and succession planning;</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44"/>
        </w:numPr>
        <w:rPr>
          <w:rFonts w:ascii="Arial" w:cs="Arial" w:eastAsia="Arial" w:hAnsi="Arial"/>
          <w:sz w:val="16"/>
          <w:szCs w:val="16"/>
          <w:b w:val="1"/>
          <w:bCs w:val="1"/>
          <w:color w:val="00529B"/>
        </w:rPr>
      </w:pPr>
      <w:r>
        <w:rPr>
          <w:rFonts w:ascii="Arial" w:cs="Arial" w:eastAsia="Arial" w:hAnsi="Arial"/>
          <w:sz w:val="16"/>
          <w:szCs w:val="16"/>
          <w:color w:val="4D4D4F"/>
        </w:rPr>
        <w:t>director resignation policy in uncontested elections; and</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44"/>
        </w:numPr>
        <w:rPr>
          <w:rFonts w:ascii="Arial" w:cs="Arial" w:eastAsia="Arial" w:hAnsi="Arial"/>
          <w:sz w:val="16"/>
          <w:szCs w:val="16"/>
          <w:b w:val="1"/>
          <w:bCs w:val="1"/>
          <w:color w:val="00529B"/>
        </w:rPr>
      </w:pPr>
      <w:r>
        <w:rPr>
          <w:rFonts w:ascii="Arial" w:cs="Arial" w:eastAsia="Arial" w:hAnsi="Arial"/>
          <w:sz w:val="16"/>
          <w:szCs w:val="16"/>
          <w:color w:val="4D4D4F"/>
        </w:rPr>
        <w:t>director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D4D4F"/>
        </w:rPr>
        <w:t>Our Corporate Governance Principles are available on our Investor Relations website at ir.worldkinect.com under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672465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23</w:t>
            </w:r>
          </w:p>
        </w:tc>
      </w:tr>
      <w:tr>
        <w:trPr>
          <w:trHeight w:val="211"/>
        </w:trPr>
        <w:tc>
          <w:tcPr>
            <w:tcW w:w="108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Committees of the Board</w:t>
      </w:r>
    </w:p>
    <w:p>
      <w:pPr>
        <w:spacing w:after="0" w:line="15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4D4D4F"/>
        </w:rPr>
        <w:t>Our Board has five standing committees: the Audit Committee, the Compensation Committee, the Governance Committee, the Sustainability &amp; Corporate Responsibility Committee and the Technology &amp; Operations Committee. The following table illustrates the current membership of each of our Board’s committees, which are composed entirely of independent directors: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60" w:type="dxa"/>
            <w:vAlign w:val="bottom"/>
            <w:shd w:val="clear" w:color="auto" w:fill="132440"/>
          </w:tcPr>
          <w:p>
            <w:pPr>
              <w:spacing w:after="0"/>
              <w:rPr>
                <w:sz w:val="15"/>
                <w:szCs w:val="15"/>
                <w:color w:val="auto"/>
              </w:rPr>
            </w:pPr>
          </w:p>
        </w:tc>
        <w:tc>
          <w:tcPr>
            <w:tcW w:w="1220" w:type="dxa"/>
            <w:vAlign w:val="bottom"/>
            <w:shd w:val="clear" w:color="auto" w:fill="132440"/>
          </w:tcPr>
          <w:p>
            <w:pPr>
              <w:spacing w:after="0"/>
              <w:rPr>
                <w:sz w:val="15"/>
                <w:szCs w:val="15"/>
                <w:color w:val="auto"/>
              </w:rPr>
            </w:pPr>
          </w:p>
        </w:tc>
        <w:tc>
          <w:tcPr>
            <w:tcW w:w="1660" w:type="dxa"/>
            <w:vAlign w:val="bottom"/>
            <w:shd w:val="clear" w:color="auto" w:fill="132440"/>
          </w:tcPr>
          <w:p>
            <w:pPr>
              <w:spacing w:after="0"/>
              <w:rPr>
                <w:sz w:val="15"/>
                <w:szCs w:val="15"/>
                <w:color w:val="auto"/>
              </w:rPr>
            </w:pPr>
          </w:p>
        </w:tc>
        <w:tc>
          <w:tcPr>
            <w:tcW w:w="1440" w:type="dxa"/>
            <w:vAlign w:val="bottom"/>
            <w:shd w:val="clear" w:color="auto" w:fill="132440"/>
          </w:tcPr>
          <w:p>
            <w:pPr>
              <w:spacing w:after="0"/>
              <w:rPr>
                <w:sz w:val="15"/>
                <w:szCs w:val="15"/>
                <w:color w:val="auto"/>
              </w:rPr>
            </w:pPr>
          </w:p>
        </w:tc>
        <w:tc>
          <w:tcPr>
            <w:tcW w:w="1760" w:type="dxa"/>
            <w:vAlign w:val="bottom"/>
            <w:shd w:val="clear" w:color="auto" w:fill="132440"/>
          </w:tcPr>
          <w:p>
            <w:pPr>
              <w:jc w:val="center"/>
              <w:spacing w:after="0"/>
              <w:rPr>
                <w:sz w:val="20"/>
                <w:szCs w:val="20"/>
                <w:color w:val="auto"/>
              </w:rPr>
            </w:pPr>
            <w:r>
              <w:rPr>
                <w:rFonts w:ascii="Arial" w:cs="Arial" w:eastAsia="Arial" w:hAnsi="Arial"/>
                <w:sz w:val="14"/>
                <w:szCs w:val="14"/>
                <w:b w:val="1"/>
                <w:bCs w:val="1"/>
                <w:color w:val="FFFFFF"/>
              </w:rPr>
              <w:t>SUSTAINABILITY &amp;</w:t>
            </w:r>
          </w:p>
        </w:tc>
        <w:tc>
          <w:tcPr>
            <w:tcW w:w="1680" w:type="dxa"/>
            <w:vAlign w:val="bottom"/>
            <w:shd w:val="clear" w:color="auto" w:fill="132440"/>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132440"/>
          </w:tcPr>
          <w:p>
            <w:pPr>
              <w:spacing w:after="0"/>
              <w:rPr>
                <w:sz w:val="14"/>
                <w:szCs w:val="14"/>
                <w:color w:val="auto"/>
              </w:rPr>
            </w:pPr>
          </w:p>
        </w:tc>
        <w:tc>
          <w:tcPr>
            <w:tcW w:w="1220" w:type="dxa"/>
            <w:vAlign w:val="bottom"/>
            <w:shd w:val="clear" w:color="auto" w:fill="132440"/>
          </w:tcPr>
          <w:p>
            <w:pPr>
              <w:spacing w:after="0"/>
              <w:rPr>
                <w:sz w:val="14"/>
                <w:szCs w:val="14"/>
                <w:color w:val="auto"/>
              </w:rPr>
            </w:pPr>
          </w:p>
        </w:tc>
        <w:tc>
          <w:tcPr>
            <w:tcW w:w="1660" w:type="dxa"/>
            <w:vAlign w:val="bottom"/>
            <w:shd w:val="clear" w:color="auto" w:fill="132440"/>
          </w:tcPr>
          <w:p>
            <w:pPr>
              <w:spacing w:after="0"/>
              <w:rPr>
                <w:sz w:val="14"/>
                <w:szCs w:val="14"/>
                <w:color w:val="auto"/>
              </w:rPr>
            </w:pPr>
          </w:p>
        </w:tc>
        <w:tc>
          <w:tcPr>
            <w:tcW w:w="1440" w:type="dxa"/>
            <w:vAlign w:val="bottom"/>
            <w:shd w:val="clear" w:color="auto" w:fill="132440"/>
          </w:tcPr>
          <w:p>
            <w:pPr>
              <w:spacing w:after="0"/>
              <w:rPr>
                <w:sz w:val="14"/>
                <w:szCs w:val="14"/>
                <w:color w:val="auto"/>
              </w:rPr>
            </w:pPr>
          </w:p>
        </w:tc>
        <w:tc>
          <w:tcPr>
            <w:tcW w:w="1760" w:type="dxa"/>
            <w:vAlign w:val="bottom"/>
            <w:shd w:val="clear" w:color="auto" w:fill="132440"/>
          </w:tcPr>
          <w:p>
            <w:pPr>
              <w:jc w:val="center"/>
              <w:spacing w:after="0"/>
              <w:rPr>
                <w:sz w:val="20"/>
                <w:szCs w:val="20"/>
                <w:color w:val="auto"/>
              </w:rPr>
            </w:pPr>
            <w:r>
              <w:rPr>
                <w:rFonts w:ascii="Arial" w:cs="Arial" w:eastAsia="Arial" w:hAnsi="Arial"/>
                <w:sz w:val="14"/>
                <w:szCs w:val="14"/>
                <w:b w:val="1"/>
                <w:bCs w:val="1"/>
                <w:color w:val="FFFFFF"/>
              </w:rPr>
              <w:t>CORPORATE</w:t>
            </w:r>
          </w:p>
        </w:tc>
        <w:tc>
          <w:tcPr>
            <w:tcW w:w="1680" w:type="dxa"/>
            <w:vAlign w:val="bottom"/>
            <w:shd w:val="clear" w:color="auto" w:fill="132440"/>
          </w:tcPr>
          <w:p>
            <w:pPr>
              <w:jc w:val="center"/>
              <w:ind w:right="9"/>
              <w:spacing w:after="0"/>
              <w:rPr>
                <w:sz w:val="20"/>
                <w:szCs w:val="20"/>
                <w:color w:val="auto"/>
              </w:rPr>
            </w:pPr>
            <w:r>
              <w:rPr>
                <w:rFonts w:ascii="Arial" w:cs="Arial" w:eastAsia="Arial" w:hAnsi="Arial"/>
                <w:sz w:val="14"/>
                <w:szCs w:val="14"/>
                <w:b w:val="1"/>
                <w:bCs w:val="1"/>
                <w:color w:val="FFFFFF"/>
              </w:rPr>
              <w:t>TECHNOLOGY &amp;</w:t>
            </w:r>
          </w:p>
        </w:tc>
        <w:tc>
          <w:tcPr>
            <w:tcW w:w="0" w:type="dxa"/>
            <w:vAlign w:val="bottom"/>
          </w:tcPr>
          <w:p>
            <w:pPr>
              <w:spacing w:after="0"/>
              <w:rPr>
                <w:sz w:val="1"/>
                <w:szCs w:val="1"/>
                <w:color w:val="auto"/>
              </w:rPr>
            </w:pPr>
          </w:p>
        </w:tc>
      </w:tr>
      <w:tr>
        <w:trPr>
          <w:trHeight w:val="225"/>
        </w:trPr>
        <w:tc>
          <w:tcPr>
            <w:tcW w:w="346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DIRECTOR</w:t>
            </w:r>
          </w:p>
        </w:tc>
        <w:tc>
          <w:tcPr>
            <w:tcW w:w="1220" w:type="dxa"/>
            <w:vAlign w:val="bottom"/>
            <w:shd w:val="clear" w:color="auto" w:fill="132440"/>
          </w:tcPr>
          <w:p>
            <w:pPr>
              <w:jc w:val="center"/>
              <w:ind w:left="149"/>
              <w:spacing w:after="0"/>
              <w:rPr>
                <w:sz w:val="20"/>
                <w:szCs w:val="20"/>
                <w:color w:val="auto"/>
              </w:rPr>
            </w:pPr>
            <w:r>
              <w:rPr>
                <w:rFonts w:ascii="Arial" w:cs="Arial" w:eastAsia="Arial" w:hAnsi="Arial"/>
                <w:sz w:val="14"/>
                <w:szCs w:val="14"/>
                <w:b w:val="1"/>
                <w:bCs w:val="1"/>
                <w:color w:val="FFFFFF"/>
              </w:rPr>
              <w:t>AUDIT</w:t>
            </w:r>
          </w:p>
        </w:tc>
        <w:tc>
          <w:tcPr>
            <w:tcW w:w="1660" w:type="dxa"/>
            <w:vAlign w:val="bottom"/>
            <w:shd w:val="clear" w:color="auto" w:fill="132440"/>
          </w:tcPr>
          <w:p>
            <w:pPr>
              <w:jc w:val="center"/>
              <w:ind w:left="29"/>
              <w:spacing w:after="0"/>
              <w:rPr>
                <w:sz w:val="20"/>
                <w:szCs w:val="20"/>
                <w:color w:val="auto"/>
              </w:rPr>
            </w:pPr>
            <w:r>
              <w:rPr>
                <w:rFonts w:ascii="Arial" w:cs="Arial" w:eastAsia="Arial" w:hAnsi="Arial"/>
                <w:sz w:val="14"/>
                <w:szCs w:val="14"/>
                <w:b w:val="1"/>
                <w:bCs w:val="1"/>
                <w:color w:val="FFFFFF"/>
              </w:rPr>
              <w:t>COMPENSATION</w:t>
            </w:r>
          </w:p>
        </w:tc>
        <w:tc>
          <w:tcPr>
            <w:tcW w:w="1440" w:type="dxa"/>
            <w:vAlign w:val="bottom"/>
            <w:shd w:val="clear" w:color="auto" w:fill="132440"/>
          </w:tcPr>
          <w:p>
            <w:pPr>
              <w:jc w:val="center"/>
              <w:spacing w:after="0"/>
              <w:rPr>
                <w:sz w:val="20"/>
                <w:szCs w:val="20"/>
                <w:color w:val="auto"/>
              </w:rPr>
            </w:pPr>
            <w:r>
              <w:rPr>
                <w:rFonts w:ascii="Arial" w:cs="Arial" w:eastAsia="Arial" w:hAnsi="Arial"/>
                <w:sz w:val="14"/>
                <w:szCs w:val="14"/>
                <w:b w:val="1"/>
                <w:bCs w:val="1"/>
                <w:color w:val="FFFFFF"/>
              </w:rPr>
              <w:t>GOVERNANCE</w:t>
            </w:r>
          </w:p>
        </w:tc>
        <w:tc>
          <w:tcPr>
            <w:tcW w:w="1760" w:type="dxa"/>
            <w:vAlign w:val="bottom"/>
            <w:shd w:val="clear" w:color="auto" w:fill="132440"/>
          </w:tcPr>
          <w:p>
            <w:pPr>
              <w:jc w:val="center"/>
              <w:spacing w:after="0"/>
              <w:rPr>
                <w:sz w:val="20"/>
                <w:szCs w:val="20"/>
                <w:color w:val="auto"/>
              </w:rPr>
            </w:pPr>
            <w:r>
              <w:rPr>
                <w:rFonts w:ascii="Arial" w:cs="Arial" w:eastAsia="Arial" w:hAnsi="Arial"/>
                <w:sz w:val="14"/>
                <w:szCs w:val="14"/>
                <w:b w:val="1"/>
                <w:bCs w:val="1"/>
                <w:color w:val="FFFFFF"/>
              </w:rPr>
              <w:t>RESPONSIBILITY</w:t>
            </w:r>
          </w:p>
        </w:tc>
        <w:tc>
          <w:tcPr>
            <w:tcW w:w="1680" w:type="dxa"/>
            <w:vAlign w:val="bottom"/>
            <w:shd w:val="clear" w:color="auto" w:fill="132440"/>
          </w:tcPr>
          <w:p>
            <w:pPr>
              <w:jc w:val="center"/>
              <w:spacing w:after="0"/>
              <w:rPr>
                <w:sz w:val="20"/>
                <w:szCs w:val="20"/>
                <w:color w:val="auto"/>
              </w:rPr>
            </w:pPr>
            <w:r>
              <w:rPr>
                <w:rFonts w:ascii="Arial" w:cs="Arial" w:eastAsia="Arial" w:hAnsi="Arial"/>
                <w:sz w:val="14"/>
                <w:szCs w:val="14"/>
                <w:b w:val="1"/>
                <w:bCs w:val="1"/>
                <w:color w:val="FFFFFF"/>
              </w:rPr>
              <w:t>OPERATIONS</w:t>
            </w:r>
          </w:p>
        </w:tc>
        <w:tc>
          <w:tcPr>
            <w:tcW w:w="0" w:type="dxa"/>
            <w:vAlign w:val="bottom"/>
          </w:tcPr>
          <w:p>
            <w:pPr>
              <w:spacing w:after="0"/>
              <w:rPr>
                <w:sz w:val="1"/>
                <w:szCs w:val="1"/>
                <w:color w:val="auto"/>
              </w:rPr>
            </w:pPr>
          </w:p>
        </w:tc>
      </w:tr>
      <w:tr>
        <w:trPr>
          <w:trHeight w:val="180"/>
        </w:trPr>
        <w:tc>
          <w:tcPr>
            <w:tcW w:w="346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Ken Bakshi</w:t>
            </w:r>
          </w:p>
        </w:tc>
        <w:tc>
          <w:tcPr>
            <w:tcW w:w="1220" w:type="dxa"/>
            <w:vAlign w:val="bottom"/>
            <w:shd w:val="clear" w:color="auto" w:fill="EAEEF2"/>
          </w:tcPr>
          <w:p>
            <w:pPr>
              <w:spacing w:after="0"/>
              <w:rPr>
                <w:sz w:val="15"/>
                <w:szCs w:val="15"/>
                <w:color w:val="auto"/>
              </w:rPr>
            </w:pPr>
          </w:p>
        </w:tc>
        <w:tc>
          <w:tcPr>
            <w:tcW w:w="1660" w:type="dxa"/>
            <w:vAlign w:val="bottom"/>
            <w:shd w:val="clear" w:color="auto" w:fill="EAEEF2"/>
          </w:tcPr>
          <w:p>
            <w:pPr>
              <w:spacing w:after="0"/>
              <w:rPr>
                <w:sz w:val="15"/>
                <w:szCs w:val="15"/>
                <w:color w:val="auto"/>
              </w:rPr>
            </w:pPr>
          </w:p>
        </w:tc>
        <w:tc>
          <w:tcPr>
            <w:tcW w:w="1440" w:type="dxa"/>
            <w:vAlign w:val="bottom"/>
            <w:vMerge w:val="restart"/>
            <w:shd w:val="clear" w:color="auto" w:fill="EAEEF2"/>
          </w:tcPr>
          <w:p>
            <w:pPr>
              <w:jc w:val="center"/>
              <w:spacing w:after="0"/>
              <w:rPr>
                <w:sz w:val="20"/>
                <w:szCs w:val="20"/>
                <w:color w:val="auto"/>
              </w:rPr>
            </w:pPr>
            <w:r>
              <w:rPr>
                <w:rFonts w:ascii="Wingdings" w:cs="Wingdings" w:eastAsia="Wingdings" w:hAnsi="Wingdings"/>
                <w:sz w:val="14"/>
                <w:szCs w:val="14"/>
                <w:b w:val="1"/>
                <w:bCs w:val="1"/>
                <w:color w:val="298655"/>
                <w:w w:val="95"/>
              </w:rPr>
              <w:t>l</w:t>
            </w:r>
          </w:p>
        </w:tc>
        <w:tc>
          <w:tcPr>
            <w:tcW w:w="1760" w:type="dxa"/>
            <w:vAlign w:val="bottom"/>
            <w:vMerge w:val="restart"/>
            <w:shd w:val="clear" w:color="auto" w:fill="EAEEF2"/>
          </w:tcPr>
          <w:p>
            <w:pPr>
              <w:jc w:val="center"/>
              <w:spacing w:after="0"/>
              <w:rPr>
                <w:sz w:val="20"/>
                <w:szCs w:val="20"/>
                <w:color w:val="auto"/>
              </w:rPr>
            </w:pPr>
            <w:r>
              <w:rPr>
                <w:rFonts w:ascii="Wingdings" w:cs="Wingdings" w:eastAsia="Wingdings" w:hAnsi="Wingdings"/>
                <w:sz w:val="14"/>
                <w:szCs w:val="14"/>
                <w:b w:val="1"/>
                <w:bCs w:val="1"/>
                <w:color w:val="298655"/>
                <w:w w:val="95"/>
              </w:rPr>
              <w:t>l</w:t>
            </w:r>
          </w:p>
        </w:tc>
        <w:tc>
          <w:tcPr>
            <w:tcW w:w="1680" w:type="dxa"/>
            <w:vAlign w:val="bottom"/>
            <w:vMerge w:val="restart"/>
            <w:shd w:val="clear" w:color="auto" w:fill="EAEEF2"/>
          </w:tcPr>
          <w:p>
            <w:pPr>
              <w:jc w:val="center"/>
              <w:spacing w:after="0"/>
              <w:rPr>
                <w:sz w:val="20"/>
                <w:szCs w:val="20"/>
                <w:color w:val="auto"/>
              </w:rPr>
            </w:pPr>
            <w:r>
              <w:rPr>
                <w:rFonts w:ascii="Wingdings" w:cs="Wingdings" w:eastAsia="Wingdings" w:hAnsi="Wingdings"/>
                <w:sz w:val="14"/>
                <w:szCs w:val="14"/>
                <w:b w:val="1"/>
                <w:bCs w:val="1"/>
                <w:color w:val="298655"/>
                <w:w w:val="95"/>
              </w:rPr>
              <w:t>l</w:t>
            </w:r>
          </w:p>
        </w:tc>
        <w:tc>
          <w:tcPr>
            <w:tcW w:w="0" w:type="dxa"/>
            <w:vAlign w:val="bottom"/>
          </w:tcPr>
          <w:p>
            <w:pPr>
              <w:spacing w:after="0"/>
              <w:rPr>
                <w:sz w:val="1"/>
                <w:szCs w:val="1"/>
                <w:color w:val="auto"/>
              </w:rPr>
            </w:pPr>
          </w:p>
        </w:tc>
      </w:tr>
      <w:tr>
        <w:trPr>
          <w:trHeight w:val="105"/>
        </w:trPr>
        <w:tc>
          <w:tcPr>
            <w:tcW w:w="346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Managing Partner Trishul Capital Group LLC</w:t>
            </w:r>
          </w:p>
        </w:tc>
        <w:tc>
          <w:tcPr>
            <w:tcW w:w="1220" w:type="dxa"/>
            <w:vAlign w:val="bottom"/>
            <w:shd w:val="clear" w:color="auto" w:fill="EAEEF2"/>
          </w:tcPr>
          <w:p>
            <w:pPr>
              <w:spacing w:after="0"/>
              <w:rPr>
                <w:sz w:val="9"/>
                <w:szCs w:val="9"/>
                <w:color w:val="auto"/>
              </w:rPr>
            </w:pPr>
          </w:p>
        </w:tc>
        <w:tc>
          <w:tcPr>
            <w:tcW w:w="1660" w:type="dxa"/>
            <w:vAlign w:val="bottom"/>
            <w:shd w:val="clear" w:color="auto" w:fill="EAEEF2"/>
          </w:tcPr>
          <w:p>
            <w:pPr>
              <w:spacing w:after="0"/>
              <w:rPr>
                <w:sz w:val="9"/>
                <w:szCs w:val="9"/>
                <w:color w:val="auto"/>
              </w:rPr>
            </w:pPr>
          </w:p>
        </w:tc>
        <w:tc>
          <w:tcPr>
            <w:tcW w:w="1440" w:type="dxa"/>
            <w:vAlign w:val="bottom"/>
            <w:vMerge w:val="continue"/>
            <w:shd w:val="clear" w:color="auto" w:fill="EAEEF2"/>
          </w:tcPr>
          <w:p>
            <w:pPr>
              <w:spacing w:after="0"/>
              <w:rPr>
                <w:sz w:val="9"/>
                <w:szCs w:val="9"/>
                <w:color w:val="auto"/>
              </w:rPr>
            </w:pPr>
          </w:p>
        </w:tc>
        <w:tc>
          <w:tcPr>
            <w:tcW w:w="1760" w:type="dxa"/>
            <w:vAlign w:val="bottom"/>
            <w:vMerge w:val="continue"/>
            <w:shd w:val="clear" w:color="auto" w:fill="EAEEF2"/>
          </w:tcPr>
          <w:p>
            <w:pPr>
              <w:spacing w:after="0"/>
              <w:rPr>
                <w:sz w:val="9"/>
                <w:szCs w:val="9"/>
                <w:color w:val="auto"/>
              </w:rPr>
            </w:pPr>
          </w:p>
        </w:tc>
        <w:tc>
          <w:tcPr>
            <w:tcW w:w="1680" w:type="dxa"/>
            <w:vAlign w:val="bottom"/>
            <w:vMerge w:val="continue"/>
            <w:shd w:val="clear" w:color="auto" w:fill="EAEEF2"/>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460" w:type="dxa"/>
            <w:vAlign w:val="bottom"/>
            <w:vMerge w:val="continue"/>
            <w:shd w:val="clear" w:color="auto" w:fill="EAEEF2"/>
          </w:tcPr>
          <w:p>
            <w:pPr>
              <w:spacing w:after="0"/>
              <w:rPr>
                <w:sz w:val="7"/>
                <w:szCs w:val="7"/>
                <w:color w:val="auto"/>
              </w:rPr>
            </w:pPr>
          </w:p>
        </w:tc>
        <w:tc>
          <w:tcPr>
            <w:tcW w:w="1220" w:type="dxa"/>
            <w:vAlign w:val="bottom"/>
            <w:shd w:val="clear" w:color="auto" w:fill="EAEEF2"/>
          </w:tcPr>
          <w:p>
            <w:pPr>
              <w:spacing w:after="0"/>
              <w:rPr>
                <w:sz w:val="7"/>
                <w:szCs w:val="7"/>
                <w:color w:val="auto"/>
              </w:rPr>
            </w:pPr>
          </w:p>
        </w:tc>
        <w:tc>
          <w:tcPr>
            <w:tcW w:w="1660" w:type="dxa"/>
            <w:vAlign w:val="bottom"/>
            <w:shd w:val="clear" w:color="auto" w:fill="EAEEF2"/>
          </w:tcPr>
          <w:p>
            <w:pPr>
              <w:spacing w:after="0"/>
              <w:rPr>
                <w:sz w:val="7"/>
                <w:szCs w:val="7"/>
                <w:color w:val="auto"/>
              </w:rPr>
            </w:pPr>
          </w:p>
        </w:tc>
        <w:tc>
          <w:tcPr>
            <w:tcW w:w="1440" w:type="dxa"/>
            <w:vAlign w:val="bottom"/>
            <w:shd w:val="clear" w:color="auto" w:fill="EAEEF2"/>
          </w:tcPr>
          <w:p>
            <w:pPr>
              <w:spacing w:after="0"/>
              <w:rPr>
                <w:sz w:val="7"/>
                <w:szCs w:val="7"/>
                <w:color w:val="auto"/>
              </w:rPr>
            </w:pPr>
          </w:p>
        </w:tc>
        <w:tc>
          <w:tcPr>
            <w:tcW w:w="1760" w:type="dxa"/>
            <w:vAlign w:val="bottom"/>
            <w:shd w:val="clear" w:color="auto" w:fill="EAEEF2"/>
          </w:tcPr>
          <w:p>
            <w:pPr>
              <w:spacing w:after="0"/>
              <w:rPr>
                <w:sz w:val="7"/>
                <w:szCs w:val="7"/>
                <w:color w:val="auto"/>
              </w:rPr>
            </w:pPr>
          </w:p>
        </w:tc>
        <w:tc>
          <w:tcPr>
            <w:tcW w:w="1680" w:type="dxa"/>
            <w:vAlign w:val="bottom"/>
            <w:shd w:val="clear" w:color="auto" w:fill="EAEEF2"/>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46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and Trishul Advisory Group LLC</w:t>
            </w:r>
          </w:p>
        </w:tc>
        <w:tc>
          <w:tcPr>
            <w:tcW w:w="1220" w:type="dxa"/>
            <w:vAlign w:val="bottom"/>
            <w:shd w:val="clear" w:color="auto" w:fill="EAEEF2"/>
          </w:tcPr>
          <w:p>
            <w:pPr>
              <w:spacing w:after="0"/>
              <w:rPr>
                <w:sz w:val="16"/>
                <w:szCs w:val="16"/>
                <w:color w:val="auto"/>
              </w:rPr>
            </w:pPr>
          </w:p>
        </w:tc>
        <w:tc>
          <w:tcPr>
            <w:tcW w:w="1660" w:type="dxa"/>
            <w:vAlign w:val="bottom"/>
            <w:shd w:val="clear" w:color="auto" w:fill="EAEEF2"/>
          </w:tcPr>
          <w:p>
            <w:pPr>
              <w:spacing w:after="0"/>
              <w:rPr>
                <w:sz w:val="16"/>
                <w:szCs w:val="16"/>
                <w:color w:val="auto"/>
              </w:rPr>
            </w:pPr>
          </w:p>
        </w:tc>
        <w:tc>
          <w:tcPr>
            <w:tcW w:w="1440" w:type="dxa"/>
            <w:vAlign w:val="bottom"/>
            <w:shd w:val="clear" w:color="auto" w:fill="EAEEF2"/>
          </w:tcPr>
          <w:p>
            <w:pPr>
              <w:spacing w:after="0"/>
              <w:rPr>
                <w:sz w:val="16"/>
                <w:szCs w:val="16"/>
                <w:color w:val="auto"/>
              </w:rPr>
            </w:pPr>
          </w:p>
        </w:tc>
        <w:tc>
          <w:tcPr>
            <w:tcW w:w="1760" w:type="dxa"/>
            <w:vAlign w:val="bottom"/>
            <w:shd w:val="clear" w:color="auto" w:fill="EAEEF2"/>
          </w:tcPr>
          <w:p>
            <w:pPr>
              <w:spacing w:after="0"/>
              <w:rPr>
                <w:sz w:val="16"/>
                <w:szCs w:val="16"/>
                <w:color w:val="auto"/>
              </w:rPr>
            </w:pPr>
          </w:p>
        </w:tc>
        <w:tc>
          <w:tcPr>
            <w:tcW w:w="1680" w:type="dxa"/>
            <w:vAlign w:val="bottom"/>
            <w:shd w:val="clear" w:color="auto" w:fill="EAEEF2"/>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3460" w:type="dxa"/>
            <w:vAlign w:val="bottom"/>
            <w:shd w:val="clear" w:color="auto" w:fill="EAEEF2"/>
          </w:tcPr>
          <w:p>
            <w:pPr>
              <w:spacing w:after="0"/>
              <w:rPr>
                <w:sz w:val="6"/>
                <w:szCs w:val="6"/>
                <w:color w:val="auto"/>
              </w:rPr>
            </w:pPr>
          </w:p>
        </w:tc>
        <w:tc>
          <w:tcPr>
            <w:tcW w:w="1220" w:type="dxa"/>
            <w:vAlign w:val="bottom"/>
            <w:shd w:val="clear" w:color="auto" w:fill="EAEEF2"/>
          </w:tcPr>
          <w:p>
            <w:pPr>
              <w:spacing w:after="0"/>
              <w:rPr>
                <w:sz w:val="6"/>
                <w:szCs w:val="6"/>
                <w:color w:val="auto"/>
              </w:rPr>
            </w:pPr>
          </w:p>
        </w:tc>
        <w:tc>
          <w:tcPr>
            <w:tcW w:w="1660" w:type="dxa"/>
            <w:vAlign w:val="bottom"/>
            <w:shd w:val="clear" w:color="auto" w:fill="EAEEF2"/>
          </w:tcPr>
          <w:p>
            <w:pPr>
              <w:spacing w:after="0"/>
              <w:rPr>
                <w:sz w:val="6"/>
                <w:szCs w:val="6"/>
                <w:color w:val="auto"/>
              </w:rPr>
            </w:pPr>
          </w:p>
        </w:tc>
        <w:tc>
          <w:tcPr>
            <w:tcW w:w="1440" w:type="dxa"/>
            <w:vAlign w:val="bottom"/>
            <w:shd w:val="clear" w:color="auto" w:fill="EAEEF2"/>
          </w:tcPr>
          <w:p>
            <w:pPr>
              <w:spacing w:after="0"/>
              <w:rPr>
                <w:sz w:val="6"/>
                <w:szCs w:val="6"/>
                <w:color w:val="auto"/>
              </w:rPr>
            </w:pPr>
          </w:p>
        </w:tc>
        <w:tc>
          <w:tcPr>
            <w:tcW w:w="1760" w:type="dxa"/>
            <w:vAlign w:val="bottom"/>
            <w:shd w:val="clear" w:color="auto" w:fill="EAEEF2"/>
          </w:tcPr>
          <w:p>
            <w:pPr>
              <w:spacing w:after="0"/>
              <w:rPr>
                <w:sz w:val="6"/>
                <w:szCs w:val="6"/>
                <w:color w:val="auto"/>
              </w:rPr>
            </w:pPr>
          </w:p>
        </w:tc>
        <w:tc>
          <w:tcPr>
            <w:tcW w:w="1680" w:type="dxa"/>
            <w:vAlign w:val="bottom"/>
            <w:shd w:val="clear" w:color="auto" w:fill="EAEEF2"/>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460" w:type="dxa"/>
            <w:vAlign w:val="bottom"/>
          </w:tcPr>
          <w:p>
            <w:pPr>
              <w:ind w:left="100"/>
              <w:spacing w:after="0"/>
              <w:rPr>
                <w:sz w:val="20"/>
                <w:szCs w:val="20"/>
                <w:color w:val="auto"/>
              </w:rPr>
            </w:pPr>
            <w:r>
              <w:rPr>
                <w:rFonts w:ascii="Arial" w:cs="Arial" w:eastAsia="Arial" w:hAnsi="Arial"/>
                <w:sz w:val="14"/>
                <w:szCs w:val="14"/>
                <w:b w:val="1"/>
                <w:bCs w:val="1"/>
                <w:color w:val="4D4D4F"/>
              </w:rPr>
              <w:t>Jorge L. Benitez</w:t>
            </w:r>
          </w:p>
        </w:tc>
        <w:tc>
          <w:tcPr>
            <w:tcW w:w="1220" w:type="dxa"/>
            <w:vAlign w:val="bottom"/>
            <w:vMerge w:val="restart"/>
          </w:tcPr>
          <w:p>
            <w:pPr>
              <w:jc w:val="center"/>
              <w:ind w:left="129"/>
              <w:spacing w:after="0"/>
              <w:rPr>
                <w:sz w:val="20"/>
                <w:szCs w:val="20"/>
                <w:color w:val="auto"/>
              </w:rPr>
            </w:pPr>
            <w:r>
              <w:rPr>
                <w:rFonts w:ascii="Wingdings" w:cs="Wingdings" w:eastAsia="Wingdings" w:hAnsi="Wingdings"/>
                <w:sz w:val="14"/>
                <w:szCs w:val="14"/>
                <w:b w:val="1"/>
                <w:bCs w:val="1"/>
                <w:color w:val="298655"/>
                <w:w w:val="95"/>
              </w:rPr>
              <w:t>l</w:t>
            </w:r>
          </w:p>
        </w:tc>
        <w:tc>
          <w:tcPr>
            <w:tcW w:w="166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298655"/>
                <w:w w:val="95"/>
              </w:rPr>
              <w:t>l</w:t>
            </w: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460" w:type="dxa"/>
            <w:vAlign w:val="bottom"/>
            <w:vMerge w:val="restart"/>
          </w:tcPr>
          <w:p>
            <w:pPr>
              <w:ind w:left="100"/>
              <w:spacing w:after="0"/>
              <w:rPr>
                <w:sz w:val="20"/>
                <w:szCs w:val="20"/>
                <w:color w:val="auto"/>
              </w:rPr>
            </w:pPr>
            <w:r>
              <w:rPr>
                <w:rFonts w:ascii="Arial" w:cs="Arial" w:eastAsia="Arial" w:hAnsi="Arial"/>
                <w:sz w:val="14"/>
                <w:szCs w:val="14"/>
                <w:color w:val="4D4D4F"/>
              </w:rPr>
              <w:t>Retired Chief Executive Officer</w:t>
            </w:r>
          </w:p>
        </w:tc>
        <w:tc>
          <w:tcPr>
            <w:tcW w:w="1220" w:type="dxa"/>
            <w:vAlign w:val="bottom"/>
            <w:vMerge w:val="continue"/>
          </w:tcPr>
          <w:p>
            <w:pPr>
              <w:spacing w:after="0"/>
              <w:rPr>
                <w:sz w:val="9"/>
                <w:szCs w:val="9"/>
                <w:color w:val="auto"/>
              </w:rPr>
            </w:pPr>
          </w:p>
        </w:tc>
        <w:tc>
          <w:tcPr>
            <w:tcW w:w="166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46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00"/>
              <w:spacing w:after="0"/>
              <w:rPr>
                <w:sz w:val="20"/>
                <w:szCs w:val="20"/>
                <w:color w:val="auto"/>
              </w:rPr>
            </w:pPr>
            <w:r>
              <w:rPr>
                <w:rFonts w:ascii="Arial" w:cs="Arial" w:eastAsia="Arial" w:hAnsi="Arial"/>
                <w:sz w:val="14"/>
                <w:szCs w:val="14"/>
                <w:color w:val="4D4D4F"/>
              </w:rPr>
              <w:t>North America Accenture plc</w:t>
            </w:r>
          </w:p>
        </w:tc>
        <w:tc>
          <w:tcPr>
            <w:tcW w:w="1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3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46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Sharda Cherwoo</w:t>
            </w:r>
          </w:p>
        </w:tc>
        <w:tc>
          <w:tcPr>
            <w:tcW w:w="1220" w:type="dxa"/>
            <w:vAlign w:val="bottom"/>
            <w:vMerge w:val="restart"/>
            <w:shd w:val="clear" w:color="auto" w:fill="EAEEF2"/>
          </w:tcPr>
          <w:p>
            <w:pPr>
              <w:jc w:val="center"/>
              <w:ind w:left="129"/>
              <w:spacing w:after="0"/>
              <w:rPr>
                <w:sz w:val="20"/>
                <w:szCs w:val="20"/>
                <w:color w:val="auto"/>
              </w:rPr>
            </w:pPr>
            <w:r>
              <w:rPr>
                <w:rFonts w:ascii="Wingdings" w:cs="Wingdings" w:eastAsia="Wingdings" w:hAnsi="Wingdings"/>
                <w:sz w:val="14"/>
                <w:szCs w:val="14"/>
                <w:b w:val="1"/>
                <w:bCs w:val="1"/>
                <w:color w:val="298655"/>
                <w:w w:val="95"/>
              </w:rPr>
              <w:t>l</w:t>
            </w:r>
          </w:p>
        </w:tc>
        <w:tc>
          <w:tcPr>
            <w:tcW w:w="1660" w:type="dxa"/>
            <w:vAlign w:val="bottom"/>
            <w:shd w:val="clear" w:color="auto" w:fill="EAEEF2"/>
          </w:tcPr>
          <w:p>
            <w:pPr>
              <w:spacing w:after="0"/>
              <w:rPr>
                <w:sz w:val="15"/>
                <w:szCs w:val="15"/>
                <w:color w:val="auto"/>
              </w:rPr>
            </w:pPr>
          </w:p>
        </w:tc>
        <w:tc>
          <w:tcPr>
            <w:tcW w:w="1440" w:type="dxa"/>
            <w:vAlign w:val="bottom"/>
            <w:vMerge w:val="restart"/>
            <w:shd w:val="clear" w:color="auto" w:fill="EAEEF2"/>
          </w:tcPr>
          <w:p>
            <w:pPr>
              <w:jc w:val="center"/>
              <w:spacing w:after="0"/>
              <w:rPr>
                <w:sz w:val="20"/>
                <w:szCs w:val="20"/>
                <w:color w:val="auto"/>
              </w:rPr>
            </w:pPr>
            <w:r>
              <w:rPr>
                <w:rFonts w:ascii="Wingdings" w:cs="Wingdings" w:eastAsia="Wingdings" w:hAnsi="Wingdings"/>
                <w:sz w:val="14"/>
                <w:szCs w:val="14"/>
                <w:b w:val="1"/>
                <w:bCs w:val="1"/>
                <w:color w:val="298655"/>
                <w:w w:val="95"/>
              </w:rPr>
              <w:t>l</w:t>
            </w:r>
          </w:p>
        </w:tc>
        <w:tc>
          <w:tcPr>
            <w:tcW w:w="1760" w:type="dxa"/>
            <w:vAlign w:val="bottom"/>
            <w:vMerge w:val="restart"/>
            <w:shd w:val="clear" w:color="auto" w:fill="EAEEF2"/>
          </w:tcPr>
          <w:p>
            <w:pPr>
              <w:jc w:val="center"/>
              <w:spacing w:after="0"/>
              <w:rPr>
                <w:sz w:val="20"/>
                <w:szCs w:val="20"/>
                <w:color w:val="auto"/>
              </w:rPr>
            </w:pPr>
            <w:r>
              <w:rPr>
                <w:rFonts w:ascii="Wingdings" w:cs="Wingdings" w:eastAsia="Wingdings" w:hAnsi="Wingdings"/>
                <w:sz w:val="14"/>
                <w:szCs w:val="14"/>
                <w:b w:val="1"/>
                <w:bCs w:val="1"/>
                <w:color w:val="298655"/>
                <w:w w:val="95"/>
              </w:rPr>
              <w:t>l</w:t>
            </w:r>
          </w:p>
        </w:tc>
        <w:tc>
          <w:tcPr>
            <w:tcW w:w="1680" w:type="dxa"/>
            <w:vAlign w:val="bottom"/>
            <w:vMerge w:val="restart"/>
            <w:shd w:val="clear" w:color="auto" w:fill="EAEEF2"/>
          </w:tcPr>
          <w:p>
            <w:pPr>
              <w:jc w:val="center"/>
              <w:spacing w:after="0"/>
              <w:rPr>
                <w:sz w:val="20"/>
                <w:szCs w:val="20"/>
                <w:color w:val="auto"/>
              </w:rPr>
            </w:pPr>
            <w:r>
              <w:rPr>
                <w:rFonts w:ascii="Wingdings" w:cs="Wingdings" w:eastAsia="Wingdings" w:hAnsi="Wingdings"/>
                <w:sz w:val="14"/>
                <w:szCs w:val="14"/>
                <w:b w:val="1"/>
                <w:bCs w:val="1"/>
                <w:color w:val="298655"/>
                <w:w w:val="95"/>
              </w:rPr>
              <w:t>l</w:t>
            </w:r>
          </w:p>
        </w:tc>
        <w:tc>
          <w:tcPr>
            <w:tcW w:w="0" w:type="dxa"/>
            <w:vAlign w:val="bottom"/>
          </w:tcPr>
          <w:p>
            <w:pPr>
              <w:spacing w:after="0"/>
              <w:rPr>
                <w:sz w:val="1"/>
                <w:szCs w:val="1"/>
                <w:color w:val="auto"/>
              </w:rPr>
            </w:pPr>
          </w:p>
        </w:tc>
      </w:tr>
      <w:tr>
        <w:trPr>
          <w:trHeight w:val="105"/>
        </w:trPr>
        <w:tc>
          <w:tcPr>
            <w:tcW w:w="346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Retired Senior Partner</w:t>
            </w:r>
          </w:p>
        </w:tc>
        <w:tc>
          <w:tcPr>
            <w:tcW w:w="1220" w:type="dxa"/>
            <w:vAlign w:val="bottom"/>
            <w:vMerge w:val="continue"/>
            <w:shd w:val="clear" w:color="auto" w:fill="EAEEF2"/>
          </w:tcPr>
          <w:p>
            <w:pPr>
              <w:spacing w:after="0"/>
              <w:rPr>
                <w:sz w:val="9"/>
                <w:szCs w:val="9"/>
                <w:color w:val="auto"/>
              </w:rPr>
            </w:pPr>
          </w:p>
        </w:tc>
        <w:tc>
          <w:tcPr>
            <w:tcW w:w="1660" w:type="dxa"/>
            <w:vAlign w:val="bottom"/>
            <w:shd w:val="clear" w:color="auto" w:fill="EAEEF2"/>
          </w:tcPr>
          <w:p>
            <w:pPr>
              <w:spacing w:after="0"/>
              <w:rPr>
                <w:sz w:val="9"/>
                <w:szCs w:val="9"/>
                <w:color w:val="auto"/>
              </w:rPr>
            </w:pPr>
          </w:p>
        </w:tc>
        <w:tc>
          <w:tcPr>
            <w:tcW w:w="1440" w:type="dxa"/>
            <w:vAlign w:val="bottom"/>
            <w:vMerge w:val="continue"/>
            <w:shd w:val="clear" w:color="auto" w:fill="EAEEF2"/>
          </w:tcPr>
          <w:p>
            <w:pPr>
              <w:spacing w:after="0"/>
              <w:rPr>
                <w:sz w:val="9"/>
                <w:szCs w:val="9"/>
                <w:color w:val="auto"/>
              </w:rPr>
            </w:pPr>
          </w:p>
        </w:tc>
        <w:tc>
          <w:tcPr>
            <w:tcW w:w="1760" w:type="dxa"/>
            <w:vAlign w:val="bottom"/>
            <w:vMerge w:val="continue"/>
            <w:shd w:val="clear" w:color="auto" w:fill="EAEEF2"/>
          </w:tcPr>
          <w:p>
            <w:pPr>
              <w:spacing w:after="0"/>
              <w:rPr>
                <w:sz w:val="9"/>
                <w:szCs w:val="9"/>
                <w:color w:val="auto"/>
              </w:rPr>
            </w:pPr>
          </w:p>
        </w:tc>
        <w:tc>
          <w:tcPr>
            <w:tcW w:w="1680" w:type="dxa"/>
            <w:vAlign w:val="bottom"/>
            <w:vMerge w:val="continue"/>
            <w:shd w:val="clear" w:color="auto" w:fill="EAEEF2"/>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460" w:type="dxa"/>
            <w:vAlign w:val="bottom"/>
            <w:vMerge w:val="continue"/>
            <w:shd w:val="clear" w:color="auto" w:fill="EAEEF2"/>
          </w:tcPr>
          <w:p>
            <w:pPr>
              <w:spacing w:after="0"/>
              <w:rPr>
                <w:sz w:val="7"/>
                <w:szCs w:val="7"/>
                <w:color w:val="auto"/>
              </w:rPr>
            </w:pPr>
          </w:p>
        </w:tc>
        <w:tc>
          <w:tcPr>
            <w:tcW w:w="1220" w:type="dxa"/>
            <w:vAlign w:val="bottom"/>
            <w:shd w:val="clear" w:color="auto" w:fill="EAEEF2"/>
          </w:tcPr>
          <w:p>
            <w:pPr>
              <w:spacing w:after="0"/>
              <w:rPr>
                <w:sz w:val="7"/>
                <w:szCs w:val="7"/>
                <w:color w:val="auto"/>
              </w:rPr>
            </w:pPr>
          </w:p>
        </w:tc>
        <w:tc>
          <w:tcPr>
            <w:tcW w:w="1660" w:type="dxa"/>
            <w:vAlign w:val="bottom"/>
            <w:shd w:val="clear" w:color="auto" w:fill="EAEEF2"/>
          </w:tcPr>
          <w:p>
            <w:pPr>
              <w:spacing w:after="0"/>
              <w:rPr>
                <w:sz w:val="7"/>
                <w:szCs w:val="7"/>
                <w:color w:val="auto"/>
              </w:rPr>
            </w:pPr>
          </w:p>
        </w:tc>
        <w:tc>
          <w:tcPr>
            <w:tcW w:w="1440" w:type="dxa"/>
            <w:vAlign w:val="bottom"/>
            <w:shd w:val="clear" w:color="auto" w:fill="EAEEF2"/>
          </w:tcPr>
          <w:p>
            <w:pPr>
              <w:spacing w:after="0"/>
              <w:rPr>
                <w:sz w:val="7"/>
                <w:szCs w:val="7"/>
                <w:color w:val="auto"/>
              </w:rPr>
            </w:pPr>
          </w:p>
        </w:tc>
        <w:tc>
          <w:tcPr>
            <w:tcW w:w="1760" w:type="dxa"/>
            <w:vAlign w:val="bottom"/>
            <w:shd w:val="clear" w:color="auto" w:fill="EAEEF2"/>
          </w:tcPr>
          <w:p>
            <w:pPr>
              <w:spacing w:after="0"/>
              <w:rPr>
                <w:sz w:val="7"/>
                <w:szCs w:val="7"/>
                <w:color w:val="auto"/>
              </w:rPr>
            </w:pPr>
          </w:p>
        </w:tc>
        <w:tc>
          <w:tcPr>
            <w:tcW w:w="1680" w:type="dxa"/>
            <w:vAlign w:val="bottom"/>
            <w:shd w:val="clear" w:color="auto" w:fill="EAEEF2"/>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46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Ernst &amp; Young LLP</w:t>
            </w:r>
          </w:p>
        </w:tc>
        <w:tc>
          <w:tcPr>
            <w:tcW w:w="1220" w:type="dxa"/>
            <w:vAlign w:val="bottom"/>
            <w:shd w:val="clear" w:color="auto" w:fill="EAEEF2"/>
          </w:tcPr>
          <w:p>
            <w:pPr>
              <w:spacing w:after="0"/>
              <w:rPr>
                <w:sz w:val="16"/>
                <w:szCs w:val="16"/>
                <w:color w:val="auto"/>
              </w:rPr>
            </w:pPr>
          </w:p>
        </w:tc>
        <w:tc>
          <w:tcPr>
            <w:tcW w:w="1660" w:type="dxa"/>
            <w:vAlign w:val="bottom"/>
            <w:shd w:val="clear" w:color="auto" w:fill="EAEEF2"/>
          </w:tcPr>
          <w:p>
            <w:pPr>
              <w:spacing w:after="0"/>
              <w:rPr>
                <w:sz w:val="16"/>
                <w:szCs w:val="16"/>
                <w:color w:val="auto"/>
              </w:rPr>
            </w:pPr>
          </w:p>
        </w:tc>
        <w:tc>
          <w:tcPr>
            <w:tcW w:w="1440" w:type="dxa"/>
            <w:vAlign w:val="bottom"/>
            <w:shd w:val="clear" w:color="auto" w:fill="EAEEF2"/>
          </w:tcPr>
          <w:p>
            <w:pPr>
              <w:spacing w:after="0"/>
              <w:rPr>
                <w:sz w:val="16"/>
                <w:szCs w:val="16"/>
                <w:color w:val="auto"/>
              </w:rPr>
            </w:pPr>
          </w:p>
        </w:tc>
        <w:tc>
          <w:tcPr>
            <w:tcW w:w="1760" w:type="dxa"/>
            <w:vAlign w:val="bottom"/>
            <w:shd w:val="clear" w:color="auto" w:fill="EAEEF2"/>
          </w:tcPr>
          <w:p>
            <w:pPr>
              <w:spacing w:after="0"/>
              <w:rPr>
                <w:sz w:val="16"/>
                <w:szCs w:val="16"/>
                <w:color w:val="auto"/>
              </w:rPr>
            </w:pPr>
          </w:p>
        </w:tc>
        <w:tc>
          <w:tcPr>
            <w:tcW w:w="1680" w:type="dxa"/>
            <w:vAlign w:val="bottom"/>
            <w:shd w:val="clear" w:color="auto" w:fill="EAEEF2"/>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3460" w:type="dxa"/>
            <w:vAlign w:val="bottom"/>
            <w:shd w:val="clear" w:color="auto" w:fill="EAEEF2"/>
          </w:tcPr>
          <w:p>
            <w:pPr>
              <w:spacing w:after="0"/>
              <w:rPr>
                <w:sz w:val="6"/>
                <w:szCs w:val="6"/>
                <w:color w:val="auto"/>
              </w:rPr>
            </w:pPr>
          </w:p>
        </w:tc>
        <w:tc>
          <w:tcPr>
            <w:tcW w:w="1220" w:type="dxa"/>
            <w:vAlign w:val="bottom"/>
            <w:shd w:val="clear" w:color="auto" w:fill="EAEEF2"/>
          </w:tcPr>
          <w:p>
            <w:pPr>
              <w:spacing w:after="0"/>
              <w:rPr>
                <w:sz w:val="6"/>
                <w:szCs w:val="6"/>
                <w:color w:val="auto"/>
              </w:rPr>
            </w:pPr>
          </w:p>
        </w:tc>
        <w:tc>
          <w:tcPr>
            <w:tcW w:w="1660" w:type="dxa"/>
            <w:vAlign w:val="bottom"/>
            <w:shd w:val="clear" w:color="auto" w:fill="EAEEF2"/>
          </w:tcPr>
          <w:p>
            <w:pPr>
              <w:spacing w:after="0"/>
              <w:rPr>
                <w:sz w:val="6"/>
                <w:szCs w:val="6"/>
                <w:color w:val="auto"/>
              </w:rPr>
            </w:pPr>
          </w:p>
        </w:tc>
        <w:tc>
          <w:tcPr>
            <w:tcW w:w="1440" w:type="dxa"/>
            <w:vAlign w:val="bottom"/>
            <w:shd w:val="clear" w:color="auto" w:fill="EAEEF2"/>
          </w:tcPr>
          <w:p>
            <w:pPr>
              <w:spacing w:after="0"/>
              <w:rPr>
                <w:sz w:val="6"/>
                <w:szCs w:val="6"/>
                <w:color w:val="auto"/>
              </w:rPr>
            </w:pPr>
          </w:p>
        </w:tc>
        <w:tc>
          <w:tcPr>
            <w:tcW w:w="1760" w:type="dxa"/>
            <w:vAlign w:val="bottom"/>
            <w:shd w:val="clear" w:color="auto" w:fill="EAEEF2"/>
          </w:tcPr>
          <w:p>
            <w:pPr>
              <w:spacing w:after="0"/>
              <w:rPr>
                <w:sz w:val="6"/>
                <w:szCs w:val="6"/>
                <w:color w:val="auto"/>
              </w:rPr>
            </w:pPr>
          </w:p>
        </w:tc>
        <w:tc>
          <w:tcPr>
            <w:tcW w:w="1680" w:type="dxa"/>
            <w:vAlign w:val="bottom"/>
            <w:shd w:val="clear" w:color="auto" w:fill="EAEEF2"/>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460" w:type="dxa"/>
            <w:vAlign w:val="bottom"/>
          </w:tcPr>
          <w:p>
            <w:pPr>
              <w:ind w:left="100"/>
              <w:spacing w:after="0"/>
              <w:rPr>
                <w:sz w:val="20"/>
                <w:szCs w:val="20"/>
                <w:color w:val="auto"/>
              </w:rPr>
            </w:pPr>
            <w:r>
              <w:rPr>
                <w:rFonts w:ascii="Arial" w:cs="Arial" w:eastAsia="Arial" w:hAnsi="Arial"/>
                <w:sz w:val="14"/>
                <w:szCs w:val="14"/>
                <w:b w:val="1"/>
                <w:bCs w:val="1"/>
                <w:color w:val="4D4D4F"/>
              </w:rPr>
              <w:t>Richard A. Kassar</w:t>
            </w:r>
          </w:p>
        </w:tc>
        <w:tc>
          <w:tcPr>
            <w:tcW w:w="1220" w:type="dxa"/>
            <w:vAlign w:val="bottom"/>
            <w:vMerge w:val="restart"/>
          </w:tcPr>
          <w:p>
            <w:pPr>
              <w:jc w:val="center"/>
              <w:ind w:left="129"/>
              <w:spacing w:after="0"/>
              <w:rPr>
                <w:sz w:val="20"/>
                <w:szCs w:val="20"/>
                <w:color w:val="auto"/>
              </w:rPr>
            </w:pPr>
            <w:r>
              <w:rPr>
                <w:rFonts w:ascii="Wingdings" w:cs="Wingdings" w:eastAsia="Wingdings" w:hAnsi="Wingdings"/>
                <w:sz w:val="14"/>
                <w:szCs w:val="14"/>
                <w:b w:val="1"/>
                <w:bCs w:val="1"/>
                <w:color w:val="298655"/>
                <w:w w:val="95"/>
              </w:rPr>
              <w:t>l</w:t>
            </w:r>
          </w:p>
        </w:tc>
        <w:tc>
          <w:tcPr>
            <w:tcW w:w="1660" w:type="dxa"/>
            <w:vAlign w:val="bottom"/>
            <w:vMerge w:val="restart"/>
          </w:tcPr>
          <w:p>
            <w:pPr>
              <w:jc w:val="center"/>
              <w:ind w:left="9"/>
              <w:spacing w:after="0"/>
              <w:rPr>
                <w:sz w:val="20"/>
                <w:szCs w:val="20"/>
                <w:color w:val="auto"/>
              </w:rPr>
            </w:pPr>
            <w:r>
              <w:rPr>
                <w:rFonts w:ascii="Wingdings" w:cs="Wingdings" w:eastAsia="Wingdings" w:hAnsi="Wingdings"/>
                <w:sz w:val="14"/>
                <w:szCs w:val="14"/>
                <w:b w:val="1"/>
                <w:bCs w:val="1"/>
                <w:color w:val="298655"/>
                <w:w w:val="95"/>
              </w:rPr>
              <w:t>l</w:t>
            </w:r>
          </w:p>
        </w:tc>
        <w:tc>
          <w:tcPr>
            <w:tcW w:w="144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298655"/>
                <w:w w:val="95"/>
              </w:rPr>
              <w:t>l</w:t>
            </w:r>
          </w:p>
        </w:tc>
        <w:tc>
          <w:tcPr>
            <w:tcW w:w="176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298655"/>
                <w:w w:val="95"/>
              </w:rPr>
              <w:t>l</w:t>
            </w:r>
          </w:p>
        </w:tc>
        <w:tc>
          <w:tcPr>
            <w:tcW w:w="0" w:type="dxa"/>
            <w:vAlign w:val="bottom"/>
          </w:tcPr>
          <w:p>
            <w:pPr>
              <w:spacing w:after="0"/>
              <w:rPr>
                <w:sz w:val="1"/>
                <w:szCs w:val="1"/>
                <w:color w:val="auto"/>
              </w:rPr>
            </w:pPr>
          </w:p>
        </w:tc>
      </w:tr>
      <w:tr>
        <w:trPr>
          <w:trHeight w:val="105"/>
        </w:trPr>
        <w:tc>
          <w:tcPr>
            <w:tcW w:w="3460" w:type="dxa"/>
            <w:vAlign w:val="bottom"/>
            <w:vMerge w:val="restart"/>
          </w:tcPr>
          <w:p>
            <w:pPr>
              <w:ind w:left="100"/>
              <w:spacing w:after="0"/>
              <w:rPr>
                <w:sz w:val="20"/>
                <w:szCs w:val="20"/>
                <w:color w:val="auto"/>
              </w:rPr>
            </w:pPr>
            <w:r>
              <w:rPr>
                <w:rFonts w:ascii="Arial" w:cs="Arial" w:eastAsia="Arial" w:hAnsi="Arial"/>
                <w:sz w:val="14"/>
                <w:szCs w:val="14"/>
                <w:color w:val="4D4D4F"/>
              </w:rPr>
              <w:t>Retired Vice Chairman</w:t>
            </w:r>
          </w:p>
        </w:tc>
        <w:tc>
          <w:tcPr>
            <w:tcW w:w="12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46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00"/>
              <w:spacing w:after="0"/>
              <w:rPr>
                <w:sz w:val="20"/>
                <w:szCs w:val="20"/>
                <w:color w:val="auto"/>
              </w:rPr>
            </w:pPr>
            <w:r>
              <w:rPr>
                <w:rFonts w:ascii="Arial" w:cs="Arial" w:eastAsia="Arial" w:hAnsi="Arial"/>
                <w:sz w:val="14"/>
                <w:szCs w:val="14"/>
                <w:color w:val="4D4D4F"/>
              </w:rPr>
              <w:t>Freshpet, Inc.</w:t>
            </w:r>
          </w:p>
        </w:tc>
        <w:tc>
          <w:tcPr>
            <w:tcW w:w="1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3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46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John L. Manley</w:t>
            </w:r>
          </w:p>
        </w:tc>
        <w:tc>
          <w:tcPr>
            <w:tcW w:w="1220" w:type="dxa"/>
            <w:vAlign w:val="bottom"/>
            <w:shd w:val="clear" w:color="auto" w:fill="EAEEF2"/>
          </w:tcPr>
          <w:p>
            <w:pPr>
              <w:spacing w:after="0"/>
              <w:rPr>
                <w:sz w:val="15"/>
                <w:szCs w:val="15"/>
                <w:color w:val="auto"/>
              </w:rPr>
            </w:pPr>
          </w:p>
        </w:tc>
        <w:tc>
          <w:tcPr>
            <w:tcW w:w="1660" w:type="dxa"/>
            <w:vAlign w:val="bottom"/>
            <w:shd w:val="clear" w:color="auto" w:fill="EAEEF2"/>
          </w:tcPr>
          <w:p>
            <w:pPr>
              <w:spacing w:after="0"/>
              <w:rPr>
                <w:sz w:val="15"/>
                <w:szCs w:val="15"/>
                <w:color w:val="auto"/>
              </w:rPr>
            </w:pPr>
          </w:p>
        </w:tc>
        <w:tc>
          <w:tcPr>
            <w:tcW w:w="1440" w:type="dxa"/>
            <w:vAlign w:val="bottom"/>
            <w:vMerge w:val="restart"/>
            <w:shd w:val="clear" w:color="auto" w:fill="EAEEF2"/>
          </w:tcPr>
          <w:p>
            <w:pPr>
              <w:jc w:val="center"/>
              <w:spacing w:after="0"/>
              <w:rPr>
                <w:sz w:val="20"/>
                <w:szCs w:val="20"/>
                <w:color w:val="auto"/>
              </w:rPr>
            </w:pPr>
            <w:r>
              <w:rPr>
                <w:rFonts w:ascii="Wingdings" w:cs="Wingdings" w:eastAsia="Wingdings" w:hAnsi="Wingdings"/>
                <w:sz w:val="14"/>
                <w:szCs w:val="14"/>
                <w:b w:val="1"/>
                <w:bCs w:val="1"/>
                <w:color w:val="298655"/>
                <w:w w:val="95"/>
              </w:rPr>
              <w:t>l</w:t>
            </w:r>
          </w:p>
        </w:tc>
        <w:tc>
          <w:tcPr>
            <w:tcW w:w="1760" w:type="dxa"/>
            <w:vAlign w:val="bottom"/>
            <w:shd w:val="clear" w:color="auto" w:fill="EAEEF2"/>
          </w:tcPr>
          <w:p>
            <w:pPr>
              <w:spacing w:after="0"/>
              <w:rPr>
                <w:sz w:val="15"/>
                <w:szCs w:val="15"/>
                <w:color w:val="auto"/>
              </w:rPr>
            </w:pPr>
          </w:p>
        </w:tc>
        <w:tc>
          <w:tcPr>
            <w:tcW w:w="1680" w:type="dxa"/>
            <w:vAlign w:val="bottom"/>
            <w:vMerge w:val="restart"/>
            <w:shd w:val="clear" w:color="auto" w:fill="EAEEF2"/>
          </w:tcPr>
          <w:p>
            <w:pPr>
              <w:jc w:val="center"/>
              <w:spacing w:after="0"/>
              <w:rPr>
                <w:sz w:val="20"/>
                <w:szCs w:val="20"/>
                <w:color w:val="auto"/>
              </w:rPr>
            </w:pPr>
            <w:r>
              <w:rPr>
                <w:rFonts w:ascii="Wingdings" w:cs="Wingdings" w:eastAsia="Wingdings" w:hAnsi="Wingdings"/>
                <w:sz w:val="14"/>
                <w:szCs w:val="14"/>
                <w:b w:val="1"/>
                <w:bCs w:val="1"/>
                <w:color w:val="298655"/>
                <w:w w:val="95"/>
              </w:rPr>
              <w:t>l</w:t>
            </w:r>
          </w:p>
        </w:tc>
        <w:tc>
          <w:tcPr>
            <w:tcW w:w="0" w:type="dxa"/>
            <w:vAlign w:val="bottom"/>
          </w:tcPr>
          <w:p>
            <w:pPr>
              <w:spacing w:after="0"/>
              <w:rPr>
                <w:sz w:val="1"/>
                <w:szCs w:val="1"/>
                <w:color w:val="auto"/>
              </w:rPr>
            </w:pPr>
          </w:p>
        </w:tc>
      </w:tr>
      <w:tr>
        <w:trPr>
          <w:trHeight w:val="105"/>
        </w:trPr>
        <w:tc>
          <w:tcPr>
            <w:tcW w:w="346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Retired Partner</w:t>
            </w:r>
          </w:p>
        </w:tc>
        <w:tc>
          <w:tcPr>
            <w:tcW w:w="1220" w:type="dxa"/>
            <w:vAlign w:val="bottom"/>
            <w:shd w:val="clear" w:color="auto" w:fill="EAEEF2"/>
          </w:tcPr>
          <w:p>
            <w:pPr>
              <w:spacing w:after="0"/>
              <w:rPr>
                <w:sz w:val="9"/>
                <w:szCs w:val="9"/>
                <w:color w:val="auto"/>
              </w:rPr>
            </w:pPr>
          </w:p>
        </w:tc>
        <w:tc>
          <w:tcPr>
            <w:tcW w:w="1660" w:type="dxa"/>
            <w:vAlign w:val="bottom"/>
            <w:shd w:val="clear" w:color="auto" w:fill="EAEEF2"/>
          </w:tcPr>
          <w:p>
            <w:pPr>
              <w:spacing w:after="0"/>
              <w:rPr>
                <w:sz w:val="9"/>
                <w:szCs w:val="9"/>
                <w:color w:val="auto"/>
              </w:rPr>
            </w:pPr>
          </w:p>
        </w:tc>
        <w:tc>
          <w:tcPr>
            <w:tcW w:w="1440" w:type="dxa"/>
            <w:vAlign w:val="bottom"/>
            <w:vMerge w:val="continue"/>
            <w:shd w:val="clear" w:color="auto" w:fill="EAEEF2"/>
          </w:tcPr>
          <w:p>
            <w:pPr>
              <w:spacing w:after="0"/>
              <w:rPr>
                <w:sz w:val="9"/>
                <w:szCs w:val="9"/>
                <w:color w:val="auto"/>
              </w:rPr>
            </w:pPr>
          </w:p>
        </w:tc>
        <w:tc>
          <w:tcPr>
            <w:tcW w:w="1760" w:type="dxa"/>
            <w:vAlign w:val="bottom"/>
            <w:shd w:val="clear" w:color="auto" w:fill="EAEEF2"/>
          </w:tcPr>
          <w:p>
            <w:pPr>
              <w:spacing w:after="0"/>
              <w:rPr>
                <w:sz w:val="9"/>
                <w:szCs w:val="9"/>
                <w:color w:val="auto"/>
              </w:rPr>
            </w:pPr>
          </w:p>
        </w:tc>
        <w:tc>
          <w:tcPr>
            <w:tcW w:w="1680" w:type="dxa"/>
            <w:vAlign w:val="bottom"/>
            <w:vMerge w:val="continue"/>
            <w:shd w:val="clear" w:color="auto" w:fill="EAEEF2"/>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460" w:type="dxa"/>
            <w:vAlign w:val="bottom"/>
            <w:vMerge w:val="continue"/>
            <w:shd w:val="clear" w:color="auto" w:fill="EAEEF2"/>
          </w:tcPr>
          <w:p>
            <w:pPr>
              <w:spacing w:after="0"/>
              <w:rPr>
                <w:sz w:val="7"/>
                <w:szCs w:val="7"/>
                <w:color w:val="auto"/>
              </w:rPr>
            </w:pPr>
          </w:p>
        </w:tc>
        <w:tc>
          <w:tcPr>
            <w:tcW w:w="1220" w:type="dxa"/>
            <w:vAlign w:val="bottom"/>
            <w:shd w:val="clear" w:color="auto" w:fill="EAEEF2"/>
          </w:tcPr>
          <w:p>
            <w:pPr>
              <w:spacing w:after="0"/>
              <w:rPr>
                <w:sz w:val="7"/>
                <w:szCs w:val="7"/>
                <w:color w:val="auto"/>
              </w:rPr>
            </w:pPr>
          </w:p>
        </w:tc>
        <w:tc>
          <w:tcPr>
            <w:tcW w:w="1660" w:type="dxa"/>
            <w:vAlign w:val="bottom"/>
            <w:shd w:val="clear" w:color="auto" w:fill="EAEEF2"/>
          </w:tcPr>
          <w:p>
            <w:pPr>
              <w:spacing w:after="0"/>
              <w:rPr>
                <w:sz w:val="7"/>
                <w:szCs w:val="7"/>
                <w:color w:val="auto"/>
              </w:rPr>
            </w:pPr>
          </w:p>
        </w:tc>
        <w:tc>
          <w:tcPr>
            <w:tcW w:w="1440" w:type="dxa"/>
            <w:vAlign w:val="bottom"/>
            <w:shd w:val="clear" w:color="auto" w:fill="EAEEF2"/>
          </w:tcPr>
          <w:p>
            <w:pPr>
              <w:spacing w:after="0"/>
              <w:rPr>
                <w:sz w:val="7"/>
                <w:szCs w:val="7"/>
                <w:color w:val="auto"/>
              </w:rPr>
            </w:pPr>
          </w:p>
        </w:tc>
        <w:tc>
          <w:tcPr>
            <w:tcW w:w="1760" w:type="dxa"/>
            <w:vAlign w:val="bottom"/>
            <w:shd w:val="clear" w:color="auto" w:fill="EAEEF2"/>
          </w:tcPr>
          <w:p>
            <w:pPr>
              <w:spacing w:after="0"/>
              <w:rPr>
                <w:sz w:val="7"/>
                <w:szCs w:val="7"/>
                <w:color w:val="auto"/>
              </w:rPr>
            </w:pPr>
          </w:p>
        </w:tc>
        <w:tc>
          <w:tcPr>
            <w:tcW w:w="1680" w:type="dxa"/>
            <w:vAlign w:val="bottom"/>
            <w:shd w:val="clear" w:color="auto" w:fill="EAEEF2"/>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46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Deloitte &amp; Touche LLP</w:t>
            </w:r>
          </w:p>
        </w:tc>
        <w:tc>
          <w:tcPr>
            <w:tcW w:w="1220" w:type="dxa"/>
            <w:vAlign w:val="bottom"/>
            <w:shd w:val="clear" w:color="auto" w:fill="EAEEF2"/>
          </w:tcPr>
          <w:p>
            <w:pPr>
              <w:spacing w:after="0"/>
              <w:rPr>
                <w:sz w:val="16"/>
                <w:szCs w:val="16"/>
                <w:color w:val="auto"/>
              </w:rPr>
            </w:pPr>
          </w:p>
        </w:tc>
        <w:tc>
          <w:tcPr>
            <w:tcW w:w="1660" w:type="dxa"/>
            <w:vAlign w:val="bottom"/>
            <w:shd w:val="clear" w:color="auto" w:fill="EAEEF2"/>
          </w:tcPr>
          <w:p>
            <w:pPr>
              <w:spacing w:after="0"/>
              <w:rPr>
                <w:sz w:val="16"/>
                <w:szCs w:val="16"/>
                <w:color w:val="auto"/>
              </w:rPr>
            </w:pPr>
          </w:p>
        </w:tc>
        <w:tc>
          <w:tcPr>
            <w:tcW w:w="1440" w:type="dxa"/>
            <w:vAlign w:val="bottom"/>
            <w:shd w:val="clear" w:color="auto" w:fill="EAEEF2"/>
          </w:tcPr>
          <w:p>
            <w:pPr>
              <w:spacing w:after="0"/>
              <w:rPr>
                <w:sz w:val="16"/>
                <w:szCs w:val="16"/>
                <w:color w:val="auto"/>
              </w:rPr>
            </w:pPr>
          </w:p>
        </w:tc>
        <w:tc>
          <w:tcPr>
            <w:tcW w:w="1760" w:type="dxa"/>
            <w:vAlign w:val="bottom"/>
            <w:shd w:val="clear" w:color="auto" w:fill="EAEEF2"/>
          </w:tcPr>
          <w:p>
            <w:pPr>
              <w:spacing w:after="0"/>
              <w:rPr>
                <w:sz w:val="16"/>
                <w:szCs w:val="16"/>
                <w:color w:val="auto"/>
              </w:rPr>
            </w:pPr>
          </w:p>
        </w:tc>
        <w:tc>
          <w:tcPr>
            <w:tcW w:w="1680" w:type="dxa"/>
            <w:vAlign w:val="bottom"/>
            <w:shd w:val="clear" w:color="auto" w:fill="EAEEF2"/>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3460" w:type="dxa"/>
            <w:vAlign w:val="bottom"/>
            <w:shd w:val="clear" w:color="auto" w:fill="EAEEF2"/>
          </w:tcPr>
          <w:p>
            <w:pPr>
              <w:spacing w:after="0"/>
              <w:rPr>
                <w:sz w:val="6"/>
                <w:szCs w:val="6"/>
                <w:color w:val="auto"/>
              </w:rPr>
            </w:pPr>
          </w:p>
        </w:tc>
        <w:tc>
          <w:tcPr>
            <w:tcW w:w="1220" w:type="dxa"/>
            <w:vAlign w:val="bottom"/>
            <w:shd w:val="clear" w:color="auto" w:fill="EAEEF2"/>
          </w:tcPr>
          <w:p>
            <w:pPr>
              <w:spacing w:after="0"/>
              <w:rPr>
                <w:sz w:val="6"/>
                <w:szCs w:val="6"/>
                <w:color w:val="auto"/>
              </w:rPr>
            </w:pPr>
          </w:p>
        </w:tc>
        <w:tc>
          <w:tcPr>
            <w:tcW w:w="1660" w:type="dxa"/>
            <w:vAlign w:val="bottom"/>
            <w:shd w:val="clear" w:color="auto" w:fill="EAEEF2"/>
          </w:tcPr>
          <w:p>
            <w:pPr>
              <w:spacing w:after="0"/>
              <w:rPr>
                <w:sz w:val="6"/>
                <w:szCs w:val="6"/>
                <w:color w:val="auto"/>
              </w:rPr>
            </w:pPr>
          </w:p>
        </w:tc>
        <w:tc>
          <w:tcPr>
            <w:tcW w:w="1440" w:type="dxa"/>
            <w:vAlign w:val="bottom"/>
            <w:shd w:val="clear" w:color="auto" w:fill="EAEEF2"/>
          </w:tcPr>
          <w:p>
            <w:pPr>
              <w:spacing w:after="0"/>
              <w:rPr>
                <w:sz w:val="6"/>
                <w:szCs w:val="6"/>
                <w:color w:val="auto"/>
              </w:rPr>
            </w:pPr>
          </w:p>
        </w:tc>
        <w:tc>
          <w:tcPr>
            <w:tcW w:w="1760" w:type="dxa"/>
            <w:vAlign w:val="bottom"/>
            <w:shd w:val="clear" w:color="auto" w:fill="EAEEF2"/>
          </w:tcPr>
          <w:p>
            <w:pPr>
              <w:spacing w:after="0"/>
              <w:rPr>
                <w:sz w:val="6"/>
                <w:szCs w:val="6"/>
                <w:color w:val="auto"/>
              </w:rPr>
            </w:pPr>
          </w:p>
        </w:tc>
        <w:tc>
          <w:tcPr>
            <w:tcW w:w="1680" w:type="dxa"/>
            <w:vAlign w:val="bottom"/>
            <w:shd w:val="clear" w:color="auto" w:fill="EAEEF2"/>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460" w:type="dxa"/>
            <w:vAlign w:val="bottom"/>
          </w:tcPr>
          <w:p>
            <w:pPr>
              <w:ind w:left="100"/>
              <w:spacing w:after="0"/>
              <w:rPr>
                <w:sz w:val="20"/>
                <w:szCs w:val="20"/>
                <w:color w:val="auto"/>
              </w:rPr>
            </w:pPr>
            <w:r>
              <w:rPr>
                <w:rFonts w:ascii="Arial" w:cs="Arial" w:eastAsia="Arial" w:hAnsi="Arial"/>
                <w:sz w:val="14"/>
                <w:szCs w:val="14"/>
                <w:b w:val="1"/>
                <w:bCs w:val="1"/>
                <w:color w:val="4D4D4F"/>
              </w:rPr>
              <w:t>Stephen K. Roddenberry</w:t>
            </w:r>
          </w:p>
        </w:tc>
        <w:tc>
          <w:tcPr>
            <w:tcW w:w="1220" w:type="dxa"/>
            <w:vAlign w:val="bottom"/>
          </w:tcPr>
          <w:p>
            <w:pPr>
              <w:spacing w:after="0"/>
              <w:rPr>
                <w:sz w:val="15"/>
                <w:szCs w:val="15"/>
                <w:color w:val="auto"/>
              </w:rPr>
            </w:pPr>
          </w:p>
        </w:tc>
        <w:tc>
          <w:tcPr>
            <w:tcW w:w="1660" w:type="dxa"/>
            <w:vAlign w:val="bottom"/>
            <w:vMerge w:val="restart"/>
          </w:tcPr>
          <w:p>
            <w:pPr>
              <w:jc w:val="center"/>
              <w:ind w:left="9"/>
              <w:spacing w:after="0"/>
              <w:rPr>
                <w:sz w:val="20"/>
                <w:szCs w:val="20"/>
                <w:color w:val="auto"/>
              </w:rPr>
            </w:pPr>
            <w:r>
              <w:rPr>
                <w:rFonts w:ascii="Wingdings" w:cs="Wingdings" w:eastAsia="Wingdings" w:hAnsi="Wingdings"/>
                <w:sz w:val="14"/>
                <w:szCs w:val="14"/>
                <w:b w:val="1"/>
                <w:bCs w:val="1"/>
                <w:color w:val="298655"/>
                <w:w w:val="95"/>
              </w:rPr>
              <w:t>l</w:t>
            </w:r>
          </w:p>
        </w:tc>
        <w:tc>
          <w:tcPr>
            <w:tcW w:w="1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460" w:type="dxa"/>
            <w:vAlign w:val="bottom"/>
            <w:vMerge w:val="restart"/>
          </w:tcPr>
          <w:p>
            <w:pPr>
              <w:ind w:left="100"/>
              <w:spacing w:after="0"/>
              <w:rPr>
                <w:sz w:val="20"/>
                <w:szCs w:val="20"/>
                <w:color w:val="auto"/>
              </w:rPr>
            </w:pPr>
            <w:r>
              <w:rPr>
                <w:rFonts w:ascii="Arial" w:cs="Arial" w:eastAsia="Arial" w:hAnsi="Arial"/>
                <w:sz w:val="14"/>
                <w:szCs w:val="14"/>
                <w:color w:val="4D4D4F"/>
              </w:rPr>
              <w:t>Partner</w:t>
            </w:r>
          </w:p>
        </w:tc>
        <w:tc>
          <w:tcPr>
            <w:tcW w:w="12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46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00"/>
              <w:spacing w:after="0"/>
              <w:rPr>
                <w:sz w:val="20"/>
                <w:szCs w:val="20"/>
                <w:color w:val="auto"/>
              </w:rPr>
            </w:pPr>
            <w:r>
              <w:rPr>
                <w:rFonts w:ascii="Arial" w:cs="Arial" w:eastAsia="Arial" w:hAnsi="Arial"/>
                <w:sz w:val="14"/>
                <w:szCs w:val="14"/>
                <w:color w:val="4D4D4F"/>
              </w:rPr>
              <w:t>Akerman LLP</w:t>
            </w:r>
          </w:p>
        </w:tc>
        <w:tc>
          <w:tcPr>
            <w:tcW w:w="1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460" w:type="dxa"/>
            <w:vAlign w:val="bottom"/>
          </w:tcPr>
          <w:p>
            <w:pPr>
              <w:ind w:left="100"/>
              <w:spacing w:after="0"/>
              <w:rPr>
                <w:sz w:val="20"/>
                <w:szCs w:val="20"/>
                <w:color w:val="auto"/>
              </w:rPr>
            </w:pPr>
            <w:r>
              <w:rPr>
                <w:rFonts w:ascii="Arial" w:cs="Arial" w:eastAsia="Arial" w:hAnsi="Arial"/>
                <w:sz w:val="14"/>
                <w:szCs w:val="14"/>
                <w:b w:val="1"/>
                <w:bCs w:val="1"/>
                <w:color w:val="4D4D4F"/>
              </w:rPr>
              <w:t>Jill B. Smart</w:t>
            </w:r>
          </w:p>
        </w:tc>
        <w:tc>
          <w:tcPr>
            <w:tcW w:w="1220" w:type="dxa"/>
            <w:vAlign w:val="bottom"/>
          </w:tcPr>
          <w:p>
            <w:pPr>
              <w:spacing w:after="0"/>
              <w:rPr>
                <w:sz w:val="24"/>
                <w:szCs w:val="24"/>
                <w:color w:val="auto"/>
              </w:rPr>
            </w:pPr>
          </w:p>
        </w:tc>
        <w:tc>
          <w:tcPr>
            <w:tcW w:w="1660" w:type="dxa"/>
            <w:vAlign w:val="bottom"/>
          </w:tcPr>
          <w:p>
            <w:pPr>
              <w:jc w:val="center"/>
              <w:ind w:left="9"/>
              <w:spacing w:after="0"/>
              <w:rPr>
                <w:sz w:val="20"/>
                <w:szCs w:val="20"/>
                <w:color w:val="auto"/>
              </w:rPr>
            </w:pPr>
            <w:r>
              <w:rPr>
                <w:rFonts w:ascii="Wingdings" w:cs="Wingdings" w:eastAsia="Wingdings" w:hAnsi="Wingdings"/>
                <w:sz w:val="14"/>
                <w:szCs w:val="14"/>
                <w:b w:val="1"/>
                <w:bCs w:val="1"/>
                <w:color w:val="298655"/>
                <w:w w:val="95"/>
              </w:rPr>
              <w:t>l</w:t>
            </w:r>
          </w:p>
        </w:tc>
        <w:tc>
          <w:tcPr>
            <w:tcW w:w="1440" w:type="dxa"/>
            <w:vAlign w:val="bottom"/>
          </w:tcPr>
          <w:p>
            <w:pPr>
              <w:jc w:val="center"/>
              <w:spacing w:after="0"/>
              <w:rPr>
                <w:sz w:val="20"/>
                <w:szCs w:val="20"/>
                <w:color w:val="auto"/>
              </w:rPr>
            </w:pPr>
            <w:r>
              <w:rPr>
                <w:rFonts w:ascii="Wingdings" w:cs="Wingdings" w:eastAsia="Wingdings" w:hAnsi="Wingdings"/>
                <w:sz w:val="14"/>
                <w:szCs w:val="14"/>
                <w:b w:val="1"/>
                <w:bCs w:val="1"/>
                <w:color w:val="298655"/>
                <w:w w:val="95"/>
              </w:rPr>
              <w:t>l</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4032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15175" cy="40322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-2458720</wp:posOffset>
            </wp:positionV>
            <wp:extent cx="120015" cy="1117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-2055495</wp:posOffset>
            </wp:positionV>
            <wp:extent cx="120015" cy="1117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-2055495</wp:posOffset>
            </wp:positionV>
            <wp:extent cx="120015" cy="1117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-847090</wp:posOffset>
            </wp:positionV>
            <wp:extent cx="120015" cy="1111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-443865</wp:posOffset>
            </wp:positionV>
            <wp:extent cx="120015" cy="1117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1117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460" w:type="dxa"/>
            <w:vAlign w:val="bottom"/>
          </w:tcPr>
          <w:p>
            <w:pPr>
              <w:ind w:left="100"/>
              <w:spacing w:after="0"/>
              <w:rPr>
                <w:sz w:val="20"/>
                <w:szCs w:val="20"/>
                <w:color w:val="auto"/>
              </w:rPr>
            </w:pPr>
            <w:r>
              <w:rPr>
                <w:rFonts w:ascii="Arial" w:cs="Arial" w:eastAsia="Arial" w:hAnsi="Arial"/>
                <w:sz w:val="14"/>
                <w:szCs w:val="14"/>
                <w:color w:val="4D4D4F"/>
              </w:rPr>
              <w:t>President Emeritus</w:t>
            </w:r>
          </w:p>
        </w:tc>
        <w:tc>
          <w:tcPr>
            <w:tcW w:w="418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40" w:type="dxa"/>
            <w:vAlign w:val="bottom"/>
            <w:gridSpan w:val="2"/>
          </w:tcPr>
          <w:p>
            <w:pPr>
              <w:ind w:left="100"/>
              <w:spacing w:after="0"/>
              <w:rPr>
                <w:sz w:val="20"/>
                <w:szCs w:val="20"/>
                <w:color w:val="auto"/>
              </w:rPr>
            </w:pPr>
            <w:r>
              <w:rPr>
                <w:rFonts w:ascii="Arial" w:cs="Arial" w:eastAsia="Arial" w:hAnsi="Arial"/>
                <w:sz w:val="14"/>
                <w:szCs w:val="14"/>
                <w:color w:val="4D4D4F"/>
              </w:rPr>
              <w:t>National Academy of Human Resources</w:t>
            </w:r>
          </w:p>
        </w:tc>
        <w:tc>
          <w:tcPr>
            <w:tcW w:w="5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460" w:type="dxa"/>
            <w:vAlign w:val="bottom"/>
          </w:tcPr>
          <w:p>
            <w:pPr>
              <w:ind w:left="100"/>
              <w:spacing w:after="0"/>
              <w:rPr>
                <w:sz w:val="20"/>
                <w:szCs w:val="20"/>
                <w:color w:val="auto"/>
              </w:rPr>
            </w:pPr>
            <w:r>
              <w:rPr>
                <w:rFonts w:ascii="Arial" w:cs="Arial" w:eastAsia="Arial" w:hAnsi="Arial"/>
                <w:sz w:val="14"/>
                <w:szCs w:val="14"/>
                <w:b w:val="1"/>
                <w:bCs w:val="1"/>
                <w:color w:val="4D4D4F"/>
              </w:rPr>
              <w:t>Paul H. Stebbins</w:t>
            </w:r>
          </w:p>
        </w:tc>
        <w:tc>
          <w:tcPr>
            <w:tcW w:w="4180" w:type="dxa"/>
            <w:vAlign w:val="bottom"/>
          </w:tcPr>
          <w:p>
            <w:pPr>
              <w:spacing w:after="0"/>
              <w:rPr>
                <w:sz w:val="22"/>
                <w:szCs w:val="22"/>
                <w:color w:val="auto"/>
              </w:rPr>
            </w:pPr>
          </w:p>
        </w:tc>
        <w:tc>
          <w:tcPr>
            <w:tcW w:w="5580" w:type="dxa"/>
            <w:vAlign w:val="bottom"/>
            <w:vMerge w:val="restart"/>
          </w:tcPr>
          <w:p>
            <w:pPr>
              <w:ind w:left="2980"/>
              <w:spacing w:after="0"/>
              <w:rPr>
                <w:sz w:val="20"/>
                <w:szCs w:val="20"/>
                <w:color w:val="auto"/>
              </w:rPr>
            </w:pPr>
            <w:r>
              <w:rPr>
                <w:rFonts w:ascii="Wingdings" w:cs="Wingdings" w:eastAsia="Wingdings" w:hAnsi="Wingdings"/>
                <w:sz w:val="14"/>
                <w:szCs w:val="14"/>
                <w:b w:val="1"/>
                <w:bCs w:val="1"/>
                <w:color w:val="298655"/>
              </w:rPr>
              <w:t>l</w:t>
            </w:r>
          </w:p>
        </w:tc>
        <w:tc>
          <w:tcPr>
            <w:tcW w:w="0" w:type="dxa"/>
            <w:vAlign w:val="bottom"/>
          </w:tcPr>
          <w:p>
            <w:pPr>
              <w:spacing w:after="0"/>
              <w:rPr>
                <w:sz w:val="1"/>
                <w:szCs w:val="1"/>
                <w:color w:val="auto"/>
              </w:rPr>
            </w:pPr>
          </w:p>
        </w:tc>
      </w:tr>
      <w:tr>
        <w:trPr>
          <w:trHeight w:val="105"/>
        </w:trPr>
        <w:tc>
          <w:tcPr>
            <w:tcW w:w="1460" w:type="dxa"/>
            <w:vAlign w:val="bottom"/>
            <w:vMerge w:val="restart"/>
          </w:tcPr>
          <w:p>
            <w:pPr>
              <w:ind w:left="100"/>
              <w:spacing w:after="0"/>
              <w:rPr>
                <w:sz w:val="20"/>
                <w:szCs w:val="20"/>
                <w:color w:val="auto"/>
              </w:rPr>
            </w:pPr>
            <w:r>
              <w:rPr>
                <w:rFonts w:ascii="Arial" w:cs="Arial" w:eastAsia="Arial" w:hAnsi="Arial"/>
                <w:sz w:val="14"/>
                <w:szCs w:val="14"/>
                <w:color w:val="4D4D4F"/>
              </w:rPr>
              <w:t>Chairman Emeritus</w:t>
            </w:r>
          </w:p>
        </w:tc>
        <w:tc>
          <w:tcPr>
            <w:tcW w:w="4180" w:type="dxa"/>
            <w:vAlign w:val="bottom"/>
          </w:tcPr>
          <w:p>
            <w:pPr>
              <w:spacing w:after="0"/>
              <w:rPr>
                <w:sz w:val="9"/>
                <w:szCs w:val="9"/>
                <w:color w:val="auto"/>
              </w:rPr>
            </w:pP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46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5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5640" w:type="dxa"/>
            <w:vAlign w:val="bottom"/>
            <w:gridSpan w:val="2"/>
          </w:tcPr>
          <w:p>
            <w:pPr>
              <w:ind w:left="100"/>
              <w:spacing w:after="0"/>
              <w:rPr>
                <w:sz w:val="20"/>
                <w:szCs w:val="20"/>
                <w:color w:val="auto"/>
              </w:rPr>
            </w:pPr>
            <w:r>
              <w:rPr>
                <w:rFonts w:ascii="Arial" w:cs="Arial" w:eastAsia="Arial" w:hAnsi="Arial"/>
                <w:sz w:val="14"/>
                <w:szCs w:val="14"/>
                <w:color w:val="4D4D4F"/>
              </w:rPr>
              <w:t>World Kinect Corporation</w:t>
            </w:r>
          </w:p>
        </w:tc>
        <w:tc>
          <w:tcPr>
            <w:tcW w:w="5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460" w:type="dxa"/>
            <w:vAlign w:val="bottom"/>
            <w:tcBorders>
              <w:bottom w:val="single" w:sz="8" w:color="298655"/>
            </w:tcBorders>
          </w:tcPr>
          <w:p>
            <w:pPr>
              <w:spacing w:after="0"/>
              <w:rPr>
                <w:sz w:val="6"/>
                <w:szCs w:val="6"/>
                <w:color w:val="auto"/>
              </w:rPr>
            </w:pPr>
          </w:p>
        </w:tc>
        <w:tc>
          <w:tcPr>
            <w:tcW w:w="4180" w:type="dxa"/>
            <w:vAlign w:val="bottom"/>
            <w:tcBorders>
              <w:bottom w:val="single" w:sz="8" w:color="298655"/>
            </w:tcBorders>
          </w:tcPr>
          <w:p>
            <w:pPr>
              <w:spacing w:after="0"/>
              <w:rPr>
                <w:sz w:val="6"/>
                <w:szCs w:val="6"/>
                <w:color w:val="auto"/>
              </w:rPr>
            </w:pPr>
          </w:p>
        </w:tc>
        <w:tc>
          <w:tcPr>
            <w:tcW w:w="5580" w:type="dxa"/>
            <w:vAlign w:val="bottom"/>
            <w:tcBorders>
              <w:bottom w:val="single" w:sz="8" w:color="298655"/>
            </w:tcBorders>
          </w:tcPr>
          <w:p>
            <w:pPr>
              <w:spacing w:after="0"/>
              <w:rPr>
                <w:sz w:val="6"/>
                <w:szCs w:val="6"/>
                <w:color w:val="auto"/>
              </w:rPr>
            </w:pPr>
          </w:p>
        </w:tc>
        <w:tc>
          <w:tcPr>
            <w:tcW w:w="0" w:type="dxa"/>
            <w:vAlign w:val="bottom"/>
          </w:tcPr>
          <w:p>
            <w:pPr>
              <w:spacing w:after="0"/>
              <w:rPr>
                <w:sz w:val="1"/>
                <w:szCs w:val="1"/>
                <w:color w:val="auto"/>
              </w:rPr>
            </w:pPr>
          </w:p>
        </w:tc>
      </w:tr>
      <w:tr>
        <w:trPr>
          <w:trHeight w:val="323"/>
        </w:trPr>
        <w:tc>
          <w:tcPr>
            <w:tcW w:w="1460" w:type="dxa"/>
            <w:vAlign w:val="bottom"/>
            <w:vMerge w:val="restart"/>
          </w:tcPr>
          <w:p>
            <w:pPr>
              <w:ind w:left="240"/>
              <w:spacing w:after="0"/>
              <w:rPr>
                <w:sz w:val="20"/>
                <w:szCs w:val="20"/>
                <w:color w:val="auto"/>
              </w:rPr>
            </w:pPr>
            <w:r>
              <w:rPr>
                <w:rFonts w:ascii="Arial" w:cs="Arial" w:eastAsia="Arial" w:hAnsi="Arial"/>
                <w:sz w:val="14"/>
                <w:szCs w:val="14"/>
                <w:color w:val="4D4D4F"/>
              </w:rPr>
              <w:t>– Chair</w:t>
            </w:r>
          </w:p>
        </w:tc>
        <w:tc>
          <w:tcPr>
            <w:tcW w:w="4180" w:type="dxa"/>
            <w:vAlign w:val="bottom"/>
          </w:tcPr>
          <w:p>
            <w:pPr>
              <w:ind w:left="100"/>
              <w:spacing w:after="0"/>
              <w:rPr>
                <w:sz w:val="20"/>
                <w:szCs w:val="20"/>
                <w:color w:val="auto"/>
              </w:rPr>
            </w:pPr>
            <w:r>
              <w:rPr>
                <w:rFonts w:ascii="Wingdings" w:cs="Wingdings" w:eastAsia="Wingdings" w:hAnsi="Wingdings"/>
                <w:sz w:val="14"/>
                <w:szCs w:val="14"/>
                <w:b w:val="1"/>
                <w:bCs w:val="1"/>
                <w:color w:val="298655"/>
              </w:rPr>
              <w:t xml:space="preserve">l </w:t>
            </w:r>
            <w:r>
              <w:rPr>
                <w:rFonts w:ascii="Arial" w:cs="Arial" w:eastAsia="Arial" w:hAnsi="Arial"/>
                <w:sz w:val="14"/>
                <w:szCs w:val="14"/>
                <w:color w:val="4D4D4F"/>
              </w:rPr>
              <w:t>– Member</w:t>
            </w: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vMerge w:val="continue"/>
          </w:tcPr>
          <w:p>
            <w:pPr>
              <w:spacing w:after="0"/>
              <w:rPr>
                <w:sz w:val="4"/>
                <w:szCs w:val="4"/>
                <w:color w:val="auto"/>
              </w:rPr>
            </w:pPr>
          </w:p>
        </w:tc>
        <w:tc>
          <w:tcPr>
            <w:tcW w:w="4180" w:type="dxa"/>
            <w:vAlign w:val="bottom"/>
          </w:tcPr>
          <w:p>
            <w:pPr>
              <w:spacing w:after="0"/>
              <w:rPr>
                <w:sz w:val="4"/>
                <w:szCs w:val="4"/>
                <w:color w:val="auto"/>
              </w:rPr>
            </w:pPr>
          </w:p>
        </w:tc>
        <w:tc>
          <w:tcPr>
            <w:tcW w:w="5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-157480</wp:posOffset>
            </wp:positionV>
            <wp:extent cx="102870" cy="939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pacing w:after="0" w:line="31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4D4D4F"/>
        </w:rPr>
        <w:t>Each of the Board’s committees operates under a written charter adopted by our Board that addresses the purpose, duties and responsibilities of the committee. Each committee reviews its charter at least annually and recommends changes to the Board as appropriate. A current copy of each committee charter can be found on our Investor Relations website at ir.worldkinect.com under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0" w:hanging="534"/>
        <w:spacing w:after="0"/>
        <w:tabs>
          <w:tab w:leader="none" w:pos="560" w:val="left"/>
        </w:tabs>
        <w:numPr>
          <w:ilvl w:val="0"/>
          <w:numId w:val="45"/>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27" w:name="page28"/>
    <w:bookmarkEnd w:id="27"/>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478155</wp:posOffset>
            </wp:positionV>
            <wp:extent cx="951230" cy="951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51230" cy="95186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29B"/>
        </w:rPr>
        <w:t>Chair: John L. Manley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637030" cy="12344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37030" cy="1234440"/>
                    </a:xfrm>
                    <a:prstGeom prst="rect">
                      <a:avLst/>
                    </a:prstGeom>
                    <a:noFill/>
                  </pic:spPr>
                </pic:pic>
              </a:graphicData>
            </a:graphic>
          </wp:anchor>
        </w:drawing>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29B"/>
        </w:rPr>
        <w:t>Other Members: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Jorge L. Benitez</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Sharda Cherwoo</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Richard A. Kassar</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29B"/>
        </w:rPr>
        <w:t xml:space="preserve">Meetings in 2023: </w:t>
      </w:r>
      <w:r>
        <w:rPr>
          <w:rFonts w:ascii="Arial" w:cs="Arial" w:eastAsia="Arial" w:hAnsi="Arial"/>
          <w:sz w:val="14"/>
          <w:szCs w:val="14"/>
          <w:color w:val="4D4D4F"/>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00529B"/>
        </w:rPr>
        <w:t>AUDIT COMMITTEE</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PRIMARY RESPONSIBILITIES</w:t>
      </w:r>
    </w:p>
    <w:p>
      <w:pPr>
        <w:spacing w:after="0" w:line="136" w:lineRule="exact"/>
        <w:rPr>
          <w:sz w:val="20"/>
          <w:szCs w:val="20"/>
          <w:color w:val="auto"/>
        </w:rPr>
      </w:pPr>
    </w:p>
    <w:p>
      <w:pPr>
        <w:ind w:left="240" w:hanging="239"/>
        <w:spacing w:after="0"/>
        <w:tabs>
          <w:tab w:leader="none" w:pos="240" w:val="left"/>
        </w:tabs>
        <w:numPr>
          <w:ilvl w:val="0"/>
          <w:numId w:val="46"/>
        </w:numPr>
        <w:rPr>
          <w:rFonts w:ascii="Arial" w:cs="Arial" w:eastAsia="Arial" w:hAnsi="Arial"/>
          <w:sz w:val="14"/>
          <w:szCs w:val="14"/>
          <w:b w:val="1"/>
          <w:bCs w:val="1"/>
          <w:color w:val="00529B"/>
        </w:rPr>
      </w:pPr>
      <w:r>
        <w:rPr>
          <w:rFonts w:ascii="Arial" w:cs="Arial" w:eastAsia="Arial" w:hAnsi="Arial"/>
          <w:sz w:val="14"/>
          <w:szCs w:val="14"/>
          <w:color w:val="4D4D4F"/>
        </w:rPr>
        <w:t>Oversees and reviews the financial reporting process, integrity of our financial statements and related financial information.</w:t>
      </w:r>
    </w:p>
    <w:p>
      <w:pPr>
        <w:spacing w:after="0" w:line="68" w:lineRule="exact"/>
        <w:rPr>
          <w:rFonts w:ascii="Arial" w:cs="Arial" w:eastAsia="Arial" w:hAnsi="Arial"/>
          <w:sz w:val="14"/>
          <w:szCs w:val="14"/>
          <w:b w:val="1"/>
          <w:bCs w:val="1"/>
          <w:color w:val="00529B"/>
        </w:rPr>
      </w:pPr>
    </w:p>
    <w:p>
      <w:pPr>
        <w:ind w:left="240" w:hanging="239"/>
        <w:spacing w:after="0"/>
        <w:tabs>
          <w:tab w:leader="none" w:pos="240" w:val="left"/>
        </w:tabs>
        <w:numPr>
          <w:ilvl w:val="0"/>
          <w:numId w:val="46"/>
        </w:numPr>
        <w:rPr>
          <w:rFonts w:ascii="Arial" w:cs="Arial" w:eastAsia="Arial" w:hAnsi="Arial"/>
          <w:sz w:val="14"/>
          <w:szCs w:val="14"/>
          <w:b w:val="1"/>
          <w:bCs w:val="1"/>
          <w:color w:val="00529B"/>
        </w:rPr>
      </w:pPr>
      <w:r>
        <w:rPr>
          <w:rFonts w:ascii="Arial" w:cs="Arial" w:eastAsia="Arial" w:hAnsi="Arial"/>
          <w:sz w:val="14"/>
          <w:szCs w:val="14"/>
          <w:color w:val="4D4D4F"/>
        </w:rPr>
        <w:t>Reviews the effectiveness, internal control environment and systems of our internal audit function.</w:t>
      </w:r>
    </w:p>
    <w:p>
      <w:pPr>
        <w:spacing w:after="0" w:line="82" w:lineRule="exact"/>
        <w:rPr>
          <w:rFonts w:ascii="Arial" w:cs="Arial" w:eastAsia="Arial" w:hAnsi="Arial"/>
          <w:sz w:val="14"/>
          <w:szCs w:val="14"/>
          <w:b w:val="1"/>
          <w:bCs w:val="1"/>
          <w:color w:val="00529B"/>
        </w:rPr>
      </w:pPr>
    </w:p>
    <w:p>
      <w:pPr>
        <w:ind w:left="240" w:right="140" w:hanging="239"/>
        <w:spacing w:after="0" w:line="301" w:lineRule="auto"/>
        <w:tabs>
          <w:tab w:leader="none" w:pos="236" w:val="left"/>
        </w:tabs>
        <w:numPr>
          <w:ilvl w:val="0"/>
          <w:numId w:val="46"/>
        </w:numPr>
        <w:rPr>
          <w:rFonts w:ascii="Arial" w:cs="Arial" w:eastAsia="Arial" w:hAnsi="Arial"/>
          <w:sz w:val="14"/>
          <w:szCs w:val="14"/>
          <w:b w:val="1"/>
          <w:bCs w:val="1"/>
          <w:color w:val="00529B"/>
        </w:rPr>
      </w:pPr>
      <w:r>
        <w:rPr>
          <w:rFonts w:ascii="Arial" w:cs="Arial" w:eastAsia="Arial" w:hAnsi="Arial"/>
          <w:sz w:val="14"/>
          <w:szCs w:val="14"/>
          <w:color w:val="4D4D4F"/>
        </w:rPr>
        <w:t>Reviews the qualifications, performance and independence of our independent auditors, and approves all audit and permitted non-audit services to be provided by our independent auditors.</w:t>
      </w:r>
    </w:p>
    <w:p>
      <w:pPr>
        <w:spacing w:after="0" w:line="1" w:lineRule="exact"/>
        <w:rPr>
          <w:rFonts w:ascii="Arial" w:cs="Arial" w:eastAsia="Arial" w:hAnsi="Arial"/>
          <w:sz w:val="14"/>
          <w:szCs w:val="14"/>
          <w:b w:val="1"/>
          <w:bCs w:val="1"/>
          <w:color w:val="00529B"/>
        </w:rPr>
      </w:pPr>
    </w:p>
    <w:p>
      <w:pPr>
        <w:ind w:left="240" w:right="260" w:hanging="239"/>
        <w:spacing w:after="0" w:line="311" w:lineRule="auto"/>
        <w:tabs>
          <w:tab w:leader="none" w:pos="236" w:val="left"/>
        </w:tabs>
        <w:numPr>
          <w:ilvl w:val="0"/>
          <w:numId w:val="46"/>
        </w:numPr>
        <w:rPr>
          <w:rFonts w:ascii="Arial" w:cs="Arial" w:eastAsia="Arial" w:hAnsi="Arial"/>
          <w:sz w:val="14"/>
          <w:szCs w:val="14"/>
          <w:b w:val="1"/>
          <w:bCs w:val="1"/>
          <w:color w:val="00529B"/>
        </w:rPr>
      </w:pPr>
      <w:r>
        <w:rPr>
          <w:rFonts w:ascii="Arial" w:cs="Arial" w:eastAsia="Arial" w:hAnsi="Arial"/>
          <w:sz w:val="14"/>
          <w:szCs w:val="14"/>
          <w:color w:val="4D4D4F"/>
        </w:rPr>
        <w:t>Reviews and discusses with management and our independent auditors our major financial risk exposures, and the policies and practices management has established to monitor and control such exposures.</w:t>
      </w:r>
    </w:p>
    <w:p>
      <w:pPr>
        <w:spacing w:after="0" w:line="1" w:lineRule="exact"/>
        <w:rPr>
          <w:rFonts w:ascii="Arial" w:cs="Arial" w:eastAsia="Arial" w:hAnsi="Arial"/>
          <w:sz w:val="14"/>
          <w:szCs w:val="14"/>
          <w:b w:val="1"/>
          <w:bCs w:val="1"/>
          <w:color w:val="00529B"/>
        </w:rPr>
      </w:pPr>
    </w:p>
    <w:p>
      <w:pPr>
        <w:ind w:left="240" w:right="140" w:hanging="239"/>
        <w:spacing w:after="0" w:line="293" w:lineRule="auto"/>
        <w:tabs>
          <w:tab w:leader="none" w:pos="236" w:val="left"/>
        </w:tabs>
        <w:numPr>
          <w:ilvl w:val="0"/>
          <w:numId w:val="46"/>
        </w:numPr>
        <w:rPr>
          <w:rFonts w:ascii="Arial" w:cs="Arial" w:eastAsia="Arial" w:hAnsi="Arial"/>
          <w:sz w:val="14"/>
          <w:szCs w:val="14"/>
          <w:b w:val="1"/>
          <w:bCs w:val="1"/>
          <w:color w:val="00529B"/>
        </w:rPr>
      </w:pPr>
      <w:r>
        <w:rPr>
          <w:rFonts w:ascii="Arial" w:cs="Arial" w:eastAsia="Arial" w:hAnsi="Arial"/>
          <w:sz w:val="14"/>
          <w:szCs w:val="14"/>
          <w:color w:val="4D4D4F"/>
        </w:rPr>
        <w:t>Together with the Technology &amp; Operations Committee, reviews our cybersecurity and related information technology risks, controls and procedures, including data protection and privacy and our plans to mitigate cybersecurity risks and to respond to data breaches.</w:t>
      </w:r>
    </w:p>
    <w:p>
      <w:pPr>
        <w:spacing w:after="0" w:line="4" w:lineRule="exact"/>
        <w:rPr>
          <w:rFonts w:ascii="Arial" w:cs="Arial" w:eastAsia="Arial" w:hAnsi="Arial"/>
          <w:sz w:val="14"/>
          <w:szCs w:val="14"/>
          <w:b w:val="1"/>
          <w:bCs w:val="1"/>
          <w:color w:val="00529B"/>
        </w:rPr>
      </w:pPr>
    </w:p>
    <w:p>
      <w:pPr>
        <w:ind w:left="240" w:right="360" w:hanging="239"/>
        <w:spacing w:after="0" w:line="305" w:lineRule="auto"/>
        <w:tabs>
          <w:tab w:leader="none" w:pos="236" w:val="left"/>
        </w:tabs>
        <w:numPr>
          <w:ilvl w:val="0"/>
          <w:numId w:val="46"/>
        </w:numPr>
        <w:rPr>
          <w:rFonts w:ascii="Arial" w:cs="Arial" w:eastAsia="Arial" w:hAnsi="Arial"/>
          <w:sz w:val="14"/>
          <w:szCs w:val="14"/>
          <w:b w:val="1"/>
          <w:bCs w:val="1"/>
          <w:color w:val="00529B"/>
        </w:rPr>
      </w:pPr>
      <w:r>
        <w:rPr>
          <w:rFonts w:ascii="Arial" w:cs="Arial" w:eastAsia="Arial" w:hAnsi="Arial"/>
          <w:sz w:val="14"/>
          <w:szCs w:val="14"/>
          <w:color w:val="4D4D4F"/>
        </w:rPr>
        <w:t>Monitors and reviews our compliance with applicable laws and regulations and our Code of Conduct, and also establishes procedures for treatment of employee complaints and concerns about accounting, internal controls or auditing matters.</w:t>
      </w:r>
    </w:p>
    <w:p>
      <w:pPr>
        <w:spacing w:after="0" w:line="302" w:lineRule="exact"/>
        <w:rPr>
          <w:sz w:val="20"/>
          <w:szCs w:val="20"/>
          <w:color w:val="auto"/>
        </w:rPr>
      </w:pPr>
    </w:p>
    <w:p>
      <w:pPr>
        <w:sectPr>
          <w:pgSz w:w="11900" w:h="16838" w:orient="portrait"/>
          <w:cols w:equalWidth="0" w:num="2">
            <w:col w:w="2180" w:space="720"/>
            <w:col w:w="8340"/>
          </w:cols>
          <w:pgMar w:left="320" w:top="279" w:right="339" w:bottom="1440" w:gutter="0" w:footer="0" w:header="0"/>
          <w:type w:val="continuous"/>
        </w:sectPr>
      </w:pPr>
    </w:p>
    <w:p>
      <w:pPr>
        <w:spacing w:after="0" w:line="301"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00529B"/>
        </w:rPr>
        <w:t>INDEPENDENCE AND FINANCIAL EXPERTISE</w:t>
      </w:r>
    </w:p>
    <w:p>
      <w:pPr>
        <w:spacing w:after="0" w:line="190" w:lineRule="exact"/>
        <w:rPr>
          <w:sz w:val="20"/>
          <w:szCs w:val="20"/>
          <w:color w:val="auto"/>
        </w:rPr>
      </w:pPr>
    </w:p>
    <w:p>
      <w:pPr>
        <w:ind w:left="2900" w:right="200"/>
        <w:spacing w:after="0" w:line="282" w:lineRule="auto"/>
        <w:rPr>
          <w:sz w:val="20"/>
          <w:szCs w:val="20"/>
          <w:color w:val="auto"/>
        </w:rPr>
      </w:pPr>
      <w:r>
        <w:rPr>
          <w:rFonts w:ascii="Arial" w:cs="Arial" w:eastAsia="Arial" w:hAnsi="Arial"/>
          <w:sz w:val="14"/>
          <w:szCs w:val="14"/>
          <w:color w:val="4D4D4F"/>
        </w:rPr>
        <w:t>The Board reviewed the background, experience and independence of the Audit Committee members and based on this review, the Board determined that each member of the Audit Committee meets the NYSE listing standards and SEC requirements for independence with respect to audit committee members, is financially literate, knowledgeable and qualified to review financial statements and qualifies as an “audit committee financial expert” under the SEC rules.</w:t>
      </w:r>
    </w:p>
    <w:p>
      <w:pPr>
        <w:spacing w:after="0" w:line="40" w:lineRule="exact"/>
        <w:rPr>
          <w:sz w:val="20"/>
          <w:szCs w:val="20"/>
          <w:color w:val="auto"/>
        </w:rPr>
      </w:pPr>
    </w:p>
    <w:p>
      <w:pPr>
        <w:ind w:left="2900" w:right="80"/>
        <w:spacing w:after="0" w:line="282" w:lineRule="auto"/>
        <w:rPr>
          <w:sz w:val="20"/>
          <w:szCs w:val="20"/>
          <w:color w:val="auto"/>
        </w:rPr>
      </w:pPr>
      <w:r>
        <w:rPr>
          <w:rFonts w:ascii="Arial" w:cs="Arial" w:eastAsia="Arial" w:hAnsi="Arial"/>
          <w:sz w:val="14"/>
          <w:szCs w:val="14"/>
          <w:color w:val="4D4D4F"/>
        </w:rPr>
        <w:t>The charter provides that a member of the Audit Committee shall not simultaneously serve on the audit committees of more than two other public companies unless the Board determines that simultaneous service would not impair the ability of the member to effectively serve on the Audit Committee. None of the members of our Audit Committee currently serve on the audit committees of more than two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25</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478155</wp:posOffset>
            </wp:positionV>
            <wp:extent cx="951230" cy="951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51230" cy="951865"/>
                    </a:xfrm>
                    <a:prstGeom prst="rect">
                      <a:avLst/>
                    </a:prstGeom>
                    <a:noFill/>
                  </pic:spPr>
                </pic:pic>
              </a:graphicData>
            </a:graphic>
          </wp:anchor>
        </w:drawing>
      </w:r>
    </w:p>
    <w:p>
      <w:pPr>
        <w:sectPr>
          <w:pgSz w:w="11900" w:h="16838" w:orient="portrait"/>
          <w:cols w:equalWidth="0" w:num="1">
            <w:col w:w="11140"/>
          </w:cols>
          <w:pgMar w:left="340" w:top="27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0529B"/>
        </w:rPr>
        <w:t>Chair: Ken Bakshi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1637030" cy="12344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37030" cy="1234440"/>
                    </a:xfrm>
                    <a:prstGeom prst="rect">
                      <a:avLst/>
                    </a:prstGeom>
                    <a:noFill/>
                  </pic:spPr>
                </pic:pic>
              </a:graphicData>
            </a:graphic>
          </wp:anchor>
        </w:drawing>
      </w:r>
    </w:p>
    <w:p>
      <w:pPr>
        <w:spacing w:after="0" w:line="26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0529B"/>
        </w:rPr>
        <w:t>Other Members:</w:t>
      </w:r>
    </w:p>
    <w:p>
      <w:pPr>
        <w:spacing w:after="0" w:line="136" w:lineRule="exact"/>
        <w:rPr>
          <w:sz w:val="20"/>
          <w:szCs w:val="20"/>
          <w:color w:val="auto"/>
        </w:rPr>
      </w:pPr>
    </w:p>
    <w:p>
      <w:pPr>
        <w:ind w:left="80" w:right="480"/>
        <w:spacing w:after="0" w:line="352" w:lineRule="auto"/>
        <w:rPr>
          <w:sz w:val="20"/>
          <w:szCs w:val="20"/>
          <w:color w:val="auto"/>
        </w:rPr>
      </w:pPr>
      <w:r>
        <w:rPr>
          <w:rFonts w:ascii="Arial" w:cs="Arial" w:eastAsia="Arial" w:hAnsi="Arial"/>
          <w:sz w:val="14"/>
          <w:szCs w:val="14"/>
          <w:color w:val="4D4D4F"/>
        </w:rPr>
        <w:t>Richard A. Kassar Stephen K. Roddenberry</w:t>
      </w:r>
    </w:p>
    <w:p>
      <w:pPr>
        <w:ind w:left="80"/>
        <w:spacing w:after="0"/>
        <w:rPr>
          <w:sz w:val="20"/>
          <w:szCs w:val="20"/>
          <w:color w:val="auto"/>
        </w:rPr>
      </w:pPr>
      <w:r>
        <w:rPr>
          <w:rFonts w:ascii="Arial" w:cs="Arial" w:eastAsia="Arial" w:hAnsi="Arial"/>
          <w:sz w:val="14"/>
          <w:szCs w:val="14"/>
          <w:color w:val="4D4D4F"/>
        </w:rPr>
        <w:t>Jill B. Smart</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0529B"/>
        </w:rPr>
        <w:t xml:space="preserve">Meetings in 2023: </w:t>
      </w:r>
      <w:r>
        <w:rPr>
          <w:rFonts w:ascii="Arial" w:cs="Arial" w:eastAsia="Arial" w:hAnsi="Arial"/>
          <w:sz w:val="14"/>
          <w:szCs w:val="14"/>
          <w:color w:val="4D4D4F"/>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00529B"/>
        </w:rPr>
        <w:t>COMPENSATION COMMITTEE</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PRIMARY RESPONSIBILITIES</w:t>
      </w:r>
    </w:p>
    <w:p>
      <w:pPr>
        <w:spacing w:after="0" w:line="136" w:lineRule="exact"/>
        <w:rPr>
          <w:sz w:val="20"/>
          <w:szCs w:val="20"/>
          <w:color w:val="auto"/>
        </w:rPr>
      </w:pPr>
    </w:p>
    <w:p>
      <w:pPr>
        <w:ind w:left="240" w:right="600" w:hanging="239"/>
        <w:spacing w:after="0" w:line="305" w:lineRule="auto"/>
        <w:tabs>
          <w:tab w:leader="none" w:pos="236" w:val="left"/>
        </w:tabs>
        <w:numPr>
          <w:ilvl w:val="0"/>
          <w:numId w:val="47"/>
        </w:numPr>
        <w:rPr>
          <w:rFonts w:ascii="Arial" w:cs="Arial" w:eastAsia="Arial" w:hAnsi="Arial"/>
          <w:sz w:val="14"/>
          <w:szCs w:val="14"/>
          <w:b w:val="1"/>
          <w:bCs w:val="1"/>
          <w:color w:val="00529B"/>
        </w:rPr>
      </w:pPr>
      <w:r>
        <w:rPr>
          <w:rFonts w:ascii="Arial" w:cs="Arial" w:eastAsia="Arial" w:hAnsi="Arial"/>
          <w:sz w:val="14"/>
          <w:szCs w:val="14"/>
          <w:color w:val="4D4D4F"/>
        </w:rPr>
        <w:t>Reviews and approves annually the goals and objectives relevant to the compensation of our CEO, and, based upon recommendations of our CEO, our other executive officers.</w:t>
      </w:r>
    </w:p>
    <w:p>
      <w:pPr>
        <w:spacing w:after="0" w:line="9" w:lineRule="exact"/>
        <w:rPr>
          <w:rFonts w:ascii="Arial" w:cs="Arial" w:eastAsia="Arial" w:hAnsi="Arial"/>
          <w:sz w:val="14"/>
          <w:szCs w:val="14"/>
          <w:b w:val="1"/>
          <w:bCs w:val="1"/>
          <w:color w:val="00529B"/>
        </w:rPr>
      </w:pPr>
    </w:p>
    <w:p>
      <w:pPr>
        <w:ind w:left="240" w:right="440" w:hanging="239"/>
        <w:spacing w:after="0" w:line="301" w:lineRule="auto"/>
        <w:tabs>
          <w:tab w:leader="none" w:pos="236" w:val="left"/>
        </w:tabs>
        <w:numPr>
          <w:ilvl w:val="0"/>
          <w:numId w:val="47"/>
        </w:numPr>
        <w:rPr>
          <w:rFonts w:ascii="Arial" w:cs="Arial" w:eastAsia="Arial" w:hAnsi="Arial"/>
          <w:sz w:val="14"/>
          <w:szCs w:val="14"/>
          <w:b w:val="1"/>
          <w:bCs w:val="1"/>
          <w:color w:val="00529B"/>
        </w:rPr>
      </w:pPr>
      <w:r>
        <w:rPr>
          <w:rFonts w:ascii="Arial" w:cs="Arial" w:eastAsia="Arial" w:hAnsi="Arial"/>
          <w:sz w:val="14"/>
          <w:szCs w:val="14"/>
          <w:color w:val="4D4D4F"/>
        </w:rPr>
        <w:t>Establishes compensation levels, evaluates performance and approves the compensation of our CEO and, based upon recommendations of our CEO, our other executive officers.</w:t>
      </w:r>
    </w:p>
    <w:p>
      <w:pPr>
        <w:spacing w:after="0" w:line="1" w:lineRule="exact"/>
        <w:rPr>
          <w:rFonts w:ascii="Arial" w:cs="Arial" w:eastAsia="Arial" w:hAnsi="Arial"/>
          <w:sz w:val="14"/>
          <w:szCs w:val="14"/>
          <w:b w:val="1"/>
          <w:bCs w:val="1"/>
          <w:color w:val="00529B"/>
        </w:rPr>
      </w:pPr>
    </w:p>
    <w:p>
      <w:pPr>
        <w:ind w:left="240" w:right="220" w:hanging="239"/>
        <w:spacing w:after="0" w:line="311" w:lineRule="auto"/>
        <w:tabs>
          <w:tab w:leader="none" w:pos="236" w:val="left"/>
        </w:tabs>
        <w:numPr>
          <w:ilvl w:val="0"/>
          <w:numId w:val="47"/>
        </w:numPr>
        <w:rPr>
          <w:rFonts w:ascii="Arial" w:cs="Arial" w:eastAsia="Arial" w:hAnsi="Arial"/>
          <w:sz w:val="14"/>
          <w:szCs w:val="14"/>
          <w:b w:val="1"/>
          <w:bCs w:val="1"/>
          <w:color w:val="00529B"/>
        </w:rPr>
      </w:pPr>
      <w:r>
        <w:rPr>
          <w:rFonts w:ascii="Arial" w:cs="Arial" w:eastAsia="Arial" w:hAnsi="Arial"/>
          <w:sz w:val="14"/>
          <w:szCs w:val="14"/>
          <w:color w:val="4D4D4F"/>
        </w:rPr>
        <w:t>Reviews and makes recommendations to the Board with respect to stock option, equity-based and incentive compensation plans and administering such plans.</w:t>
      </w:r>
    </w:p>
    <w:p>
      <w:pPr>
        <w:spacing w:after="0" w:line="1" w:lineRule="exact"/>
        <w:rPr>
          <w:rFonts w:ascii="Arial" w:cs="Arial" w:eastAsia="Arial" w:hAnsi="Arial"/>
          <w:sz w:val="14"/>
          <w:szCs w:val="14"/>
          <w:b w:val="1"/>
          <w:bCs w:val="1"/>
          <w:color w:val="00529B"/>
        </w:rPr>
      </w:pPr>
    </w:p>
    <w:p>
      <w:pPr>
        <w:ind w:left="240" w:hanging="239"/>
        <w:spacing w:after="0"/>
        <w:tabs>
          <w:tab w:leader="none" w:pos="240" w:val="left"/>
        </w:tabs>
        <w:numPr>
          <w:ilvl w:val="0"/>
          <w:numId w:val="47"/>
        </w:numPr>
        <w:rPr>
          <w:rFonts w:ascii="Arial" w:cs="Arial" w:eastAsia="Arial" w:hAnsi="Arial"/>
          <w:sz w:val="14"/>
          <w:szCs w:val="14"/>
          <w:b w:val="1"/>
          <w:bCs w:val="1"/>
          <w:color w:val="00529B"/>
        </w:rPr>
      </w:pPr>
      <w:r>
        <w:rPr>
          <w:rFonts w:ascii="Arial" w:cs="Arial" w:eastAsia="Arial" w:hAnsi="Arial"/>
          <w:sz w:val="14"/>
          <w:szCs w:val="14"/>
          <w:color w:val="4D4D4F"/>
        </w:rPr>
        <w:t>Approves any employment, severance and consulting arrangements with executive officers.</w:t>
      </w:r>
    </w:p>
    <w:p>
      <w:pPr>
        <w:spacing w:after="0" w:line="68" w:lineRule="exact"/>
        <w:rPr>
          <w:rFonts w:ascii="Arial" w:cs="Arial" w:eastAsia="Arial" w:hAnsi="Arial"/>
          <w:sz w:val="14"/>
          <w:szCs w:val="14"/>
          <w:b w:val="1"/>
          <w:bCs w:val="1"/>
          <w:color w:val="00529B"/>
        </w:rPr>
      </w:pPr>
    </w:p>
    <w:p>
      <w:pPr>
        <w:ind w:left="240" w:right="160" w:hanging="239"/>
        <w:spacing w:after="0" w:line="311" w:lineRule="auto"/>
        <w:tabs>
          <w:tab w:leader="none" w:pos="236" w:val="left"/>
        </w:tabs>
        <w:numPr>
          <w:ilvl w:val="0"/>
          <w:numId w:val="47"/>
        </w:numPr>
        <w:rPr>
          <w:rFonts w:ascii="Arial" w:cs="Arial" w:eastAsia="Arial" w:hAnsi="Arial"/>
          <w:sz w:val="14"/>
          <w:szCs w:val="14"/>
          <w:b w:val="1"/>
          <w:bCs w:val="1"/>
          <w:color w:val="00529B"/>
        </w:rPr>
      </w:pPr>
      <w:r>
        <w:rPr>
          <w:rFonts w:ascii="Arial" w:cs="Arial" w:eastAsia="Arial" w:hAnsi="Arial"/>
          <w:sz w:val="14"/>
          <w:szCs w:val="14"/>
          <w:color w:val="4D4D4F"/>
        </w:rPr>
        <w:t>Reviews annually a risk assessment of our compensation policies and practices with respect to all employees, including our NEOs.</w:t>
      </w:r>
    </w:p>
    <w:p>
      <w:pPr>
        <w:spacing w:after="0" w:line="1" w:lineRule="exact"/>
        <w:rPr>
          <w:rFonts w:ascii="Arial" w:cs="Arial" w:eastAsia="Arial" w:hAnsi="Arial"/>
          <w:sz w:val="14"/>
          <w:szCs w:val="14"/>
          <w:b w:val="1"/>
          <w:bCs w:val="1"/>
          <w:color w:val="00529B"/>
        </w:rPr>
      </w:pPr>
    </w:p>
    <w:p>
      <w:pPr>
        <w:ind w:left="240" w:right="40" w:hanging="239"/>
        <w:spacing w:after="0" w:line="305" w:lineRule="auto"/>
        <w:tabs>
          <w:tab w:leader="none" w:pos="236" w:val="left"/>
        </w:tabs>
        <w:numPr>
          <w:ilvl w:val="0"/>
          <w:numId w:val="47"/>
        </w:numPr>
        <w:rPr>
          <w:rFonts w:ascii="Arial" w:cs="Arial" w:eastAsia="Arial" w:hAnsi="Arial"/>
          <w:sz w:val="14"/>
          <w:szCs w:val="14"/>
          <w:b w:val="1"/>
          <w:bCs w:val="1"/>
          <w:color w:val="00529B"/>
        </w:rPr>
      </w:pPr>
      <w:r>
        <w:rPr>
          <w:rFonts w:ascii="Arial" w:cs="Arial" w:eastAsia="Arial" w:hAnsi="Arial"/>
          <w:sz w:val="14"/>
          <w:szCs w:val="14"/>
          <w:color w:val="4D4D4F"/>
        </w:rPr>
        <w:t>Reviews and discusses with management the Compensation Discussion and Analysis included in our annual proxy statement and recommends such inclusion to the Board.</w:t>
      </w:r>
    </w:p>
    <w:p>
      <w:pPr>
        <w:spacing w:after="0" w:line="9" w:lineRule="exact"/>
        <w:rPr>
          <w:rFonts w:ascii="Arial" w:cs="Arial" w:eastAsia="Arial" w:hAnsi="Arial"/>
          <w:sz w:val="14"/>
          <w:szCs w:val="14"/>
          <w:b w:val="1"/>
          <w:bCs w:val="1"/>
          <w:color w:val="00529B"/>
        </w:rPr>
      </w:pPr>
    </w:p>
    <w:p>
      <w:pPr>
        <w:ind w:left="240" w:right="360" w:hanging="239"/>
        <w:spacing w:after="0" w:line="301" w:lineRule="auto"/>
        <w:tabs>
          <w:tab w:leader="none" w:pos="236" w:val="left"/>
        </w:tabs>
        <w:numPr>
          <w:ilvl w:val="0"/>
          <w:numId w:val="47"/>
        </w:numPr>
        <w:rPr>
          <w:rFonts w:ascii="Arial" w:cs="Arial" w:eastAsia="Arial" w:hAnsi="Arial"/>
          <w:sz w:val="14"/>
          <w:szCs w:val="14"/>
          <w:b w:val="1"/>
          <w:bCs w:val="1"/>
          <w:color w:val="00529B"/>
        </w:rPr>
      </w:pPr>
      <w:r>
        <w:rPr>
          <w:rFonts w:ascii="Arial" w:cs="Arial" w:eastAsia="Arial" w:hAnsi="Arial"/>
          <w:sz w:val="14"/>
          <w:szCs w:val="14"/>
          <w:color w:val="4D4D4F"/>
        </w:rPr>
        <w:t>Reviews the results of any advisory shareholder votes on executive compensation and considers whether to recommend adjustments to our executive compensation policies and practices as a result of such votes.</w:t>
      </w:r>
    </w:p>
    <w:p>
      <w:pPr>
        <w:spacing w:after="0" w:line="1" w:lineRule="exact"/>
        <w:rPr>
          <w:sz w:val="20"/>
          <w:szCs w:val="20"/>
          <w:color w:val="auto"/>
        </w:rPr>
      </w:pPr>
    </w:p>
    <w:p>
      <w:pPr>
        <w:sectPr>
          <w:pgSz w:w="11900" w:h="16838" w:orient="portrait"/>
          <w:cols w:equalWidth="0" w:num="2">
            <w:col w:w="2160" w:space="720"/>
            <w:col w:w="8260"/>
          </w:cols>
          <w:pgMar w:left="340" w:top="279" w:right="419" w:bottom="1440" w:gutter="0" w:footer="0" w:header="0"/>
          <w:type w:val="continuous"/>
        </w:sectPr>
      </w:pPr>
    </w:p>
    <w:p>
      <w:pPr>
        <w:ind w:left="3120" w:right="100" w:hanging="239"/>
        <w:spacing w:after="0" w:line="293" w:lineRule="auto"/>
        <w:tabs>
          <w:tab w:leader="none" w:pos="3116" w:val="left"/>
        </w:tabs>
        <w:numPr>
          <w:ilvl w:val="0"/>
          <w:numId w:val="48"/>
        </w:numPr>
        <w:rPr>
          <w:rFonts w:ascii="Arial" w:cs="Arial" w:eastAsia="Arial" w:hAnsi="Arial"/>
          <w:sz w:val="14"/>
          <w:szCs w:val="14"/>
          <w:b w:val="1"/>
          <w:bCs w:val="1"/>
          <w:color w:val="00529B"/>
        </w:rPr>
      </w:pPr>
      <w:r>
        <w:rPr>
          <w:rFonts w:ascii="Arial" w:cs="Arial" w:eastAsia="Arial" w:hAnsi="Arial"/>
          <w:sz w:val="14"/>
          <w:szCs w:val="14"/>
          <w:color w:val="4D4D4F"/>
        </w:rPr>
        <w:t>Reviews management reports about our human capital management policies and strategies regarding recruiting, retention, talent development, career progression and, together with the Governance Committee, considers management development and succession.</w:t>
      </w:r>
    </w:p>
    <w:p>
      <w:pPr>
        <w:spacing w:after="0" w:line="4" w:lineRule="exact"/>
        <w:rPr>
          <w:rFonts w:ascii="Arial" w:cs="Arial" w:eastAsia="Arial" w:hAnsi="Arial"/>
          <w:sz w:val="14"/>
          <w:szCs w:val="14"/>
          <w:b w:val="1"/>
          <w:bCs w:val="1"/>
          <w:color w:val="00529B"/>
        </w:rPr>
      </w:pPr>
    </w:p>
    <w:p>
      <w:pPr>
        <w:ind w:left="3120" w:hanging="239"/>
        <w:spacing w:after="0"/>
        <w:tabs>
          <w:tab w:leader="none" w:pos="3120" w:val="left"/>
        </w:tabs>
        <w:numPr>
          <w:ilvl w:val="0"/>
          <w:numId w:val="48"/>
        </w:numPr>
        <w:rPr>
          <w:rFonts w:ascii="Arial" w:cs="Arial" w:eastAsia="Arial" w:hAnsi="Arial"/>
          <w:sz w:val="14"/>
          <w:szCs w:val="14"/>
          <w:b w:val="1"/>
          <w:bCs w:val="1"/>
          <w:color w:val="00529B"/>
        </w:rPr>
      </w:pPr>
      <w:r>
        <w:rPr>
          <w:rFonts w:ascii="Arial" w:cs="Arial" w:eastAsia="Arial" w:hAnsi="Arial"/>
          <w:sz w:val="14"/>
          <w:szCs w:val="14"/>
          <w:color w:val="4D4D4F"/>
        </w:rPr>
        <w:t>Recommends non-management director compensation to the Board.</w:t>
      </w:r>
    </w:p>
    <w:p>
      <w:pPr>
        <w:spacing w:after="0" w:line="312"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00529B"/>
        </w:rPr>
        <w:t>INDEPENDENCE</w:t>
      </w:r>
    </w:p>
    <w:p>
      <w:pPr>
        <w:spacing w:after="0" w:line="190" w:lineRule="exact"/>
        <w:rPr>
          <w:sz w:val="20"/>
          <w:szCs w:val="20"/>
          <w:color w:val="auto"/>
        </w:rPr>
      </w:pPr>
    </w:p>
    <w:p>
      <w:pPr>
        <w:jc w:val="both"/>
        <w:ind w:left="2880"/>
        <w:spacing w:after="0" w:line="293" w:lineRule="auto"/>
        <w:rPr>
          <w:sz w:val="20"/>
          <w:szCs w:val="20"/>
          <w:color w:val="auto"/>
        </w:rPr>
      </w:pPr>
      <w:r>
        <w:rPr>
          <w:rFonts w:ascii="Arial" w:cs="Arial" w:eastAsia="Arial" w:hAnsi="Arial"/>
          <w:sz w:val="14"/>
          <w:szCs w:val="14"/>
          <w:color w:val="4D4D4F"/>
        </w:rPr>
        <w:t>The Board reviewed the background, experience and independence of the Compensation Committee members and based on this review, the Board determined that each member of the Compensation Committee is independent and a non-employee pursuant to NYSE listing standards and Rule 16b-3 under the Exchange Act.</w:t>
      </w:r>
    </w:p>
    <w:p>
      <w:pPr>
        <w:spacing w:after="0" w:line="18" w:lineRule="exact"/>
        <w:rPr>
          <w:sz w:val="20"/>
          <w:szCs w:val="20"/>
          <w:color w:val="auto"/>
        </w:rPr>
      </w:pPr>
    </w:p>
    <w:p>
      <w:pPr>
        <w:ind w:left="2880" w:right="60"/>
        <w:spacing w:after="0" w:line="278" w:lineRule="auto"/>
        <w:rPr>
          <w:sz w:val="20"/>
          <w:szCs w:val="20"/>
          <w:color w:val="auto"/>
        </w:rPr>
      </w:pPr>
      <w:r>
        <w:rPr>
          <w:rFonts w:ascii="Arial" w:cs="Arial" w:eastAsia="Arial" w:hAnsi="Arial"/>
          <w:sz w:val="14"/>
          <w:szCs w:val="14"/>
          <w:color w:val="4D4D4F"/>
        </w:rPr>
        <w:t>In affirmatively determining the independence of each Compensation Committee member, the Board considers all factors specifically relevant to determining whether such director has a relationship with us or any of our subsidiaries which is material to such director’s ability to be independent from management in connection with the duties of a compensation committee member, including, but not limited to: (i) the source of compensation of such director, including any consulting, advisory or other compensatory fee paid by us to such director; and (ii) whether such director is affiliated with us, a subsidiary of ours or an affiliate of one of our subsidiaries. The Compensation Committee may form and delegate authority to subcommittees when appropriate.</w:t>
      </w:r>
    </w:p>
    <w:p>
      <w:pPr>
        <w:spacing w:after="0" w:line="69"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00529B"/>
        </w:rPr>
        <w:t>COMPENSATION COMMITTEE INTERLOCKS AND INSIDER PARTICIPATION</w:t>
      </w:r>
    </w:p>
    <w:p>
      <w:pPr>
        <w:spacing w:after="0" w:line="190" w:lineRule="exact"/>
        <w:rPr>
          <w:sz w:val="20"/>
          <w:szCs w:val="20"/>
          <w:color w:val="auto"/>
        </w:rPr>
      </w:pPr>
    </w:p>
    <w:p>
      <w:pPr>
        <w:jc w:val="both"/>
        <w:ind w:left="2880"/>
        <w:spacing w:after="0" w:line="293" w:lineRule="auto"/>
        <w:rPr>
          <w:sz w:val="20"/>
          <w:szCs w:val="20"/>
          <w:color w:val="auto"/>
        </w:rPr>
      </w:pPr>
      <w:r>
        <w:rPr>
          <w:rFonts w:ascii="Arial" w:cs="Arial" w:eastAsia="Arial" w:hAnsi="Arial"/>
          <w:sz w:val="14"/>
          <w:szCs w:val="14"/>
          <w:color w:val="4D4D4F"/>
        </w:rPr>
        <w:t>None of the members of the Compensation Committee was at any time during 2023 an officer or employee of our Company. None of our executive officers serves as a member of the board of directors or compensation committee of any other entity that has one or more executive officers serving as a member of our Board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600075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40" w:hanging="534"/>
        <w:spacing w:after="0"/>
        <w:tabs>
          <w:tab w:leader="none" w:pos="540" w:val="left"/>
        </w:tabs>
        <w:numPr>
          <w:ilvl w:val="0"/>
          <w:numId w:val="49"/>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279" w:right="419" w:bottom="1440" w:gutter="0" w:footer="0" w:header="0"/>
          <w:type w:val="continuous"/>
        </w:sectPr>
      </w:pPr>
    </w:p>
    <w:bookmarkStart w:id="29" w:name="page30"/>
    <w:bookmarkEnd w:id="29"/>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478155</wp:posOffset>
            </wp:positionV>
            <wp:extent cx="951230" cy="951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51230" cy="95186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29B"/>
        </w:rPr>
        <w:t>Chair: Stephen K. Roddenberry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637030" cy="17913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37030" cy="1791335"/>
                    </a:xfrm>
                    <a:prstGeom prst="rect">
                      <a:avLst/>
                    </a:prstGeom>
                    <a:noFill/>
                  </pic:spPr>
                </pic:pic>
              </a:graphicData>
            </a:graphic>
          </wp:anchor>
        </w:drawing>
      </w:r>
    </w:p>
    <w:p>
      <w:pPr>
        <w:spacing w:after="0" w:line="29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29B"/>
        </w:rPr>
        <w:t>Other Members: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Ken Bakshi</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Richard A. Kassar</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Jorge L. Benitez</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John L. Manley</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Sharda Cherwoo</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Jill B. Smart</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29B"/>
        </w:rPr>
        <w:t xml:space="preserve">Meetings in 2023: </w:t>
      </w:r>
      <w:r>
        <w:rPr>
          <w:rFonts w:ascii="Arial" w:cs="Arial" w:eastAsia="Arial" w:hAnsi="Arial"/>
          <w:sz w:val="14"/>
          <w:szCs w:val="14"/>
          <w:color w:val="4D4D4F"/>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00529B"/>
        </w:rPr>
        <w:t>GOVERNANCE COMMITTEE</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PRIMARY RESPONSIBILITIES</w:t>
      </w:r>
    </w:p>
    <w:p>
      <w:pPr>
        <w:spacing w:after="0" w:line="136" w:lineRule="exact"/>
        <w:rPr>
          <w:sz w:val="20"/>
          <w:szCs w:val="20"/>
          <w:color w:val="auto"/>
        </w:rPr>
      </w:pPr>
    </w:p>
    <w:p>
      <w:pPr>
        <w:ind w:left="240" w:right="880" w:hanging="239"/>
        <w:spacing w:after="0" w:line="305" w:lineRule="auto"/>
        <w:tabs>
          <w:tab w:leader="none" w:pos="236" w:val="left"/>
        </w:tabs>
        <w:numPr>
          <w:ilvl w:val="0"/>
          <w:numId w:val="50"/>
        </w:numPr>
        <w:rPr>
          <w:rFonts w:ascii="Arial" w:cs="Arial" w:eastAsia="Arial" w:hAnsi="Arial"/>
          <w:sz w:val="14"/>
          <w:szCs w:val="14"/>
          <w:b w:val="1"/>
          <w:bCs w:val="1"/>
          <w:color w:val="00529B"/>
        </w:rPr>
      </w:pPr>
      <w:r>
        <w:rPr>
          <w:rFonts w:ascii="Arial" w:cs="Arial" w:eastAsia="Arial" w:hAnsi="Arial"/>
          <w:sz w:val="14"/>
          <w:szCs w:val="14"/>
          <w:color w:val="4D4D4F"/>
        </w:rPr>
        <w:t>Recommends to the Board criteria for Board membership and the size and composition of the Board, and reviews qualifications of director nominees for recommendation to the Board.</w:t>
      </w:r>
    </w:p>
    <w:p>
      <w:pPr>
        <w:spacing w:after="0" w:line="9" w:lineRule="exact"/>
        <w:rPr>
          <w:rFonts w:ascii="Arial" w:cs="Arial" w:eastAsia="Arial" w:hAnsi="Arial"/>
          <w:sz w:val="14"/>
          <w:szCs w:val="14"/>
          <w:b w:val="1"/>
          <w:bCs w:val="1"/>
          <w:color w:val="00529B"/>
        </w:rPr>
      </w:pPr>
    </w:p>
    <w:p>
      <w:pPr>
        <w:ind w:left="240" w:right="400" w:hanging="239"/>
        <w:spacing w:after="0" w:line="301" w:lineRule="auto"/>
        <w:tabs>
          <w:tab w:leader="none" w:pos="236" w:val="left"/>
        </w:tabs>
        <w:numPr>
          <w:ilvl w:val="0"/>
          <w:numId w:val="50"/>
        </w:numPr>
        <w:rPr>
          <w:rFonts w:ascii="Arial" w:cs="Arial" w:eastAsia="Arial" w:hAnsi="Arial"/>
          <w:sz w:val="14"/>
          <w:szCs w:val="14"/>
          <w:b w:val="1"/>
          <w:bCs w:val="1"/>
          <w:color w:val="00529B"/>
        </w:rPr>
      </w:pPr>
      <w:r>
        <w:rPr>
          <w:rFonts w:ascii="Arial" w:cs="Arial" w:eastAsia="Arial" w:hAnsi="Arial"/>
          <w:sz w:val="14"/>
          <w:szCs w:val="14"/>
          <w:color w:val="4D4D4F"/>
        </w:rPr>
        <w:t>Reviews the procedures, effectiveness and performance of the Board as a whole, the individual directors and the Board’s committees.</w:t>
      </w:r>
    </w:p>
    <w:p>
      <w:pPr>
        <w:spacing w:after="0" w:line="1" w:lineRule="exact"/>
        <w:rPr>
          <w:rFonts w:ascii="Arial" w:cs="Arial" w:eastAsia="Arial" w:hAnsi="Arial"/>
          <w:sz w:val="14"/>
          <w:szCs w:val="14"/>
          <w:b w:val="1"/>
          <w:bCs w:val="1"/>
          <w:color w:val="00529B"/>
        </w:rPr>
      </w:pPr>
    </w:p>
    <w:p>
      <w:pPr>
        <w:ind w:left="240" w:hanging="239"/>
        <w:spacing w:after="0"/>
        <w:tabs>
          <w:tab w:leader="none" w:pos="240" w:val="left"/>
        </w:tabs>
        <w:numPr>
          <w:ilvl w:val="0"/>
          <w:numId w:val="50"/>
        </w:numPr>
        <w:rPr>
          <w:rFonts w:ascii="Arial" w:cs="Arial" w:eastAsia="Arial" w:hAnsi="Arial"/>
          <w:sz w:val="14"/>
          <w:szCs w:val="14"/>
          <w:b w:val="1"/>
          <w:bCs w:val="1"/>
          <w:color w:val="00529B"/>
        </w:rPr>
      </w:pPr>
      <w:r>
        <w:rPr>
          <w:rFonts w:ascii="Arial" w:cs="Arial" w:eastAsia="Arial" w:hAnsi="Arial"/>
          <w:sz w:val="14"/>
          <w:szCs w:val="14"/>
          <w:color w:val="4D4D4F"/>
        </w:rPr>
        <w:t>Annually reviews our Corporate Governance Principles and committee charters.</w:t>
      </w:r>
    </w:p>
    <w:p>
      <w:pPr>
        <w:spacing w:after="0" w:line="82" w:lineRule="exact"/>
        <w:rPr>
          <w:rFonts w:ascii="Arial" w:cs="Arial" w:eastAsia="Arial" w:hAnsi="Arial"/>
          <w:sz w:val="14"/>
          <w:szCs w:val="14"/>
          <w:b w:val="1"/>
          <w:bCs w:val="1"/>
          <w:color w:val="00529B"/>
        </w:rPr>
      </w:pPr>
    </w:p>
    <w:p>
      <w:pPr>
        <w:ind w:left="240" w:hanging="239"/>
        <w:spacing w:after="0"/>
        <w:tabs>
          <w:tab w:leader="none" w:pos="240" w:val="left"/>
        </w:tabs>
        <w:numPr>
          <w:ilvl w:val="0"/>
          <w:numId w:val="50"/>
        </w:numPr>
        <w:rPr>
          <w:rFonts w:ascii="Arial" w:cs="Arial" w:eastAsia="Arial" w:hAnsi="Arial"/>
          <w:sz w:val="14"/>
          <w:szCs w:val="14"/>
          <w:b w:val="1"/>
          <w:bCs w:val="1"/>
          <w:color w:val="00529B"/>
        </w:rPr>
      </w:pPr>
      <w:r>
        <w:rPr>
          <w:rFonts w:ascii="Arial" w:cs="Arial" w:eastAsia="Arial" w:hAnsi="Arial"/>
          <w:sz w:val="14"/>
          <w:szCs w:val="14"/>
          <w:color w:val="4D4D4F"/>
        </w:rPr>
        <w:t>Recommends overall compensation for directors.</w:t>
      </w:r>
    </w:p>
    <w:p>
      <w:pPr>
        <w:spacing w:after="0" w:line="68" w:lineRule="exact"/>
        <w:rPr>
          <w:rFonts w:ascii="Arial" w:cs="Arial" w:eastAsia="Arial" w:hAnsi="Arial"/>
          <w:sz w:val="14"/>
          <w:szCs w:val="14"/>
          <w:b w:val="1"/>
          <w:bCs w:val="1"/>
          <w:color w:val="00529B"/>
        </w:rPr>
      </w:pPr>
    </w:p>
    <w:p>
      <w:pPr>
        <w:jc w:val="both"/>
        <w:ind w:left="240" w:right="120" w:hanging="239"/>
        <w:spacing w:after="0" w:line="293" w:lineRule="auto"/>
        <w:tabs>
          <w:tab w:leader="none" w:pos="236" w:val="left"/>
        </w:tabs>
        <w:numPr>
          <w:ilvl w:val="0"/>
          <w:numId w:val="50"/>
        </w:numPr>
        <w:rPr>
          <w:rFonts w:ascii="Arial" w:cs="Arial" w:eastAsia="Arial" w:hAnsi="Arial"/>
          <w:sz w:val="14"/>
          <w:szCs w:val="14"/>
          <w:b w:val="1"/>
          <w:bCs w:val="1"/>
          <w:color w:val="00529B"/>
        </w:rPr>
      </w:pPr>
      <w:r>
        <w:rPr>
          <w:rFonts w:ascii="Arial" w:cs="Arial" w:eastAsia="Arial" w:hAnsi="Arial"/>
          <w:sz w:val="14"/>
          <w:szCs w:val="14"/>
          <w:color w:val="4D4D4F"/>
        </w:rPr>
        <w:t>Annually evaluates the performance of our NEOs and discusses any changes to the executives’ compensation recommended by the Compensation Committee, and together with the Compensation Committee, considers management development and succession.</w:t>
      </w:r>
    </w:p>
    <w:p>
      <w:pPr>
        <w:spacing w:after="0" w:line="4" w:lineRule="exact"/>
        <w:rPr>
          <w:rFonts w:ascii="Arial" w:cs="Arial" w:eastAsia="Arial" w:hAnsi="Arial"/>
          <w:sz w:val="14"/>
          <w:szCs w:val="14"/>
          <w:b w:val="1"/>
          <w:bCs w:val="1"/>
          <w:color w:val="00529B"/>
        </w:rPr>
      </w:pPr>
    </w:p>
    <w:p>
      <w:pPr>
        <w:ind w:left="240" w:hanging="239"/>
        <w:spacing w:after="0"/>
        <w:tabs>
          <w:tab w:leader="none" w:pos="240" w:val="left"/>
        </w:tabs>
        <w:numPr>
          <w:ilvl w:val="0"/>
          <w:numId w:val="50"/>
        </w:numPr>
        <w:rPr>
          <w:rFonts w:ascii="Arial" w:cs="Arial" w:eastAsia="Arial" w:hAnsi="Arial"/>
          <w:sz w:val="14"/>
          <w:szCs w:val="14"/>
          <w:b w:val="1"/>
          <w:bCs w:val="1"/>
          <w:color w:val="00529B"/>
        </w:rPr>
      </w:pPr>
      <w:r>
        <w:rPr>
          <w:rFonts w:ascii="Arial" w:cs="Arial" w:eastAsia="Arial" w:hAnsi="Arial"/>
          <w:sz w:val="14"/>
          <w:szCs w:val="14"/>
          <w:color w:val="4D4D4F"/>
        </w:rPr>
        <w:t>Oversees and reviews our environmental, social and governance activities and related policies.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INDEPENDENCE</w:t>
      </w:r>
    </w:p>
    <w:p>
      <w:pPr>
        <w:spacing w:after="0" w:line="204" w:lineRule="exact"/>
        <w:rPr>
          <w:sz w:val="20"/>
          <w:szCs w:val="20"/>
          <w:color w:val="auto"/>
        </w:rPr>
      </w:pPr>
    </w:p>
    <w:p>
      <w:pPr>
        <w:ind w:right="240"/>
        <w:spacing w:after="0" w:line="293" w:lineRule="auto"/>
        <w:rPr>
          <w:sz w:val="20"/>
          <w:szCs w:val="20"/>
          <w:color w:val="auto"/>
        </w:rPr>
      </w:pPr>
      <w:r>
        <w:rPr>
          <w:rFonts w:ascii="Arial" w:cs="Arial" w:eastAsia="Arial" w:hAnsi="Arial"/>
          <w:sz w:val="14"/>
          <w:szCs w:val="14"/>
          <w:color w:val="4D4D4F"/>
        </w:rPr>
        <w:t>The Board reviewed the background, experience and independence of the Governance Committee members and based on this review, the Board determined that each member of the Governance Committee meets the independence requirements of the NYSE listing standards.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NOMINATING SUBCOMMITTEE:</w:t>
      </w:r>
    </w:p>
    <w:p>
      <w:pPr>
        <w:spacing w:after="0" w:line="190" w:lineRule="exact"/>
        <w:rPr>
          <w:sz w:val="20"/>
          <w:szCs w:val="20"/>
          <w:color w:val="auto"/>
        </w:rPr>
      </w:pPr>
    </w:p>
    <w:p>
      <w:pPr>
        <w:sectPr>
          <w:pgSz w:w="11900" w:h="16838" w:orient="portrait"/>
          <w:cols w:equalWidth="0" w:num="2">
            <w:col w:w="2240" w:space="660"/>
            <w:col w:w="8340"/>
          </w:cols>
          <w:pgMar w:left="320" w:top="279" w:right="339" w:bottom="1440" w:gutter="0" w:footer="0" w:header="0"/>
          <w:type w:val="continuous"/>
        </w:sectPr>
      </w:pPr>
    </w:p>
    <w:p>
      <w:pPr>
        <w:ind w:left="2900" w:right="240"/>
        <w:spacing w:after="0" w:line="282" w:lineRule="auto"/>
        <w:rPr>
          <w:sz w:val="20"/>
          <w:szCs w:val="20"/>
          <w:color w:val="auto"/>
        </w:rPr>
      </w:pPr>
      <w:r>
        <w:rPr>
          <w:rFonts w:ascii="Arial" w:cs="Arial" w:eastAsia="Arial" w:hAnsi="Arial"/>
          <w:sz w:val="14"/>
          <w:szCs w:val="14"/>
          <w:color w:val="4D4D4F"/>
        </w:rPr>
        <w:t>The Nominating Subcommittee was formed by the Governance Committee to assist the Governance Committee with identifying and recruiting qualified candidates for Board membership. The Nominating Subcommittee, which does not have a separate committee charter, consists of three of the members-at-large of the Governance Committee, currently Messrs. Benitez, Manley and Bakshi, who serves as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434340</wp:posOffset>
            </wp:positionV>
            <wp:extent cx="951230" cy="9512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29B"/>
        </w:rPr>
        <w:t>Chair: Jorge L. Benitez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637030" cy="12084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37030" cy="1208405"/>
                    </a:xfrm>
                    <a:prstGeom prst="rect">
                      <a:avLst/>
                    </a:prstGeom>
                    <a:noFill/>
                  </pic:spPr>
                </pic:pic>
              </a:graphicData>
            </a:graphic>
          </wp:anchor>
        </w:drawing>
      </w:r>
    </w:p>
    <w:p>
      <w:pPr>
        <w:spacing w:after="0" w:line="25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29B"/>
        </w:rPr>
        <w:t>Other Members: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Ken Bakshi</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Sharda Cherwoo</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Paul H. Stebbins</w:t>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29B"/>
        </w:rPr>
        <w:t xml:space="preserve">Meetings in 2023: </w:t>
      </w:r>
      <w:r>
        <w:rPr>
          <w:rFonts w:ascii="Arial" w:cs="Arial" w:eastAsia="Arial" w:hAnsi="Arial"/>
          <w:sz w:val="14"/>
          <w:szCs w:val="14"/>
          <w:color w:val="4D4D4F"/>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5"/>
          <w:szCs w:val="25"/>
          <w:b w:val="1"/>
          <w:bCs w:val="1"/>
          <w:color w:val="00529B"/>
        </w:rPr>
        <w:t>SUSTAINABILITY &amp; CORPORATE RESPONSIBILITY COMMITTEE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PRIMARY RESPONSIBILITIES</w:t>
      </w:r>
    </w:p>
    <w:p>
      <w:pPr>
        <w:spacing w:after="0" w:line="136" w:lineRule="exact"/>
        <w:rPr>
          <w:sz w:val="20"/>
          <w:szCs w:val="20"/>
          <w:color w:val="auto"/>
        </w:rPr>
      </w:pPr>
    </w:p>
    <w:p>
      <w:pPr>
        <w:ind w:left="240" w:right="340" w:hanging="239"/>
        <w:spacing w:after="0" w:line="301" w:lineRule="auto"/>
        <w:tabs>
          <w:tab w:leader="none" w:pos="236" w:val="left"/>
        </w:tabs>
        <w:numPr>
          <w:ilvl w:val="0"/>
          <w:numId w:val="51"/>
        </w:numPr>
        <w:rPr>
          <w:rFonts w:ascii="Arial" w:cs="Arial" w:eastAsia="Arial" w:hAnsi="Arial"/>
          <w:sz w:val="14"/>
          <w:szCs w:val="14"/>
          <w:b w:val="1"/>
          <w:bCs w:val="1"/>
          <w:color w:val="00529B"/>
        </w:rPr>
      </w:pPr>
      <w:r>
        <w:rPr>
          <w:rFonts w:ascii="Arial" w:cs="Arial" w:eastAsia="Arial" w:hAnsi="Arial"/>
          <w:sz w:val="14"/>
          <w:szCs w:val="14"/>
          <w:color w:val="4D4D4F"/>
        </w:rPr>
        <w:t>Reviews and provides input on management’s strategy, policies, goals, and integration of Sustainability Matters across the Company, including monitoring our performance with respect to Sustainability Matters and progress on established goals.</w:t>
      </w:r>
    </w:p>
    <w:p>
      <w:pPr>
        <w:spacing w:after="0" w:line="1" w:lineRule="exact"/>
        <w:rPr>
          <w:rFonts w:ascii="Arial" w:cs="Arial" w:eastAsia="Arial" w:hAnsi="Arial"/>
          <w:sz w:val="14"/>
          <w:szCs w:val="14"/>
          <w:b w:val="1"/>
          <w:bCs w:val="1"/>
          <w:color w:val="00529B"/>
        </w:rPr>
      </w:pPr>
    </w:p>
    <w:p>
      <w:pPr>
        <w:ind w:left="240" w:hanging="239"/>
        <w:spacing w:after="0"/>
        <w:tabs>
          <w:tab w:leader="none" w:pos="240" w:val="left"/>
        </w:tabs>
        <w:numPr>
          <w:ilvl w:val="0"/>
          <w:numId w:val="51"/>
        </w:numPr>
        <w:rPr>
          <w:rFonts w:ascii="Arial" w:cs="Arial" w:eastAsia="Arial" w:hAnsi="Arial"/>
          <w:sz w:val="14"/>
          <w:szCs w:val="14"/>
          <w:b w:val="1"/>
          <w:bCs w:val="1"/>
          <w:color w:val="00529B"/>
        </w:rPr>
      </w:pPr>
      <w:r>
        <w:rPr>
          <w:rFonts w:ascii="Arial" w:cs="Arial" w:eastAsia="Arial" w:hAnsi="Arial"/>
          <w:sz w:val="14"/>
          <w:szCs w:val="14"/>
          <w:color w:val="4D4D4F"/>
        </w:rPr>
        <w:t>Oversees internal and external communications and disclosures to stakeholders regarding significant Sustainability Matters.</w:t>
      </w:r>
    </w:p>
    <w:p>
      <w:pPr>
        <w:spacing w:after="0" w:line="82" w:lineRule="exact"/>
        <w:rPr>
          <w:rFonts w:ascii="Arial" w:cs="Arial" w:eastAsia="Arial" w:hAnsi="Arial"/>
          <w:sz w:val="14"/>
          <w:szCs w:val="14"/>
          <w:b w:val="1"/>
          <w:bCs w:val="1"/>
          <w:color w:val="00529B"/>
        </w:rPr>
      </w:pPr>
    </w:p>
    <w:p>
      <w:pPr>
        <w:ind w:left="240" w:right="420" w:hanging="239"/>
        <w:spacing w:after="0" w:line="301" w:lineRule="auto"/>
        <w:tabs>
          <w:tab w:leader="none" w:pos="236" w:val="left"/>
        </w:tabs>
        <w:numPr>
          <w:ilvl w:val="0"/>
          <w:numId w:val="51"/>
        </w:numPr>
        <w:rPr>
          <w:rFonts w:ascii="Arial" w:cs="Arial" w:eastAsia="Arial" w:hAnsi="Arial"/>
          <w:sz w:val="14"/>
          <w:szCs w:val="14"/>
          <w:b w:val="1"/>
          <w:bCs w:val="1"/>
          <w:color w:val="00529B"/>
        </w:rPr>
      </w:pPr>
      <w:r>
        <w:rPr>
          <w:rFonts w:ascii="Arial" w:cs="Arial" w:eastAsia="Arial" w:hAnsi="Arial"/>
          <w:sz w:val="14"/>
          <w:szCs w:val="14"/>
          <w:color w:val="4D4D4F"/>
        </w:rPr>
        <w:t>Oversees and provides input to management on our identification, assessment and management of risks associated with Sustainability Matters such as climate change and its impact on us and our business.</w:t>
      </w:r>
    </w:p>
    <w:p>
      <w:pPr>
        <w:spacing w:after="0" w:line="1" w:lineRule="exact"/>
        <w:rPr>
          <w:rFonts w:ascii="Arial" w:cs="Arial" w:eastAsia="Arial" w:hAnsi="Arial"/>
          <w:sz w:val="14"/>
          <w:szCs w:val="14"/>
          <w:b w:val="1"/>
          <w:bCs w:val="1"/>
          <w:color w:val="00529B"/>
        </w:rPr>
      </w:pPr>
    </w:p>
    <w:p>
      <w:pPr>
        <w:ind w:left="240" w:right="160" w:hanging="239"/>
        <w:spacing w:after="0" w:line="311" w:lineRule="auto"/>
        <w:tabs>
          <w:tab w:leader="none" w:pos="236" w:val="left"/>
        </w:tabs>
        <w:numPr>
          <w:ilvl w:val="0"/>
          <w:numId w:val="51"/>
        </w:numPr>
        <w:rPr>
          <w:rFonts w:ascii="Arial" w:cs="Arial" w:eastAsia="Arial" w:hAnsi="Arial"/>
          <w:sz w:val="14"/>
          <w:szCs w:val="14"/>
          <w:b w:val="1"/>
          <w:bCs w:val="1"/>
          <w:color w:val="00529B"/>
        </w:rPr>
      </w:pPr>
      <w:r>
        <w:rPr>
          <w:rFonts w:ascii="Arial" w:cs="Arial" w:eastAsia="Arial" w:hAnsi="Arial"/>
          <w:sz w:val="14"/>
          <w:szCs w:val="14"/>
          <w:color w:val="4D4D4F"/>
        </w:rPr>
        <w:t>Considers, analyzes and provides input on significant public issues, trends, regulation and legislation regarding Sustainability Matters.</w:t>
      </w:r>
    </w:p>
    <w:p>
      <w:pPr>
        <w:spacing w:after="0" w:line="1" w:lineRule="exact"/>
        <w:rPr>
          <w:rFonts w:ascii="Arial" w:cs="Arial" w:eastAsia="Arial" w:hAnsi="Arial"/>
          <w:sz w:val="14"/>
          <w:szCs w:val="14"/>
          <w:b w:val="1"/>
          <w:bCs w:val="1"/>
          <w:color w:val="00529B"/>
        </w:rPr>
      </w:pPr>
    </w:p>
    <w:p>
      <w:pPr>
        <w:ind w:left="240" w:right="360" w:hanging="239"/>
        <w:spacing w:after="0" w:line="305" w:lineRule="auto"/>
        <w:tabs>
          <w:tab w:leader="none" w:pos="236" w:val="left"/>
        </w:tabs>
        <w:numPr>
          <w:ilvl w:val="0"/>
          <w:numId w:val="51"/>
        </w:numPr>
        <w:rPr>
          <w:rFonts w:ascii="Arial" w:cs="Arial" w:eastAsia="Arial" w:hAnsi="Arial"/>
          <w:sz w:val="14"/>
          <w:szCs w:val="14"/>
          <w:b w:val="1"/>
          <w:bCs w:val="1"/>
          <w:color w:val="00529B"/>
        </w:rPr>
      </w:pPr>
      <w:r>
        <w:rPr>
          <w:rFonts w:ascii="Arial" w:cs="Arial" w:eastAsia="Arial" w:hAnsi="Arial"/>
          <w:sz w:val="14"/>
          <w:szCs w:val="14"/>
          <w:color w:val="4D4D4F"/>
        </w:rPr>
        <w:t>Reviews our charitable giving policies and programs and receives reports from management on charitable contributions in support of our goals regarding Sustainability Matters.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INDEPENDENCE</w:t>
      </w:r>
    </w:p>
    <w:p>
      <w:pPr>
        <w:spacing w:after="0" w:line="190"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color w:val="4D4D4F"/>
        </w:rPr>
        <w:t>The Board reviewed the background, experience and independence of the Sustainability &amp; Corporate Responsibility Committee members and based on this review, the Board determined that each member of the committee meets the independence requirements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107315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578485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720"/>
            <w:col w:w="8340"/>
          </w:cols>
          <w:pgMar w:left="320" w:top="2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27</w:t>
            </w:r>
          </w:p>
        </w:tc>
      </w:tr>
      <w:tr>
        <w:trPr>
          <w:trHeight w:val="211"/>
        </w:trPr>
        <w:tc>
          <w:tcPr>
            <w:tcW w:w="108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30" w:name="page31"/>
    <w:bookmarkEnd w:id="30"/>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478155</wp:posOffset>
            </wp:positionV>
            <wp:extent cx="951230" cy="951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512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900"/>
        <w:spacing w:after="0"/>
        <w:rPr>
          <w:sz w:val="20"/>
          <w:szCs w:val="20"/>
          <w:color w:val="auto"/>
        </w:rPr>
      </w:pPr>
      <w:r>
        <w:rPr>
          <w:rFonts w:ascii="Arial" w:cs="Arial" w:eastAsia="Arial" w:hAnsi="Arial"/>
          <w:sz w:val="25"/>
          <w:szCs w:val="25"/>
          <w:b w:val="1"/>
          <w:bCs w:val="1"/>
          <w:color w:val="00529B"/>
        </w:rPr>
        <w:t>TECHNOLOGY &amp; OPERATIONS COMMITTEE</w:t>
      </w:r>
    </w:p>
    <w:p>
      <w:pPr>
        <w:spacing w:after="0" w:line="322"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00529B"/>
        </w:rPr>
        <w:t>PRIMARY RESPONSIBILITIES</w:t>
      </w:r>
    </w:p>
    <w:p>
      <w:pPr>
        <w:spacing w:after="0" w:line="136" w:lineRule="exact"/>
        <w:rPr>
          <w:sz w:val="20"/>
          <w:szCs w:val="20"/>
          <w:color w:val="auto"/>
        </w:rPr>
      </w:pPr>
    </w:p>
    <w:p>
      <w:pPr>
        <w:ind w:left="3140" w:right="80" w:hanging="239"/>
        <w:spacing w:after="0" w:line="293" w:lineRule="auto"/>
        <w:tabs>
          <w:tab w:leader="none" w:pos="3136" w:val="left"/>
        </w:tabs>
        <w:numPr>
          <w:ilvl w:val="0"/>
          <w:numId w:val="52"/>
        </w:numPr>
        <w:rPr>
          <w:rFonts w:ascii="Arial" w:cs="Arial" w:eastAsia="Arial" w:hAnsi="Arial"/>
          <w:sz w:val="14"/>
          <w:szCs w:val="14"/>
          <w:b w:val="1"/>
          <w:bCs w:val="1"/>
          <w:color w:val="00529B"/>
        </w:rPr>
      </w:pPr>
      <w:r>
        <w:rPr>
          <w:rFonts w:ascii="Arial" w:cs="Arial" w:eastAsia="Arial" w:hAnsi="Arial"/>
          <w:sz w:val="14"/>
          <w:szCs w:val="14"/>
          <w:color w:val="4D4D4F"/>
        </w:rPr>
        <w:t>Reviews and discusses with management the financial, tactical and strategic benefits of significant technology and operations projects and initiatives, including our progress on such projects and initiatives, and makes recommendations to the Board regarding significant technology investments.</w:t>
      </w:r>
    </w:p>
    <w:p>
      <w:pPr>
        <w:sectPr>
          <w:pgSz w:w="11900" w:h="16838" w:orient="portrait"/>
          <w:cols w:equalWidth="0" w:num="1">
            <w:col w:w="11200"/>
          </w:cols>
          <w:pgMar w:left="320" w:top="279" w:right="379" w:bottom="1440" w:gutter="0" w:footer="0" w:header="0"/>
        </w:sectPr>
      </w:pPr>
    </w:p>
    <w:p>
      <w:pPr>
        <w:spacing w:after="0" w:line="12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29B"/>
        </w:rPr>
        <w:t>Chair: Jorge L. Benitez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637030" cy="13716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37030" cy="1371600"/>
                    </a:xfrm>
                    <a:prstGeom prst="rect">
                      <a:avLst/>
                    </a:prstGeom>
                    <a:noFill/>
                  </pic:spPr>
                </pic:pic>
              </a:graphicData>
            </a:graphic>
          </wp:anchor>
        </w:drawing>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29B"/>
        </w:rPr>
        <w:t>Other Members: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Ken Bakshi</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Sharda Cherwoo</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Richard A. Kassar</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John L. Manley</w:t>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29B"/>
        </w:rPr>
        <w:t xml:space="preserve">Meetings in 2023: </w:t>
      </w:r>
      <w:r>
        <w:rPr>
          <w:rFonts w:ascii="Arial" w:cs="Arial" w:eastAsia="Arial" w:hAnsi="Arial"/>
          <w:sz w:val="14"/>
          <w:szCs w:val="14"/>
          <w:color w:val="4D4D4F"/>
        </w:rPr>
        <w:t>4</w:t>
      </w:r>
    </w:p>
    <w:p>
      <w:pPr>
        <w:spacing w:after="0" w:line="20" w:lineRule="exact"/>
        <w:rPr>
          <w:sz w:val="20"/>
          <w:szCs w:val="20"/>
          <w:color w:val="auto"/>
        </w:rPr>
      </w:pPr>
      <w:r>
        <w:rPr>
          <w:sz w:val="20"/>
          <w:szCs w:val="20"/>
          <w:color w:val="auto"/>
        </w:rPr>
        <w:br w:type="column"/>
      </w:r>
    </w:p>
    <w:p>
      <w:pPr>
        <w:ind w:left="240" w:hanging="239"/>
        <w:spacing w:after="0"/>
        <w:tabs>
          <w:tab w:leader="none" w:pos="240" w:val="left"/>
        </w:tabs>
        <w:numPr>
          <w:ilvl w:val="0"/>
          <w:numId w:val="53"/>
        </w:numPr>
        <w:rPr>
          <w:rFonts w:ascii="Arial" w:cs="Arial" w:eastAsia="Arial" w:hAnsi="Arial"/>
          <w:sz w:val="14"/>
          <w:szCs w:val="14"/>
          <w:b w:val="1"/>
          <w:bCs w:val="1"/>
          <w:color w:val="00529B"/>
        </w:rPr>
      </w:pPr>
      <w:r>
        <w:rPr>
          <w:rFonts w:ascii="Arial" w:cs="Arial" w:eastAsia="Arial" w:hAnsi="Arial"/>
          <w:sz w:val="14"/>
          <w:szCs w:val="14"/>
          <w:color w:val="4D4D4F"/>
        </w:rPr>
        <w:t>Reviews and discusses our technology and operations policies.</w:t>
      </w:r>
    </w:p>
    <w:p>
      <w:pPr>
        <w:spacing w:after="0" w:line="68" w:lineRule="exact"/>
        <w:rPr>
          <w:rFonts w:ascii="Arial" w:cs="Arial" w:eastAsia="Arial" w:hAnsi="Arial"/>
          <w:sz w:val="14"/>
          <w:szCs w:val="14"/>
          <w:b w:val="1"/>
          <w:bCs w:val="1"/>
          <w:color w:val="00529B"/>
        </w:rPr>
      </w:pPr>
    </w:p>
    <w:p>
      <w:pPr>
        <w:ind w:left="240" w:right="80" w:hanging="239"/>
        <w:spacing w:after="0" w:line="311" w:lineRule="auto"/>
        <w:tabs>
          <w:tab w:leader="none" w:pos="236" w:val="left"/>
        </w:tabs>
        <w:numPr>
          <w:ilvl w:val="0"/>
          <w:numId w:val="53"/>
        </w:numPr>
        <w:rPr>
          <w:rFonts w:ascii="Arial" w:cs="Arial" w:eastAsia="Arial" w:hAnsi="Arial"/>
          <w:sz w:val="14"/>
          <w:szCs w:val="14"/>
          <w:b w:val="1"/>
          <w:bCs w:val="1"/>
          <w:color w:val="00529B"/>
        </w:rPr>
      </w:pPr>
      <w:r>
        <w:rPr>
          <w:rFonts w:ascii="Arial" w:cs="Arial" w:eastAsia="Arial" w:hAnsi="Arial"/>
          <w:sz w:val="14"/>
          <w:szCs w:val="14"/>
          <w:color w:val="4D4D4F"/>
        </w:rPr>
        <w:t>Reviews and discusses with management our programs relating to business continuity and disaster recovery, as well as other risks related to technology and operations initiatives, including regulatory and other significant technology-related risks.</w:t>
      </w:r>
    </w:p>
    <w:p>
      <w:pPr>
        <w:spacing w:after="0" w:line="1" w:lineRule="exact"/>
        <w:rPr>
          <w:rFonts w:ascii="Arial" w:cs="Arial" w:eastAsia="Arial" w:hAnsi="Arial"/>
          <w:sz w:val="14"/>
          <w:szCs w:val="14"/>
          <w:b w:val="1"/>
          <w:bCs w:val="1"/>
          <w:color w:val="00529B"/>
        </w:rPr>
      </w:pPr>
    </w:p>
    <w:p>
      <w:pPr>
        <w:ind w:left="240" w:right="80" w:hanging="239"/>
        <w:spacing w:after="0" w:line="282" w:lineRule="auto"/>
        <w:tabs>
          <w:tab w:leader="none" w:pos="236" w:val="left"/>
        </w:tabs>
        <w:numPr>
          <w:ilvl w:val="0"/>
          <w:numId w:val="53"/>
        </w:numPr>
        <w:rPr>
          <w:rFonts w:ascii="Arial" w:cs="Arial" w:eastAsia="Arial" w:hAnsi="Arial"/>
          <w:sz w:val="14"/>
          <w:szCs w:val="14"/>
          <w:b w:val="1"/>
          <w:bCs w:val="1"/>
          <w:color w:val="00529B"/>
        </w:rPr>
      </w:pPr>
      <w:r>
        <w:rPr>
          <w:rFonts w:ascii="Arial" w:cs="Arial" w:eastAsia="Arial" w:hAnsi="Arial"/>
          <w:sz w:val="14"/>
          <w:szCs w:val="14"/>
          <w:color w:val="4D4D4F"/>
        </w:rPr>
        <w:t>Consults with the Audit Committee regarding technology and operations systems and processes that relate to or affect our internal control systems, information security, data protection and privacy, fraud and cybersecurity risks, including assisting in the review of cybersecurity risks against our risk management methodologies and the steps taken to monitor and control such exposures.</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INDEPENDENCE</w:t>
      </w:r>
    </w:p>
    <w:p>
      <w:pPr>
        <w:spacing w:after="0" w:line="190" w:lineRule="exact"/>
        <w:rPr>
          <w:sz w:val="20"/>
          <w:szCs w:val="20"/>
          <w:color w:val="auto"/>
        </w:rPr>
      </w:pPr>
    </w:p>
    <w:p>
      <w:pPr>
        <w:ind w:right="120"/>
        <w:spacing w:after="0" w:line="293" w:lineRule="auto"/>
        <w:rPr>
          <w:sz w:val="20"/>
          <w:szCs w:val="20"/>
          <w:color w:val="auto"/>
        </w:rPr>
      </w:pPr>
      <w:r>
        <w:rPr>
          <w:rFonts w:ascii="Arial" w:cs="Arial" w:eastAsia="Arial" w:hAnsi="Arial"/>
          <w:sz w:val="14"/>
          <w:szCs w:val="14"/>
          <w:color w:val="4D4D4F"/>
        </w:rPr>
        <w:t>The Board reviewed the background, experience and independence of the Technology &amp; Operations Committee members and based on this review, the Board determined that each member of the committee meets the independence requirements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94615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720"/>
            <w:col w:w="8300"/>
          </w:cols>
          <w:pgMar w:left="320" w:top="279" w:right="379" w:bottom="1440" w:gutter="0" w:footer="0" w:header="0"/>
          <w:type w:val="continuous"/>
        </w:sectPr>
      </w:pP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Director Nomination Process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Nominee Qualifications and the Nomination Process</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4D4D4F"/>
        </w:rPr>
        <w:t>The Governance Committee believes that the Board should collectively possess a broad range of skills, knowledge, business experience and diversity of backgrounds that provides effective oversight of our business. The Board’s objective is to maintain a diverse membership that can best further the success of our business and represent shareholder interests through the exercise of sound judgment using its diversity of experience and perspectives. The Governance Committee periodically assesses the skills, characteristics and experience required of directors, comparing our needs in Board composition and the individual skills, characteristics and experience of our directors. This assessment enables the Governance Committee to update the skills, characteristics and experience it seeks in the Board, as a whole and in individual directors, as our needs evolve over time in order to maintain a balance of knowledge, experience and capabilities. We are committed to seeking diversity and balance among directors of race, gender, geography, thought, viewpoints, backgrounds, skills, experience, and expertise. As our business transforms, we have continued to pursue ways to adapt and prosper from the ever-changing landscape and our Governance Committee has sought to expand the perspectives of our Board to provide us guidance and insight on this evolution.</w:t>
      </w:r>
    </w:p>
    <w:p>
      <w:pPr>
        <w:spacing w:after="0" w:line="133" w:lineRule="exact"/>
        <w:rPr>
          <w:sz w:val="20"/>
          <w:szCs w:val="20"/>
          <w:color w:val="auto"/>
        </w:rPr>
      </w:pPr>
    </w:p>
    <w:p>
      <w:pPr>
        <w:spacing w:after="0" w:line="283" w:lineRule="auto"/>
        <w:rPr>
          <w:sz w:val="20"/>
          <w:szCs w:val="20"/>
          <w:color w:val="auto"/>
        </w:rPr>
      </w:pPr>
      <w:r>
        <w:rPr>
          <w:rFonts w:ascii="Arial" w:cs="Arial" w:eastAsia="Arial" w:hAnsi="Arial"/>
          <w:sz w:val="16"/>
          <w:szCs w:val="16"/>
          <w:color w:val="4D4D4F"/>
        </w:rPr>
        <w:t>As part of our ongoing board refreshment efforts, we have elected three new directors since 2015. In conducting each of these director searches, our Governance Committee considered the leadership, technical skills and operational experience that we believed would address the Board’s then current needs. For each of these searches, we utilized the services of a professional recruiter who was instructed to conduct an extensive search to (1) identify candidates with the leadership, skills and experience targeted by the Governance Committee from, among other areas, the traditional corporate environment (including different stakeholders in the industry), government, academia, private enterprise, non-profit organizations, and professions such as accounting, finance, marketing, human resources, and legal services and (2) ensure that the pool of candidates included diverse candidates with a particular focus on race and gender diversity. We believe that this board refreshment process has successfully allowed us to identify candidates who bring valuable viewpoints, backgrounds, skills, experience, and expertise, while also expanding the racial and gender diversity of our Board. Our two most recent nominations for the Board – Ms. Cherwoo in 2020 and Ms. Smart in 2021 – are illustrative of that effort. Ms. Cherwoo brought to our Board her extensive experience in advising companies on digital transformation initiatives, including digital and talent transformation planning, as well as substantial management experience and Ms. Smart brought to our Board extensive experience in organizational transformation and human resources, and we believe that the experiences and insight of these two new directors are, and will continue to be valuable.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0" w:hanging="534"/>
        <w:spacing w:after="0"/>
        <w:tabs>
          <w:tab w:leader="none" w:pos="560" w:val="left"/>
        </w:tabs>
        <w:numPr>
          <w:ilvl w:val="0"/>
          <w:numId w:val="54"/>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type w:val="continuous"/>
        </w:sectPr>
      </w:pPr>
    </w:p>
    <w:bookmarkStart w:id="31" w:name="page32"/>
    <w:bookmarkEnd w:id="31"/>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BOARD OF DIRECTORS SKILLS MATRIX</w:t>
      </w:r>
    </w:p>
    <w:p>
      <w:pPr>
        <w:spacing w:after="0" w:line="140"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4D4D4F"/>
        </w:rPr>
        <w:t>The matrix below sets forth the skills and experience that our Governance Committee has determined would be beneficial to have represented on our Board based on a number of factors, including our current operating requirements and business strategy, and the relevance of such skill or experience to our long-term value creation. The skills, experience and background of each of our directors and the characteristics that our Governance Committee and our Board identified in connection with his or her nomination is set forth in the director’s biography which starts on page 11 of this proxy statement: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2300" w:type="dxa"/>
            <w:vAlign w:val="bottom"/>
          </w:tcPr>
          <w:p>
            <w:pPr>
              <w:jc w:val="center"/>
              <w:ind w:left="1228"/>
              <w:spacing w:after="0"/>
              <w:rPr>
                <w:sz w:val="20"/>
                <w:szCs w:val="20"/>
                <w:color w:val="auto"/>
              </w:rPr>
            </w:pPr>
            <w:r>
              <w:rPr>
                <w:rFonts w:ascii="Arial" w:cs="Arial" w:eastAsia="Arial" w:hAnsi="Arial"/>
                <w:sz w:val="14"/>
                <w:szCs w:val="14"/>
                <w:b w:val="1"/>
                <w:bCs w:val="1"/>
                <w:color w:val="4D4D4F"/>
              </w:rPr>
              <w:t>Michael J.</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4D4D4F"/>
                <w:w w:val="98"/>
              </w:rPr>
              <w:t>Ken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4D4D4F"/>
              </w:rPr>
              <w:t>Jorge 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4D4D4F"/>
              </w:rPr>
              <w:t>Sharda</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4D4D4F"/>
              </w:rPr>
              <w:t>Richard A.</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4D4D4F"/>
              </w:rPr>
              <w:t>John L.</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4D4D4F"/>
              </w:rPr>
              <w:t>Stephen K.</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4D4D4F"/>
              </w:rPr>
              <w:t>Jill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4D4D4F"/>
              </w:rPr>
              <w:t>Paul H.</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300" w:type="dxa"/>
            <w:vAlign w:val="bottom"/>
          </w:tcPr>
          <w:p>
            <w:pPr>
              <w:jc w:val="center"/>
              <w:ind w:left="1228"/>
              <w:spacing w:after="0"/>
              <w:rPr>
                <w:sz w:val="20"/>
                <w:szCs w:val="20"/>
                <w:color w:val="auto"/>
              </w:rPr>
            </w:pPr>
            <w:r>
              <w:rPr>
                <w:rFonts w:ascii="Arial" w:cs="Arial" w:eastAsia="Arial" w:hAnsi="Arial"/>
                <w:sz w:val="14"/>
                <w:szCs w:val="14"/>
                <w:b w:val="1"/>
                <w:bCs w:val="1"/>
                <w:color w:val="4D4D4F"/>
              </w:rPr>
              <w:t>Kasbar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4D4D4F"/>
              </w:rPr>
              <w:t>Bakshi</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4D4D4F"/>
              </w:rPr>
              <w:t>Benitez</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4D4D4F"/>
              </w:rPr>
              <w:t>Cherwoo</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4D4D4F"/>
              </w:rPr>
              <w:t>Kassar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4D4D4F"/>
              </w:rPr>
              <w:t>Manley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4D4D4F"/>
              </w:rPr>
              <w:t>Roddenberry</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4D4D4F"/>
              </w:rPr>
              <w:t>Smart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4D4D4F"/>
              </w:rPr>
              <w:t>Stebbins</w:t>
            </w:r>
          </w:p>
        </w:tc>
        <w:tc>
          <w:tcPr>
            <w:tcW w:w="0" w:type="dxa"/>
            <w:vAlign w:val="bottom"/>
          </w:tcPr>
          <w:p>
            <w:pPr>
              <w:spacing w:after="0"/>
              <w:rPr>
                <w:sz w:val="1"/>
                <w:szCs w:val="1"/>
                <w:color w:val="auto"/>
              </w:rPr>
            </w:pPr>
          </w:p>
        </w:tc>
      </w:tr>
      <w:tr>
        <w:trPr>
          <w:trHeight w:val="29"/>
        </w:trPr>
        <w:tc>
          <w:tcPr>
            <w:tcW w:w="37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gridSpan w:val="2"/>
            <w:shd w:val="clear" w:color="auto" w:fill="132440"/>
          </w:tcPr>
          <w:p>
            <w:pPr>
              <w:ind w:left="100"/>
              <w:spacing w:after="0"/>
              <w:rPr>
                <w:sz w:val="20"/>
                <w:szCs w:val="20"/>
                <w:color w:val="auto"/>
              </w:rPr>
            </w:pPr>
            <w:r>
              <w:rPr>
                <w:rFonts w:ascii="Arial" w:cs="Arial" w:eastAsia="Arial" w:hAnsi="Arial"/>
                <w:sz w:val="14"/>
                <w:szCs w:val="14"/>
                <w:b w:val="1"/>
                <w:bCs w:val="1"/>
                <w:color w:val="FFFFFF"/>
              </w:rPr>
              <w:t>Committee Membership</w:t>
            </w:r>
          </w:p>
        </w:tc>
        <w:tc>
          <w:tcPr>
            <w:tcW w:w="780" w:type="dxa"/>
            <w:vAlign w:val="bottom"/>
            <w:shd w:val="clear" w:color="auto" w:fill="132440"/>
          </w:tcPr>
          <w:p>
            <w:pPr>
              <w:spacing w:after="0"/>
              <w:rPr>
                <w:sz w:val="19"/>
                <w:szCs w:val="19"/>
                <w:color w:val="auto"/>
              </w:rPr>
            </w:pPr>
          </w:p>
        </w:tc>
        <w:tc>
          <w:tcPr>
            <w:tcW w:w="880" w:type="dxa"/>
            <w:vAlign w:val="bottom"/>
            <w:shd w:val="clear" w:color="auto" w:fill="132440"/>
          </w:tcPr>
          <w:p>
            <w:pPr>
              <w:spacing w:after="0"/>
              <w:rPr>
                <w:sz w:val="19"/>
                <w:szCs w:val="19"/>
                <w:color w:val="auto"/>
              </w:rPr>
            </w:pPr>
          </w:p>
        </w:tc>
        <w:tc>
          <w:tcPr>
            <w:tcW w:w="940" w:type="dxa"/>
            <w:vAlign w:val="bottom"/>
            <w:shd w:val="clear" w:color="auto" w:fill="132440"/>
          </w:tcPr>
          <w:p>
            <w:pPr>
              <w:spacing w:after="0"/>
              <w:rPr>
                <w:sz w:val="19"/>
                <w:szCs w:val="19"/>
                <w:color w:val="auto"/>
              </w:rPr>
            </w:pPr>
          </w:p>
        </w:tc>
        <w:tc>
          <w:tcPr>
            <w:tcW w:w="1040" w:type="dxa"/>
            <w:vAlign w:val="bottom"/>
            <w:shd w:val="clear" w:color="auto" w:fill="132440"/>
          </w:tcPr>
          <w:p>
            <w:pPr>
              <w:spacing w:after="0"/>
              <w:rPr>
                <w:sz w:val="19"/>
                <w:szCs w:val="19"/>
                <w:color w:val="auto"/>
              </w:rPr>
            </w:pPr>
          </w:p>
        </w:tc>
        <w:tc>
          <w:tcPr>
            <w:tcW w:w="820" w:type="dxa"/>
            <w:vAlign w:val="bottom"/>
            <w:shd w:val="clear" w:color="auto" w:fill="132440"/>
          </w:tcPr>
          <w:p>
            <w:pPr>
              <w:spacing w:after="0"/>
              <w:rPr>
                <w:sz w:val="19"/>
                <w:szCs w:val="19"/>
                <w:color w:val="auto"/>
              </w:rPr>
            </w:pPr>
          </w:p>
        </w:tc>
        <w:tc>
          <w:tcPr>
            <w:tcW w:w="1280" w:type="dxa"/>
            <w:vAlign w:val="bottom"/>
            <w:shd w:val="clear" w:color="auto" w:fill="132440"/>
          </w:tcPr>
          <w:p>
            <w:pPr>
              <w:spacing w:after="0"/>
              <w:rPr>
                <w:sz w:val="19"/>
                <w:szCs w:val="19"/>
                <w:color w:val="auto"/>
              </w:rPr>
            </w:pPr>
          </w:p>
        </w:tc>
        <w:tc>
          <w:tcPr>
            <w:tcW w:w="800" w:type="dxa"/>
            <w:vAlign w:val="bottom"/>
            <w:shd w:val="clear" w:color="auto" w:fill="132440"/>
          </w:tcPr>
          <w:p>
            <w:pPr>
              <w:spacing w:after="0"/>
              <w:rPr>
                <w:sz w:val="19"/>
                <w:szCs w:val="19"/>
                <w:color w:val="auto"/>
              </w:rPr>
            </w:pPr>
          </w:p>
        </w:tc>
        <w:tc>
          <w:tcPr>
            <w:tcW w:w="940" w:type="dxa"/>
            <w:vAlign w:val="bottom"/>
            <w:shd w:val="clear" w:color="auto" w:fill="132440"/>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460" w:type="dxa"/>
            <w:vAlign w:val="bottom"/>
            <w:vMerge w:val="restart"/>
          </w:tcPr>
          <w:p>
            <w:pPr>
              <w:ind w:left="100"/>
              <w:spacing w:after="0"/>
              <w:rPr>
                <w:sz w:val="20"/>
                <w:szCs w:val="20"/>
                <w:color w:val="auto"/>
              </w:rPr>
            </w:pPr>
            <w:r>
              <w:rPr>
                <w:rFonts w:ascii="Arial" w:cs="Arial" w:eastAsia="Arial" w:hAnsi="Arial"/>
                <w:sz w:val="14"/>
                <w:szCs w:val="14"/>
                <w:color w:val="4D4D4F"/>
              </w:rPr>
              <w:t>Audit</w:t>
            </w:r>
          </w:p>
        </w:tc>
        <w:tc>
          <w:tcPr>
            <w:tcW w:w="2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Wingdings" w:cs="Wingdings" w:eastAsia="Wingdings" w:hAnsi="Wingdings"/>
                <w:sz w:val="14"/>
                <w:szCs w:val="14"/>
                <w:b w:val="1"/>
                <w:bCs w:val="1"/>
                <w:color w:val="298655"/>
                <w:w w:val="95"/>
              </w:rPr>
              <w:t>l</w:t>
            </w:r>
          </w:p>
        </w:tc>
        <w:tc>
          <w:tcPr>
            <w:tcW w:w="940" w:type="dxa"/>
            <w:vAlign w:val="bottom"/>
          </w:tcPr>
          <w:p>
            <w:pPr>
              <w:jc w:val="center"/>
              <w:spacing w:after="0" w:line="155" w:lineRule="exact"/>
              <w:rPr>
                <w:sz w:val="20"/>
                <w:szCs w:val="20"/>
                <w:color w:val="auto"/>
              </w:rPr>
            </w:pPr>
            <w:r>
              <w:rPr>
                <w:rFonts w:ascii="Wingdings" w:cs="Wingdings" w:eastAsia="Wingdings" w:hAnsi="Wingdings"/>
                <w:sz w:val="14"/>
                <w:szCs w:val="14"/>
                <w:b w:val="1"/>
                <w:bCs w:val="1"/>
                <w:color w:val="298655"/>
                <w:w w:val="95"/>
              </w:rPr>
              <w:t>l</w:t>
            </w:r>
          </w:p>
        </w:tc>
        <w:tc>
          <w:tcPr>
            <w:tcW w:w="1040" w:type="dxa"/>
            <w:vAlign w:val="bottom"/>
          </w:tcPr>
          <w:p>
            <w:pPr>
              <w:jc w:val="center"/>
              <w:spacing w:after="0" w:line="155" w:lineRule="exact"/>
              <w:rPr>
                <w:sz w:val="20"/>
                <w:szCs w:val="20"/>
                <w:color w:val="auto"/>
              </w:rPr>
            </w:pPr>
            <w:r>
              <w:rPr>
                <w:rFonts w:ascii="Wingdings" w:cs="Wingdings" w:eastAsia="Wingdings" w:hAnsi="Wingdings"/>
                <w:sz w:val="14"/>
                <w:szCs w:val="14"/>
                <w:b w:val="1"/>
                <w:bCs w:val="1"/>
                <w:color w:val="298655"/>
              </w:rPr>
              <w:t>l</w:t>
            </w:r>
          </w:p>
        </w:tc>
        <w:tc>
          <w:tcPr>
            <w:tcW w:w="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4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46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Compensation</w:t>
            </w:r>
          </w:p>
        </w:tc>
        <w:tc>
          <w:tcPr>
            <w:tcW w:w="2300" w:type="dxa"/>
            <w:vAlign w:val="bottom"/>
            <w:shd w:val="clear" w:color="auto" w:fill="EAEEF2"/>
          </w:tcPr>
          <w:p>
            <w:pPr>
              <w:spacing w:after="0"/>
              <w:rPr>
                <w:sz w:val="13"/>
                <w:szCs w:val="13"/>
                <w:color w:val="auto"/>
              </w:rPr>
            </w:pPr>
          </w:p>
        </w:tc>
        <w:tc>
          <w:tcPr>
            <w:tcW w:w="780" w:type="dxa"/>
            <w:vAlign w:val="bottom"/>
            <w:shd w:val="clear" w:color="auto" w:fill="EAEEF2"/>
          </w:tcPr>
          <w:p>
            <w:pPr>
              <w:spacing w:after="0"/>
              <w:rPr>
                <w:sz w:val="13"/>
                <w:szCs w:val="13"/>
                <w:color w:val="auto"/>
              </w:rPr>
            </w:pPr>
          </w:p>
        </w:tc>
        <w:tc>
          <w:tcPr>
            <w:tcW w:w="880" w:type="dxa"/>
            <w:vAlign w:val="bottom"/>
            <w:shd w:val="clear" w:color="auto" w:fill="EAEEF2"/>
          </w:tcPr>
          <w:p>
            <w:pPr>
              <w:spacing w:after="0"/>
              <w:rPr>
                <w:sz w:val="13"/>
                <w:szCs w:val="13"/>
                <w:color w:val="auto"/>
              </w:rPr>
            </w:pPr>
          </w:p>
        </w:tc>
        <w:tc>
          <w:tcPr>
            <w:tcW w:w="940" w:type="dxa"/>
            <w:vAlign w:val="bottom"/>
            <w:shd w:val="clear" w:color="auto" w:fill="EAEEF2"/>
          </w:tcPr>
          <w:p>
            <w:pPr>
              <w:spacing w:after="0"/>
              <w:rPr>
                <w:sz w:val="13"/>
                <w:szCs w:val="13"/>
                <w:color w:val="auto"/>
              </w:rPr>
            </w:pPr>
          </w:p>
        </w:tc>
        <w:tc>
          <w:tcPr>
            <w:tcW w:w="1040" w:type="dxa"/>
            <w:vAlign w:val="bottom"/>
            <w:shd w:val="clear" w:color="auto" w:fill="EAEEF2"/>
          </w:tcPr>
          <w:p>
            <w:pPr>
              <w:jc w:val="center"/>
              <w:spacing w:after="0" w:line="155" w:lineRule="exact"/>
              <w:rPr>
                <w:sz w:val="20"/>
                <w:szCs w:val="20"/>
                <w:color w:val="auto"/>
              </w:rPr>
            </w:pPr>
            <w:r>
              <w:rPr>
                <w:rFonts w:ascii="Wingdings" w:cs="Wingdings" w:eastAsia="Wingdings" w:hAnsi="Wingdings"/>
                <w:sz w:val="14"/>
                <w:szCs w:val="14"/>
                <w:b w:val="1"/>
                <w:bCs w:val="1"/>
                <w:color w:val="298655"/>
              </w:rPr>
              <w:t>l</w:t>
            </w:r>
          </w:p>
        </w:tc>
        <w:tc>
          <w:tcPr>
            <w:tcW w:w="820" w:type="dxa"/>
            <w:vAlign w:val="bottom"/>
            <w:shd w:val="clear" w:color="auto" w:fill="EAEEF2"/>
          </w:tcPr>
          <w:p>
            <w:pPr>
              <w:spacing w:after="0"/>
              <w:rPr>
                <w:sz w:val="13"/>
                <w:szCs w:val="13"/>
                <w:color w:val="auto"/>
              </w:rPr>
            </w:pPr>
          </w:p>
        </w:tc>
        <w:tc>
          <w:tcPr>
            <w:tcW w:w="1280" w:type="dxa"/>
            <w:vAlign w:val="bottom"/>
            <w:shd w:val="clear" w:color="auto" w:fill="EAEEF2"/>
          </w:tcPr>
          <w:p>
            <w:pPr>
              <w:jc w:val="center"/>
              <w:spacing w:after="0" w:line="155" w:lineRule="exact"/>
              <w:rPr>
                <w:sz w:val="20"/>
                <w:szCs w:val="20"/>
                <w:color w:val="auto"/>
              </w:rPr>
            </w:pPr>
            <w:r>
              <w:rPr>
                <w:rFonts w:ascii="Wingdings" w:cs="Wingdings" w:eastAsia="Wingdings" w:hAnsi="Wingdings"/>
                <w:sz w:val="14"/>
                <w:szCs w:val="14"/>
                <w:b w:val="1"/>
                <w:bCs w:val="1"/>
                <w:color w:val="298655"/>
                <w:w w:val="95"/>
              </w:rPr>
              <w:t>l</w:t>
            </w:r>
          </w:p>
        </w:tc>
        <w:tc>
          <w:tcPr>
            <w:tcW w:w="800" w:type="dxa"/>
            <w:vAlign w:val="bottom"/>
            <w:shd w:val="clear" w:color="auto" w:fill="EAEEF2"/>
          </w:tcPr>
          <w:p>
            <w:pPr>
              <w:jc w:val="center"/>
              <w:spacing w:after="0" w:line="155" w:lineRule="exact"/>
              <w:rPr>
                <w:sz w:val="20"/>
                <w:szCs w:val="20"/>
                <w:color w:val="auto"/>
              </w:rPr>
            </w:pPr>
            <w:r>
              <w:rPr>
                <w:rFonts w:ascii="Wingdings" w:cs="Wingdings" w:eastAsia="Wingdings" w:hAnsi="Wingdings"/>
                <w:sz w:val="14"/>
                <w:szCs w:val="14"/>
                <w:b w:val="1"/>
                <w:bCs w:val="1"/>
                <w:color w:val="298655"/>
                <w:w w:val="95"/>
              </w:rPr>
              <w:t>l</w:t>
            </w:r>
          </w:p>
        </w:tc>
        <w:tc>
          <w:tcPr>
            <w:tcW w:w="940" w:type="dxa"/>
            <w:vAlign w:val="bottom"/>
            <w:shd w:val="clear" w:color="auto" w:fill="EAEEF2"/>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shd w:val="clear" w:color="auto" w:fill="EAEEF2"/>
          </w:tcPr>
          <w:p>
            <w:pPr>
              <w:spacing w:after="0"/>
              <w:rPr>
                <w:sz w:val="8"/>
                <w:szCs w:val="8"/>
                <w:color w:val="auto"/>
              </w:rPr>
            </w:pPr>
          </w:p>
        </w:tc>
        <w:tc>
          <w:tcPr>
            <w:tcW w:w="2300" w:type="dxa"/>
            <w:vAlign w:val="bottom"/>
            <w:shd w:val="clear" w:color="auto" w:fill="EAEEF2"/>
          </w:tcPr>
          <w:p>
            <w:pPr>
              <w:spacing w:after="0"/>
              <w:rPr>
                <w:sz w:val="8"/>
                <w:szCs w:val="8"/>
                <w:color w:val="auto"/>
              </w:rPr>
            </w:pPr>
          </w:p>
        </w:tc>
        <w:tc>
          <w:tcPr>
            <w:tcW w:w="780" w:type="dxa"/>
            <w:vAlign w:val="bottom"/>
            <w:shd w:val="clear" w:color="auto" w:fill="EAEEF2"/>
          </w:tcPr>
          <w:p>
            <w:pPr>
              <w:spacing w:after="0"/>
              <w:rPr>
                <w:sz w:val="8"/>
                <w:szCs w:val="8"/>
                <w:color w:val="auto"/>
              </w:rPr>
            </w:pPr>
          </w:p>
        </w:tc>
        <w:tc>
          <w:tcPr>
            <w:tcW w:w="880" w:type="dxa"/>
            <w:vAlign w:val="bottom"/>
            <w:shd w:val="clear" w:color="auto" w:fill="EAEEF2"/>
          </w:tcPr>
          <w:p>
            <w:pPr>
              <w:spacing w:after="0"/>
              <w:rPr>
                <w:sz w:val="8"/>
                <w:szCs w:val="8"/>
                <w:color w:val="auto"/>
              </w:rPr>
            </w:pPr>
          </w:p>
        </w:tc>
        <w:tc>
          <w:tcPr>
            <w:tcW w:w="940" w:type="dxa"/>
            <w:vAlign w:val="bottom"/>
            <w:shd w:val="clear" w:color="auto" w:fill="EAEEF2"/>
          </w:tcPr>
          <w:p>
            <w:pPr>
              <w:spacing w:after="0"/>
              <w:rPr>
                <w:sz w:val="8"/>
                <w:szCs w:val="8"/>
                <w:color w:val="auto"/>
              </w:rPr>
            </w:pPr>
          </w:p>
        </w:tc>
        <w:tc>
          <w:tcPr>
            <w:tcW w:w="1040" w:type="dxa"/>
            <w:vAlign w:val="bottom"/>
            <w:shd w:val="clear" w:color="auto" w:fill="EAEEF2"/>
          </w:tcPr>
          <w:p>
            <w:pPr>
              <w:spacing w:after="0"/>
              <w:rPr>
                <w:sz w:val="8"/>
                <w:szCs w:val="8"/>
                <w:color w:val="auto"/>
              </w:rPr>
            </w:pPr>
          </w:p>
        </w:tc>
        <w:tc>
          <w:tcPr>
            <w:tcW w:w="820" w:type="dxa"/>
            <w:vAlign w:val="bottom"/>
            <w:shd w:val="clear" w:color="auto" w:fill="EAEEF2"/>
          </w:tcPr>
          <w:p>
            <w:pPr>
              <w:spacing w:after="0"/>
              <w:rPr>
                <w:sz w:val="8"/>
                <w:szCs w:val="8"/>
                <w:color w:val="auto"/>
              </w:rPr>
            </w:pPr>
          </w:p>
        </w:tc>
        <w:tc>
          <w:tcPr>
            <w:tcW w:w="1280" w:type="dxa"/>
            <w:vAlign w:val="bottom"/>
            <w:shd w:val="clear" w:color="auto" w:fill="EAEEF2"/>
          </w:tcPr>
          <w:p>
            <w:pPr>
              <w:spacing w:after="0"/>
              <w:rPr>
                <w:sz w:val="8"/>
                <w:szCs w:val="8"/>
                <w:color w:val="auto"/>
              </w:rPr>
            </w:pPr>
          </w:p>
        </w:tc>
        <w:tc>
          <w:tcPr>
            <w:tcW w:w="800" w:type="dxa"/>
            <w:vAlign w:val="bottom"/>
            <w:shd w:val="clear" w:color="auto" w:fill="EAEEF2"/>
          </w:tcPr>
          <w:p>
            <w:pPr>
              <w:spacing w:after="0"/>
              <w:rPr>
                <w:sz w:val="8"/>
                <w:szCs w:val="8"/>
                <w:color w:val="auto"/>
              </w:rPr>
            </w:pPr>
          </w:p>
        </w:tc>
        <w:tc>
          <w:tcPr>
            <w:tcW w:w="940" w:type="dxa"/>
            <w:vAlign w:val="bottom"/>
            <w:shd w:val="clear" w:color="auto" w:fill="EAEEF2"/>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460" w:type="dxa"/>
            <w:vAlign w:val="bottom"/>
            <w:shd w:val="clear" w:color="auto" w:fill="EAEEF2"/>
          </w:tcPr>
          <w:p>
            <w:pPr>
              <w:spacing w:after="0"/>
              <w:rPr>
                <w:sz w:val="6"/>
                <w:szCs w:val="6"/>
                <w:color w:val="auto"/>
              </w:rPr>
            </w:pPr>
          </w:p>
        </w:tc>
        <w:tc>
          <w:tcPr>
            <w:tcW w:w="2300" w:type="dxa"/>
            <w:vAlign w:val="bottom"/>
            <w:shd w:val="clear" w:color="auto" w:fill="EAEEF2"/>
          </w:tcPr>
          <w:p>
            <w:pPr>
              <w:spacing w:after="0"/>
              <w:rPr>
                <w:sz w:val="6"/>
                <w:szCs w:val="6"/>
                <w:color w:val="auto"/>
              </w:rPr>
            </w:pPr>
          </w:p>
        </w:tc>
        <w:tc>
          <w:tcPr>
            <w:tcW w:w="780" w:type="dxa"/>
            <w:vAlign w:val="bottom"/>
            <w:shd w:val="clear" w:color="auto" w:fill="EAEEF2"/>
          </w:tcPr>
          <w:p>
            <w:pPr>
              <w:spacing w:after="0"/>
              <w:rPr>
                <w:sz w:val="6"/>
                <w:szCs w:val="6"/>
                <w:color w:val="auto"/>
              </w:rPr>
            </w:pPr>
          </w:p>
        </w:tc>
        <w:tc>
          <w:tcPr>
            <w:tcW w:w="880" w:type="dxa"/>
            <w:vAlign w:val="bottom"/>
            <w:shd w:val="clear" w:color="auto" w:fill="EAEEF2"/>
          </w:tcPr>
          <w:p>
            <w:pPr>
              <w:spacing w:after="0"/>
              <w:rPr>
                <w:sz w:val="6"/>
                <w:szCs w:val="6"/>
                <w:color w:val="auto"/>
              </w:rPr>
            </w:pPr>
          </w:p>
        </w:tc>
        <w:tc>
          <w:tcPr>
            <w:tcW w:w="940" w:type="dxa"/>
            <w:vAlign w:val="bottom"/>
            <w:shd w:val="clear" w:color="auto" w:fill="EAEEF2"/>
          </w:tcPr>
          <w:p>
            <w:pPr>
              <w:spacing w:after="0"/>
              <w:rPr>
                <w:sz w:val="6"/>
                <w:szCs w:val="6"/>
                <w:color w:val="auto"/>
              </w:rPr>
            </w:pPr>
          </w:p>
        </w:tc>
        <w:tc>
          <w:tcPr>
            <w:tcW w:w="1040" w:type="dxa"/>
            <w:vAlign w:val="bottom"/>
            <w:shd w:val="clear" w:color="auto" w:fill="EAEEF2"/>
          </w:tcPr>
          <w:p>
            <w:pPr>
              <w:spacing w:after="0"/>
              <w:rPr>
                <w:sz w:val="6"/>
                <w:szCs w:val="6"/>
                <w:color w:val="auto"/>
              </w:rPr>
            </w:pPr>
          </w:p>
        </w:tc>
        <w:tc>
          <w:tcPr>
            <w:tcW w:w="820" w:type="dxa"/>
            <w:vAlign w:val="bottom"/>
            <w:shd w:val="clear" w:color="auto" w:fill="EAEEF2"/>
          </w:tcPr>
          <w:p>
            <w:pPr>
              <w:spacing w:after="0"/>
              <w:rPr>
                <w:sz w:val="6"/>
                <w:szCs w:val="6"/>
                <w:color w:val="auto"/>
              </w:rPr>
            </w:pPr>
          </w:p>
        </w:tc>
        <w:tc>
          <w:tcPr>
            <w:tcW w:w="1280" w:type="dxa"/>
            <w:vAlign w:val="bottom"/>
            <w:shd w:val="clear" w:color="auto" w:fill="EAEEF2"/>
          </w:tcPr>
          <w:p>
            <w:pPr>
              <w:spacing w:after="0"/>
              <w:rPr>
                <w:sz w:val="6"/>
                <w:szCs w:val="6"/>
                <w:color w:val="auto"/>
              </w:rPr>
            </w:pPr>
          </w:p>
        </w:tc>
        <w:tc>
          <w:tcPr>
            <w:tcW w:w="800" w:type="dxa"/>
            <w:vAlign w:val="bottom"/>
            <w:shd w:val="clear" w:color="auto" w:fill="EAEEF2"/>
          </w:tcPr>
          <w:p>
            <w:pPr>
              <w:spacing w:after="0"/>
              <w:rPr>
                <w:sz w:val="6"/>
                <w:szCs w:val="6"/>
                <w:color w:val="auto"/>
              </w:rPr>
            </w:pPr>
          </w:p>
        </w:tc>
        <w:tc>
          <w:tcPr>
            <w:tcW w:w="940" w:type="dxa"/>
            <w:vAlign w:val="bottom"/>
            <w:shd w:val="clear" w:color="auto" w:fill="EAEEF2"/>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460" w:type="dxa"/>
            <w:vAlign w:val="bottom"/>
            <w:vMerge w:val="restart"/>
          </w:tcPr>
          <w:p>
            <w:pPr>
              <w:ind w:left="100"/>
              <w:spacing w:after="0"/>
              <w:rPr>
                <w:sz w:val="20"/>
                <w:szCs w:val="20"/>
                <w:color w:val="auto"/>
              </w:rPr>
            </w:pPr>
            <w:r>
              <w:rPr>
                <w:rFonts w:ascii="Arial" w:cs="Arial" w:eastAsia="Arial" w:hAnsi="Arial"/>
                <w:sz w:val="14"/>
                <w:szCs w:val="14"/>
                <w:color w:val="4D4D4F"/>
              </w:rPr>
              <w:t>Governance</w:t>
            </w:r>
          </w:p>
        </w:tc>
        <w:tc>
          <w:tcPr>
            <w:tcW w:w="230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Wingdings" w:cs="Wingdings" w:eastAsia="Wingdings" w:hAnsi="Wingdings"/>
                <w:sz w:val="14"/>
                <w:szCs w:val="14"/>
                <w:b w:val="1"/>
                <w:bCs w:val="1"/>
                <w:color w:val="298655"/>
                <w:w w:val="95"/>
              </w:rPr>
              <w:t>l</w:t>
            </w:r>
          </w:p>
        </w:tc>
        <w:tc>
          <w:tcPr>
            <w:tcW w:w="880" w:type="dxa"/>
            <w:vAlign w:val="bottom"/>
          </w:tcPr>
          <w:p>
            <w:pPr>
              <w:jc w:val="center"/>
              <w:spacing w:after="0" w:line="155" w:lineRule="exact"/>
              <w:rPr>
                <w:sz w:val="20"/>
                <w:szCs w:val="20"/>
                <w:color w:val="auto"/>
              </w:rPr>
            </w:pPr>
            <w:r>
              <w:rPr>
                <w:rFonts w:ascii="Wingdings" w:cs="Wingdings" w:eastAsia="Wingdings" w:hAnsi="Wingdings"/>
                <w:sz w:val="14"/>
                <w:szCs w:val="14"/>
                <w:b w:val="1"/>
                <w:bCs w:val="1"/>
                <w:color w:val="298655"/>
                <w:w w:val="95"/>
              </w:rPr>
              <w:t>l</w:t>
            </w:r>
          </w:p>
        </w:tc>
        <w:tc>
          <w:tcPr>
            <w:tcW w:w="940" w:type="dxa"/>
            <w:vAlign w:val="bottom"/>
          </w:tcPr>
          <w:p>
            <w:pPr>
              <w:jc w:val="center"/>
              <w:spacing w:after="0" w:line="155" w:lineRule="exact"/>
              <w:rPr>
                <w:sz w:val="20"/>
                <w:szCs w:val="20"/>
                <w:color w:val="auto"/>
              </w:rPr>
            </w:pPr>
            <w:r>
              <w:rPr>
                <w:rFonts w:ascii="Wingdings" w:cs="Wingdings" w:eastAsia="Wingdings" w:hAnsi="Wingdings"/>
                <w:sz w:val="14"/>
                <w:szCs w:val="14"/>
                <w:b w:val="1"/>
                <w:bCs w:val="1"/>
                <w:color w:val="298655"/>
                <w:w w:val="95"/>
              </w:rPr>
              <w:t>l</w:t>
            </w:r>
          </w:p>
        </w:tc>
        <w:tc>
          <w:tcPr>
            <w:tcW w:w="1040" w:type="dxa"/>
            <w:vAlign w:val="bottom"/>
          </w:tcPr>
          <w:p>
            <w:pPr>
              <w:jc w:val="center"/>
              <w:spacing w:after="0" w:line="155" w:lineRule="exact"/>
              <w:rPr>
                <w:sz w:val="20"/>
                <w:szCs w:val="20"/>
                <w:color w:val="auto"/>
              </w:rPr>
            </w:pPr>
            <w:r>
              <w:rPr>
                <w:rFonts w:ascii="Wingdings" w:cs="Wingdings" w:eastAsia="Wingdings" w:hAnsi="Wingdings"/>
                <w:sz w:val="14"/>
                <w:szCs w:val="14"/>
                <w:b w:val="1"/>
                <w:bCs w:val="1"/>
                <w:color w:val="298655"/>
              </w:rPr>
              <w:t>l</w:t>
            </w:r>
          </w:p>
        </w:tc>
        <w:tc>
          <w:tcPr>
            <w:tcW w:w="820" w:type="dxa"/>
            <w:vAlign w:val="bottom"/>
          </w:tcPr>
          <w:p>
            <w:pPr>
              <w:jc w:val="center"/>
              <w:spacing w:after="0" w:line="155" w:lineRule="exact"/>
              <w:rPr>
                <w:sz w:val="20"/>
                <w:szCs w:val="20"/>
                <w:color w:val="auto"/>
              </w:rPr>
            </w:pPr>
            <w:r>
              <w:rPr>
                <w:rFonts w:ascii="Wingdings" w:cs="Wingdings" w:eastAsia="Wingdings" w:hAnsi="Wingdings"/>
                <w:sz w:val="14"/>
                <w:szCs w:val="14"/>
                <w:b w:val="1"/>
                <w:bCs w:val="1"/>
                <w:color w:val="298655"/>
                <w:w w:val="95"/>
              </w:rPr>
              <w:t>l</w:t>
            </w:r>
          </w:p>
        </w:tc>
        <w:tc>
          <w:tcPr>
            <w:tcW w:w="128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Wingdings" w:cs="Wingdings" w:eastAsia="Wingdings" w:hAnsi="Wingdings"/>
                <w:sz w:val="14"/>
                <w:szCs w:val="14"/>
                <w:b w:val="1"/>
                <w:bCs w:val="1"/>
                <w:color w:val="298655"/>
                <w:w w:val="95"/>
              </w:rPr>
              <w:t>l</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tcPr>
          <w:p>
            <w:pPr>
              <w:spacing w:after="0"/>
              <w:rPr>
                <w:sz w:val="8"/>
                <w:szCs w:val="8"/>
                <w:color w:val="auto"/>
              </w:rPr>
            </w:pPr>
          </w:p>
        </w:tc>
        <w:tc>
          <w:tcPr>
            <w:tcW w:w="2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4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3760" w:type="dxa"/>
            <w:vAlign w:val="bottom"/>
            <w:gridSpan w:val="2"/>
            <w:vMerge w:val="restart"/>
            <w:shd w:val="clear" w:color="auto" w:fill="EAEEF2"/>
          </w:tcPr>
          <w:p>
            <w:pPr>
              <w:ind w:left="100"/>
              <w:spacing w:after="0"/>
              <w:rPr>
                <w:sz w:val="20"/>
                <w:szCs w:val="20"/>
                <w:color w:val="auto"/>
              </w:rPr>
            </w:pPr>
            <w:r>
              <w:rPr>
                <w:rFonts w:ascii="Arial" w:cs="Arial" w:eastAsia="Arial" w:hAnsi="Arial"/>
                <w:sz w:val="14"/>
                <w:szCs w:val="14"/>
                <w:color w:val="4D4D4F"/>
              </w:rPr>
              <w:t>Sustainability &amp; Corporate Responsibility</w:t>
            </w:r>
          </w:p>
        </w:tc>
        <w:tc>
          <w:tcPr>
            <w:tcW w:w="780" w:type="dxa"/>
            <w:vAlign w:val="bottom"/>
            <w:shd w:val="clear" w:color="auto" w:fill="EAEEF2"/>
          </w:tcPr>
          <w:p>
            <w:pPr>
              <w:jc w:val="center"/>
              <w:spacing w:after="0" w:line="155" w:lineRule="exact"/>
              <w:rPr>
                <w:sz w:val="20"/>
                <w:szCs w:val="20"/>
                <w:color w:val="auto"/>
              </w:rPr>
            </w:pPr>
            <w:r>
              <w:rPr>
                <w:rFonts w:ascii="Wingdings" w:cs="Wingdings" w:eastAsia="Wingdings" w:hAnsi="Wingdings"/>
                <w:sz w:val="14"/>
                <w:szCs w:val="14"/>
                <w:b w:val="1"/>
                <w:bCs w:val="1"/>
                <w:color w:val="298655"/>
                <w:w w:val="95"/>
              </w:rPr>
              <w:t>l</w:t>
            </w:r>
          </w:p>
        </w:tc>
        <w:tc>
          <w:tcPr>
            <w:tcW w:w="880" w:type="dxa"/>
            <w:vAlign w:val="bottom"/>
            <w:shd w:val="clear" w:color="auto" w:fill="EAEEF2"/>
          </w:tcPr>
          <w:p>
            <w:pPr>
              <w:spacing w:after="0"/>
              <w:rPr>
                <w:sz w:val="13"/>
                <w:szCs w:val="13"/>
                <w:color w:val="auto"/>
              </w:rPr>
            </w:pPr>
          </w:p>
        </w:tc>
        <w:tc>
          <w:tcPr>
            <w:tcW w:w="940" w:type="dxa"/>
            <w:vAlign w:val="bottom"/>
            <w:shd w:val="clear" w:color="auto" w:fill="EAEEF2"/>
          </w:tcPr>
          <w:p>
            <w:pPr>
              <w:jc w:val="center"/>
              <w:spacing w:after="0" w:line="155" w:lineRule="exact"/>
              <w:rPr>
                <w:sz w:val="20"/>
                <w:szCs w:val="20"/>
                <w:color w:val="auto"/>
              </w:rPr>
            </w:pPr>
            <w:r>
              <w:rPr>
                <w:rFonts w:ascii="Wingdings" w:cs="Wingdings" w:eastAsia="Wingdings" w:hAnsi="Wingdings"/>
                <w:sz w:val="14"/>
                <w:szCs w:val="14"/>
                <w:b w:val="1"/>
                <w:bCs w:val="1"/>
                <w:color w:val="298655"/>
                <w:w w:val="95"/>
              </w:rPr>
              <w:t>l</w:t>
            </w:r>
          </w:p>
        </w:tc>
        <w:tc>
          <w:tcPr>
            <w:tcW w:w="1040" w:type="dxa"/>
            <w:vAlign w:val="bottom"/>
            <w:shd w:val="clear" w:color="auto" w:fill="EAEEF2"/>
          </w:tcPr>
          <w:p>
            <w:pPr>
              <w:spacing w:after="0"/>
              <w:rPr>
                <w:sz w:val="13"/>
                <w:szCs w:val="13"/>
                <w:color w:val="auto"/>
              </w:rPr>
            </w:pPr>
          </w:p>
        </w:tc>
        <w:tc>
          <w:tcPr>
            <w:tcW w:w="820" w:type="dxa"/>
            <w:vAlign w:val="bottom"/>
            <w:shd w:val="clear" w:color="auto" w:fill="EAEEF2"/>
          </w:tcPr>
          <w:p>
            <w:pPr>
              <w:spacing w:after="0"/>
              <w:rPr>
                <w:sz w:val="13"/>
                <w:szCs w:val="13"/>
                <w:color w:val="auto"/>
              </w:rPr>
            </w:pPr>
          </w:p>
        </w:tc>
        <w:tc>
          <w:tcPr>
            <w:tcW w:w="1280" w:type="dxa"/>
            <w:vAlign w:val="bottom"/>
            <w:shd w:val="clear" w:color="auto" w:fill="EAEEF2"/>
          </w:tcPr>
          <w:p>
            <w:pPr>
              <w:spacing w:after="0"/>
              <w:rPr>
                <w:sz w:val="13"/>
                <w:szCs w:val="13"/>
                <w:color w:val="auto"/>
              </w:rPr>
            </w:pPr>
          </w:p>
        </w:tc>
        <w:tc>
          <w:tcPr>
            <w:tcW w:w="800" w:type="dxa"/>
            <w:vAlign w:val="bottom"/>
            <w:shd w:val="clear" w:color="auto" w:fill="EAEEF2"/>
          </w:tcPr>
          <w:p>
            <w:pPr>
              <w:spacing w:after="0"/>
              <w:rPr>
                <w:sz w:val="13"/>
                <w:szCs w:val="13"/>
                <w:color w:val="auto"/>
              </w:rPr>
            </w:pPr>
          </w:p>
        </w:tc>
        <w:tc>
          <w:tcPr>
            <w:tcW w:w="940" w:type="dxa"/>
            <w:vAlign w:val="bottom"/>
            <w:shd w:val="clear" w:color="auto" w:fill="EAEEF2"/>
          </w:tcPr>
          <w:p>
            <w:pPr>
              <w:jc w:val="center"/>
              <w:spacing w:after="0" w:line="155" w:lineRule="exact"/>
              <w:rPr>
                <w:sz w:val="20"/>
                <w:szCs w:val="20"/>
                <w:color w:val="auto"/>
              </w:rPr>
            </w:pPr>
            <w:r>
              <w:rPr>
                <w:rFonts w:ascii="Wingdings" w:cs="Wingdings" w:eastAsia="Wingdings" w:hAnsi="Wingdings"/>
                <w:sz w:val="14"/>
                <w:szCs w:val="14"/>
                <w:b w:val="1"/>
                <w:bCs w:val="1"/>
                <w:color w:val="298655"/>
                <w:w w:val="95"/>
              </w:rPr>
              <w:t>l</w:t>
            </w:r>
          </w:p>
        </w:tc>
        <w:tc>
          <w:tcPr>
            <w:tcW w:w="0" w:type="dxa"/>
            <w:vAlign w:val="bottom"/>
          </w:tcPr>
          <w:p>
            <w:pPr>
              <w:spacing w:after="0"/>
              <w:rPr>
                <w:sz w:val="1"/>
                <w:szCs w:val="1"/>
                <w:color w:val="auto"/>
              </w:rPr>
            </w:pPr>
          </w:p>
        </w:tc>
      </w:tr>
      <w:tr>
        <w:trPr>
          <w:trHeight w:val="94"/>
        </w:trPr>
        <w:tc>
          <w:tcPr>
            <w:tcW w:w="3760" w:type="dxa"/>
            <w:vAlign w:val="bottom"/>
            <w:gridSpan w:val="2"/>
            <w:vMerge w:val="continue"/>
            <w:shd w:val="clear" w:color="auto" w:fill="EAEEF2"/>
          </w:tcPr>
          <w:p>
            <w:pPr>
              <w:spacing w:after="0"/>
              <w:rPr>
                <w:sz w:val="8"/>
                <w:szCs w:val="8"/>
                <w:color w:val="auto"/>
              </w:rPr>
            </w:pPr>
          </w:p>
        </w:tc>
        <w:tc>
          <w:tcPr>
            <w:tcW w:w="780" w:type="dxa"/>
            <w:vAlign w:val="bottom"/>
            <w:shd w:val="clear" w:color="auto" w:fill="EAEEF2"/>
          </w:tcPr>
          <w:p>
            <w:pPr>
              <w:spacing w:after="0"/>
              <w:rPr>
                <w:sz w:val="8"/>
                <w:szCs w:val="8"/>
                <w:color w:val="auto"/>
              </w:rPr>
            </w:pPr>
          </w:p>
        </w:tc>
        <w:tc>
          <w:tcPr>
            <w:tcW w:w="880" w:type="dxa"/>
            <w:vAlign w:val="bottom"/>
            <w:shd w:val="clear" w:color="auto" w:fill="EAEEF2"/>
          </w:tcPr>
          <w:p>
            <w:pPr>
              <w:spacing w:after="0"/>
              <w:rPr>
                <w:sz w:val="8"/>
                <w:szCs w:val="8"/>
                <w:color w:val="auto"/>
              </w:rPr>
            </w:pPr>
          </w:p>
        </w:tc>
        <w:tc>
          <w:tcPr>
            <w:tcW w:w="940" w:type="dxa"/>
            <w:vAlign w:val="bottom"/>
            <w:shd w:val="clear" w:color="auto" w:fill="EAEEF2"/>
          </w:tcPr>
          <w:p>
            <w:pPr>
              <w:spacing w:after="0"/>
              <w:rPr>
                <w:sz w:val="8"/>
                <w:szCs w:val="8"/>
                <w:color w:val="auto"/>
              </w:rPr>
            </w:pPr>
          </w:p>
        </w:tc>
        <w:tc>
          <w:tcPr>
            <w:tcW w:w="1040" w:type="dxa"/>
            <w:vAlign w:val="bottom"/>
            <w:shd w:val="clear" w:color="auto" w:fill="EAEEF2"/>
          </w:tcPr>
          <w:p>
            <w:pPr>
              <w:spacing w:after="0"/>
              <w:rPr>
                <w:sz w:val="8"/>
                <w:szCs w:val="8"/>
                <w:color w:val="auto"/>
              </w:rPr>
            </w:pPr>
          </w:p>
        </w:tc>
        <w:tc>
          <w:tcPr>
            <w:tcW w:w="820" w:type="dxa"/>
            <w:vAlign w:val="bottom"/>
            <w:shd w:val="clear" w:color="auto" w:fill="EAEEF2"/>
          </w:tcPr>
          <w:p>
            <w:pPr>
              <w:spacing w:after="0"/>
              <w:rPr>
                <w:sz w:val="8"/>
                <w:szCs w:val="8"/>
                <w:color w:val="auto"/>
              </w:rPr>
            </w:pPr>
          </w:p>
        </w:tc>
        <w:tc>
          <w:tcPr>
            <w:tcW w:w="1280" w:type="dxa"/>
            <w:vAlign w:val="bottom"/>
            <w:shd w:val="clear" w:color="auto" w:fill="EAEEF2"/>
          </w:tcPr>
          <w:p>
            <w:pPr>
              <w:spacing w:after="0"/>
              <w:rPr>
                <w:sz w:val="8"/>
                <w:szCs w:val="8"/>
                <w:color w:val="auto"/>
              </w:rPr>
            </w:pPr>
          </w:p>
        </w:tc>
        <w:tc>
          <w:tcPr>
            <w:tcW w:w="800" w:type="dxa"/>
            <w:vAlign w:val="bottom"/>
            <w:shd w:val="clear" w:color="auto" w:fill="EAEEF2"/>
          </w:tcPr>
          <w:p>
            <w:pPr>
              <w:spacing w:after="0"/>
              <w:rPr>
                <w:sz w:val="8"/>
                <w:szCs w:val="8"/>
                <w:color w:val="auto"/>
              </w:rPr>
            </w:pPr>
          </w:p>
        </w:tc>
        <w:tc>
          <w:tcPr>
            <w:tcW w:w="940" w:type="dxa"/>
            <w:vAlign w:val="bottom"/>
            <w:shd w:val="clear" w:color="auto" w:fill="EAEEF2"/>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460" w:type="dxa"/>
            <w:vAlign w:val="bottom"/>
            <w:shd w:val="clear" w:color="auto" w:fill="EAEEF2"/>
          </w:tcPr>
          <w:p>
            <w:pPr>
              <w:spacing w:after="0"/>
              <w:rPr>
                <w:sz w:val="6"/>
                <w:szCs w:val="6"/>
                <w:color w:val="auto"/>
              </w:rPr>
            </w:pPr>
          </w:p>
        </w:tc>
        <w:tc>
          <w:tcPr>
            <w:tcW w:w="2300" w:type="dxa"/>
            <w:vAlign w:val="bottom"/>
            <w:shd w:val="clear" w:color="auto" w:fill="EAEEF2"/>
          </w:tcPr>
          <w:p>
            <w:pPr>
              <w:spacing w:after="0"/>
              <w:rPr>
                <w:sz w:val="6"/>
                <w:szCs w:val="6"/>
                <w:color w:val="auto"/>
              </w:rPr>
            </w:pPr>
          </w:p>
        </w:tc>
        <w:tc>
          <w:tcPr>
            <w:tcW w:w="780" w:type="dxa"/>
            <w:vAlign w:val="bottom"/>
            <w:shd w:val="clear" w:color="auto" w:fill="EAEEF2"/>
          </w:tcPr>
          <w:p>
            <w:pPr>
              <w:spacing w:after="0"/>
              <w:rPr>
                <w:sz w:val="6"/>
                <w:szCs w:val="6"/>
                <w:color w:val="auto"/>
              </w:rPr>
            </w:pPr>
          </w:p>
        </w:tc>
        <w:tc>
          <w:tcPr>
            <w:tcW w:w="880" w:type="dxa"/>
            <w:vAlign w:val="bottom"/>
            <w:shd w:val="clear" w:color="auto" w:fill="EAEEF2"/>
          </w:tcPr>
          <w:p>
            <w:pPr>
              <w:spacing w:after="0"/>
              <w:rPr>
                <w:sz w:val="6"/>
                <w:szCs w:val="6"/>
                <w:color w:val="auto"/>
              </w:rPr>
            </w:pPr>
          </w:p>
        </w:tc>
        <w:tc>
          <w:tcPr>
            <w:tcW w:w="940" w:type="dxa"/>
            <w:vAlign w:val="bottom"/>
            <w:shd w:val="clear" w:color="auto" w:fill="EAEEF2"/>
          </w:tcPr>
          <w:p>
            <w:pPr>
              <w:spacing w:after="0"/>
              <w:rPr>
                <w:sz w:val="6"/>
                <w:szCs w:val="6"/>
                <w:color w:val="auto"/>
              </w:rPr>
            </w:pPr>
          </w:p>
        </w:tc>
        <w:tc>
          <w:tcPr>
            <w:tcW w:w="1040" w:type="dxa"/>
            <w:vAlign w:val="bottom"/>
            <w:shd w:val="clear" w:color="auto" w:fill="EAEEF2"/>
          </w:tcPr>
          <w:p>
            <w:pPr>
              <w:spacing w:after="0"/>
              <w:rPr>
                <w:sz w:val="6"/>
                <w:szCs w:val="6"/>
                <w:color w:val="auto"/>
              </w:rPr>
            </w:pPr>
          </w:p>
        </w:tc>
        <w:tc>
          <w:tcPr>
            <w:tcW w:w="820" w:type="dxa"/>
            <w:vAlign w:val="bottom"/>
            <w:shd w:val="clear" w:color="auto" w:fill="EAEEF2"/>
          </w:tcPr>
          <w:p>
            <w:pPr>
              <w:spacing w:after="0"/>
              <w:rPr>
                <w:sz w:val="6"/>
                <w:szCs w:val="6"/>
                <w:color w:val="auto"/>
              </w:rPr>
            </w:pPr>
          </w:p>
        </w:tc>
        <w:tc>
          <w:tcPr>
            <w:tcW w:w="1280" w:type="dxa"/>
            <w:vAlign w:val="bottom"/>
            <w:shd w:val="clear" w:color="auto" w:fill="EAEEF2"/>
          </w:tcPr>
          <w:p>
            <w:pPr>
              <w:spacing w:after="0"/>
              <w:rPr>
                <w:sz w:val="6"/>
                <w:szCs w:val="6"/>
                <w:color w:val="auto"/>
              </w:rPr>
            </w:pPr>
          </w:p>
        </w:tc>
        <w:tc>
          <w:tcPr>
            <w:tcW w:w="800" w:type="dxa"/>
            <w:vAlign w:val="bottom"/>
            <w:shd w:val="clear" w:color="auto" w:fill="EAEEF2"/>
          </w:tcPr>
          <w:p>
            <w:pPr>
              <w:spacing w:after="0"/>
              <w:rPr>
                <w:sz w:val="6"/>
                <w:szCs w:val="6"/>
                <w:color w:val="auto"/>
              </w:rPr>
            </w:pPr>
          </w:p>
        </w:tc>
        <w:tc>
          <w:tcPr>
            <w:tcW w:w="940" w:type="dxa"/>
            <w:vAlign w:val="bottom"/>
            <w:shd w:val="clear" w:color="auto" w:fill="EAEEF2"/>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3760" w:type="dxa"/>
            <w:vAlign w:val="bottom"/>
            <w:gridSpan w:val="2"/>
            <w:vMerge w:val="restart"/>
          </w:tcPr>
          <w:p>
            <w:pPr>
              <w:ind w:left="100"/>
              <w:spacing w:after="0"/>
              <w:rPr>
                <w:sz w:val="20"/>
                <w:szCs w:val="20"/>
                <w:color w:val="auto"/>
              </w:rPr>
            </w:pPr>
            <w:r>
              <w:rPr>
                <w:rFonts w:ascii="Arial" w:cs="Arial" w:eastAsia="Arial" w:hAnsi="Arial"/>
                <w:sz w:val="14"/>
                <w:szCs w:val="14"/>
                <w:color w:val="4D4D4F"/>
              </w:rPr>
              <w:t>Technology &amp; Operations</w:t>
            </w:r>
          </w:p>
        </w:tc>
        <w:tc>
          <w:tcPr>
            <w:tcW w:w="780" w:type="dxa"/>
            <w:vAlign w:val="bottom"/>
          </w:tcPr>
          <w:p>
            <w:pPr>
              <w:jc w:val="center"/>
              <w:spacing w:after="0" w:line="155" w:lineRule="exact"/>
              <w:rPr>
                <w:sz w:val="20"/>
                <w:szCs w:val="20"/>
                <w:color w:val="auto"/>
              </w:rPr>
            </w:pPr>
            <w:r>
              <w:rPr>
                <w:rFonts w:ascii="Wingdings" w:cs="Wingdings" w:eastAsia="Wingdings" w:hAnsi="Wingdings"/>
                <w:sz w:val="14"/>
                <w:szCs w:val="14"/>
                <w:b w:val="1"/>
                <w:bCs w:val="1"/>
                <w:color w:val="298655"/>
                <w:w w:val="95"/>
              </w:rPr>
              <w:t>l</w:t>
            </w:r>
          </w:p>
        </w:tc>
        <w:tc>
          <w:tcPr>
            <w:tcW w:w="880" w:type="dxa"/>
            <w:vAlign w:val="bottom"/>
          </w:tcPr>
          <w:p>
            <w:pPr>
              <w:spacing w:after="0"/>
              <w:rPr>
                <w:sz w:val="13"/>
                <w:szCs w:val="13"/>
                <w:color w:val="auto"/>
              </w:rPr>
            </w:pPr>
          </w:p>
        </w:tc>
        <w:tc>
          <w:tcPr>
            <w:tcW w:w="940" w:type="dxa"/>
            <w:vAlign w:val="bottom"/>
          </w:tcPr>
          <w:p>
            <w:pPr>
              <w:jc w:val="center"/>
              <w:spacing w:after="0" w:line="155" w:lineRule="exact"/>
              <w:rPr>
                <w:sz w:val="20"/>
                <w:szCs w:val="20"/>
                <w:color w:val="auto"/>
              </w:rPr>
            </w:pPr>
            <w:r>
              <w:rPr>
                <w:rFonts w:ascii="Wingdings" w:cs="Wingdings" w:eastAsia="Wingdings" w:hAnsi="Wingdings"/>
                <w:sz w:val="14"/>
                <w:szCs w:val="14"/>
                <w:b w:val="1"/>
                <w:bCs w:val="1"/>
                <w:color w:val="298655"/>
                <w:w w:val="95"/>
              </w:rPr>
              <w:t>l</w:t>
            </w:r>
          </w:p>
        </w:tc>
        <w:tc>
          <w:tcPr>
            <w:tcW w:w="1040" w:type="dxa"/>
            <w:vAlign w:val="bottom"/>
          </w:tcPr>
          <w:p>
            <w:pPr>
              <w:jc w:val="center"/>
              <w:spacing w:after="0" w:line="155" w:lineRule="exact"/>
              <w:rPr>
                <w:sz w:val="20"/>
                <w:szCs w:val="20"/>
                <w:color w:val="auto"/>
              </w:rPr>
            </w:pPr>
            <w:r>
              <w:rPr>
                <w:rFonts w:ascii="Wingdings" w:cs="Wingdings" w:eastAsia="Wingdings" w:hAnsi="Wingdings"/>
                <w:sz w:val="14"/>
                <w:szCs w:val="14"/>
                <w:b w:val="1"/>
                <w:bCs w:val="1"/>
                <w:color w:val="298655"/>
              </w:rPr>
              <w:t>l</w:t>
            </w:r>
          </w:p>
        </w:tc>
        <w:tc>
          <w:tcPr>
            <w:tcW w:w="820" w:type="dxa"/>
            <w:vAlign w:val="bottom"/>
          </w:tcPr>
          <w:p>
            <w:pPr>
              <w:jc w:val="center"/>
              <w:spacing w:after="0" w:line="155" w:lineRule="exact"/>
              <w:rPr>
                <w:sz w:val="20"/>
                <w:szCs w:val="20"/>
                <w:color w:val="auto"/>
              </w:rPr>
            </w:pPr>
            <w:r>
              <w:rPr>
                <w:rFonts w:ascii="Wingdings" w:cs="Wingdings" w:eastAsia="Wingdings" w:hAnsi="Wingdings"/>
                <w:sz w:val="14"/>
                <w:szCs w:val="14"/>
                <w:b w:val="1"/>
                <w:bCs w:val="1"/>
                <w:color w:val="298655"/>
                <w:w w:val="95"/>
              </w:rPr>
              <w:t>l</w:t>
            </w: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76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4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Skills</w:t>
            </w:r>
          </w:p>
        </w:tc>
        <w:tc>
          <w:tcPr>
            <w:tcW w:w="2300" w:type="dxa"/>
            <w:vAlign w:val="bottom"/>
            <w:shd w:val="clear" w:color="auto" w:fill="132440"/>
          </w:tcPr>
          <w:p>
            <w:pPr>
              <w:spacing w:after="0"/>
              <w:rPr>
                <w:sz w:val="19"/>
                <w:szCs w:val="19"/>
                <w:color w:val="auto"/>
              </w:rPr>
            </w:pPr>
          </w:p>
        </w:tc>
        <w:tc>
          <w:tcPr>
            <w:tcW w:w="780" w:type="dxa"/>
            <w:vAlign w:val="bottom"/>
            <w:shd w:val="clear" w:color="auto" w:fill="132440"/>
          </w:tcPr>
          <w:p>
            <w:pPr>
              <w:spacing w:after="0"/>
              <w:rPr>
                <w:sz w:val="19"/>
                <w:szCs w:val="19"/>
                <w:color w:val="auto"/>
              </w:rPr>
            </w:pPr>
          </w:p>
        </w:tc>
        <w:tc>
          <w:tcPr>
            <w:tcW w:w="880" w:type="dxa"/>
            <w:vAlign w:val="bottom"/>
            <w:shd w:val="clear" w:color="auto" w:fill="132440"/>
          </w:tcPr>
          <w:p>
            <w:pPr>
              <w:spacing w:after="0"/>
              <w:rPr>
                <w:sz w:val="19"/>
                <w:szCs w:val="19"/>
                <w:color w:val="auto"/>
              </w:rPr>
            </w:pPr>
          </w:p>
        </w:tc>
        <w:tc>
          <w:tcPr>
            <w:tcW w:w="940" w:type="dxa"/>
            <w:vAlign w:val="bottom"/>
            <w:shd w:val="clear" w:color="auto" w:fill="132440"/>
          </w:tcPr>
          <w:p>
            <w:pPr>
              <w:spacing w:after="0"/>
              <w:rPr>
                <w:sz w:val="19"/>
                <w:szCs w:val="19"/>
                <w:color w:val="auto"/>
              </w:rPr>
            </w:pPr>
          </w:p>
        </w:tc>
        <w:tc>
          <w:tcPr>
            <w:tcW w:w="1040" w:type="dxa"/>
            <w:vAlign w:val="bottom"/>
            <w:shd w:val="clear" w:color="auto" w:fill="132440"/>
          </w:tcPr>
          <w:p>
            <w:pPr>
              <w:spacing w:after="0"/>
              <w:rPr>
                <w:sz w:val="19"/>
                <w:szCs w:val="19"/>
                <w:color w:val="auto"/>
              </w:rPr>
            </w:pPr>
          </w:p>
        </w:tc>
        <w:tc>
          <w:tcPr>
            <w:tcW w:w="820" w:type="dxa"/>
            <w:vAlign w:val="bottom"/>
            <w:shd w:val="clear" w:color="auto" w:fill="132440"/>
          </w:tcPr>
          <w:p>
            <w:pPr>
              <w:spacing w:after="0"/>
              <w:rPr>
                <w:sz w:val="19"/>
                <w:szCs w:val="19"/>
                <w:color w:val="auto"/>
              </w:rPr>
            </w:pPr>
          </w:p>
        </w:tc>
        <w:tc>
          <w:tcPr>
            <w:tcW w:w="1280" w:type="dxa"/>
            <w:vAlign w:val="bottom"/>
            <w:shd w:val="clear" w:color="auto" w:fill="132440"/>
          </w:tcPr>
          <w:p>
            <w:pPr>
              <w:spacing w:after="0"/>
              <w:rPr>
                <w:sz w:val="19"/>
                <w:szCs w:val="19"/>
                <w:color w:val="auto"/>
              </w:rPr>
            </w:pPr>
          </w:p>
        </w:tc>
        <w:tc>
          <w:tcPr>
            <w:tcW w:w="800" w:type="dxa"/>
            <w:vAlign w:val="bottom"/>
            <w:shd w:val="clear" w:color="auto" w:fill="132440"/>
          </w:tcPr>
          <w:p>
            <w:pPr>
              <w:spacing w:after="0"/>
              <w:rPr>
                <w:sz w:val="19"/>
                <w:szCs w:val="19"/>
                <w:color w:val="auto"/>
              </w:rPr>
            </w:pPr>
          </w:p>
        </w:tc>
        <w:tc>
          <w:tcPr>
            <w:tcW w:w="940" w:type="dxa"/>
            <w:vAlign w:val="bottom"/>
            <w:shd w:val="clear" w:color="auto" w:fill="13244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460" w:type="dxa"/>
            <w:vAlign w:val="bottom"/>
          </w:tcPr>
          <w:p>
            <w:pPr>
              <w:ind w:left="100"/>
              <w:spacing w:after="0"/>
              <w:rPr>
                <w:sz w:val="20"/>
                <w:szCs w:val="20"/>
                <w:color w:val="auto"/>
              </w:rPr>
            </w:pPr>
            <w:r>
              <w:rPr>
                <w:rFonts w:ascii="Arial" w:cs="Arial" w:eastAsia="Arial" w:hAnsi="Arial"/>
                <w:sz w:val="14"/>
                <w:szCs w:val="14"/>
                <w:color w:val="4D4D4F"/>
              </w:rPr>
              <w:t>Accounting/Finance</w:t>
            </w:r>
          </w:p>
        </w:tc>
        <w:tc>
          <w:tcPr>
            <w:tcW w:w="2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4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6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Commodities Trading</w:t>
            </w:r>
          </w:p>
        </w:tc>
        <w:tc>
          <w:tcPr>
            <w:tcW w:w="2300" w:type="dxa"/>
            <w:vAlign w:val="bottom"/>
            <w:tcBorders>
              <w:bottom w:val="single" w:sz="8" w:color="EAEEF2"/>
            </w:tcBorders>
            <w:shd w:val="clear" w:color="auto" w:fill="EAEEF2"/>
          </w:tcPr>
          <w:p>
            <w:pPr>
              <w:spacing w:after="0"/>
              <w:rPr>
                <w:sz w:val="22"/>
                <w:szCs w:val="22"/>
                <w:color w:val="auto"/>
              </w:rPr>
            </w:pPr>
          </w:p>
        </w:tc>
        <w:tc>
          <w:tcPr>
            <w:tcW w:w="780" w:type="dxa"/>
            <w:vAlign w:val="bottom"/>
            <w:tcBorders>
              <w:bottom w:val="single" w:sz="8" w:color="EAEEF2"/>
            </w:tcBorders>
            <w:shd w:val="clear" w:color="auto" w:fill="EAEEF2"/>
          </w:tcPr>
          <w:p>
            <w:pPr>
              <w:spacing w:after="0"/>
              <w:rPr>
                <w:sz w:val="22"/>
                <w:szCs w:val="22"/>
                <w:color w:val="auto"/>
              </w:rPr>
            </w:pPr>
          </w:p>
        </w:tc>
        <w:tc>
          <w:tcPr>
            <w:tcW w:w="880" w:type="dxa"/>
            <w:vAlign w:val="bottom"/>
            <w:tcBorders>
              <w:bottom w:val="single" w:sz="8" w:color="EAEEF2"/>
            </w:tcBorders>
            <w:shd w:val="clear" w:color="auto" w:fill="EAEEF2"/>
          </w:tcPr>
          <w:p>
            <w:pPr>
              <w:spacing w:after="0"/>
              <w:rPr>
                <w:sz w:val="22"/>
                <w:szCs w:val="22"/>
                <w:color w:val="auto"/>
              </w:rPr>
            </w:pPr>
          </w:p>
        </w:tc>
        <w:tc>
          <w:tcPr>
            <w:tcW w:w="940" w:type="dxa"/>
            <w:vAlign w:val="bottom"/>
            <w:tcBorders>
              <w:bottom w:val="single" w:sz="8" w:color="EAEEF2"/>
            </w:tcBorders>
            <w:shd w:val="clear" w:color="auto" w:fill="EAEEF2"/>
          </w:tcPr>
          <w:p>
            <w:pPr>
              <w:spacing w:after="0"/>
              <w:rPr>
                <w:sz w:val="22"/>
                <w:szCs w:val="22"/>
                <w:color w:val="auto"/>
              </w:rPr>
            </w:pPr>
          </w:p>
        </w:tc>
        <w:tc>
          <w:tcPr>
            <w:tcW w:w="1040" w:type="dxa"/>
            <w:vAlign w:val="bottom"/>
            <w:tcBorders>
              <w:bottom w:val="single" w:sz="8" w:color="EAEEF2"/>
            </w:tcBorders>
            <w:shd w:val="clear" w:color="auto" w:fill="EAEEF2"/>
          </w:tcPr>
          <w:p>
            <w:pPr>
              <w:spacing w:after="0"/>
              <w:rPr>
                <w:sz w:val="22"/>
                <w:szCs w:val="22"/>
                <w:color w:val="auto"/>
              </w:rPr>
            </w:pPr>
          </w:p>
        </w:tc>
        <w:tc>
          <w:tcPr>
            <w:tcW w:w="820" w:type="dxa"/>
            <w:vAlign w:val="bottom"/>
            <w:tcBorders>
              <w:bottom w:val="single" w:sz="8" w:color="EAEEF2"/>
            </w:tcBorders>
            <w:shd w:val="clear" w:color="auto" w:fill="EAEEF2"/>
          </w:tcPr>
          <w:p>
            <w:pPr>
              <w:spacing w:after="0"/>
              <w:rPr>
                <w:sz w:val="22"/>
                <w:szCs w:val="22"/>
                <w:color w:val="auto"/>
              </w:rPr>
            </w:pPr>
          </w:p>
        </w:tc>
        <w:tc>
          <w:tcPr>
            <w:tcW w:w="1280" w:type="dxa"/>
            <w:vAlign w:val="bottom"/>
            <w:tcBorders>
              <w:bottom w:val="single" w:sz="8" w:color="EAEEF2"/>
            </w:tcBorders>
            <w:shd w:val="clear" w:color="auto" w:fill="EAEEF2"/>
          </w:tcPr>
          <w:p>
            <w:pPr>
              <w:spacing w:after="0"/>
              <w:rPr>
                <w:sz w:val="22"/>
                <w:szCs w:val="22"/>
                <w:color w:val="auto"/>
              </w:rPr>
            </w:pPr>
          </w:p>
        </w:tc>
        <w:tc>
          <w:tcPr>
            <w:tcW w:w="800" w:type="dxa"/>
            <w:vAlign w:val="bottom"/>
            <w:tcBorders>
              <w:bottom w:val="single" w:sz="8" w:color="EAEEF2"/>
            </w:tcBorders>
            <w:shd w:val="clear" w:color="auto" w:fill="EAEEF2"/>
          </w:tcPr>
          <w:p>
            <w:pPr>
              <w:spacing w:after="0"/>
              <w:rPr>
                <w:sz w:val="22"/>
                <w:szCs w:val="22"/>
                <w:color w:val="auto"/>
              </w:rPr>
            </w:pPr>
          </w:p>
        </w:tc>
        <w:tc>
          <w:tcPr>
            <w:tcW w:w="940" w:type="dxa"/>
            <w:vAlign w:val="bottom"/>
            <w:tcBorders>
              <w:bottom w:val="single" w:sz="8" w:color="EAEEF2"/>
            </w:tcBorders>
            <w:shd w:val="clear" w:color="auto" w:fill="EAEEF2"/>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3760" w:type="dxa"/>
            <w:vAlign w:val="bottom"/>
            <w:gridSpan w:val="2"/>
          </w:tcPr>
          <w:p>
            <w:pPr>
              <w:ind w:left="100"/>
              <w:spacing w:after="0"/>
              <w:rPr>
                <w:sz w:val="20"/>
                <w:szCs w:val="20"/>
                <w:color w:val="auto"/>
              </w:rPr>
            </w:pPr>
            <w:r>
              <w:rPr>
                <w:rFonts w:ascii="Arial" w:cs="Arial" w:eastAsia="Arial" w:hAnsi="Arial"/>
                <w:sz w:val="14"/>
                <w:szCs w:val="14"/>
                <w:color w:val="4D4D4F"/>
              </w:rPr>
              <w:t>Corporate Governance/Other Public</w:t>
            </w: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60" w:type="dxa"/>
            <w:vAlign w:val="bottom"/>
            <w:gridSpan w:val="2"/>
          </w:tcPr>
          <w:p>
            <w:pPr>
              <w:ind w:left="100"/>
              <w:spacing w:after="0"/>
              <w:rPr>
                <w:sz w:val="20"/>
                <w:szCs w:val="20"/>
                <w:color w:val="auto"/>
              </w:rPr>
            </w:pPr>
            <w:r>
              <w:rPr>
                <w:rFonts w:ascii="Arial" w:cs="Arial" w:eastAsia="Arial" w:hAnsi="Arial"/>
                <w:sz w:val="14"/>
                <w:szCs w:val="14"/>
                <w:color w:val="4D4D4F"/>
              </w:rPr>
              <w:t>Company Directorship</w:t>
            </w: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460" w:type="dxa"/>
            <w:vAlign w:val="bottom"/>
          </w:tcPr>
          <w:p>
            <w:pPr>
              <w:spacing w:after="0"/>
              <w:rPr>
                <w:sz w:val="3"/>
                <w:szCs w:val="3"/>
                <w:color w:val="auto"/>
              </w:rPr>
            </w:pPr>
          </w:p>
        </w:tc>
        <w:tc>
          <w:tcPr>
            <w:tcW w:w="2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146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Energy Industry</w:t>
            </w:r>
          </w:p>
        </w:tc>
        <w:tc>
          <w:tcPr>
            <w:tcW w:w="2300" w:type="dxa"/>
            <w:vAlign w:val="bottom"/>
            <w:tcBorders>
              <w:bottom w:val="single" w:sz="8" w:color="EAEEF2"/>
            </w:tcBorders>
            <w:shd w:val="clear" w:color="auto" w:fill="EAEEF2"/>
          </w:tcPr>
          <w:p>
            <w:pPr>
              <w:spacing w:after="0"/>
              <w:rPr>
                <w:sz w:val="22"/>
                <w:szCs w:val="22"/>
                <w:color w:val="auto"/>
              </w:rPr>
            </w:pPr>
          </w:p>
        </w:tc>
        <w:tc>
          <w:tcPr>
            <w:tcW w:w="780" w:type="dxa"/>
            <w:vAlign w:val="bottom"/>
            <w:tcBorders>
              <w:bottom w:val="single" w:sz="8" w:color="EAEEF2"/>
            </w:tcBorders>
            <w:shd w:val="clear" w:color="auto" w:fill="EAEEF2"/>
          </w:tcPr>
          <w:p>
            <w:pPr>
              <w:spacing w:after="0"/>
              <w:rPr>
                <w:sz w:val="22"/>
                <w:szCs w:val="22"/>
                <w:color w:val="auto"/>
              </w:rPr>
            </w:pPr>
          </w:p>
        </w:tc>
        <w:tc>
          <w:tcPr>
            <w:tcW w:w="880" w:type="dxa"/>
            <w:vAlign w:val="bottom"/>
            <w:tcBorders>
              <w:bottom w:val="single" w:sz="8" w:color="EAEEF2"/>
            </w:tcBorders>
            <w:shd w:val="clear" w:color="auto" w:fill="EAEEF2"/>
          </w:tcPr>
          <w:p>
            <w:pPr>
              <w:spacing w:after="0"/>
              <w:rPr>
                <w:sz w:val="22"/>
                <w:szCs w:val="22"/>
                <w:color w:val="auto"/>
              </w:rPr>
            </w:pPr>
          </w:p>
        </w:tc>
        <w:tc>
          <w:tcPr>
            <w:tcW w:w="940" w:type="dxa"/>
            <w:vAlign w:val="bottom"/>
            <w:tcBorders>
              <w:bottom w:val="single" w:sz="8" w:color="EAEEF2"/>
            </w:tcBorders>
            <w:shd w:val="clear" w:color="auto" w:fill="EAEEF2"/>
          </w:tcPr>
          <w:p>
            <w:pPr>
              <w:spacing w:after="0"/>
              <w:rPr>
                <w:sz w:val="22"/>
                <w:szCs w:val="22"/>
                <w:color w:val="auto"/>
              </w:rPr>
            </w:pPr>
          </w:p>
        </w:tc>
        <w:tc>
          <w:tcPr>
            <w:tcW w:w="1040" w:type="dxa"/>
            <w:vAlign w:val="bottom"/>
            <w:tcBorders>
              <w:bottom w:val="single" w:sz="8" w:color="EAEEF2"/>
            </w:tcBorders>
            <w:shd w:val="clear" w:color="auto" w:fill="EAEEF2"/>
          </w:tcPr>
          <w:p>
            <w:pPr>
              <w:spacing w:after="0"/>
              <w:rPr>
                <w:sz w:val="22"/>
                <w:szCs w:val="22"/>
                <w:color w:val="auto"/>
              </w:rPr>
            </w:pPr>
          </w:p>
        </w:tc>
        <w:tc>
          <w:tcPr>
            <w:tcW w:w="820" w:type="dxa"/>
            <w:vAlign w:val="bottom"/>
            <w:tcBorders>
              <w:bottom w:val="single" w:sz="8" w:color="EAEEF2"/>
            </w:tcBorders>
            <w:shd w:val="clear" w:color="auto" w:fill="EAEEF2"/>
          </w:tcPr>
          <w:p>
            <w:pPr>
              <w:spacing w:after="0"/>
              <w:rPr>
                <w:sz w:val="22"/>
                <w:szCs w:val="22"/>
                <w:color w:val="auto"/>
              </w:rPr>
            </w:pPr>
          </w:p>
        </w:tc>
        <w:tc>
          <w:tcPr>
            <w:tcW w:w="1280" w:type="dxa"/>
            <w:vAlign w:val="bottom"/>
            <w:tcBorders>
              <w:bottom w:val="single" w:sz="8" w:color="EAEEF2"/>
            </w:tcBorders>
            <w:shd w:val="clear" w:color="auto" w:fill="EAEEF2"/>
          </w:tcPr>
          <w:p>
            <w:pPr>
              <w:spacing w:after="0"/>
              <w:rPr>
                <w:sz w:val="22"/>
                <w:szCs w:val="22"/>
                <w:color w:val="auto"/>
              </w:rPr>
            </w:pPr>
          </w:p>
        </w:tc>
        <w:tc>
          <w:tcPr>
            <w:tcW w:w="800" w:type="dxa"/>
            <w:vAlign w:val="bottom"/>
            <w:tcBorders>
              <w:bottom w:val="single" w:sz="8" w:color="EAEEF2"/>
            </w:tcBorders>
            <w:shd w:val="clear" w:color="auto" w:fill="EAEEF2"/>
          </w:tcPr>
          <w:p>
            <w:pPr>
              <w:spacing w:after="0"/>
              <w:rPr>
                <w:sz w:val="22"/>
                <w:szCs w:val="22"/>
                <w:color w:val="auto"/>
              </w:rPr>
            </w:pPr>
          </w:p>
        </w:tc>
        <w:tc>
          <w:tcPr>
            <w:tcW w:w="940" w:type="dxa"/>
            <w:vAlign w:val="bottom"/>
            <w:tcBorders>
              <w:bottom w:val="single" w:sz="8" w:color="EAEEF2"/>
            </w:tcBorders>
            <w:shd w:val="clear" w:color="auto" w:fill="EAEEF2"/>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760" w:type="dxa"/>
            <w:vAlign w:val="bottom"/>
            <w:gridSpan w:val="2"/>
          </w:tcPr>
          <w:p>
            <w:pPr>
              <w:ind w:left="100"/>
              <w:spacing w:after="0"/>
              <w:rPr>
                <w:sz w:val="20"/>
                <w:szCs w:val="20"/>
                <w:color w:val="auto"/>
              </w:rPr>
            </w:pPr>
            <w:r>
              <w:rPr>
                <w:rFonts w:ascii="Arial" w:cs="Arial" w:eastAsia="Arial" w:hAnsi="Arial"/>
                <w:sz w:val="14"/>
                <w:szCs w:val="14"/>
                <w:color w:val="4D4D4F"/>
              </w:rPr>
              <w:t>Information Technology</w:t>
            </w: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376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EAEEF2"/>
            </w:tcBorders>
            <w:gridSpan w:val="2"/>
            <w:shd w:val="clear" w:color="auto" w:fill="EAEEF2"/>
          </w:tcPr>
          <w:p>
            <w:pPr>
              <w:ind w:left="100"/>
              <w:spacing w:after="0"/>
              <w:rPr>
                <w:sz w:val="20"/>
                <w:szCs w:val="20"/>
                <w:color w:val="auto"/>
              </w:rPr>
            </w:pPr>
            <w:r>
              <w:rPr>
                <w:rFonts w:ascii="Arial" w:cs="Arial" w:eastAsia="Arial" w:hAnsi="Arial"/>
                <w:sz w:val="14"/>
                <w:szCs w:val="14"/>
                <w:color w:val="4D4D4F"/>
              </w:rPr>
              <w:t>International Operations</w:t>
            </w:r>
          </w:p>
        </w:tc>
        <w:tc>
          <w:tcPr>
            <w:tcW w:w="780" w:type="dxa"/>
            <w:vAlign w:val="bottom"/>
            <w:tcBorders>
              <w:bottom w:val="single" w:sz="8" w:color="EAEEF2"/>
            </w:tcBorders>
            <w:shd w:val="clear" w:color="auto" w:fill="EAEEF2"/>
          </w:tcPr>
          <w:p>
            <w:pPr>
              <w:spacing w:after="0"/>
              <w:rPr>
                <w:sz w:val="22"/>
                <w:szCs w:val="22"/>
                <w:color w:val="auto"/>
              </w:rPr>
            </w:pPr>
          </w:p>
        </w:tc>
        <w:tc>
          <w:tcPr>
            <w:tcW w:w="880" w:type="dxa"/>
            <w:vAlign w:val="bottom"/>
            <w:tcBorders>
              <w:bottom w:val="single" w:sz="8" w:color="EAEEF2"/>
            </w:tcBorders>
            <w:shd w:val="clear" w:color="auto" w:fill="EAEEF2"/>
          </w:tcPr>
          <w:p>
            <w:pPr>
              <w:spacing w:after="0"/>
              <w:rPr>
                <w:sz w:val="22"/>
                <w:szCs w:val="22"/>
                <w:color w:val="auto"/>
              </w:rPr>
            </w:pPr>
          </w:p>
        </w:tc>
        <w:tc>
          <w:tcPr>
            <w:tcW w:w="940" w:type="dxa"/>
            <w:vAlign w:val="bottom"/>
            <w:tcBorders>
              <w:bottom w:val="single" w:sz="8" w:color="EAEEF2"/>
            </w:tcBorders>
            <w:shd w:val="clear" w:color="auto" w:fill="EAEEF2"/>
          </w:tcPr>
          <w:p>
            <w:pPr>
              <w:spacing w:after="0"/>
              <w:rPr>
                <w:sz w:val="22"/>
                <w:szCs w:val="22"/>
                <w:color w:val="auto"/>
              </w:rPr>
            </w:pPr>
          </w:p>
        </w:tc>
        <w:tc>
          <w:tcPr>
            <w:tcW w:w="1040" w:type="dxa"/>
            <w:vAlign w:val="bottom"/>
            <w:tcBorders>
              <w:bottom w:val="single" w:sz="8" w:color="EAEEF2"/>
            </w:tcBorders>
            <w:shd w:val="clear" w:color="auto" w:fill="EAEEF2"/>
          </w:tcPr>
          <w:p>
            <w:pPr>
              <w:spacing w:after="0"/>
              <w:rPr>
                <w:sz w:val="22"/>
                <w:szCs w:val="22"/>
                <w:color w:val="auto"/>
              </w:rPr>
            </w:pPr>
          </w:p>
        </w:tc>
        <w:tc>
          <w:tcPr>
            <w:tcW w:w="820" w:type="dxa"/>
            <w:vAlign w:val="bottom"/>
            <w:tcBorders>
              <w:bottom w:val="single" w:sz="8" w:color="EAEEF2"/>
            </w:tcBorders>
            <w:shd w:val="clear" w:color="auto" w:fill="EAEEF2"/>
          </w:tcPr>
          <w:p>
            <w:pPr>
              <w:spacing w:after="0"/>
              <w:rPr>
                <w:sz w:val="22"/>
                <w:szCs w:val="22"/>
                <w:color w:val="auto"/>
              </w:rPr>
            </w:pPr>
          </w:p>
        </w:tc>
        <w:tc>
          <w:tcPr>
            <w:tcW w:w="1280" w:type="dxa"/>
            <w:vAlign w:val="bottom"/>
            <w:tcBorders>
              <w:bottom w:val="single" w:sz="8" w:color="EAEEF2"/>
            </w:tcBorders>
            <w:shd w:val="clear" w:color="auto" w:fill="EAEEF2"/>
          </w:tcPr>
          <w:p>
            <w:pPr>
              <w:spacing w:after="0"/>
              <w:rPr>
                <w:sz w:val="22"/>
                <w:szCs w:val="22"/>
                <w:color w:val="auto"/>
              </w:rPr>
            </w:pPr>
          </w:p>
        </w:tc>
        <w:tc>
          <w:tcPr>
            <w:tcW w:w="800" w:type="dxa"/>
            <w:vAlign w:val="bottom"/>
            <w:tcBorders>
              <w:bottom w:val="single" w:sz="8" w:color="EAEEF2"/>
            </w:tcBorders>
            <w:shd w:val="clear" w:color="auto" w:fill="EAEEF2"/>
          </w:tcPr>
          <w:p>
            <w:pPr>
              <w:spacing w:after="0"/>
              <w:rPr>
                <w:sz w:val="22"/>
                <w:szCs w:val="22"/>
                <w:color w:val="auto"/>
              </w:rPr>
            </w:pPr>
          </w:p>
        </w:tc>
        <w:tc>
          <w:tcPr>
            <w:tcW w:w="940" w:type="dxa"/>
            <w:vAlign w:val="bottom"/>
            <w:tcBorders>
              <w:bottom w:val="single" w:sz="8" w:color="EAEEF2"/>
            </w:tcBorders>
            <w:shd w:val="clear" w:color="auto" w:fill="EAEEF2"/>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760" w:type="dxa"/>
            <w:vAlign w:val="bottom"/>
            <w:gridSpan w:val="2"/>
          </w:tcPr>
          <w:p>
            <w:pPr>
              <w:ind w:left="100"/>
              <w:spacing w:after="0"/>
              <w:rPr>
                <w:sz w:val="20"/>
                <w:szCs w:val="20"/>
                <w:color w:val="auto"/>
              </w:rPr>
            </w:pPr>
            <w:r>
              <w:rPr>
                <w:rFonts w:ascii="Arial" w:cs="Arial" w:eastAsia="Arial" w:hAnsi="Arial"/>
                <w:sz w:val="14"/>
                <w:szCs w:val="14"/>
                <w:color w:val="4D4D4F"/>
              </w:rPr>
              <w:t>Investment Banking Capital Markets</w:t>
            </w: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4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6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Legal &amp; Regulatory</w:t>
            </w:r>
          </w:p>
        </w:tc>
        <w:tc>
          <w:tcPr>
            <w:tcW w:w="2300" w:type="dxa"/>
            <w:vAlign w:val="bottom"/>
            <w:tcBorders>
              <w:bottom w:val="single" w:sz="8" w:color="EAEEF2"/>
            </w:tcBorders>
            <w:shd w:val="clear" w:color="auto" w:fill="EAEEF2"/>
          </w:tcPr>
          <w:p>
            <w:pPr>
              <w:spacing w:after="0"/>
              <w:rPr>
                <w:sz w:val="22"/>
                <w:szCs w:val="22"/>
                <w:color w:val="auto"/>
              </w:rPr>
            </w:pPr>
          </w:p>
        </w:tc>
        <w:tc>
          <w:tcPr>
            <w:tcW w:w="780" w:type="dxa"/>
            <w:vAlign w:val="bottom"/>
            <w:tcBorders>
              <w:bottom w:val="single" w:sz="8" w:color="EAEEF2"/>
            </w:tcBorders>
            <w:shd w:val="clear" w:color="auto" w:fill="EAEEF2"/>
          </w:tcPr>
          <w:p>
            <w:pPr>
              <w:spacing w:after="0"/>
              <w:rPr>
                <w:sz w:val="22"/>
                <w:szCs w:val="22"/>
                <w:color w:val="auto"/>
              </w:rPr>
            </w:pPr>
          </w:p>
        </w:tc>
        <w:tc>
          <w:tcPr>
            <w:tcW w:w="880" w:type="dxa"/>
            <w:vAlign w:val="bottom"/>
            <w:tcBorders>
              <w:bottom w:val="single" w:sz="8" w:color="EAEEF2"/>
            </w:tcBorders>
            <w:shd w:val="clear" w:color="auto" w:fill="EAEEF2"/>
          </w:tcPr>
          <w:p>
            <w:pPr>
              <w:spacing w:after="0"/>
              <w:rPr>
                <w:sz w:val="22"/>
                <w:szCs w:val="22"/>
                <w:color w:val="auto"/>
              </w:rPr>
            </w:pPr>
          </w:p>
        </w:tc>
        <w:tc>
          <w:tcPr>
            <w:tcW w:w="940" w:type="dxa"/>
            <w:vAlign w:val="bottom"/>
            <w:tcBorders>
              <w:bottom w:val="single" w:sz="8" w:color="EAEEF2"/>
            </w:tcBorders>
            <w:shd w:val="clear" w:color="auto" w:fill="EAEEF2"/>
          </w:tcPr>
          <w:p>
            <w:pPr>
              <w:spacing w:after="0"/>
              <w:rPr>
                <w:sz w:val="22"/>
                <w:szCs w:val="22"/>
                <w:color w:val="auto"/>
              </w:rPr>
            </w:pPr>
          </w:p>
        </w:tc>
        <w:tc>
          <w:tcPr>
            <w:tcW w:w="1040" w:type="dxa"/>
            <w:vAlign w:val="bottom"/>
            <w:tcBorders>
              <w:bottom w:val="single" w:sz="8" w:color="EAEEF2"/>
            </w:tcBorders>
            <w:shd w:val="clear" w:color="auto" w:fill="EAEEF2"/>
          </w:tcPr>
          <w:p>
            <w:pPr>
              <w:spacing w:after="0"/>
              <w:rPr>
                <w:sz w:val="22"/>
                <w:szCs w:val="22"/>
                <w:color w:val="auto"/>
              </w:rPr>
            </w:pPr>
          </w:p>
        </w:tc>
        <w:tc>
          <w:tcPr>
            <w:tcW w:w="820" w:type="dxa"/>
            <w:vAlign w:val="bottom"/>
            <w:tcBorders>
              <w:bottom w:val="single" w:sz="8" w:color="EAEEF2"/>
            </w:tcBorders>
            <w:shd w:val="clear" w:color="auto" w:fill="EAEEF2"/>
          </w:tcPr>
          <w:p>
            <w:pPr>
              <w:spacing w:after="0"/>
              <w:rPr>
                <w:sz w:val="22"/>
                <w:szCs w:val="22"/>
                <w:color w:val="auto"/>
              </w:rPr>
            </w:pPr>
          </w:p>
        </w:tc>
        <w:tc>
          <w:tcPr>
            <w:tcW w:w="1280" w:type="dxa"/>
            <w:vAlign w:val="bottom"/>
            <w:tcBorders>
              <w:bottom w:val="single" w:sz="8" w:color="EAEEF2"/>
            </w:tcBorders>
            <w:shd w:val="clear" w:color="auto" w:fill="EAEEF2"/>
          </w:tcPr>
          <w:p>
            <w:pPr>
              <w:spacing w:after="0"/>
              <w:rPr>
                <w:sz w:val="22"/>
                <w:szCs w:val="22"/>
                <w:color w:val="auto"/>
              </w:rPr>
            </w:pPr>
          </w:p>
        </w:tc>
        <w:tc>
          <w:tcPr>
            <w:tcW w:w="800" w:type="dxa"/>
            <w:vAlign w:val="bottom"/>
            <w:tcBorders>
              <w:bottom w:val="single" w:sz="8" w:color="EAEEF2"/>
            </w:tcBorders>
            <w:shd w:val="clear" w:color="auto" w:fill="EAEEF2"/>
          </w:tcPr>
          <w:p>
            <w:pPr>
              <w:spacing w:after="0"/>
              <w:rPr>
                <w:sz w:val="22"/>
                <w:szCs w:val="22"/>
                <w:color w:val="auto"/>
              </w:rPr>
            </w:pPr>
          </w:p>
        </w:tc>
        <w:tc>
          <w:tcPr>
            <w:tcW w:w="940" w:type="dxa"/>
            <w:vAlign w:val="bottom"/>
            <w:tcBorders>
              <w:bottom w:val="single" w:sz="8" w:color="EAEEF2"/>
            </w:tcBorders>
            <w:shd w:val="clear" w:color="auto" w:fill="EAEEF2"/>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460" w:type="dxa"/>
            <w:vAlign w:val="bottom"/>
          </w:tcPr>
          <w:p>
            <w:pPr>
              <w:ind w:left="100"/>
              <w:spacing w:after="0"/>
              <w:rPr>
                <w:sz w:val="20"/>
                <w:szCs w:val="20"/>
                <w:color w:val="auto"/>
              </w:rPr>
            </w:pPr>
            <w:r>
              <w:rPr>
                <w:rFonts w:ascii="Arial" w:cs="Arial" w:eastAsia="Arial" w:hAnsi="Arial"/>
                <w:sz w:val="14"/>
                <w:szCs w:val="14"/>
                <w:color w:val="4D4D4F"/>
              </w:rPr>
              <w:t>Management</w:t>
            </w:r>
          </w:p>
        </w:tc>
        <w:tc>
          <w:tcPr>
            <w:tcW w:w="2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376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3760" w:type="dxa"/>
            <w:vAlign w:val="bottom"/>
            <w:tcBorders>
              <w:bottom w:val="single" w:sz="8" w:color="EAEEF2"/>
            </w:tcBorders>
            <w:gridSpan w:val="2"/>
            <w:shd w:val="clear" w:color="auto" w:fill="EAEEF2"/>
          </w:tcPr>
          <w:p>
            <w:pPr>
              <w:ind w:left="100"/>
              <w:spacing w:after="0"/>
              <w:rPr>
                <w:sz w:val="20"/>
                <w:szCs w:val="20"/>
                <w:color w:val="auto"/>
              </w:rPr>
            </w:pPr>
            <w:r>
              <w:rPr>
                <w:rFonts w:ascii="Arial" w:cs="Arial" w:eastAsia="Arial" w:hAnsi="Arial"/>
                <w:sz w:val="14"/>
                <w:szCs w:val="14"/>
                <w:color w:val="4D4D4F"/>
              </w:rPr>
              <w:t>Human Capital/Talent Management</w:t>
            </w:r>
          </w:p>
        </w:tc>
        <w:tc>
          <w:tcPr>
            <w:tcW w:w="780" w:type="dxa"/>
            <w:vAlign w:val="bottom"/>
            <w:tcBorders>
              <w:bottom w:val="single" w:sz="8" w:color="EAEEF2"/>
            </w:tcBorders>
            <w:shd w:val="clear" w:color="auto" w:fill="EAEEF2"/>
          </w:tcPr>
          <w:p>
            <w:pPr>
              <w:spacing w:after="0"/>
              <w:rPr>
                <w:sz w:val="24"/>
                <w:szCs w:val="24"/>
                <w:color w:val="auto"/>
              </w:rPr>
            </w:pPr>
          </w:p>
        </w:tc>
        <w:tc>
          <w:tcPr>
            <w:tcW w:w="880" w:type="dxa"/>
            <w:vAlign w:val="bottom"/>
            <w:tcBorders>
              <w:bottom w:val="single" w:sz="8" w:color="EAEEF2"/>
            </w:tcBorders>
            <w:shd w:val="clear" w:color="auto" w:fill="EAEEF2"/>
          </w:tcPr>
          <w:p>
            <w:pPr>
              <w:spacing w:after="0"/>
              <w:rPr>
                <w:sz w:val="24"/>
                <w:szCs w:val="24"/>
                <w:color w:val="auto"/>
              </w:rPr>
            </w:pPr>
          </w:p>
        </w:tc>
        <w:tc>
          <w:tcPr>
            <w:tcW w:w="940" w:type="dxa"/>
            <w:vAlign w:val="bottom"/>
            <w:tcBorders>
              <w:bottom w:val="single" w:sz="8" w:color="EAEEF2"/>
            </w:tcBorders>
            <w:shd w:val="clear" w:color="auto" w:fill="EAEEF2"/>
          </w:tcPr>
          <w:p>
            <w:pPr>
              <w:spacing w:after="0"/>
              <w:rPr>
                <w:sz w:val="24"/>
                <w:szCs w:val="24"/>
                <w:color w:val="auto"/>
              </w:rPr>
            </w:pPr>
          </w:p>
        </w:tc>
        <w:tc>
          <w:tcPr>
            <w:tcW w:w="1040" w:type="dxa"/>
            <w:vAlign w:val="bottom"/>
            <w:tcBorders>
              <w:bottom w:val="single" w:sz="8" w:color="EAEEF2"/>
            </w:tcBorders>
            <w:shd w:val="clear" w:color="auto" w:fill="EAEEF2"/>
          </w:tcPr>
          <w:p>
            <w:pPr>
              <w:spacing w:after="0"/>
              <w:rPr>
                <w:sz w:val="24"/>
                <w:szCs w:val="24"/>
                <w:color w:val="auto"/>
              </w:rPr>
            </w:pPr>
          </w:p>
        </w:tc>
        <w:tc>
          <w:tcPr>
            <w:tcW w:w="820" w:type="dxa"/>
            <w:vAlign w:val="bottom"/>
            <w:tcBorders>
              <w:bottom w:val="single" w:sz="8" w:color="EAEEF2"/>
            </w:tcBorders>
            <w:shd w:val="clear" w:color="auto" w:fill="EAEEF2"/>
          </w:tcPr>
          <w:p>
            <w:pPr>
              <w:spacing w:after="0"/>
              <w:rPr>
                <w:sz w:val="24"/>
                <w:szCs w:val="24"/>
                <w:color w:val="auto"/>
              </w:rPr>
            </w:pPr>
          </w:p>
        </w:tc>
        <w:tc>
          <w:tcPr>
            <w:tcW w:w="1280" w:type="dxa"/>
            <w:vAlign w:val="bottom"/>
            <w:tcBorders>
              <w:bottom w:val="single" w:sz="8" w:color="EAEEF2"/>
            </w:tcBorders>
            <w:shd w:val="clear" w:color="auto" w:fill="EAEEF2"/>
          </w:tcPr>
          <w:p>
            <w:pPr>
              <w:spacing w:after="0"/>
              <w:rPr>
                <w:sz w:val="24"/>
                <w:szCs w:val="24"/>
                <w:color w:val="auto"/>
              </w:rPr>
            </w:pPr>
          </w:p>
        </w:tc>
        <w:tc>
          <w:tcPr>
            <w:tcW w:w="800" w:type="dxa"/>
            <w:vAlign w:val="bottom"/>
            <w:tcBorders>
              <w:bottom w:val="single" w:sz="8" w:color="EAEEF2"/>
            </w:tcBorders>
            <w:shd w:val="clear" w:color="auto" w:fill="EAEEF2"/>
          </w:tcPr>
          <w:p>
            <w:pPr>
              <w:spacing w:after="0"/>
              <w:rPr>
                <w:sz w:val="24"/>
                <w:szCs w:val="24"/>
                <w:color w:val="auto"/>
              </w:rPr>
            </w:pPr>
          </w:p>
        </w:tc>
        <w:tc>
          <w:tcPr>
            <w:tcW w:w="940" w:type="dxa"/>
            <w:vAlign w:val="bottom"/>
            <w:tcBorders>
              <w:bottom w:val="single" w:sz="8" w:color="EAEEF2"/>
            </w:tcBorders>
            <w:shd w:val="clear" w:color="auto" w:fill="EAEEF2"/>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460" w:type="dxa"/>
            <w:vAlign w:val="bottom"/>
            <w:tcBorders>
              <w:top w:val="single" w:sz="8" w:color="298655"/>
            </w:tcBorders>
          </w:tcPr>
          <w:p>
            <w:pPr>
              <w:ind w:left="320"/>
              <w:spacing w:after="0"/>
              <w:rPr>
                <w:sz w:val="20"/>
                <w:szCs w:val="20"/>
                <w:color w:val="auto"/>
              </w:rPr>
            </w:pPr>
            <w:r>
              <w:rPr>
                <w:rFonts w:ascii="Arial" w:cs="Arial" w:eastAsia="Arial" w:hAnsi="Arial"/>
                <w:sz w:val="14"/>
                <w:szCs w:val="14"/>
                <w:color w:val="4D4D4F"/>
              </w:rPr>
              <w:t>– Chair</w:t>
            </w:r>
          </w:p>
        </w:tc>
        <w:tc>
          <w:tcPr>
            <w:tcW w:w="2300" w:type="dxa"/>
            <w:vAlign w:val="bottom"/>
            <w:tcBorders>
              <w:top w:val="single" w:sz="8" w:color="298655"/>
            </w:tcBorders>
          </w:tcPr>
          <w:p>
            <w:pPr>
              <w:spacing w:after="0"/>
              <w:rPr>
                <w:sz w:val="20"/>
                <w:szCs w:val="20"/>
                <w:color w:val="auto"/>
              </w:rPr>
            </w:pPr>
            <w:r>
              <w:rPr>
                <w:rFonts w:ascii="Wingdings" w:cs="Wingdings" w:eastAsia="Wingdings" w:hAnsi="Wingdings"/>
                <w:sz w:val="14"/>
                <w:szCs w:val="14"/>
                <w:b w:val="1"/>
                <w:bCs w:val="1"/>
                <w:color w:val="298655"/>
              </w:rPr>
              <w:t xml:space="preserve">l </w:t>
            </w:r>
            <w:r>
              <w:rPr>
                <w:rFonts w:ascii="Arial" w:cs="Arial" w:eastAsia="Arial" w:hAnsi="Arial"/>
                <w:sz w:val="14"/>
                <w:szCs w:val="14"/>
                <w:color w:val="4D4D4F"/>
              </w:rPr>
              <w:t>– Member</w:t>
            </w:r>
          </w:p>
        </w:tc>
        <w:tc>
          <w:tcPr>
            <w:tcW w:w="780" w:type="dxa"/>
            <w:vAlign w:val="bottom"/>
            <w:tcBorders>
              <w:top w:val="single" w:sz="8" w:color="298655"/>
            </w:tcBorders>
          </w:tcPr>
          <w:p>
            <w:pPr>
              <w:spacing w:after="0"/>
              <w:rPr>
                <w:sz w:val="22"/>
                <w:szCs w:val="22"/>
                <w:color w:val="auto"/>
              </w:rPr>
            </w:pPr>
          </w:p>
        </w:tc>
        <w:tc>
          <w:tcPr>
            <w:tcW w:w="880" w:type="dxa"/>
            <w:vAlign w:val="bottom"/>
            <w:tcBorders>
              <w:top w:val="single" w:sz="8" w:color="298655"/>
            </w:tcBorders>
          </w:tcPr>
          <w:p>
            <w:pPr>
              <w:spacing w:after="0"/>
              <w:rPr>
                <w:sz w:val="22"/>
                <w:szCs w:val="22"/>
                <w:color w:val="auto"/>
              </w:rPr>
            </w:pPr>
          </w:p>
        </w:tc>
        <w:tc>
          <w:tcPr>
            <w:tcW w:w="940" w:type="dxa"/>
            <w:vAlign w:val="bottom"/>
            <w:tcBorders>
              <w:top w:val="single" w:sz="8" w:color="298655"/>
            </w:tcBorders>
          </w:tcPr>
          <w:p>
            <w:pPr>
              <w:spacing w:after="0"/>
              <w:rPr>
                <w:sz w:val="22"/>
                <w:szCs w:val="22"/>
                <w:color w:val="auto"/>
              </w:rPr>
            </w:pPr>
          </w:p>
        </w:tc>
        <w:tc>
          <w:tcPr>
            <w:tcW w:w="1040" w:type="dxa"/>
            <w:vAlign w:val="bottom"/>
            <w:tcBorders>
              <w:top w:val="single" w:sz="8" w:color="298655"/>
            </w:tcBorders>
          </w:tcPr>
          <w:p>
            <w:pPr>
              <w:spacing w:after="0"/>
              <w:rPr>
                <w:sz w:val="22"/>
                <w:szCs w:val="22"/>
                <w:color w:val="auto"/>
              </w:rPr>
            </w:pPr>
          </w:p>
        </w:tc>
        <w:tc>
          <w:tcPr>
            <w:tcW w:w="820" w:type="dxa"/>
            <w:vAlign w:val="bottom"/>
            <w:tcBorders>
              <w:top w:val="single" w:sz="8" w:color="298655"/>
            </w:tcBorders>
          </w:tcPr>
          <w:p>
            <w:pPr>
              <w:spacing w:after="0"/>
              <w:rPr>
                <w:sz w:val="22"/>
                <w:szCs w:val="22"/>
                <w:color w:val="auto"/>
              </w:rPr>
            </w:pPr>
          </w:p>
        </w:tc>
        <w:tc>
          <w:tcPr>
            <w:tcW w:w="1280" w:type="dxa"/>
            <w:vAlign w:val="bottom"/>
            <w:tcBorders>
              <w:top w:val="single" w:sz="8" w:color="298655"/>
            </w:tcBorders>
          </w:tcPr>
          <w:p>
            <w:pPr>
              <w:spacing w:after="0"/>
              <w:rPr>
                <w:sz w:val="22"/>
                <w:szCs w:val="22"/>
                <w:color w:val="auto"/>
              </w:rPr>
            </w:pPr>
          </w:p>
        </w:tc>
        <w:tc>
          <w:tcPr>
            <w:tcW w:w="800" w:type="dxa"/>
            <w:vAlign w:val="bottom"/>
            <w:tcBorders>
              <w:top w:val="single" w:sz="8" w:color="298655"/>
            </w:tcBorders>
          </w:tcPr>
          <w:p>
            <w:pPr>
              <w:spacing w:after="0"/>
              <w:rPr>
                <w:sz w:val="22"/>
                <w:szCs w:val="22"/>
                <w:color w:val="auto"/>
              </w:rPr>
            </w:pPr>
          </w:p>
        </w:tc>
        <w:tc>
          <w:tcPr>
            <w:tcW w:w="940" w:type="dxa"/>
            <w:vAlign w:val="bottom"/>
            <w:tcBorders>
              <w:top w:val="single" w:sz="8" w:color="298655"/>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-3234690</wp:posOffset>
            </wp:positionV>
            <wp:extent cx="120015" cy="1111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-3028950</wp:posOffset>
            </wp:positionV>
            <wp:extent cx="120015" cy="1117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-2823210</wp:posOffset>
            </wp:positionV>
            <wp:extent cx="120015" cy="1117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-2617470</wp:posOffset>
            </wp:positionV>
            <wp:extent cx="120015" cy="1111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-2411730</wp:posOffset>
            </wp:positionV>
            <wp:extent cx="120015" cy="1111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-2060575</wp:posOffset>
            </wp:positionV>
            <wp:extent cx="120015" cy="857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-2060575</wp:posOffset>
            </wp:positionV>
            <wp:extent cx="120015" cy="857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-2060575</wp:posOffset>
            </wp:positionV>
            <wp:extent cx="120015" cy="857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-2060575</wp:posOffset>
            </wp:positionV>
            <wp:extent cx="120015" cy="857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-2060575</wp:posOffset>
            </wp:positionV>
            <wp:extent cx="120015" cy="857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-2060575</wp:posOffset>
            </wp:positionV>
            <wp:extent cx="120015" cy="857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-1880235</wp:posOffset>
            </wp:positionV>
            <wp:extent cx="120015" cy="857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-1880235</wp:posOffset>
            </wp:positionV>
            <wp:extent cx="120015" cy="857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-1657350</wp:posOffset>
            </wp:positionV>
            <wp:extent cx="120015" cy="857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-1657350</wp:posOffset>
            </wp:positionV>
            <wp:extent cx="120015" cy="857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-1657350</wp:posOffset>
            </wp:positionV>
            <wp:extent cx="120015" cy="857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-1657350</wp:posOffset>
            </wp:positionV>
            <wp:extent cx="120015" cy="857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-1657350</wp:posOffset>
            </wp:positionV>
            <wp:extent cx="120015" cy="857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-1657350</wp:posOffset>
            </wp:positionV>
            <wp:extent cx="120015" cy="857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-1657350</wp:posOffset>
            </wp:positionV>
            <wp:extent cx="120015" cy="857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-1434465</wp:posOffset>
            </wp:positionV>
            <wp:extent cx="120015" cy="857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-1434465</wp:posOffset>
            </wp:positionV>
            <wp:extent cx="120015" cy="85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-1254760</wp:posOffset>
            </wp:positionV>
            <wp:extent cx="120015" cy="857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-1254760</wp:posOffset>
            </wp:positionV>
            <wp:extent cx="120015" cy="857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-1254760</wp:posOffset>
            </wp:positionV>
            <wp:extent cx="120015" cy="857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-1254760</wp:posOffset>
            </wp:positionV>
            <wp:extent cx="120015" cy="857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-1254760</wp:posOffset>
            </wp:positionV>
            <wp:extent cx="120015" cy="857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-1074420</wp:posOffset>
            </wp:positionV>
            <wp:extent cx="120015" cy="857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-1074420</wp:posOffset>
            </wp:positionV>
            <wp:extent cx="120015" cy="857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-1074420</wp:posOffset>
            </wp:positionV>
            <wp:extent cx="120015" cy="857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-1074420</wp:posOffset>
            </wp:positionV>
            <wp:extent cx="120015" cy="857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-1074420</wp:posOffset>
            </wp:positionV>
            <wp:extent cx="120015" cy="857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-1074420</wp:posOffset>
            </wp:positionV>
            <wp:extent cx="120015" cy="857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-894715</wp:posOffset>
            </wp:positionV>
            <wp:extent cx="120015" cy="857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-894715</wp:posOffset>
            </wp:positionV>
            <wp:extent cx="120015" cy="857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-894715</wp:posOffset>
            </wp:positionV>
            <wp:extent cx="120015" cy="857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-714375</wp:posOffset>
            </wp:positionV>
            <wp:extent cx="120015" cy="857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-714375</wp:posOffset>
            </wp:positionV>
            <wp:extent cx="120015" cy="857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-534670</wp:posOffset>
            </wp:positionV>
            <wp:extent cx="120015" cy="857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-534670</wp:posOffset>
            </wp:positionV>
            <wp:extent cx="120015" cy="857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-534670</wp:posOffset>
            </wp:positionV>
            <wp:extent cx="120015" cy="857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-534670</wp:posOffset>
            </wp:positionV>
            <wp:extent cx="120015" cy="857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-534670</wp:posOffset>
            </wp:positionV>
            <wp:extent cx="120015" cy="857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-534670</wp:posOffset>
            </wp:positionV>
            <wp:extent cx="120015" cy="857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-534670</wp:posOffset>
            </wp:positionV>
            <wp:extent cx="120015" cy="857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-354330</wp:posOffset>
            </wp:positionV>
            <wp:extent cx="120015" cy="857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-354330</wp:posOffset>
            </wp:positionV>
            <wp:extent cx="120015" cy="857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-354330</wp:posOffset>
            </wp:positionV>
            <wp:extent cx="120015" cy="857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-354330</wp:posOffset>
            </wp:positionV>
            <wp:extent cx="120015" cy="857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-354330</wp:posOffset>
            </wp:positionV>
            <wp:extent cx="120015" cy="857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-354330</wp:posOffset>
            </wp:positionV>
            <wp:extent cx="120015" cy="857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-148590</wp:posOffset>
            </wp:positionV>
            <wp:extent cx="102870" cy="939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29</w:t>
            </w:r>
          </w:p>
        </w:tc>
      </w:tr>
      <w:tr>
        <w:trPr>
          <w:trHeight w:val="211"/>
        </w:trPr>
        <w:tc>
          <w:tcPr>
            <w:tcW w:w="108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00" w:type="dxa"/>
            <w:vAlign w:val="bottom"/>
            <w:vMerge w:val="restart"/>
            <w:shd w:val="clear" w:color="auto" w:fill="132440"/>
          </w:tcPr>
          <w:p>
            <w:pPr>
              <w:jc w:val="right"/>
              <w:spacing w:after="0"/>
              <w:rPr>
                <w:sz w:val="20"/>
                <w:szCs w:val="20"/>
                <w:color w:val="auto"/>
              </w:rPr>
            </w:pPr>
            <w:r>
              <w:rPr>
                <w:rFonts w:ascii="Arial" w:cs="Arial" w:eastAsia="Arial" w:hAnsi="Arial"/>
                <w:sz w:val="40"/>
                <w:szCs w:val="40"/>
                <w:b w:val="1"/>
                <w:bCs w:val="1"/>
                <w:color w:val="578EB1"/>
              </w:rPr>
              <w:t>1</w:t>
            </w:r>
          </w:p>
        </w:tc>
        <w:tc>
          <w:tcPr>
            <w:tcW w:w="2100" w:type="dxa"/>
            <w:vAlign w:val="bottom"/>
            <w:shd w:val="clear" w:color="auto" w:fill="132440"/>
          </w:tcPr>
          <w:p>
            <w:pPr>
              <w:ind w:left="100"/>
              <w:spacing w:after="0"/>
              <w:rPr>
                <w:sz w:val="20"/>
                <w:szCs w:val="20"/>
                <w:color w:val="auto"/>
              </w:rPr>
            </w:pPr>
            <w:r>
              <w:rPr>
                <w:rFonts w:ascii="Arial" w:cs="Arial" w:eastAsia="Arial" w:hAnsi="Arial"/>
                <w:sz w:val="16"/>
                <w:szCs w:val="16"/>
                <w:b w:val="1"/>
                <w:bCs w:val="1"/>
                <w:color w:val="FFFFFF"/>
              </w:rPr>
              <w:t>SEARCH FOR A BOARD</w:t>
            </w:r>
          </w:p>
        </w:tc>
        <w:tc>
          <w:tcPr>
            <w:tcW w:w="200" w:type="dxa"/>
            <w:vAlign w:val="bottom"/>
          </w:tcPr>
          <w:p>
            <w:pPr>
              <w:spacing w:after="0"/>
              <w:rPr>
                <w:sz w:val="21"/>
                <w:szCs w:val="21"/>
                <w:color w:val="auto"/>
              </w:rPr>
            </w:pPr>
          </w:p>
        </w:tc>
        <w:tc>
          <w:tcPr>
            <w:tcW w:w="520" w:type="dxa"/>
            <w:vAlign w:val="bottom"/>
            <w:vMerge w:val="restart"/>
            <w:shd w:val="clear" w:color="auto" w:fill="132440"/>
          </w:tcPr>
          <w:p>
            <w:pPr>
              <w:jc w:val="right"/>
              <w:spacing w:after="0"/>
              <w:rPr>
                <w:sz w:val="20"/>
                <w:szCs w:val="20"/>
                <w:color w:val="auto"/>
              </w:rPr>
            </w:pPr>
            <w:r>
              <w:rPr>
                <w:rFonts w:ascii="Arial" w:cs="Arial" w:eastAsia="Arial" w:hAnsi="Arial"/>
                <w:sz w:val="40"/>
                <w:szCs w:val="40"/>
                <w:b w:val="1"/>
                <w:bCs w:val="1"/>
                <w:color w:val="578EB1"/>
              </w:rPr>
              <w:t>2</w:t>
            </w:r>
          </w:p>
        </w:tc>
        <w:tc>
          <w:tcPr>
            <w:tcW w:w="2140" w:type="dxa"/>
            <w:vAlign w:val="bottom"/>
            <w:shd w:val="clear" w:color="auto" w:fill="132440"/>
          </w:tcPr>
          <w:p>
            <w:pPr>
              <w:ind w:left="100"/>
              <w:spacing w:after="0"/>
              <w:rPr>
                <w:sz w:val="20"/>
                <w:szCs w:val="20"/>
                <w:color w:val="auto"/>
              </w:rPr>
            </w:pPr>
            <w:r>
              <w:rPr>
                <w:rFonts w:ascii="Arial" w:cs="Arial" w:eastAsia="Arial" w:hAnsi="Arial"/>
                <w:sz w:val="16"/>
                <w:szCs w:val="16"/>
                <w:b w:val="1"/>
                <w:bCs w:val="1"/>
                <w:color w:val="FFFFFF"/>
              </w:rPr>
              <w:t>PROFESSIONAL SEARCH</w:t>
            </w:r>
          </w:p>
        </w:tc>
        <w:tc>
          <w:tcPr>
            <w:tcW w:w="200" w:type="dxa"/>
            <w:vAlign w:val="bottom"/>
          </w:tcPr>
          <w:p>
            <w:pPr>
              <w:spacing w:after="0"/>
              <w:rPr>
                <w:sz w:val="21"/>
                <w:szCs w:val="21"/>
                <w:color w:val="auto"/>
              </w:rPr>
            </w:pPr>
          </w:p>
        </w:tc>
        <w:tc>
          <w:tcPr>
            <w:tcW w:w="520" w:type="dxa"/>
            <w:vAlign w:val="bottom"/>
            <w:vMerge w:val="restart"/>
            <w:shd w:val="clear" w:color="auto" w:fill="132440"/>
          </w:tcPr>
          <w:p>
            <w:pPr>
              <w:jc w:val="right"/>
              <w:spacing w:after="0"/>
              <w:rPr>
                <w:sz w:val="20"/>
                <w:szCs w:val="20"/>
                <w:color w:val="auto"/>
              </w:rPr>
            </w:pPr>
            <w:r>
              <w:rPr>
                <w:rFonts w:ascii="Arial" w:cs="Arial" w:eastAsia="Arial" w:hAnsi="Arial"/>
                <w:sz w:val="40"/>
                <w:szCs w:val="40"/>
                <w:b w:val="1"/>
                <w:bCs w:val="1"/>
                <w:color w:val="578EB1"/>
              </w:rPr>
              <w:t>3</w:t>
            </w:r>
          </w:p>
        </w:tc>
        <w:tc>
          <w:tcPr>
            <w:tcW w:w="2180" w:type="dxa"/>
            <w:vAlign w:val="bottom"/>
            <w:shd w:val="clear" w:color="auto" w:fill="132440"/>
          </w:tcPr>
          <w:p>
            <w:pPr>
              <w:ind w:left="120"/>
              <w:spacing w:after="0"/>
              <w:rPr>
                <w:sz w:val="20"/>
                <w:szCs w:val="20"/>
                <w:color w:val="auto"/>
              </w:rPr>
            </w:pPr>
            <w:r>
              <w:rPr>
                <w:rFonts w:ascii="Arial" w:cs="Arial" w:eastAsia="Arial" w:hAnsi="Arial"/>
                <w:sz w:val="16"/>
                <w:szCs w:val="16"/>
                <w:b w:val="1"/>
                <w:bCs w:val="1"/>
                <w:color w:val="FFFFFF"/>
              </w:rPr>
              <w:t>CRITERIA FOR</w:t>
            </w:r>
          </w:p>
        </w:tc>
        <w:tc>
          <w:tcPr>
            <w:tcW w:w="200" w:type="dxa"/>
            <w:vAlign w:val="bottom"/>
          </w:tcPr>
          <w:p>
            <w:pPr>
              <w:spacing w:after="0"/>
              <w:rPr>
                <w:sz w:val="21"/>
                <w:szCs w:val="21"/>
                <w:color w:val="auto"/>
              </w:rPr>
            </w:pPr>
          </w:p>
        </w:tc>
        <w:tc>
          <w:tcPr>
            <w:tcW w:w="2680" w:type="dxa"/>
            <w:vAlign w:val="bottom"/>
            <w:vMerge w:val="restart"/>
            <w:shd w:val="clear" w:color="auto" w:fill="132440"/>
          </w:tcPr>
          <w:p>
            <w:pPr>
              <w:ind w:left="180"/>
              <w:spacing w:after="0"/>
              <w:rPr>
                <w:sz w:val="20"/>
                <w:szCs w:val="20"/>
                <w:color w:val="auto"/>
              </w:rPr>
            </w:pPr>
            <w:r>
              <w:rPr>
                <w:rFonts w:ascii="Arial" w:cs="Arial" w:eastAsia="Arial" w:hAnsi="Arial"/>
                <w:sz w:val="40"/>
                <w:szCs w:val="40"/>
                <w:b w:val="1"/>
                <w:bCs w:val="1"/>
                <w:color w:val="578EB1"/>
              </w:rPr>
              <w:t xml:space="preserve">4 </w:t>
            </w:r>
            <w:r>
              <w:rPr>
                <w:rFonts w:ascii="Arial" w:cs="Arial" w:eastAsia="Arial" w:hAnsi="Arial"/>
                <w:sz w:val="16"/>
                <w:szCs w:val="16"/>
                <w:b w:val="1"/>
                <w:bCs w:val="1"/>
                <w:color w:val="FFFFFF"/>
              </w:rPr>
              <w:t>DIVERSE CANDIDATES</w:t>
            </w:r>
          </w:p>
        </w:tc>
        <w:tc>
          <w:tcPr>
            <w:tcW w:w="0" w:type="dxa"/>
            <w:vAlign w:val="bottom"/>
          </w:tcPr>
          <w:p>
            <w:pPr>
              <w:spacing w:after="0"/>
              <w:rPr>
                <w:sz w:val="1"/>
                <w:szCs w:val="1"/>
                <w:color w:val="auto"/>
              </w:rPr>
            </w:pPr>
          </w:p>
        </w:tc>
      </w:tr>
      <w:tr>
        <w:trPr>
          <w:trHeight w:val="298"/>
        </w:trPr>
        <w:tc>
          <w:tcPr>
            <w:tcW w:w="500" w:type="dxa"/>
            <w:vAlign w:val="bottom"/>
            <w:vMerge w:val="continue"/>
            <w:shd w:val="clear" w:color="auto" w:fill="132440"/>
          </w:tcPr>
          <w:p>
            <w:pPr>
              <w:spacing w:after="0"/>
              <w:rPr>
                <w:sz w:val="24"/>
                <w:szCs w:val="24"/>
                <w:color w:val="auto"/>
              </w:rPr>
            </w:pPr>
          </w:p>
        </w:tc>
        <w:tc>
          <w:tcPr>
            <w:tcW w:w="2100" w:type="dxa"/>
            <w:vAlign w:val="bottom"/>
            <w:shd w:val="clear" w:color="auto" w:fill="132440"/>
          </w:tcPr>
          <w:p>
            <w:pPr>
              <w:ind w:left="100"/>
              <w:spacing w:after="0"/>
              <w:rPr>
                <w:sz w:val="20"/>
                <w:szCs w:val="20"/>
                <w:color w:val="auto"/>
              </w:rPr>
            </w:pPr>
            <w:r>
              <w:rPr>
                <w:rFonts w:ascii="Arial" w:cs="Arial" w:eastAsia="Arial" w:hAnsi="Arial"/>
                <w:sz w:val="16"/>
                <w:szCs w:val="16"/>
                <w:b w:val="1"/>
                <w:bCs w:val="1"/>
                <w:color w:val="FFFFFF"/>
              </w:rPr>
              <w:t>NOMINEE</w:t>
            </w:r>
          </w:p>
        </w:tc>
        <w:tc>
          <w:tcPr>
            <w:tcW w:w="200" w:type="dxa"/>
            <w:vAlign w:val="bottom"/>
          </w:tcPr>
          <w:p>
            <w:pPr>
              <w:spacing w:after="0"/>
              <w:rPr>
                <w:sz w:val="24"/>
                <w:szCs w:val="24"/>
                <w:color w:val="auto"/>
              </w:rPr>
            </w:pPr>
          </w:p>
        </w:tc>
        <w:tc>
          <w:tcPr>
            <w:tcW w:w="520" w:type="dxa"/>
            <w:vAlign w:val="bottom"/>
            <w:vMerge w:val="continue"/>
            <w:shd w:val="clear" w:color="auto" w:fill="132440"/>
          </w:tcPr>
          <w:p>
            <w:pPr>
              <w:spacing w:after="0"/>
              <w:rPr>
                <w:sz w:val="24"/>
                <w:szCs w:val="24"/>
                <w:color w:val="auto"/>
              </w:rPr>
            </w:pPr>
          </w:p>
        </w:tc>
        <w:tc>
          <w:tcPr>
            <w:tcW w:w="2140" w:type="dxa"/>
            <w:vAlign w:val="bottom"/>
            <w:shd w:val="clear" w:color="auto" w:fill="132440"/>
          </w:tcPr>
          <w:p>
            <w:pPr>
              <w:ind w:left="100"/>
              <w:spacing w:after="0"/>
              <w:rPr>
                <w:sz w:val="20"/>
                <w:szCs w:val="20"/>
                <w:color w:val="auto"/>
              </w:rPr>
            </w:pPr>
            <w:r>
              <w:rPr>
                <w:rFonts w:ascii="Arial" w:cs="Arial" w:eastAsia="Arial" w:hAnsi="Arial"/>
                <w:sz w:val="16"/>
                <w:szCs w:val="16"/>
                <w:b w:val="1"/>
                <w:bCs w:val="1"/>
                <w:color w:val="FFFFFF"/>
              </w:rPr>
              <w:t>FIRMS</w:t>
            </w:r>
          </w:p>
        </w:tc>
        <w:tc>
          <w:tcPr>
            <w:tcW w:w="200" w:type="dxa"/>
            <w:vAlign w:val="bottom"/>
          </w:tcPr>
          <w:p>
            <w:pPr>
              <w:spacing w:after="0"/>
              <w:rPr>
                <w:sz w:val="24"/>
                <w:szCs w:val="24"/>
                <w:color w:val="auto"/>
              </w:rPr>
            </w:pPr>
          </w:p>
        </w:tc>
        <w:tc>
          <w:tcPr>
            <w:tcW w:w="520" w:type="dxa"/>
            <w:vAlign w:val="bottom"/>
            <w:vMerge w:val="continue"/>
            <w:shd w:val="clear" w:color="auto" w:fill="132440"/>
          </w:tcPr>
          <w:p>
            <w:pPr>
              <w:spacing w:after="0"/>
              <w:rPr>
                <w:sz w:val="24"/>
                <w:szCs w:val="24"/>
                <w:color w:val="auto"/>
              </w:rPr>
            </w:pPr>
          </w:p>
        </w:tc>
        <w:tc>
          <w:tcPr>
            <w:tcW w:w="2180" w:type="dxa"/>
            <w:vAlign w:val="bottom"/>
            <w:shd w:val="clear" w:color="auto" w:fill="132440"/>
          </w:tcPr>
          <w:p>
            <w:pPr>
              <w:ind w:left="120"/>
              <w:spacing w:after="0"/>
              <w:rPr>
                <w:sz w:val="20"/>
                <w:szCs w:val="20"/>
                <w:color w:val="auto"/>
              </w:rPr>
            </w:pPr>
            <w:r>
              <w:rPr>
                <w:rFonts w:ascii="Arial" w:cs="Arial" w:eastAsia="Arial" w:hAnsi="Arial"/>
                <w:sz w:val="16"/>
                <w:szCs w:val="16"/>
                <w:b w:val="1"/>
                <w:bCs w:val="1"/>
                <w:color w:val="FFFFFF"/>
              </w:rPr>
              <w:t>EVALUATING NOMINEES</w:t>
            </w:r>
          </w:p>
        </w:tc>
        <w:tc>
          <w:tcPr>
            <w:tcW w:w="200" w:type="dxa"/>
            <w:vAlign w:val="bottom"/>
          </w:tcPr>
          <w:p>
            <w:pPr>
              <w:spacing w:after="0"/>
              <w:rPr>
                <w:sz w:val="24"/>
                <w:szCs w:val="24"/>
                <w:color w:val="auto"/>
              </w:rPr>
            </w:pPr>
          </w:p>
        </w:tc>
        <w:tc>
          <w:tcPr>
            <w:tcW w:w="2680" w:type="dxa"/>
            <w:vAlign w:val="bottom"/>
            <w:vMerge w:val="continue"/>
            <w:shd w:val="clear" w:color="auto" w:fill="13244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544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35445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172" w:lineRule="exact"/>
        <w:rPr>
          <w:sz w:val="20"/>
          <w:szCs w:val="20"/>
          <w:color w:val="auto"/>
        </w:rPr>
      </w:pPr>
    </w:p>
    <w:p>
      <w:pPr>
        <w:ind w:left="100"/>
        <w:spacing w:after="0" w:line="271" w:lineRule="auto"/>
        <w:rPr>
          <w:sz w:val="20"/>
          <w:szCs w:val="20"/>
          <w:color w:val="auto"/>
        </w:rPr>
      </w:pPr>
      <w:r>
        <w:rPr>
          <w:rFonts w:ascii="Arial" w:cs="Arial" w:eastAsia="Arial" w:hAnsi="Arial"/>
          <w:sz w:val="15"/>
          <w:szCs w:val="15"/>
          <w:color w:val="4D4D4F"/>
        </w:rPr>
        <w:t>To the extent that the Governance Committee believes that specific skills, characteristics or experience needs to be added to the Board, the Governance Committee initiates a search for a Board nominee, seeking input from Board members and senior management.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274" w:lineRule="auto"/>
        <w:rPr>
          <w:sz w:val="20"/>
          <w:szCs w:val="20"/>
          <w:color w:val="auto"/>
        </w:rPr>
      </w:pPr>
      <w:r>
        <w:rPr>
          <w:rFonts w:ascii="Arial" w:cs="Arial" w:eastAsia="Arial" w:hAnsi="Arial"/>
          <w:sz w:val="15"/>
          <w:szCs w:val="15"/>
          <w:color w:val="4D4D4F"/>
        </w:rPr>
        <w:t>The Governance Committee may retain professional search firms to identify director candidates and maintains the authority to approve the fees and other retention terms of any such firm.</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firstLine="40"/>
        <w:spacing w:after="0" w:line="270" w:lineRule="auto"/>
        <w:rPr>
          <w:sz w:val="20"/>
          <w:szCs w:val="20"/>
          <w:color w:val="auto"/>
        </w:rPr>
      </w:pPr>
      <w:r>
        <w:rPr>
          <w:rFonts w:ascii="Arial" w:cs="Arial" w:eastAsia="Arial" w:hAnsi="Arial"/>
          <w:sz w:val="15"/>
          <w:szCs w:val="15"/>
          <w:color w:val="4D4D4F"/>
        </w:rPr>
        <w:t>The criteria for evaluating director nominees takes into account the candidate’s intellect, integrity, judgment, experience and background, including diversity, such as race, gender and ethnicity, as well other factors deemed appropriate in adding value to the composition of the Board.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4D4D4F"/>
        </w:rPr>
        <w:t>As set forth in our Corporate Governance Principles, the Governance Committee is committed to actively seeking highly qualified women and minority candidates, as well as candidates with diverse backgrounds, skills and experiences, as part of the search process for new director candidates.</w:t>
      </w:r>
    </w:p>
    <w:p>
      <w:pPr>
        <w:spacing w:after="0" w:line="200" w:lineRule="exact"/>
        <w:rPr>
          <w:sz w:val="20"/>
          <w:szCs w:val="20"/>
          <w:color w:val="auto"/>
        </w:rPr>
      </w:pPr>
    </w:p>
    <w:p>
      <w:pPr>
        <w:sectPr>
          <w:pgSz w:w="11900" w:h="16838" w:orient="portrait"/>
          <w:cols w:equalWidth="0" w:num="4">
            <w:col w:w="2480" w:space="420"/>
            <w:col w:w="2300" w:space="560"/>
            <w:col w:w="2500" w:space="400"/>
            <w:col w:w="2580"/>
          </w:cols>
          <w:pgMar w:left="320" w:top="279" w:right="339" w:bottom="1440" w:gutter="0" w:footer="0" w:header="0"/>
          <w:type w:val="continuous"/>
        </w:sectPr>
      </w:pPr>
    </w:p>
    <w:p>
      <w:pPr>
        <w:spacing w:after="0" w:line="29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4D4D4F"/>
        </w:rPr>
        <w:t>Finally, in order to ensure that our independent directors have sufficient time to devote to overseeing the Company, our Corporate Governance Principles prohibit our directors from serving on the board of directors of more than three other publicly traded companies, unless the Board determines that such service will not impair the ability of such director to effectively perform his or her obligations as our director. The Governance Committee believes that it has been able to attract and appoint directors of diverse backgrounds in the past using the criteria set forth above.</w:t>
      </w:r>
    </w:p>
    <w:p>
      <w:pPr>
        <w:spacing w:after="0" w:line="14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4D4D4F"/>
        </w:rPr>
        <w:t>We believe the Governance Committee has a sound director evaluation process and that such process is an effective method for determining whether a director is fit to serve on the Board. Our Governance Committee welcomes candidates recommended by shareholders and, assuming a submission is in proper form as provided under our By-Laws, it will apply the same standards described above to the evaluation of a shareholder nominee as it applies to all nominees, including those recommended by current directors, employees and others. The procedural and disclosure requirements of our By-Laws provide that shareholders who would like to propose a Board nominee for consideration by the Governance Committee must deliver written notice to our Corporate Secretary, including disclosure of: (i) the relationship between the nominating shareholder and the underlying beneficial owner, if any, and such parties’ stock holdings and derivative positions in our securities; (ii) information we deem appropriate to ascertain the nominee’s qualifications to serve on the Board, including disclosure of compensation arrangements between the nominee, the nominating shareholder and the underlying beneficial owner, if any; and (iii) any other information required to comply with the proxy rules and applicable law. These requirements are more fully described in Article I, Section 7 of our By-Laws, a copy of which will be provided without charge to any shareholder upon written request to our Corporate Secretary at World Kinect Corporation, 9800 Northwest 41st Street, Miami, Florida 33178.</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Director Resignation Policy</w:t>
      </w:r>
    </w:p>
    <w:p>
      <w:pPr>
        <w:spacing w:after="0" w:line="14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4D4D4F"/>
        </w:rPr>
        <w:t>We have adopted a director resignation policy for the election of directors in an uncontested election, which is generally defined as an election in which the number of nominees does not exceed the number of directors to be elected at the meeting. In uncontested elections of directors, such as this election, any director nominee who receives a greater number of votes “withheld” from his or her election than votes “for” his or her election must promptly tender his or her resignation for consideration by the Governance Committee. The director whose resignation is under consideration will not participate in the recommendation of the Governance Committee or deliberations of the Board with respect to his or her resignation. The Governance Committee will recommend to the Board whether the Board should accept or reject the resignation or whether other action should be taken. The Board will publicly disclose, in a Form 8-K filed with the SEC, its decision regarding the tendered resignation within 90 days after certification of the election results.</w:t>
      </w:r>
    </w:p>
    <w:p>
      <w:pPr>
        <w:spacing w:after="0" w:line="1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4D4D4F"/>
        </w:rPr>
        <w:t>If a director’s resignation is not accepted by the Board, the director will continue to serve until the next annual meeting of shareholders or until his or her successor is duly elected and qualified, or his or her earlier resignation or removal. If a director’s resignation is accepted by the Board, then the Board may fill the resulting vacancy or decrease the number of directors comprising the Board in accordance with our By-laws. A copy of our director resignation policy, included in our Corporate Governance Principles, is available on our Investor Relations website at ir.worldkinect.com under “Corporate Governance.” Our website and information contained on our website are not part of this proxy statement and are not incorporated by reference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0" w:hanging="534"/>
        <w:spacing w:after="0"/>
        <w:tabs>
          <w:tab w:leader="none" w:pos="560" w:val="left"/>
        </w:tabs>
        <w:numPr>
          <w:ilvl w:val="0"/>
          <w:numId w:val="55"/>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33" w:name="page34"/>
    <w:bookmarkEnd w:id="33"/>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Board’s Role in Strategy and Risk</w:t>
      </w:r>
    </w:p>
    <w:p>
      <w:pPr>
        <w:spacing w:after="0" w:line="155"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4D4D4F"/>
        </w:rPr>
        <w:t xml:space="preserve">We are committed to operating our business in a safe, responsible and ethical manner through sound corporate governance that promotes accountability, transparency and engagement with our stakeholders. </w:t>
      </w:r>
      <w:r>
        <w:rPr>
          <w:rFonts w:ascii="Arial" w:cs="Arial" w:eastAsia="Arial" w:hAnsi="Arial"/>
          <w:sz w:val="16"/>
          <w:szCs w:val="16"/>
          <w:color w:val="4D4D4F"/>
        </w:rPr>
        <w:t>This commitment begins with our Board, which plays a key role in providing</w:t>
      </w:r>
      <w:r>
        <w:rPr>
          <w:rFonts w:ascii="Arial" w:cs="Arial" w:eastAsia="Arial" w:hAnsi="Arial"/>
          <w:sz w:val="16"/>
          <w:szCs w:val="16"/>
          <w:b w:val="1"/>
          <w:bCs w:val="1"/>
          <w:color w:val="4D4D4F"/>
        </w:rPr>
        <w:t xml:space="preserve"> </w:t>
      </w:r>
      <w:r>
        <w:rPr>
          <w:rFonts w:ascii="Arial" w:cs="Arial" w:eastAsia="Arial" w:hAnsi="Arial"/>
          <w:sz w:val="16"/>
          <w:szCs w:val="16"/>
          <w:color w:val="4D4D4F"/>
        </w:rPr>
        <w:t>oversight of our business practices and related risks, while remaining informed as we evolve and new risks emerge over time. Our executive leadership team maintains the primary responsibility for setting and delivering on our strategic priorities designed to create long-term sustainable value for all our stakeholders.</w:t>
      </w:r>
    </w:p>
    <w:p>
      <w:pPr>
        <w:spacing w:after="0" w:line="324"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4D4D4F"/>
        </w:rPr>
        <w:t>The Board has established a framework to review and understand the nature of the material risks we face related to our company, business strategies and operations. Based upon the information provided by our leaders responsible for managing these risks, as well as our enterprise risk management (“ERM”) programs, our Board evaluates whether our processes, policies and procedures are reasonably designed to respond to and mitigate these risks.</w:t>
      </w:r>
    </w:p>
    <w:p>
      <w:pPr>
        <w:spacing w:after="0" w:line="118"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4D4D4F"/>
        </w:rPr>
        <w:t>The Board and each of its committees oversee the risks pertaining to their principal areas of focus as described in the table below. Each committee ensures that the risks pertaining to their principal areas of focus are reported to the Board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45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3086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4" w:lineRule="exact"/>
        <w:rPr>
          <w:sz w:val="20"/>
          <w:szCs w:val="20"/>
          <w:color w:val="auto"/>
        </w:rPr>
      </w:pPr>
    </w:p>
    <w:p>
      <w:pPr>
        <w:ind w:left="240" w:right="480"/>
        <w:spacing w:after="0" w:line="321" w:lineRule="auto"/>
        <w:rPr>
          <w:sz w:val="20"/>
          <w:szCs w:val="20"/>
          <w:color w:val="auto"/>
        </w:rPr>
      </w:pPr>
      <w:r>
        <w:rPr>
          <w:rFonts w:ascii="Arial" w:cs="Arial" w:eastAsia="Arial" w:hAnsi="Arial"/>
          <w:sz w:val="16"/>
          <w:szCs w:val="16"/>
          <w:color w:val="4D4D4F"/>
        </w:rPr>
        <w:t>Considers strategic and operational risks associated with the annual operating plan and other current matters that may present material risks to our operations, plans, prospects or reputation and risks associated with acquisitions.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524"/>
        </w:trPr>
        <w:tc>
          <w:tcPr>
            <w:tcW w:w="2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40"/>
                <w:szCs w:val="40"/>
                <w:color w:val="00529B"/>
              </w:rPr>
              <w:t>o</w:t>
            </w: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2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0" w:type="dxa"/>
            <w:vAlign w:val="bottom"/>
            <w:shd w:val="clear" w:color="auto" w:fill="EAEEF2"/>
          </w:tcPr>
          <w:p>
            <w:pPr>
              <w:spacing w:after="0"/>
              <w:rPr>
                <w:sz w:val="14"/>
                <w:szCs w:val="14"/>
                <w:color w:val="auto"/>
              </w:rPr>
            </w:pPr>
          </w:p>
        </w:tc>
        <w:tc>
          <w:tcPr>
            <w:tcW w:w="3740" w:type="dxa"/>
            <w:vAlign w:val="bottom"/>
            <w:gridSpan w:val="3"/>
            <w:vMerge w:val="restart"/>
            <w:shd w:val="clear" w:color="auto" w:fill="EAEEF2"/>
          </w:tcPr>
          <w:p>
            <w:pPr>
              <w:ind w:left="20"/>
              <w:spacing w:after="0"/>
              <w:rPr>
                <w:sz w:val="20"/>
                <w:szCs w:val="20"/>
                <w:color w:val="auto"/>
              </w:rPr>
            </w:pPr>
            <w:r>
              <w:rPr>
                <w:rFonts w:ascii="Arial" w:cs="Arial" w:eastAsia="Arial" w:hAnsi="Arial"/>
                <w:sz w:val="16"/>
                <w:szCs w:val="16"/>
                <w:b w:val="1"/>
                <w:bCs w:val="1"/>
                <w:color w:val="132440"/>
              </w:rPr>
              <w:t>AUDIT COMMITTEE</w:t>
            </w:r>
          </w:p>
        </w:tc>
        <w:tc>
          <w:tcPr>
            <w:tcW w:w="1420" w:type="dxa"/>
            <w:vAlign w:val="bottom"/>
            <w:shd w:val="clear" w:color="auto" w:fill="EAEEF2"/>
          </w:tcPr>
          <w:p>
            <w:pPr>
              <w:spacing w:after="0"/>
              <w:rPr>
                <w:sz w:val="14"/>
                <w:szCs w:val="14"/>
                <w:color w:val="auto"/>
              </w:rPr>
            </w:pPr>
          </w:p>
        </w:tc>
        <w:tc>
          <w:tcPr>
            <w:tcW w:w="240" w:type="dxa"/>
            <w:vAlign w:val="bottom"/>
            <w:tcBorders>
              <w:right w:val="single" w:sz="8" w:color="EAEEF2"/>
            </w:tcBorders>
            <w:shd w:val="clear" w:color="auto" w:fill="EAEEF2"/>
          </w:tcPr>
          <w:p>
            <w:pPr>
              <w:spacing w:after="0"/>
              <w:rPr>
                <w:sz w:val="14"/>
                <w:szCs w:val="14"/>
                <w:color w:val="auto"/>
              </w:rPr>
            </w:pPr>
          </w:p>
        </w:tc>
        <w:tc>
          <w:tcPr>
            <w:tcW w:w="5620" w:type="dxa"/>
            <w:vAlign w:val="bottom"/>
            <w:gridSpan w:val="3"/>
            <w:vMerge w:val="restart"/>
            <w:shd w:val="clear" w:color="auto" w:fill="EAEEF2"/>
          </w:tcPr>
          <w:p>
            <w:pPr>
              <w:ind w:left="220"/>
              <w:spacing w:after="0"/>
              <w:rPr>
                <w:sz w:val="20"/>
                <w:szCs w:val="20"/>
                <w:color w:val="auto"/>
              </w:rPr>
            </w:pPr>
            <w:r>
              <w:rPr>
                <w:rFonts w:ascii="Arial" w:cs="Arial" w:eastAsia="Arial" w:hAnsi="Arial"/>
                <w:sz w:val="16"/>
                <w:szCs w:val="16"/>
                <w:b w:val="1"/>
                <w:bCs w:val="1"/>
                <w:color w:val="132440"/>
              </w:rPr>
              <w:t>TECHNOLOGY &amp; OPERATIONS COMMITTEE</w:t>
            </w:r>
          </w:p>
        </w:tc>
        <w:tc>
          <w:tcPr>
            <w:tcW w:w="0" w:type="dxa"/>
            <w:vAlign w:val="bottom"/>
          </w:tcPr>
          <w:p>
            <w:pPr>
              <w:spacing w:after="0"/>
              <w:rPr>
                <w:sz w:val="1"/>
                <w:szCs w:val="1"/>
                <w:color w:val="auto"/>
              </w:rPr>
            </w:pPr>
          </w:p>
        </w:tc>
      </w:tr>
      <w:tr>
        <w:trPr>
          <w:trHeight w:val="236"/>
        </w:trPr>
        <w:tc>
          <w:tcPr>
            <w:tcW w:w="220" w:type="dxa"/>
            <w:vAlign w:val="bottom"/>
            <w:shd w:val="clear" w:color="auto" w:fill="EAEEF2"/>
          </w:tcPr>
          <w:p>
            <w:pPr>
              <w:spacing w:after="0"/>
              <w:rPr>
                <w:sz w:val="20"/>
                <w:szCs w:val="20"/>
                <w:color w:val="auto"/>
              </w:rPr>
            </w:pPr>
          </w:p>
        </w:tc>
        <w:tc>
          <w:tcPr>
            <w:tcW w:w="3740" w:type="dxa"/>
            <w:vAlign w:val="bottom"/>
            <w:gridSpan w:val="3"/>
            <w:vMerge w:val="continue"/>
            <w:shd w:val="clear" w:color="auto" w:fill="EAEEF2"/>
          </w:tcPr>
          <w:p>
            <w:pPr>
              <w:spacing w:after="0"/>
              <w:rPr>
                <w:sz w:val="20"/>
                <w:szCs w:val="20"/>
                <w:color w:val="auto"/>
              </w:rPr>
            </w:pPr>
          </w:p>
        </w:tc>
        <w:tc>
          <w:tcPr>
            <w:tcW w:w="1420" w:type="dxa"/>
            <w:vAlign w:val="bottom"/>
            <w:shd w:val="clear" w:color="auto" w:fill="EAEEF2"/>
          </w:tcPr>
          <w:p>
            <w:pPr>
              <w:spacing w:after="0"/>
              <w:rPr>
                <w:sz w:val="20"/>
                <w:szCs w:val="20"/>
                <w:color w:val="auto"/>
              </w:rPr>
            </w:pPr>
          </w:p>
        </w:tc>
        <w:tc>
          <w:tcPr>
            <w:tcW w:w="240" w:type="dxa"/>
            <w:vAlign w:val="bottom"/>
            <w:tcBorders>
              <w:right w:val="single" w:sz="8" w:color="00529B"/>
            </w:tcBorders>
            <w:shd w:val="clear" w:color="auto" w:fill="EAEEF2"/>
          </w:tcPr>
          <w:p>
            <w:pPr>
              <w:spacing w:after="0"/>
              <w:rPr>
                <w:sz w:val="20"/>
                <w:szCs w:val="20"/>
                <w:color w:val="auto"/>
              </w:rPr>
            </w:pPr>
          </w:p>
        </w:tc>
        <w:tc>
          <w:tcPr>
            <w:tcW w:w="5620" w:type="dxa"/>
            <w:vAlign w:val="bottom"/>
            <w:gridSpan w:val="3"/>
            <w:vMerge w:val="continue"/>
            <w:shd w:val="clear" w:color="auto" w:fill="EAEEF2"/>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220" w:type="dxa"/>
            <w:vAlign w:val="bottom"/>
            <w:shd w:val="clear" w:color="auto" w:fill="EAEEF2"/>
          </w:tcPr>
          <w:p>
            <w:pPr>
              <w:spacing w:after="0"/>
              <w:rPr>
                <w:sz w:val="24"/>
                <w:szCs w:val="24"/>
                <w:color w:val="auto"/>
              </w:rPr>
            </w:pPr>
          </w:p>
        </w:tc>
        <w:tc>
          <w:tcPr>
            <w:tcW w:w="5160" w:type="dxa"/>
            <w:vAlign w:val="bottom"/>
            <w:gridSpan w:val="4"/>
            <w:shd w:val="clear" w:color="auto" w:fill="EAEEF2"/>
          </w:tcPr>
          <w:p>
            <w:pPr>
              <w:ind w:left="20"/>
              <w:spacing w:after="0"/>
              <w:rPr>
                <w:sz w:val="20"/>
                <w:szCs w:val="20"/>
                <w:color w:val="auto"/>
              </w:rPr>
            </w:pPr>
            <w:r>
              <w:rPr>
                <w:rFonts w:ascii="Arial" w:cs="Arial" w:eastAsia="Arial" w:hAnsi="Arial"/>
                <w:sz w:val="16"/>
                <w:szCs w:val="16"/>
                <w:b w:val="1"/>
                <w:bCs w:val="1"/>
                <w:color w:val="00529B"/>
              </w:rPr>
              <w:t xml:space="preserve">•  </w:t>
            </w:r>
            <w:r>
              <w:rPr>
                <w:rFonts w:ascii="Arial" w:cs="Arial" w:eastAsia="Arial" w:hAnsi="Arial"/>
                <w:sz w:val="16"/>
                <w:szCs w:val="16"/>
                <w:color w:val="4D4D4F"/>
              </w:rPr>
              <w:t>Considers risks associated with the financial reporting and</w:t>
            </w:r>
          </w:p>
        </w:tc>
        <w:tc>
          <w:tcPr>
            <w:tcW w:w="240" w:type="dxa"/>
            <w:vAlign w:val="bottom"/>
            <w:tcBorders>
              <w:right w:val="single" w:sz="8" w:color="00529B"/>
            </w:tcBorders>
            <w:shd w:val="clear" w:color="auto" w:fill="EAEEF2"/>
          </w:tcPr>
          <w:p>
            <w:pPr>
              <w:spacing w:after="0"/>
              <w:rPr>
                <w:sz w:val="24"/>
                <w:szCs w:val="24"/>
                <w:color w:val="auto"/>
              </w:rPr>
            </w:pPr>
          </w:p>
        </w:tc>
        <w:tc>
          <w:tcPr>
            <w:tcW w:w="5620" w:type="dxa"/>
            <w:vAlign w:val="bottom"/>
            <w:gridSpan w:val="3"/>
            <w:shd w:val="clear" w:color="auto" w:fill="EAEEF2"/>
          </w:tcPr>
          <w:p>
            <w:pPr>
              <w:ind w:left="220"/>
              <w:spacing w:after="0"/>
              <w:rPr>
                <w:sz w:val="20"/>
                <w:szCs w:val="20"/>
                <w:color w:val="auto"/>
              </w:rPr>
            </w:pPr>
            <w:r>
              <w:rPr>
                <w:rFonts w:ascii="Arial" w:cs="Arial" w:eastAsia="Arial" w:hAnsi="Arial"/>
                <w:sz w:val="16"/>
                <w:szCs w:val="16"/>
                <w:b w:val="1"/>
                <w:bCs w:val="1"/>
                <w:color w:val="00529B"/>
              </w:rPr>
              <w:t xml:space="preserve">•  </w:t>
            </w:r>
            <w:r>
              <w:rPr>
                <w:rFonts w:ascii="Arial" w:cs="Arial" w:eastAsia="Arial" w:hAnsi="Arial"/>
                <w:sz w:val="16"/>
                <w:szCs w:val="16"/>
                <w:color w:val="4D4D4F"/>
              </w:rPr>
              <w:t>Considers risks related to technology and operations initiatives,</w:t>
            </w:r>
          </w:p>
        </w:tc>
        <w:tc>
          <w:tcPr>
            <w:tcW w:w="0" w:type="dxa"/>
            <w:vAlign w:val="bottom"/>
          </w:tcPr>
          <w:p>
            <w:pPr>
              <w:spacing w:after="0"/>
              <w:rPr>
                <w:sz w:val="1"/>
                <w:szCs w:val="1"/>
                <w:color w:val="auto"/>
              </w:rPr>
            </w:pPr>
          </w:p>
        </w:tc>
      </w:tr>
      <w:tr>
        <w:trPr>
          <w:trHeight w:val="215"/>
        </w:trPr>
        <w:tc>
          <w:tcPr>
            <w:tcW w:w="220" w:type="dxa"/>
            <w:vAlign w:val="bottom"/>
            <w:shd w:val="clear" w:color="auto" w:fill="EAEEF2"/>
          </w:tcPr>
          <w:p>
            <w:pPr>
              <w:spacing w:after="0"/>
              <w:rPr>
                <w:sz w:val="18"/>
                <w:szCs w:val="18"/>
                <w:color w:val="auto"/>
              </w:rPr>
            </w:pPr>
          </w:p>
        </w:tc>
        <w:tc>
          <w:tcPr>
            <w:tcW w:w="5160" w:type="dxa"/>
            <w:vAlign w:val="bottom"/>
            <w:gridSpan w:val="4"/>
            <w:shd w:val="clear" w:color="auto" w:fill="EAEEF2"/>
          </w:tcPr>
          <w:p>
            <w:pPr>
              <w:ind w:left="260"/>
              <w:spacing w:after="0"/>
              <w:rPr>
                <w:sz w:val="20"/>
                <w:szCs w:val="20"/>
                <w:color w:val="auto"/>
              </w:rPr>
            </w:pPr>
            <w:r>
              <w:rPr>
                <w:rFonts w:ascii="Arial" w:cs="Arial" w:eastAsia="Arial" w:hAnsi="Arial"/>
                <w:sz w:val="16"/>
                <w:szCs w:val="16"/>
                <w:color w:val="4D4D4F"/>
              </w:rPr>
              <w:t>disclosure process, major litigation, cybersecurity and related</w:t>
            </w:r>
          </w:p>
        </w:tc>
        <w:tc>
          <w:tcPr>
            <w:tcW w:w="240" w:type="dxa"/>
            <w:vAlign w:val="bottom"/>
            <w:tcBorders>
              <w:right w:val="single" w:sz="8" w:color="00529B"/>
            </w:tcBorders>
            <w:shd w:val="clear" w:color="auto" w:fill="EAEEF2"/>
          </w:tcPr>
          <w:p>
            <w:pPr>
              <w:spacing w:after="0"/>
              <w:rPr>
                <w:sz w:val="18"/>
                <w:szCs w:val="18"/>
                <w:color w:val="auto"/>
              </w:rPr>
            </w:pPr>
          </w:p>
        </w:tc>
        <w:tc>
          <w:tcPr>
            <w:tcW w:w="5620" w:type="dxa"/>
            <w:vAlign w:val="bottom"/>
            <w:gridSpan w:val="3"/>
            <w:shd w:val="clear" w:color="auto" w:fill="EAEEF2"/>
          </w:tcPr>
          <w:p>
            <w:pPr>
              <w:ind w:left="460"/>
              <w:spacing w:after="0"/>
              <w:rPr>
                <w:sz w:val="20"/>
                <w:szCs w:val="20"/>
                <w:color w:val="auto"/>
              </w:rPr>
            </w:pPr>
            <w:r>
              <w:rPr>
                <w:rFonts w:ascii="Arial" w:cs="Arial" w:eastAsia="Arial" w:hAnsi="Arial"/>
                <w:sz w:val="16"/>
                <w:szCs w:val="16"/>
                <w:color w:val="4D4D4F"/>
              </w:rPr>
              <w:t>including regulatory and other significant technology-related risks.</w:t>
            </w:r>
          </w:p>
        </w:tc>
        <w:tc>
          <w:tcPr>
            <w:tcW w:w="0" w:type="dxa"/>
            <w:vAlign w:val="bottom"/>
          </w:tcPr>
          <w:p>
            <w:pPr>
              <w:spacing w:after="0"/>
              <w:rPr>
                <w:sz w:val="1"/>
                <w:szCs w:val="1"/>
                <w:color w:val="auto"/>
              </w:rPr>
            </w:pPr>
          </w:p>
        </w:tc>
      </w:tr>
      <w:tr>
        <w:trPr>
          <w:trHeight w:val="216"/>
        </w:trPr>
        <w:tc>
          <w:tcPr>
            <w:tcW w:w="220" w:type="dxa"/>
            <w:vAlign w:val="bottom"/>
            <w:shd w:val="clear" w:color="auto" w:fill="EAEEF2"/>
          </w:tcPr>
          <w:p>
            <w:pPr>
              <w:spacing w:after="0"/>
              <w:rPr>
                <w:sz w:val="18"/>
                <w:szCs w:val="18"/>
                <w:color w:val="auto"/>
              </w:rPr>
            </w:pPr>
          </w:p>
        </w:tc>
        <w:tc>
          <w:tcPr>
            <w:tcW w:w="5160" w:type="dxa"/>
            <w:vAlign w:val="bottom"/>
            <w:gridSpan w:val="4"/>
            <w:shd w:val="clear" w:color="auto" w:fill="EAEEF2"/>
          </w:tcPr>
          <w:p>
            <w:pPr>
              <w:ind w:left="260"/>
              <w:spacing w:after="0"/>
              <w:rPr>
                <w:sz w:val="20"/>
                <w:szCs w:val="20"/>
                <w:color w:val="auto"/>
              </w:rPr>
            </w:pPr>
            <w:r>
              <w:rPr>
                <w:rFonts w:ascii="Arial" w:cs="Arial" w:eastAsia="Arial" w:hAnsi="Arial"/>
                <w:sz w:val="16"/>
                <w:szCs w:val="16"/>
                <w:color w:val="4D4D4F"/>
              </w:rPr>
              <w:t>information technology risks, including data protection and privacy,</w:t>
            </w:r>
          </w:p>
        </w:tc>
        <w:tc>
          <w:tcPr>
            <w:tcW w:w="240" w:type="dxa"/>
            <w:vAlign w:val="bottom"/>
            <w:tcBorders>
              <w:right w:val="single" w:sz="8" w:color="00529B"/>
            </w:tcBorders>
            <w:shd w:val="clear" w:color="auto" w:fill="EAEEF2"/>
          </w:tcPr>
          <w:p>
            <w:pPr>
              <w:spacing w:after="0"/>
              <w:rPr>
                <w:sz w:val="18"/>
                <w:szCs w:val="18"/>
                <w:color w:val="auto"/>
              </w:rPr>
            </w:pPr>
          </w:p>
        </w:tc>
        <w:tc>
          <w:tcPr>
            <w:tcW w:w="5620" w:type="dxa"/>
            <w:vAlign w:val="bottom"/>
            <w:gridSpan w:val="3"/>
            <w:vMerge w:val="restart"/>
            <w:shd w:val="clear" w:color="auto" w:fill="EAEEF2"/>
          </w:tcPr>
          <w:p>
            <w:pPr>
              <w:ind w:left="220"/>
              <w:spacing w:after="0"/>
              <w:rPr>
                <w:sz w:val="20"/>
                <w:szCs w:val="20"/>
                <w:color w:val="auto"/>
              </w:rPr>
            </w:pPr>
            <w:r>
              <w:rPr>
                <w:rFonts w:ascii="Arial" w:cs="Arial" w:eastAsia="Arial" w:hAnsi="Arial"/>
                <w:sz w:val="16"/>
                <w:szCs w:val="16"/>
                <w:b w:val="1"/>
                <w:bCs w:val="1"/>
                <w:color w:val="00529B"/>
              </w:rPr>
              <w:t xml:space="preserve">•  </w:t>
            </w:r>
            <w:r>
              <w:rPr>
                <w:rFonts w:ascii="Arial" w:cs="Arial" w:eastAsia="Arial" w:hAnsi="Arial"/>
                <w:sz w:val="16"/>
                <w:szCs w:val="16"/>
                <w:color w:val="4D4D4F"/>
              </w:rPr>
              <w:t>Consults with the Audit Committee regarding technology and</w:t>
            </w:r>
          </w:p>
        </w:tc>
        <w:tc>
          <w:tcPr>
            <w:tcW w:w="0" w:type="dxa"/>
            <w:vAlign w:val="bottom"/>
          </w:tcPr>
          <w:p>
            <w:pPr>
              <w:spacing w:after="0"/>
              <w:rPr>
                <w:sz w:val="1"/>
                <w:szCs w:val="1"/>
                <w:color w:val="auto"/>
              </w:rPr>
            </w:pPr>
          </w:p>
        </w:tc>
      </w:tr>
      <w:tr>
        <w:trPr>
          <w:trHeight w:val="164"/>
        </w:trPr>
        <w:tc>
          <w:tcPr>
            <w:tcW w:w="220" w:type="dxa"/>
            <w:vAlign w:val="bottom"/>
            <w:shd w:val="clear" w:color="auto" w:fill="EAEEF2"/>
          </w:tcPr>
          <w:p>
            <w:pPr>
              <w:spacing w:after="0"/>
              <w:rPr>
                <w:sz w:val="14"/>
                <w:szCs w:val="14"/>
                <w:color w:val="auto"/>
              </w:rPr>
            </w:pPr>
          </w:p>
        </w:tc>
        <w:tc>
          <w:tcPr>
            <w:tcW w:w="3740" w:type="dxa"/>
            <w:vAlign w:val="bottom"/>
            <w:gridSpan w:val="3"/>
            <w:shd w:val="clear" w:color="auto" w:fill="EAEEF2"/>
          </w:tcPr>
          <w:p>
            <w:pPr>
              <w:ind w:left="260"/>
              <w:spacing w:after="0" w:line="164" w:lineRule="exact"/>
              <w:rPr>
                <w:sz w:val="20"/>
                <w:szCs w:val="20"/>
                <w:color w:val="auto"/>
              </w:rPr>
            </w:pPr>
            <w:r>
              <w:rPr>
                <w:rFonts w:ascii="Arial" w:cs="Arial" w:eastAsia="Arial" w:hAnsi="Arial"/>
                <w:sz w:val="16"/>
                <w:szCs w:val="16"/>
                <w:color w:val="4D4D4F"/>
              </w:rPr>
              <w:t>as well as regulatory and legal compliance risks.</w:t>
            </w:r>
          </w:p>
        </w:tc>
        <w:tc>
          <w:tcPr>
            <w:tcW w:w="1420" w:type="dxa"/>
            <w:vAlign w:val="bottom"/>
            <w:shd w:val="clear" w:color="auto" w:fill="EAEEF2"/>
          </w:tcPr>
          <w:p>
            <w:pPr>
              <w:spacing w:after="0"/>
              <w:rPr>
                <w:sz w:val="14"/>
                <w:szCs w:val="14"/>
                <w:color w:val="auto"/>
              </w:rPr>
            </w:pPr>
          </w:p>
        </w:tc>
        <w:tc>
          <w:tcPr>
            <w:tcW w:w="240" w:type="dxa"/>
            <w:vAlign w:val="bottom"/>
            <w:tcBorders>
              <w:right w:val="single" w:sz="8" w:color="00529B"/>
            </w:tcBorders>
            <w:shd w:val="clear" w:color="auto" w:fill="EAEEF2"/>
          </w:tcPr>
          <w:p>
            <w:pPr>
              <w:spacing w:after="0"/>
              <w:rPr>
                <w:sz w:val="14"/>
                <w:szCs w:val="14"/>
                <w:color w:val="auto"/>
              </w:rPr>
            </w:pPr>
          </w:p>
        </w:tc>
        <w:tc>
          <w:tcPr>
            <w:tcW w:w="5620" w:type="dxa"/>
            <w:vAlign w:val="bottom"/>
            <w:gridSpan w:val="3"/>
            <w:vMerge w:val="continue"/>
            <w:shd w:val="clear" w:color="auto" w:fill="EAEEF2"/>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0" w:type="dxa"/>
            <w:vAlign w:val="bottom"/>
            <w:shd w:val="clear" w:color="auto" w:fill="EAEEF2"/>
          </w:tcPr>
          <w:p>
            <w:pPr>
              <w:spacing w:after="0"/>
              <w:rPr>
                <w:sz w:val="18"/>
                <w:szCs w:val="18"/>
                <w:color w:val="auto"/>
              </w:rPr>
            </w:pPr>
          </w:p>
        </w:tc>
        <w:tc>
          <w:tcPr>
            <w:tcW w:w="3280" w:type="dxa"/>
            <w:vAlign w:val="bottom"/>
            <w:shd w:val="clear" w:color="auto" w:fill="EAEEF2"/>
          </w:tcPr>
          <w:p>
            <w:pPr>
              <w:spacing w:after="0"/>
              <w:rPr>
                <w:sz w:val="18"/>
                <w:szCs w:val="18"/>
                <w:color w:val="auto"/>
              </w:rPr>
            </w:pPr>
          </w:p>
        </w:tc>
        <w:tc>
          <w:tcPr>
            <w:tcW w:w="260" w:type="dxa"/>
            <w:vAlign w:val="bottom"/>
            <w:tcBorders>
              <w:right w:val="single" w:sz="8" w:color="EAEEF2"/>
            </w:tcBorders>
            <w:shd w:val="clear" w:color="auto" w:fill="EAEEF2"/>
          </w:tcPr>
          <w:p>
            <w:pPr>
              <w:spacing w:after="0"/>
              <w:rPr>
                <w:sz w:val="18"/>
                <w:szCs w:val="18"/>
                <w:color w:val="auto"/>
              </w:rPr>
            </w:pPr>
          </w:p>
        </w:tc>
        <w:tc>
          <w:tcPr>
            <w:tcW w:w="200" w:type="dxa"/>
            <w:vAlign w:val="bottom"/>
            <w:shd w:val="clear" w:color="auto" w:fill="EAEEF2"/>
          </w:tcPr>
          <w:p>
            <w:pPr>
              <w:spacing w:after="0"/>
              <w:rPr>
                <w:sz w:val="18"/>
                <w:szCs w:val="18"/>
                <w:color w:val="auto"/>
              </w:rPr>
            </w:pPr>
          </w:p>
        </w:tc>
        <w:tc>
          <w:tcPr>
            <w:tcW w:w="1420" w:type="dxa"/>
            <w:vAlign w:val="bottom"/>
            <w:shd w:val="clear" w:color="auto" w:fill="EAEEF2"/>
          </w:tcPr>
          <w:p>
            <w:pPr>
              <w:spacing w:after="0"/>
              <w:rPr>
                <w:sz w:val="18"/>
                <w:szCs w:val="18"/>
                <w:color w:val="auto"/>
              </w:rPr>
            </w:pPr>
          </w:p>
        </w:tc>
        <w:tc>
          <w:tcPr>
            <w:tcW w:w="240" w:type="dxa"/>
            <w:vAlign w:val="bottom"/>
            <w:tcBorders>
              <w:right w:val="single" w:sz="8" w:color="00529B"/>
            </w:tcBorders>
            <w:shd w:val="clear" w:color="auto" w:fill="EAEEF2"/>
          </w:tcPr>
          <w:p>
            <w:pPr>
              <w:spacing w:after="0"/>
              <w:rPr>
                <w:sz w:val="18"/>
                <w:szCs w:val="18"/>
                <w:color w:val="auto"/>
              </w:rPr>
            </w:pPr>
          </w:p>
        </w:tc>
        <w:tc>
          <w:tcPr>
            <w:tcW w:w="5620" w:type="dxa"/>
            <w:vAlign w:val="bottom"/>
            <w:gridSpan w:val="3"/>
            <w:shd w:val="clear" w:color="auto" w:fill="EAEEF2"/>
          </w:tcPr>
          <w:p>
            <w:pPr>
              <w:ind w:left="460"/>
              <w:spacing w:after="0"/>
              <w:rPr>
                <w:sz w:val="20"/>
                <w:szCs w:val="20"/>
                <w:color w:val="auto"/>
              </w:rPr>
            </w:pPr>
            <w:r>
              <w:rPr>
                <w:rFonts w:ascii="Arial" w:cs="Arial" w:eastAsia="Arial" w:hAnsi="Arial"/>
                <w:sz w:val="16"/>
                <w:szCs w:val="16"/>
                <w:color w:val="4D4D4F"/>
              </w:rPr>
              <w:t>operations systems and processes that relate to or affect our</w:t>
            </w:r>
          </w:p>
        </w:tc>
        <w:tc>
          <w:tcPr>
            <w:tcW w:w="0" w:type="dxa"/>
            <w:vAlign w:val="bottom"/>
          </w:tcPr>
          <w:p>
            <w:pPr>
              <w:spacing w:after="0"/>
              <w:rPr>
                <w:sz w:val="1"/>
                <w:szCs w:val="1"/>
                <w:color w:val="auto"/>
              </w:rPr>
            </w:pPr>
          </w:p>
        </w:tc>
      </w:tr>
      <w:tr>
        <w:trPr>
          <w:trHeight w:val="217"/>
        </w:trPr>
        <w:tc>
          <w:tcPr>
            <w:tcW w:w="220" w:type="dxa"/>
            <w:vAlign w:val="bottom"/>
            <w:shd w:val="clear" w:color="auto" w:fill="EAEEF2"/>
          </w:tcPr>
          <w:p>
            <w:pPr>
              <w:spacing w:after="0"/>
              <w:rPr>
                <w:sz w:val="18"/>
                <w:szCs w:val="18"/>
                <w:color w:val="auto"/>
              </w:rPr>
            </w:pPr>
          </w:p>
        </w:tc>
        <w:tc>
          <w:tcPr>
            <w:tcW w:w="5160" w:type="dxa"/>
            <w:vAlign w:val="bottom"/>
            <w:gridSpan w:val="4"/>
            <w:shd w:val="clear" w:color="auto" w:fill="EAEEF2"/>
          </w:tcPr>
          <w:p>
            <w:pPr>
              <w:ind w:left="20"/>
              <w:spacing w:after="0"/>
              <w:rPr>
                <w:sz w:val="20"/>
                <w:szCs w:val="20"/>
                <w:color w:val="auto"/>
              </w:rPr>
            </w:pPr>
            <w:r>
              <w:rPr>
                <w:rFonts w:ascii="Arial" w:cs="Arial" w:eastAsia="Arial" w:hAnsi="Arial"/>
                <w:sz w:val="16"/>
                <w:szCs w:val="16"/>
                <w:b w:val="1"/>
                <w:bCs w:val="1"/>
                <w:color w:val="00529B"/>
              </w:rPr>
              <w:t xml:space="preserve">•  </w:t>
            </w:r>
            <w:r>
              <w:rPr>
                <w:rFonts w:ascii="Arial" w:cs="Arial" w:eastAsia="Arial" w:hAnsi="Arial"/>
                <w:sz w:val="16"/>
                <w:szCs w:val="16"/>
                <w:color w:val="4D4D4F"/>
              </w:rPr>
              <w:t>Discusses the guidelines and policies that govern the process by</w:t>
            </w:r>
          </w:p>
        </w:tc>
        <w:tc>
          <w:tcPr>
            <w:tcW w:w="240" w:type="dxa"/>
            <w:vAlign w:val="bottom"/>
            <w:tcBorders>
              <w:right w:val="single" w:sz="8" w:color="00529B"/>
            </w:tcBorders>
            <w:shd w:val="clear" w:color="auto" w:fill="EAEEF2"/>
          </w:tcPr>
          <w:p>
            <w:pPr>
              <w:spacing w:after="0"/>
              <w:rPr>
                <w:sz w:val="18"/>
                <w:szCs w:val="18"/>
                <w:color w:val="auto"/>
              </w:rPr>
            </w:pPr>
          </w:p>
        </w:tc>
        <w:tc>
          <w:tcPr>
            <w:tcW w:w="5620" w:type="dxa"/>
            <w:vAlign w:val="bottom"/>
            <w:gridSpan w:val="3"/>
            <w:shd w:val="clear" w:color="auto" w:fill="EAEEF2"/>
          </w:tcPr>
          <w:p>
            <w:pPr>
              <w:ind w:left="460"/>
              <w:spacing w:after="0"/>
              <w:rPr>
                <w:sz w:val="20"/>
                <w:szCs w:val="20"/>
                <w:color w:val="auto"/>
              </w:rPr>
            </w:pPr>
            <w:r>
              <w:rPr>
                <w:rFonts w:ascii="Arial" w:cs="Arial" w:eastAsia="Arial" w:hAnsi="Arial"/>
                <w:sz w:val="16"/>
                <w:szCs w:val="16"/>
                <w:color w:val="4D4D4F"/>
              </w:rPr>
              <w:t>internal control systems, information security, data protection and</w:t>
            </w:r>
          </w:p>
        </w:tc>
        <w:tc>
          <w:tcPr>
            <w:tcW w:w="0" w:type="dxa"/>
            <w:vAlign w:val="bottom"/>
          </w:tcPr>
          <w:p>
            <w:pPr>
              <w:spacing w:after="0"/>
              <w:rPr>
                <w:sz w:val="1"/>
                <w:szCs w:val="1"/>
                <w:color w:val="auto"/>
              </w:rPr>
            </w:pPr>
          </w:p>
        </w:tc>
      </w:tr>
      <w:tr>
        <w:trPr>
          <w:trHeight w:val="215"/>
        </w:trPr>
        <w:tc>
          <w:tcPr>
            <w:tcW w:w="220" w:type="dxa"/>
            <w:vAlign w:val="bottom"/>
            <w:shd w:val="clear" w:color="auto" w:fill="EAEEF2"/>
          </w:tcPr>
          <w:p>
            <w:pPr>
              <w:spacing w:after="0"/>
              <w:rPr>
                <w:sz w:val="18"/>
                <w:szCs w:val="18"/>
                <w:color w:val="auto"/>
              </w:rPr>
            </w:pPr>
          </w:p>
        </w:tc>
        <w:tc>
          <w:tcPr>
            <w:tcW w:w="5160" w:type="dxa"/>
            <w:vAlign w:val="bottom"/>
            <w:gridSpan w:val="4"/>
            <w:shd w:val="clear" w:color="auto" w:fill="EAEEF2"/>
          </w:tcPr>
          <w:p>
            <w:pPr>
              <w:ind w:left="260"/>
              <w:spacing w:after="0"/>
              <w:rPr>
                <w:sz w:val="20"/>
                <w:szCs w:val="20"/>
                <w:color w:val="auto"/>
              </w:rPr>
            </w:pPr>
            <w:r>
              <w:rPr>
                <w:rFonts w:ascii="Arial" w:cs="Arial" w:eastAsia="Arial" w:hAnsi="Arial"/>
                <w:sz w:val="16"/>
                <w:szCs w:val="16"/>
                <w:color w:val="4D4D4F"/>
              </w:rPr>
              <w:t>which risk assessment and management is undertaken in</w:t>
            </w:r>
          </w:p>
        </w:tc>
        <w:tc>
          <w:tcPr>
            <w:tcW w:w="240" w:type="dxa"/>
            <w:vAlign w:val="bottom"/>
            <w:tcBorders>
              <w:right w:val="single" w:sz="8" w:color="00529B"/>
            </w:tcBorders>
            <w:shd w:val="clear" w:color="auto" w:fill="EAEEF2"/>
          </w:tcPr>
          <w:p>
            <w:pPr>
              <w:spacing w:after="0"/>
              <w:rPr>
                <w:sz w:val="18"/>
                <w:szCs w:val="18"/>
                <w:color w:val="auto"/>
              </w:rPr>
            </w:pPr>
          </w:p>
        </w:tc>
        <w:tc>
          <w:tcPr>
            <w:tcW w:w="5620" w:type="dxa"/>
            <w:vAlign w:val="bottom"/>
            <w:gridSpan w:val="3"/>
            <w:shd w:val="clear" w:color="auto" w:fill="EAEEF2"/>
          </w:tcPr>
          <w:p>
            <w:pPr>
              <w:ind w:left="460"/>
              <w:spacing w:after="0"/>
              <w:rPr>
                <w:sz w:val="20"/>
                <w:szCs w:val="20"/>
                <w:color w:val="auto"/>
              </w:rPr>
            </w:pPr>
            <w:r>
              <w:rPr>
                <w:rFonts w:ascii="Arial" w:cs="Arial" w:eastAsia="Arial" w:hAnsi="Arial"/>
                <w:sz w:val="16"/>
                <w:szCs w:val="16"/>
                <w:color w:val="4D4D4F"/>
              </w:rPr>
              <w:t>privacy, fraud and cybersecurity risks.</w:t>
            </w:r>
          </w:p>
        </w:tc>
        <w:tc>
          <w:tcPr>
            <w:tcW w:w="0" w:type="dxa"/>
            <w:vAlign w:val="bottom"/>
          </w:tcPr>
          <w:p>
            <w:pPr>
              <w:spacing w:after="0"/>
              <w:rPr>
                <w:sz w:val="1"/>
                <w:szCs w:val="1"/>
                <w:color w:val="auto"/>
              </w:rPr>
            </w:pPr>
          </w:p>
        </w:tc>
      </w:tr>
      <w:tr>
        <w:trPr>
          <w:trHeight w:val="216"/>
        </w:trPr>
        <w:tc>
          <w:tcPr>
            <w:tcW w:w="220" w:type="dxa"/>
            <w:vAlign w:val="bottom"/>
            <w:shd w:val="clear" w:color="auto" w:fill="EAEEF2"/>
          </w:tcPr>
          <w:p>
            <w:pPr>
              <w:spacing w:after="0"/>
              <w:rPr>
                <w:sz w:val="18"/>
                <w:szCs w:val="18"/>
                <w:color w:val="auto"/>
              </w:rPr>
            </w:pPr>
          </w:p>
        </w:tc>
        <w:tc>
          <w:tcPr>
            <w:tcW w:w="3740" w:type="dxa"/>
            <w:vAlign w:val="bottom"/>
            <w:gridSpan w:val="3"/>
            <w:shd w:val="clear" w:color="auto" w:fill="EAEEF2"/>
          </w:tcPr>
          <w:p>
            <w:pPr>
              <w:ind w:left="260"/>
              <w:spacing w:after="0"/>
              <w:rPr>
                <w:sz w:val="20"/>
                <w:szCs w:val="20"/>
                <w:color w:val="auto"/>
              </w:rPr>
            </w:pPr>
            <w:r>
              <w:rPr>
                <w:rFonts w:ascii="Arial" w:cs="Arial" w:eastAsia="Arial" w:hAnsi="Arial"/>
                <w:sz w:val="16"/>
                <w:szCs w:val="16"/>
                <w:color w:val="4D4D4F"/>
              </w:rPr>
              <w:t>accordance with its charter and NYSE rules.</w:t>
            </w:r>
          </w:p>
        </w:tc>
        <w:tc>
          <w:tcPr>
            <w:tcW w:w="1420" w:type="dxa"/>
            <w:vAlign w:val="bottom"/>
            <w:shd w:val="clear" w:color="auto" w:fill="EAEEF2"/>
          </w:tcPr>
          <w:p>
            <w:pPr>
              <w:spacing w:after="0"/>
              <w:rPr>
                <w:sz w:val="18"/>
                <w:szCs w:val="18"/>
                <w:color w:val="auto"/>
              </w:rPr>
            </w:pPr>
          </w:p>
        </w:tc>
        <w:tc>
          <w:tcPr>
            <w:tcW w:w="240" w:type="dxa"/>
            <w:vAlign w:val="bottom"/>
            <w:tcBorders>
              <w:right w:val="single" w:sz="8" w:color="00529B"/>
            </w:tcBorders>
            <w:shd w:val="clear" w:color="auto" w:fill="EAEEF2"/>
          </w:tcPr>
          <w:p>
            <w:pPr>
              <w:spacing w:after="0"/>
              <w:rPr>
                <w:sz w:val="18"/>
                <w:szCs w:val="18"/>
                <w:color w:val="auto"/>
              </w:rPr>
            </w:pPr>
          </w:p>
        </w:tc>
        <w:tc>
          <w:tcPr>
            <w:tcW w:w="1880" w:type="dxa"/>
            <w:vAlign w:val="bottom"/>
            <w:tcBorders>
              <w:right w:val="single" w:sz="8" w:color="EAEEF2"/>
            </w:tcBorders>
            <w:shd w:val="clear" w:color="auto" w:fill="EAEEF2"/>
          </w:tcPr>
          <w:p>
            <w:pPr>
              <w:spacing w:after="0"/>
              <w:rPr>
                <w:sz w:val="18"/>
                <w:szCs w:val="18"/>
                <w:color w:val="auto"/>
              </w:rPr>
            </w:pPr>
          </w:p>
        </w:tc>
        <w:tc>
          <w:tcPr>
            <w:tcW w:w="3520" w:type="dxa"/>
            <w:vAlign w:val="bottom"/>
            <w:shd w:val="clear" w:color="auto" w:fill="EAEEF2"/>
          </w:tcPr>
          <w:p>
            <w:pPr>
              <w:spacing w:after="0"/>
              <w:rPr>
                <w:sz w:val="18"/>
                <w:szCs w:val="18"/>
                <w:color w:val="auto"/>
              </w:rPr>
            </w:pPr>
          </w:p>
        </w:tc>
        <w:tc>
          <w:tcPr>
            <w:tcW w:w="220" w:type="dxa"/>
            <w:vAlign w:val="bottom"/>
            <w:shd w:val="clear" w:color="auto" w:fill="EAEEF2"/>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220" w:type="dxa"/>
            <w:vAlign w:val="bottom"/>
            <w:tcBorders>
              <w:bottom w:val="single" w:sz="8" w:color="EAEEF2"/>
            </w:tcBorders>
            <w:shd w:val="clear" w:color="auto" w:fill="EAEEF2"/>
          </w:tcPr>
          <w:p>
            <w:pPr>
              <w:spacing w:after="0"/>
              <w:rPr>
                <w:sz w:val="24"/>
                <w:szCs w:val="24"/>
                <w:color w:val="auto"/>
              </w:rPr>
            </w:pPr>
          </w:p>
        </w:tc>
        <w:tc>
          <w:tcPr>
            <w:tcW w:w="3280" w:type="dxa"/>
            <w:vAlign w:val="bottom"/>
            <w:tcBorders>
              <w:bottom w:val="single" w:sz="8" w:color="00529B"/>
            </w:tcBorders>
            <w:shd w:val="clear" w:color="auto" w:fill="EAEEF2"/>
          </w:tcPr>
          <w:p>
            <w:pPr>
              <w:spacing w:after="0"/>
              <w:rPr>
                <w:sz w:val="24"/>
                <w:szCs w:val="24"/>
                <w:color w:val="auto"/>
              </w:rPr>
            </w:pPr>
          </w:p>
        </w:tc>
        <w:tc>
          <w:tcPr>
            <w:tcW w:w="260" w:type="dxa"/>
            <w:vAlign w:val="bottom"/>
            <w:tcBorders>
              <w:bottom w:val="single" w:sz="8" w:color="00529B"/>
              <w:right w:val="single" w:sz="8" w:color="EAEEF2"/>
            </w:tcBorders>
            <w:shd w:val="clear" w:color="auto" w:fill="EAEEF2"/>
          </w:tcPr>
          <w:p>
            <w:pPr>
              <w:spacing w:after="0"/>
              <w:rPr>
                <w:sz w:val="24"/>
                <w:szCs w:val="24"/>
                <w:color w:val="auto"/>
              </w:rPr>
            </w:pPr>
          </w:p>
        </w:tc>
        <w:tc>
          <w:tcPr>
            <w:tcW w:w="200" w:type="dxa"/>
            <w:vAlign w:val="bottom"/>
            <w:tcBorders>
              <w:bottom w:val="single" w:sz="8" w:color="00529B"/>
            </w:tcBorders>
            <w:shd w:val="clear" w:color="auto" w:fill="EAEEF2"/>
          </w:tcPr>
          <w:p>
            <w:pPr>
              <w:spacing w:after="0"/>
              <w:rPr>
                <w:sz w:val="24"/>
                <w:szCs w:val="24"/>
                <w:color w:val="auto"/>
              </w:rPr>
            </w:pPr>
          </w:p>
        </w:tc>
        <w:tc>
          <w:tcPr>
            <w:tcW w:w="1420" w:type="dxa"/>
            <w:vAlign w:val="bottom"/>
            <w:tcBorders>
              <w:bottom w:val="single" w:sz="8" w:color="00529B"/>
            </w:tcBorders>
            <w:shd w:val="clear" w:color="auto" w:fill="EAEEF2"/>
          </w:tcPr>
          <w:p>
            <w:pPr>
              <w:spacing w:after="0"/>
              <w:rPr>
                <w:sz w:val="24"/>
                <w:szCs w:val="24"/>
                <w:color w:val="auto"/>
              </w:rPr>
            </w:pPr>
          </w:p>
        </w:tc>
        <w:tc>
          <w:tcPr>
            <w:tcW w:w="240" w:type="dxa"/>
            <w:vAlign w:val="bottom"/>
            <w:tcBorders>
              <w:bottom w:val="single" w:sz="8" w:color="00529B"/>
              <w:right w:val="single" w:sz="8" w:color="00529B"/>
            </w:tcBorders>
            <w:shd w:val="clear" w:color="auto" w:fill="EAEEF2"/>
          </w:tcPr>
          <w:p>
            <w:pPr>
              <w:spacing w:after="0"/>
              <w:rPr>
                <w:sz w:val="24"/>
                <w:szCs w:val="24"/>
                <w:color w:val="auto"/>
              </w:rPr>
            </w:pPr>
          </w:p>
        </w:tc>
        <w:tc>
          <w:tcPr>
            <w:tcW w:w="1880" w:type="dxa"/>
            <w:vAlign w:val="bottom"/>
            <w:tcBorders>
              <w:bottom w:val="single" w:sz="8" w:color="00529B"/>
              <w:right w:val="single" w:sz="8" w:color="EAEEF2"/>
            </w:tcBorders>
            <w:shd w:val="clear" w:color="auto" w:fill="EAEEF2"/>
          </w:tcPr>
          <w:p>
            <w:pPr>
              <w:spacing w:after="0"/>
              <w:rPr>
                <w:sz w:val="24"/>
                <w:szCs w:val="24"/>
                <w:color w:val="auto"/>
              </w:rPr>
            </w:pPr>
          </w:p>
        </w:tc>
        <w:tc>
          <w:tcPr>
            <w:tcW w:w="3520" w:type="dxa"/>
            <w:vAlign w:val="bottom"/>
            <w:tcBorders>
              <w:bottom w:val="single" w:sz="8" w:color="00529B"/>
            </w:tcBorders>
            <w:shd w:val="clear" w:color="auto" w:fill="EAEEF2"/>
          </w:tcPr>
          <w:p>
            <w:pPr>
              <w:spacing w:after="0"/>
              <w:rPr>
                <w:sz w:val="24"/>
                <w:szCs w:val="24"/>
                <w:color w:val="auto"/>
              </w:rPr>
            </w:pPr>
          </w:p>
        </w:tc>
        <w:tc>
          <w:tcPr>
            <w:tcW w:w="220" w:type="dxa"/>
            <w:vAlign w:val="bottom"/>
            <w:tcBorders>
              <w:bottom w:val="single" w:sz="8" w:color="EAEEF2"/>
            </w:tcBorders>
            <w:shd w:val="clear" w:color="auto" w:fill="EAEEF2"/>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20" w:type="dxa"/>
            <w:vAlign w:val="bottom"/>
            <w:shd w:val="clear" w:color="auto" w:fill="EAEEF2"/>
          </w:tcPr>
          <w:p>
            <w:pPr>
              <w:spacing w:after="0"/>
              <w:rPr>
                <w:sz w:val="24"/>
                <w:szCs w:val="24"/>
                <w:color w:val="auto"/>
              </w:rPr>
            </w:pPr>
          </w:p>
        </w:tc>
        <w:tc>
          <w:tcPr>
            <w:tcW w:w="3280" w:type="dxa"/>
            <w:vAlign w:val="bottom"/>
            <w:shd w:val="clear" w:color="auto" w:fill="EAEEF2"/>
          </w:tcPr>
          <w:p>
            <w:pPr>
              <w:ind w:left="20"/>
              <w:spacing w:after="0"/>
              <w:rPr>
                <w:sz w:val="20"/>
                <w:szCs w:val="20"/>
                <w:color w:val="auto"/>
              </w:rPr>
            </w:pPr>
            <w:r>
              <w:rPr>
                <w:rFonts w:ascii="Arial" w:cs="Arial" w:eastAsia="Arial" w:hAnsi="Arial"/>
                <w:sz w:val="16"/>
                <w:szCs w:val="16"/>
                <w:b w:val="1"/>
                <w:bCs w:val="1"/>
                <w:color w:val="132440"/>
              </w:rPr>
              <w:t>COMPENSATION COMMITTEE</w:t>
            </w:r>
          </w:p>
        </w:tc>
        <w:tc>
          <w:tcPr>
            <w:tcW w:w="260" w:type="dxa"/>
            <w:vAlign w:val="bottom"/>
            <w:tcBorders>
              <w:right w:val="single" w:sz="8" w:color="00529B"/>
            </w:tcBorders>
            <w:shd w:val="clear" w:color="auto" w:fill="EAEEF2"/>
          </w:tcPr>
          <w:p>
            <w:pPr>
              <w:spacing w:after="0"/>
              <w:rPr>
                <w:sz w:val="24"/>
                <w:szCs w:val="24"/>
                <w:color w:val="auto"/>
              </w:rPr>
            </w:pPr>
          </w:p>
        </w:tc>
        <w:tc>
          <w:tcPr>
            <w:tcW w:w="200" w:type="dxa"/>
            <w:vAlign w:val="bottom"/>
            <w:shd w:val="clear" w:color="auto" w:fill="EAEEF2"/>
          </w:tcPr>
          <w:p>
            <w:pPr>
              <w:spacing w:after="0"/>
              <w:rPr>
                <w:sz w:val="24"/>
                <w:szCs w:val="24"/>
                <w:color w:val="auto"/>
              </w:rPr>
            </w:pPr>
          </w:p>
        </w:tc>
        <w:tc>
          <w:tcPr>
            <w:tcW w:w="3540" w:type="dxa"/>
            <w:vAlign w:val="bottom"/>
            <w:tcBorders>
              <w:right w:val="single" w:sz="8" w:color="00529B"/>
            </w:tcBorders>
            <w:gridSpan w:val="3"/>
            <w:shd w:val="clear" w:color="auto" w:fill="EAEEF2"/>
          </w:tcPr>
          <w:p>
            <w:pPr>
              <w:ind w:left="20"/>
              <w:spacing w:after="0"/>
              <w:rPr>
                <w:sz w:val="20"/>
                <w:szCs w:val="20"/>
                <w:color w:val="auto"/>
              </w:rPr>
            </w:pPr>
            <w:r>
              <w:rPr>
                <w:rFonts w:ascii="Arial" w:cs="Arial" w:eastAsia="Arial" w:hAnsi="Arial"/>
                <w:sz w:val="16"/>
                <w:szCs w:val="16"/>
                <w:b w:val="1"/>
                <w:bCs w:val="1"/>
                <w:color w:val="132440"/>
              </w:rPr>
              <w:t>GOVERNANCE COMMITTEE</w:t>
            </w:r>
          </w:p>
        </w:tc>
        <w:tc>
          <w:tcPr>
            <w:tcW w:w="3740" w:type="dxa"/>
            <w:vAlign w:val="bottom"/>
            <w:gridSpan w:val="2"/>
            <w:shd w:val="clear" w:color="auto" w:fill="EAEEF2"/>
          </w:tcPr>
          <w:p>
            <w:pPr>
              <w:ind w:left="220"/>
              <w:spacing w:after="0"/>
              <w:rPr>
                <w:sz w:val="20"/>
                <w:szCs w:val="20"/>
                <w:color w:val="auto"/>
              </w:rPr>
            </w:pPr>
            <w:r>
              <w:rPr>
                <w:rFonts w:ascii="Arial" w:cs="Arial" w:eastAsia="Arial" w:hAnsi="Arial"/>
                <w:sz w:val="16"/>
                <w:szCs w:val="16"/>
                <w:b w:val="1"/>
                <w:bCs w:val="1"/>
                <w:color w:val="132440"/>
              </w:rPr>
              <w:t>SUSTAINABILITY &amp; CORPORATE</w:t>
            </w:r>
          </w:p>
        </w:tc>
        <w:tc>
          <w:tcPr>
            <w:tcW w:w="0" w:type="dxa"/>
            <w:vAlign w:val="bottom"/>
          </w:tcPr>
          <w:p>
            <w:pPr>
              <w:spacing w:after="0"/>
              <w:rPr>
                <w:sz w:val="1"/>
                <w:szCs w:val="1"/>
                <w:color w:val="auto"/>
              </w:rPr>
            </w:pPr>
          </w:p>
        </w:tc>
      </w:tr>
      <w:tr>
        <w:trPr>
          <w:trHeight w:val="223"/>
        </w:trPr>
        <w:tc>
          <w:tcPr>
            <w:tcW w:w="220" w:type="dxa"/>
            <w:vAlign w:val="bottom"/>
            <w:shd w:val="clear" w:color="auto" w:fill="EAEEF2"/>
          </w:tcPr>
          <w:p>
            <w:pPr>
              <w:spacing w:after="0"/>
              <w:rPr>
                <w:sz w:val="19"/>
                <w:szCs w:val="19"/>
                <w:color w:val="auto"/>
              </w:rPr>
            </w:pPr>
          </w:p>
        </w:tc>
        <w:tc>
          <w:tcPr>
            <w:tcW w:w="3280" w:type="dxa"/>
            <w:vAlign w:val="bottom"/>
            <w:vMerge w:val="restart"/>
            <w:shd w:val="clear" w:color="auto" w:fill="EAEEF2"/>
          </w:tcPr>
          <w:p>
            <w:pPr>
              <w:ind w:left="20"/>
              <w:spacing w:after="0"/>
              <w:rPr>
                <w:sz w:val="20"/>
                <w:szCs w:val="20"/>
                <w:color w:val="auto"/>
              </w:rPr>
            </w:pPr>
            <w:r>
              <w:rPr>
                <w:rFonts w:ascii="Arial" w:cs="Arial" w:eastAsia="Arial" w:hAnsi="Arial"/>
                <w:sz w:val="16"/>
                <w:szCs w:val="16"/>
                <w:b w:val="1"/>
                <w:bCs w:val="1"/>
                <w:color w:val="00529B"/>
              </w:rPr>
              <w:t xml:space="preserve">•  </w:t>
            </w:r>
            <w:r>
              <w:rPr>
                <w:rFonts w:ascii="Arial" w:cs="Arial" w:eastAsia="Arial" w:hAnsi="Arial"/>
                <w:sz w:val="16"/>
                <w:szCs w:val="16"/>
                <w:color w:val="4D4D4F"/>
              </w:rPr>
              <w:t>Considers risks associated with our</w:t>
            </w:r>
          </w:p>
        </w:tc>
        <w:tc>
          <w:tcPr>
            <w:tcW w:w="260" w:type="dxa"/>
            <w:vAlign w:val="bottom"/>
            <w:tcBorders>
              <w:right w:val="single" w:sz="8" w:color="00529B"/>
            </w:tcBorders>
            <w:shd w:val="clear" w:color="auto" w:fill="EAEEF2"/>
          </w:tcPr>
          <w:p>
            <w:pPr>
              <w:spacing w:after="0"/>
              <w:rPr>
                <w:sz w:val="19"/>
                <w:szCs w:val="19"/>
                <w:color w:val="auto"/>
              </w:rPr>
            </w:pPr>
          </w:p>
        </w:tc>
        <w:tc>
          <w:tcPr>
            <w:tcW w:w="200" w:type="dxa"/>
            <w:vAlign w:val="bottom"/>
            <w:shd w:val="clear" w:color="auto" w:fill="EAEEF2"/>
          </w:tcPr>
          <w:p>
            <w:pPr>
              <w:spacing w:after="0"/>
              <w:rPr>
                <w:sz w:val="19"/>
                <w:szCs w:val="19"/>
                <w:color w:val="auto"/>
              </w:rPr>
            </w:pPr>
          </w:p>
        </w:tc>
        <w:tc>
          <w:tcPr>
            <w:tcW w:w="3540" w:type="dxa"/>
            <w:vAlign w:val="bottom"/>
            <w:tcBorders>
              <w:right w:val="single" w:sz="8" w:color="00529B"/>
            </w:tcBorders>
            <w:gridSpan w:val="3"/>
            <w:vMerge w:val="restart"/>
            <w:shd w:val="clear" w:color="auto" w:fill="EAEEF2"/>
          </w:tcPr>
          <w:p>
            <w:pPr>
              <w:ind w:left="20"/>
              <w:spacing w:after="0"/>
              <w:rPr>
                <w:sz w:val="20"/>
                <w:szCs w:val="20"/>
                <w:color w:val="auto"/>
              </w:rPr>
            </w:pPr>
            <w:r>
              <w:rPr>
                <w:rFonts w:ascii="Arial" w:cs="Arial" w:eastAsia="Arial" w:hAnsi="Arial"/>
                <w:sz w:val="16"/>
                <w:szCs w:val="16"/>
                <w:b w:val="1"/>
                <w:bCs w:val="1"/>
                <w:color w:val="00529B"/>
              </w:rPr>
              <w:t xml:space="preserve">•  </w:t>
            </w:r>
            <w:r>
              <w:rPr>
                <w:rFonts w:ascii="Arial" w:cs="Arial" w:eastAsia="Arial" w:hAnsi="Arial"/>
                <w:sz w:val="16"/>
                <w:szCs w:val="16"/>
                <w:color w:val="4D4D4F"/>
              </w:rPr>
              <w:t>In conjunction with the Compensation</w:t>
            </w:r>
          </w:p>
        </w:tc>
        <w:tc>
          <w:tcPr>
            <w:tcW w:w="3740" w:type="dxa"/>
            <w:vAlign w:val="bottom"/>
            <w:gridSpan w:val="2"/>
            <w:shd w:val="clear" w:color="auto" w:fill="EAEEF2"/>
          </w:tcPr>
          <w:p>
            <w:pPr>
              <w:ind w:left="220"/>
              <w:spacing w:after="0"/>
              <w:rPr>
                <w:sz w:val="20"/>
                <w:szCs w:val="20"/>
                <w:color w:val="auto"/>
              </w:rPr>
            </w:pPr>
            <w:r>
              <w:rPr>
                <w:rFonts w:ascii="Arial" w:cs="Arial" w:eastAsia="Arial" w:hAnsi="Arial"/>
                <w:sz w:val="16"/>
                <w:szCs w:val="16"/>
                <w:b w:val="1"/>
                <w:bCs w:val="1"/>
                <w:color w:val="132440"/>
              </w:rPr>
              <w:t>RESPONSIBILITY COMMITTEE</w:t>
            </w:r>
          </w:p>
        </w:tc>
        <w:tc>
          <w:tcPr>
            <w:tcW w:w="0" w:type="dxa"/>
            <w:vAlign w:val="bottom"/>
          </w:tcPr>
          <w:p>
            <w:pPr>
              <w:spacing w:after="0"/>
              <w:rPr>
                <w:sz w:val="1"/>
                <w:szCs w:val="1"/>
                <w:color w:val="auto"/>
              </w:rPr>
            </w:pPr>
          </w:p>
        </w:tc>
      </w:tr>
      <w:tr>
        <w:trPr>
          <w:trHeight w:val="115"/>
        </w:trPr>
        <w:tc>
          <w:tcPr>
            <w:tcW w:w="220" w:type="dxa"/>
            <w:vAlign w:val="bottom"/>
            <w:shd w:val="clear" w:color="auto" w:fill="EAEEF2"/>
          </w:tcPr>
          <w:p>
            <w:pPr>
              <w:spacing w:after="0"/>
              <w:rPr>
                <w:sz w:val="9"/>
                <w:szCs w:val="9"/>
                <w:color w:val="auto"/>
              </w:rPr>
            </w:pPr>
          </w:p>
        </w:tc>
        <w:tc>
          <w:tcPr>
            <w:tcW w:w="3280" w:type="dxa"/>
            <w:vAlign w:val="bottom"/>
            <w:vMerge w:val="continue"/>
            <w:shd w:val="clear" w:color="auto" w:fill="EAEEF2"/>
          </w:tcPr>
          <w:p>
            <w:pPr>
              <w:spacing w:after="0"/>
              <w:rPr>
                <w:sz w:val="9"/>
                <w:szCs w:val="9"/>
                <w:color w:val="auto"/>
              </w:rPr>
            </w:pPr>
          </w:p>
        </w:tc>
        <w:tc>
          <w:tcPr>
            <w:tcW w:w="260" w:type="dxa"/>
            <w:vAlign w:val="bottom"/>
            <w:tcBorders>
              <w:right w:val="single" w:sz="8" w:color="00529B"/>
            </w:tcBorders>
            <w:shd w:val="clear" w:color="auto" w:fill="EAEEF2"/>
          </w:tcPr>
          <w:p>
            <w:pPr>
              <w:spacing w:after="0"/>
              <w:rPr>
                <w:sz w:val="9"/>
                <w:szCs w:val="9"/>
                <w:color w:val="auto"/>
              </w:rPr>
            </w:pPr>
          </w:p>
        </w:tc>
        <w:tc>
          <w:tcPr>
            <w:tcW w:w="200" w:type="dxa"/>
            <w:vAlign w:val="bottom"/>
            <w:shd w:val="clear" w:color="auto" w:fill="EAEEF2"/>
          </w:tcPr>
          <w:p>
            <w:pPr>
              <w:spacing w:after="0"/>
              <w:rPr>
                <w:sz w:val="9"/>
                <w:szCs w:val="9"/>
                <w:color w:val="auto"/>
              </w:rPr>
            </w:pPr>
          </w:p>
        </w:tc>
        <w:tc>
          <w:tcPr>
            <w:tcW w:w="3540" w:type="dxa"/>
            <w:vAlign w:val="bottom"/>
            <w:tcBorders>
              <w:right w:val="single" w:sz="8" w:color="00529B"/>
            </w:tcBorders>
            <w:gridSpan w:val="3"/>
            <w:vMerge w:val="continue"/>
            <w:shd w:val="clear" w:color="auto" w:fill="EAEEF2"/>
          </w:tcPr>
          <w:p>
            <w:pPr>
              <w:spacing w:after="0"/>
              <w:rPr>
                <w:sz w:val="9"/>
                <w:szCs w:val="9"/>
                <w:color w:val="auto"/>
              </w:rPr>
            </w:pPr>
          </w:p>
        </w:tc>
        <w:tc>
          <w:tcPr>
            <w:tcW w:w="3740" w:type="dxa"/>
            <w:vAlign w:val="bottom"/>
            <w:gridSpan w:val="2"/>
            <w:vMerge w:val="restart"/>
            <w:shd w:val="clear" w:color="auto" w:fill="EAEEF2"/>
          </w:tcPr>
          <w:p>
            <w:pPr>
              <w:ind w:left="220"/>
              <w:spacing w:after="0"/>
              <w:rPr>
                <w:sz w:val="20"/>
                <w:szCs w:val="20"/>
                <w:color w:val="auto"/>
              </w:rPr>
            </w:pPr>
            <w:r>
              <w:rPr>
                <w:rFonts w:ascii="Arial" w:cs="Arial" w:eastAsia="Arial" w:hAnsi="Arial"/>
                <w:sz w:val="16"/>
                <w:szCs w:val="16"/>
                <w:b w:val="1"/>
                <w:bCs w:val="1"/>
                <w:color w:val="00529B"/>
              </w:rPr>
              <w:t xml:space="preserve">•  </w:t>
            </w:r>
            <w:r>
              <w:rPr>
                <w:rFonts w:ascii="Arial" w:cs="Arial" w:eastAsia="Arial" w:hAnsi="Arial"/>
                <w:sz w:val="16"/>
                <w:szCs w:val="16"/>
                <w:color w:val="4D4D4F"/>
              </w:rPr>
              <w:t>Considers the risks and initiatives</w:t>
            </w:r>
          </w:p>
        </w:tc>
        <w:tc>
          <w:tcPr>
            <w:tcW w:w="0" w:type="dxa"/>
            <w:vAlign w:val="bottom"/>
          </w:tcPr>
          <w:p>
            <w:pPr>
              <w:spacing w:after="0"/>
              <w:rPr>
                <w:sz w:val="1"/>
                <w:szCs w:val="1"/>
                <w:color w:val="auto"/>
              </w:rPr>
            </w:pPr>
          </w:p>
        </w:tc>
      </w:tr>
      <w:tr>
        <w:trPr>
          <w:trHeight w:val="189"/>
        </w:trPr>
        <w:tc>
          <w:tcPr>
            <w:tcW w:w="220" w:type="dxa"/>
            <w:vAlign w:val="bottom"/>
            <w:shd w:val="clear" w:color="auto" w:fill="EAEEF2"/>
          </w:tcPr>
          <w:p>
            <w:pPr>
              <w:spacing w:after="0"/>
              <w:rPr>
                <w:sz w:val="16"/>
                <w:szCs w:val="16"/>
                <w:color w:val="auto"/>
              </w:rPr>
            </w:pPr>
          </w:p>
        </w:tc>
        <w:tc>
          <w:tcPr>
            <w:tcW w:w="3280" w:type="dxa"/>
            <w:vAlign w:val="bottom"/>
            <w:shd w:val="clear" w:color="auto" w:fill="EAEEF2"/>
          </w:tcPr>
          <w:p>
            <w:pPr>
              <w:ind w:left="260"/>
              <w:spacing w:after="0"/>
              <w:rPr>
                <w:sz w:val="20"/>
                <w:szCs w:val="20"/>
                <w:color w:val="auto"/>
              </w:rPr>
            </w:pPr>
            <w:r>
              <w:rPr>
                <w:rFonts w:ascii="Arial" w:cs="Arial" w:eastAsia="Arial" w:hAnsi="Arial"/>
                <w:sz w:val="16"/>
                <w:szCs w:val="16"/>
                <w:color w:val="4D4D4F"/>
              </w:rPr>
              <w:t>compensation programs, policies and</w:t>
            </w:r>
          </w:p>
        </w:tc>
        <w:tc>
          <w:tcPr>
            <w:tcW w:w="260" w:type="dxa"/>
            <w:vAlign w:val="bottom"/>
            <w:tcBorders>
              <w:right w:val="single" w:sz="8" w:color="00529B"/>
            </w:tcBorders>
            <w:shd w:val="clear" w:color="auto" w:fill="EAEEF2"/>
          </w:tcPr>
          <w:p>
            <w:pPr>
              <w:spacing w:after="0"/>
              <w:rPr>
                <w:sz w:val="16"/>
                <w:szCs w:val="16"/>
                <w:color w:val="auto"/>
              </w:rPr>
            </w:pPr>
          </w:p>
        </w:tc>
        <w:tc>
          <w:tcPr>
            <w:tcW w:w="200" w:type="dxa"/>
            <w:vAlign w:val="bottom"/>
            <w:shd w:val="clear" w:color="auto" w:fill="EAEEF2"/>
          </w:tcPr>
          <w:p>
            <w:pPr>
              <w:spacing w:after="0"/>
              <w:rPr>
                <w:sz w:val="16"/>
                <w:szCs w:val="16"/>
                <w:color w:val="auto"/>
              </w:rPr>
            </w:pPr>
          </w:p>
        </w:tc>
        <w:tc>
          <w:tcPr>
            <w:tcW w:w="3540" w:type="dxa"/>
            <w:vAlign w:val="bottom"/>
            <w:tcBorders>
              <w:right w:val="single" w:sz="8" w:color="00529B"/>
            </w:tcBorders>
            <w:gridSpan w:val="3"/>
            <w:shd w:val="clear" w:color="auto" w:fill="EAEEF2"/>
          </w:tcPr>
          <w:p>
            <w:pPr>
              <w:ind w:left="260"/>
              <w:spacing w:after="0"/>
              <w:rPr>
                <w:sz w:val="20"/>
                <w:szCs w:val="20"/>
                <w:color w:val="auto"/>
              </w:rPr>
            </w:pPr>
            <w:r>
              <w:rPr>
                <w:rFonts w:ascii="Arial" w:cs="Arial" w:eastAsia="Arial" w:hAnsi="Arial"/>
                <w:sz w:val="16"/>
                <w:szCs w:val="16"/>
                <w:color w:val="4D4D4F"/>
              </w:rPr>
              <w:t>Committee, considers risks associated</w:t>
            </w:r>
          </w:p>
        </w:tc>
        <w:tc>
          <w:tcPr>
            <w:tcW w:w="3740" w:type="dxa"/>
            <w:vAlign w:val="bottom"/>
            <w:gridSpan w:val="2"/>
            <w:vMerge w:val="continue"/>
            <w:shd w:val="clear" w:color="auto" w:fill="EAEEF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AEEF2"/>
          </w:tcPr>
          <w:p>
            <w:pPr>
              <w:spacing w:after="0"/>
              <w:rPr>
                <w:sz w:val="18"/>
                <w:szCs w:val="18"/>
                <w:color w:val="auto"/>
              </w:rPr>
            </w:pPr>
          </w:p>
        </w:tc>
        <w:tc>
          <w:tcPr>
            <w:tcW w:w="3280" w:type="dxa"/>
            <w:vAlign w:val="bottom"/>
            <w:shd w:val="clear" w:color="auto" w:fill="EAEEF2"/>
          </w:tcPr>
          <w:p>
            <w:pPr>
              <w:ind w:left="260"/>
              <w:spacing w:after="0"/>
              <w:rPr>
                <w:sz w:val="20"/>
                <w:szCs w:val="20"/>
                <w:color w:val="auto"/>
              </w:rPr>
            </w:pPr>
            <w:r>
              <w:rPr>
                <w:rFonts w:ascii="Arial" w:cs="Arial" w:eastAsia="Arial" w:hAnsi="Arial"/>
                <w:sz w:val="16"/>
                <w:szCs w:val="16"/>
                <w:color w:val="4D4D4F"/>
              </w:rPr>
              <w:t>practices, including human capital</w:t>
            </w:r>
          </w:p>
        </w:tc>
        <w:tc>
          <w:tcPr>
            <w:tcW w:w="260" w:type="dxa"/>
            <w:vAlign w:val="bottom"/>
            <w:tcBorders>
              <w:right w:val="single" w:sz="8" w:color="00529B"/>
            </w:tcBorders>
            <w:shd w:val="clear" w:color="auto" w:fill="EAEEF2"/>
          </w:tcPr>
          <w:p>
            <w:pPr>
              <w:spacing w:after="0"/>
              <w:rPr>
                <w:sz w:val="18"/>
                <w:szCs w:val="18"/>
                <w:color w:val="auto"/>
              </w:rPr>
            </w:pPr>
          </w:p>
        </w:tc>
        <w:tc>
          <w:tcPr>
            <w:tcW w:w="200" w:type="dxa"/>
            <w:vAlign w:val="bottom"/>
            <w:shd w:val="clear" w:color="auto" w:fill="EAEEF2"/>
          </w:tcPr>
          <w:p>
            <w:pPr>
              <w:spacing w:after="0"/>
              <w:rPr>
                <w:sz w:val="18"/>
                <w:szCs w:val="18"/>
                <w:color w:val="auto"/>
              </w:rPr>
            </w:pPr>
          </w:p>
        </w:tc>
        <w:tc>
          <w:tcPr>
            <w:tcW w:w="3540" w:type="dxa"/>
            <w:vAlign w:val="bottom"/>
            <w:tcBorders>
              <w:right w:val="single" w:sz="8" w:color="00529B"/>
            </w:tcBorders>
            <w:gridSpan w:val="3"/>
            <w:shd w:val="clear" w:color="auto" w:fill="EAEEF2"/>
          </w:tcPr>
          <w:p>
            <w:pPr>
              <w:ind w:left="260"/>
              <w:spacing w:after="0"/>
              <w:rPr>
                <w:sz w:val="20"/>
                <w:szCs w:val="20"/>
                <w:color w:val="auto"/>
              </w:rPr>
            </w:pPr>
            <w:r>
              <w:rPr>
                <w:rFonts w:ascii="Arial" w:cs="Arial" w:eastAsia="Arial" w:hAnsi="Arial"/>
                <w:sz w:val="16"/>
                <w:szCs w:val="16"/>
                <w:color w:val="4D4D4F"/>
              </w:rPr>
              <w:t>with management development and</w:t>
            </w:r>
          </w:p>
        </w:tc>
        <w:tc>
          <w:tcPr>
            <w:tcW w:w="3740" w:type="dxa"/>
            <w:vAlign w:val="bottom"/>
            <w:gridSpan w:val="2"/>
            <w:shd w:val="clear" w:color="auto" w:fill="EAEEF2"/>
          </w:tcPr>
          <w:p>
            <w:pPr>
              <w:ind w:left="460"/>
              <w:spacing w:after="0"/>
              <w:rPr>
                <w:sz w:val="20"/>
                <w:szCs w:val="20"/>
                <w:color w:val="auto"/>
              </w:rPr>
            </w:pPr>
            <w:r>
              <w:rPr>
                <w:rFonts w:ascii="Arial" w:cs="Arial" w:eastAsia="Arial" w:hAnsi="Arial"/>
                <w:sz w:val="16"/>
                <w:szCs w:val="16"/>
                <w:color w:val="4D4D4F"/>
              </w:rPr>
              <w:t>regarding the environment, sustainability</w:t>
            </w:r>
          </w:p>
        </w:tc>
        <w:tc>
          <w:tcPr>
            <w:tcW w:w="0" w:type="dxa"/>
            <w:vAlign w:val="bottom"/>
          </w:tcPr>
          <w:p>
            <w:pPr>
              <w:spacing w:after="0"/>
              <w:rPr>
                <w:sz w:val="1"/>
                <w:szCs w:val="1"/>
                <w:color w:val="auto"/>
              </w:rPr>
            </w:pPr>
          </w:p>
        </w:tc>
      </w:tr>
      <w:tr>
        <w:trPr>
          <w:trHeight w:val="216"/>
        </w:trPr>
        <w:tc>
          <w:tcPr>
            <w:tcW w:w="220" w:type="dxa"/>
            <w:vAlign w:val="bottom"/>
            <w:shd w:val="clear" w:color="auto" w:fill="EAEEF2"/>
          </w:tcPr>
          <w:p>
            <w:pPr>
              <w:spacing w:after="0"/>
              <w:rPr>
                <w:sz w:val="18"/>
                <w:szCs w:val="18"/>
                <w:color w:val="auto"/>
              </w:rPr>
            </w:pPr>
          </w:p>
        </w:tc>
        <w:tc>
          <w:tcPr>
            <w:tcW w:w="3280" w:type="dxa"/>
            <w:vAlign w:val="bottom"/>
            <w:shd w:val="clear" w:color="auto" w:fill="EAEEF2"/>
          </w:tcPr>
          <w:p>
            <w:pPr>
              <w:ind w:left="260"/>
              <w:spacing w:after="0"/>
              <w:rPr>
                <w:sz w:val="20"/>
                <w:szCs w:val="20"/>
                <w:color w:val="auto"/>
              </w:rPr>
            </w:pPr>
            <w:r>
              <w:rPr>
                <w:rFonts w:ascii="Arial" w:cs="Arial" w:eastAsia="Arial" w:hAnsi="Arial"/>
                <w:sz w:val="16"/>
                <w:szCs w:val="16"/>
                <w:color w:val="4D4D4F"/>
              </w:rPr>
              <w:t>management policies and strategies</w:t>
            </w:r>
          </w:p>
        </w:tc>
        <w:tc>
          <w:tcPr>
            <w:tcW w:w="260" w:type="dxa"/>
            <w:vAlign w:val="bottom"/>
            <w:tcBorders>
              <w:right w:val="single" w:sz="8" w:color="00529B"/>
            </w:tcBorders>
            <w:shd w:val="clear" w:color="auto" w:fill="EAEEF2"/>
          </w:tcPr>
          <w:p>
            <w:pPr>
              <w:spacing w:after="0"/>
              <w:rPr>
                <w:sz w:val="18"/>
                <w:szCs w:val="18"/>
                <w:color w:val="auto"/>
              </w:rPr>
            </w:pPr>
          </w:p>
        </w:tc>
        <w:tc>
          <w:tcPr>
            <w:tcW w:w="200" w:type="dxa"/>
            <w:vAlign w:val="bottom"/>
            <w:shd w:val="clear" w:color="auto" w:fill="EAEEF2"/>
          </w:tcPr>
          <w:p>
            <w:pPr>
              <w:spacing w:after="0"/>
              <w:rPr>
                <w:sz w:val="18"/>
                <w:szCs w:val="18"/>
                <w:color w:val="auto"/>
              </w:rPr>
            </w:pPr>
          </w:p>
        </w:tc>
        <w:tc>
          <w:tcPr>
            <w:tcW w:w="1420" w:type="dxa"/>
            <w:vAlign w:val="bottom"/>
            <w:shd w:val="clear" w:color="auto" w:fill="EAEEF2"/>
          </w:tcPr>
          <w:p>
            <w:pPr>
              <w:ind w:left="260"/>
              <w:spacing w:after="0"/>
              <w:rPr>
                <w:sz w:val="20"/>
                <w:szCs w:val="20"/>
                <w:color w:val="auto"/>
              </w:rPr>
            </w:pPr>
            <w:r>
              <w:rPr>
                <w:rFonts w:ascii="Arial" w:cs="Arial" w:eastAsia="Arial" w:hAnsi="Arial"/>
                <w:sz w:val="16"/>
                <w:szCs w:val="16"/>
                <w:color w:val="4D4D4F"/>
              </w:rPr>
              <w:t>succession.</w:t>
            </w:r>
          </w:p>
        </w:tc>
        <w:tc>
          <w:tcPr>
            <w:tcW w:w="240" w:type="dxa"/>
            <w:vAlign w:val="bottom"/>
            <w:tcBorders>
              <w:right w:val="single" w:sz="8" w:color="EAEEF2"/>
            </w:tcBorders>
            <w:shd w:val="clear" w:color="auto" w:fill="EAEEF2"/>
          </w:tcPr>
          <w:p>
            <w:pPr>
              <w:spacing w:after="0"/>
              <w:rPr>
                <w:sz w:val="18"/>
                <w:szCs w:val="18"/>
                <w:color w:val="auto"/>
              </w:rPr>
            </w:pPr>
          </w:p>
        </w:tc>
        <w:tc>
          <w:tcPr>
            <w:tcW w:w="1880" w:type="dxa"/>
            <w:vAlign w:val="bottom"/>
            <w:tcBorders>
              <w:right w:val="single" w:sz="8" w:color="00529B"/>
            </w:tcBorders>
            <w:shd w:val="clear" w:color="auto" w:fill="EAEEF2"/>
          </w:tcPr>
          <w:p>
            <w:pPr>
              <w:spacing w:after="0"/>
              <w:rPr>
                <w:sz w:val="18"/>
                <w:szCs w:val="18"/>
                <w:color w:val="auto"/>
              </w:rPr>
            </w:pPr>
          </w:p>
        </w:tc>
        <w:tc>
          <w:tcPr>
            <w:tcW w:w="3740" w:type="dxa"/>
            <w:vAlign w:val="bottom"/>
            <w:gridSpan w:val="2"/>
            <w:shd w:val="clear" w:color="auto" w:fill="EAEEF2"/>
          </w:tcPr>
          <w:p>
            <w:pPr>
              <w:ind w:left="460"/>
              <w:spacing w:after="0"/>
              <w:rPr>
                <w:sz w:val="20"/>
                <w:szCs w:val="20"/>
                <w:color w:val="auto"/>
              </w:rPr>
            </w:pPr>
            <w:r>
              <w:rPr>
                <w:rFonts w:ascii="Arial" w:cs="Arial" w:eastAsia="Arial" w:hAnsi="Arial"/>
                <w:sz w:val="16"/>
                <w:szCs w:val="16"/>
                <w:color w:val="4D4D4F"/>
              </w:rPr>
              <w:t>and climate change, health and safety,</w:t>
            </w:r>
          </w:p>
        </w:tc>
        <w:tc>
          <w:tcPr>
            <w:tcW w:w="0" w:type="dxa"/>
            <w:vAlign w:val="bottom"/>
          </w:tcPr>
          <w:p>
            <w:pPr>
              <w:spacing w:after="0"/>
              <w:rPr>
                <w:sz w:val="1"/>
                <w:szCs w:val="1"/>
                <w:color w:val="auto"/>
              </w:rPr>
            </w:pPr>
          </w:p>
        </w:tc>
      </w:tr>
      <w:tr>
        <w:trPr>
          <w:trHeight w:val="216"/>
        </w:trPr>
        <w:tc>
          <w:tcPr>
            <w:tcW w:w="220" w:type="dxa"/>
            <w:vAlign w:val="bottom"/>
            <w:shd w:val="clear" w:color="auto" w:fill="EAEEF2"/>
          </w:tcPr>
          <w:p>
            <w:pPr>
              <w:spacing w:after="0"/>
              <w:rPr>
                <w:sz w:val="18"/>
                <w:szCs w:val="18"/>
                <w:color w:val="auto"/>
              </w:rPr>
            </w:pPr>
          </w:p>
        </w:tc>
        <w:tc>
          <w:tcPr>
            <w:tcW w:w="3280" w:type="dxa"/>
            <w:vAlign w:val="bottom"/>
            <w:shd w:val="clear" w:color="auto" w:fill="EAEEF2"/>
          </w:tcPr>
          <w:p>
            <w:pPr>
              <w:ind w:left="260"/>
              <w:spacing w:after="0"/>
              <w:rPr>
                <w:sz w:val="20"/>
                <w:szCs w:val="20"/>
                <w:color w:val="auto"/>
              </w:rPr>
            </w:pPr>
            <w:r>
              <w:rPr>
                <w:rFonts w:ascii="Arial" w:cs="Arial" w:eastAsia="Arial" w:hAnsi="Arial"/>
                <w:sz w:val="16"/>
                <w:szCs w:val="16"/>
                <w:color w:val="4D4D4F"/>
              </w:rPr>
              <w:t>regarding recruiting, retention, talent</w:t>
            </w:r>
          </w:p>
        </w:tc>
        <w:tc>
          <w:tcPr>
            <w:tcW w:w="260" w:type="dxa"/>
            <w:vAlign w:val="bottom"/>
            <w:tcBorders>
              <w:right w:val="single" w:sz="8" w:color="00529B"/>
            </w:tcBorders>
            <w:shd w:val="clear" w:color="auto" w:fill="EAEEF2"/>
          </w:tcPr>
          <w:p>
            <w:pPr>
              <w:spacing w:after="0"/>
              <w:rPr>
                <w:sz w:val="18"/>
                <w:szCs w:val="18"/>
                <w:color w:val="auto"/>
              </w:rPr>
            </w:pPr>
          </w:p>
        </w:tc>
        <w:tc>
          <w:tcPr>
            <w:tcW w:w="200" w:type="dxa"/>
            <w:vAlign w:val="bottom"/>
            <w:shd w:val="clear" w:color="auto" w:fill="EAEEF2"/>
          </w:tcPr>
          <w:p>
            <w:pPr>
              <w:spacing w:after="0"/>
              <w:rPr>
                <w:sz w:val="18"/>
                <w:szCs w:val="18"/>
                <w:color w:val="auto"/>
              </w:rPr>
            </w:pPr>
          </w:p>
        </w:tc>
        <w:tc>
          <w:tcPr>
            <w:tcW w:w="1420" w:type="dxa"/>
            <w:vAlign w:val="bottom"/>
            <w:shd w:val="clear" w:color="auto" w:fill="EAEEF2"/>
          </w:tcPr>
          <w:p>
            <w:pPr>
              <w:spacing w:after="0"/>
              <w:rPr>
                <w:sz w:val="18"/>
                <w:szCs w:val="18"/>
                <w:color w:val="auto"/>
              </w:rPr>
            </w:pPr>
          </w:p>
        </w:tc>
        <w:tc>
          <w:tcPr>
            <w:tcW w:w="240" w:type="dxa"/>
            <w:vAlign w:val="bottom"/>
            <w:tcBorders>
              <w:right w:val="single" w:sz="8" w:color="EAEEF2"/>
            </w:tcBorders>
            <w:shd w:val="clear" w:color="auto" w:fill="EAEEF2"/>
          </w:tcPr>
          <w:p>
            <w:pPr>
              <w:spacing w:after="0"/>
              <w:rPr>
                <w:sz w:val="18"/>
                <w:szCs w:val="18"/>
                <w:color w:val="auto"/>
              </w:rPr>
            </w:pPr>
          </w:p>
        </w:tc>
        <w:tc>
          <w:tcPr>
            <w:tcW w:w="1880" w:type="dxa"/>
            <w:vAlign w:val="bottom"/>
            <w:tcBorders>
              <w:right w:val="single" w:sz="8" w:color="00529B"/>
            </w:tcBorders>
            <w:shd w:val="clear" w:color="auto" w:fill="EAEEF2"/>
          </w:tcPr>
          <w:p>
            <w:pPr>
              <w:spacing w:after="0"/>
              <w:rPr>
                <w:sz w:val="18"/>
                <w:szCs w:val="18"/>
                <w:color w:val="auto"/>
              </w:rPr>
            </w:pPr>
          </w:p>
        </w:tc>
        <w:tc>
          <w:tcPr>
            <w:tcW w:w="3740" w:type="dxa"/>
            <w:vAlign w:val="bottom"/>
            <w:gridSpan w:val="2"/>
            <w:shd w:val="clear" w:color="auto" w:fill="EAEEF2"/>
          </w:tcPr>
          <w:p>
            <w:pPr>
              <w:ind w:left="460"/>
              <w:spacing w:after="0"/>
              <w:rPr>
                <w:sz w:val="20"/>
                <w:szCs w:val="20"/>
                <w:color w:val="auto"/>
              </w:rPr>
            </w:pPr>
            <w:r>
              <w:rPr>
                <w:rFonts w:ascii="Arial" w:cs="Arial" w:eastAsia="Arial" w:hAnsi="Arial"/>
                <w:sz w:val="16"/>
                <w:szCs w:val="16"/>
                <w:color w:val="4D4D4F"/>
              </w:rPr>
              <w:t>diversity, equity and inclusion, as well as</w:t>
            </w:r>
          </w:p>
        </w:tc>
        <w:tc>
          <w:tcPr>
            <w:tcW w:w="0" w:type="dxa"/>
            <w:vAlign w:val="bottom"/>
          </w:tcPr>
          <w:p>
            <w:pPr>
              <w:spacing w:after="0"/>
              <w:rPr>
                <w:sz w:val="1"/>
                <w:szCs w:val="1"/>
                <w:color w:val="auto"/>
              </w:rPr>
            </w:pPr>
          </w:p>
        </w:tc>
      </w:tr>
      <w:tr>
        <w:trPr>
          <w:trHeight w:val="216"/>
        </w:trPr>
        <w:tc>
          <w:tcPr>
            <w:tcW w:w="220" w:type="dxa"/>
            <w:vAlign w:val="bottom"/>
            <w:shd w:val="clear" w:color="auto" w:fill="EAEEF2"/>
          </w:tcPr>
          <w:p>
            <w:pPr>
              <w:spacing w:after="0"/>
              <w:rPr>
                <w:sz w:val="18"/>
                <w:szCs w:val="18"/>
                <w:color w:val="auto"/>
              </w:rPr>
            </w:pPr>
          </w:p>
        </w:tc>
        <w:tc>
          <w:tcPr>
            <w:tcW w:w="3280" w:type="dxa"/>
            <w:vAlign w:val="bottom"/>
            <w:shd w:val="clear" w:color="auto" w:fill="EAEEF2"/>
          </w:tcPr>
          <w:p>
            <w:pPr>
              <w:ind w:left="260"/>
              <w:spacing w:after="0"/>
              <w:rPr>
                <w:sz w:val="20"/>
                <w:szCs w:val="20"/>
                <w:color w:val="auto"/>
              </w:rPr>
            </w:pPr>
            <w:r>
              <w:rPr>
                <w:rFonts w:ascii="Arial" w:cs="Arial" w:eastAsia="Arial" w:hAnsi="Arial"/>
                <w:sz w:val="16"/>
                <w:szCs w:val="16"/>
                <w:color w:val="4D4D4F"/>
              </w:rPr>
              <w:t>development and career progression.</w:t>
            </w:r>
          </w:p>
        </w:tc>
        <w:tc>
          <w:tcPr>
            <w:tcW w:w="260" w:type="dxa"/>
            <w:vAlign w:val="bottom"/>
            <w:tcBorders>
              <w:right w:val="single" w:sz="8" w:color="00529B"/>
            </w:tcBorders>
            <w:shd w:val="clear" w:color="auto" w:fill="EAEEF2"/>
          </w:tcPr>
          <w:p>
            <w:pPr>
              <w:spacing w:after="0"/>
              <w:rPr>
                <w:sz w:val="18"/>
                <w:szCs w:val="18"/>
                <w:color w:val="auto"/>
              </w:rPr>
            </w:pPr>
          </w:p>
        </w:tc>
        <w:tc>
          <w:tcPr>
            <w:tcW w:w="200" w:type="dxa"/>
            <w:vAlign w:val="bottom"/>
            <w:shd w:val="clear" w:color="auto" w:fill="EAEEF2"/>
          </w:tcPr>
          <w:p>
            <w:pPr>
              <w:spacing w:after="0"/>
              <w:rPr>
                <w:sz w:val="18"/>
                <w:szCs w:val="18"/>
                <w:color w:val="auto"/>
              </w:rPr>
            </w:pPr>
          </w:p>
        </w:tc>
        <w:tc>
          <w:tcPr>
            <w:tcW w:w="1420" w:type="dxa"/>
            <w:vAlign w:val="bottom"/>
            <w:shd w:val="clear" w:color="auto" w:fill="EAEEF2"/>
          </w:tcPr>
          <w:p>
            <w:pPr>
              <w:spacing w:after="0"/>
              <w:rPr>
                <w:sz w:val="18"/>
                <w:szCs w:val="18"/>
                <w:color w:val="auto"/>
              </w:rPr>
            </w:pPr>
          </w:p>
        </w:tc>
        <w:tc>
          <w:tcPr>
            <w:tcW w:w="240" w:type="dxa"/>
            <w:vAlign w:val="bottom"/>
            <w:tcBorders>
              <w:right w:val="single" w:sz="8" w:color="EAEEF2"/>
            </w:tcBorders>
            <w:shd w:val="clear" w:color="auto" w:fill="EAEEF2"/>
          </w:tcPr>
          <w:p>
            <w:pPr>
              <w:spacing w:after="0"/>
              <w:rPr>
                <w:sz w:val="18"/>
                <w:szCs w:val="18"/>
                <w:color w:val="auto"/>
              </w:rPr>
            </w:pPr>
          </w:p>
        </w:tc>
        <w:tc>
          <w:tcPr>
            <w:tcW w:w="1880" w:type="dxa"/>
            <w:vAlign w:val="bottom"/>
            <w:tcBorders>
              <w:right w:val="single" w:sz="8" w:color="00529B"/>
            </w:tcBorders>
            <w:shd w:val="clear" w:color="auto" w:fill="EAEEF2"/>
          </w:tcPr>
          <w:p>
            <w:pPr>
              <w:spacing w:after="0"/>
              <w:rPr>
                <w:sz w:val="18"/>
                <w:szCs w:val="18"/>
                <w:color w:val="auto"/>
              </w:rPr>
            </w:pPr>
          </w:p>
        </w:tc>
        <w:tc>
          <w:tcPr>
            <w:tcW w:w="3740" w:type="dxa"/>
            <w:vAlign w:val="bottom"/>
            <w:gridSpan w:val="2"/>
            <w:shd w:val="clear" w:color="auto" w:fill="EAEEF2"/>
          </w:tcPr>
          <w:p>
            <w:pPr>
              <w:ind w:left="460"/>
              <w:spacing w:after="0"/>
              <w:rPr>
                <w:sz w:val="20"/>
                <w:szCs w:val="20"/>
                <w:color w:val="auto"/>
              </w:rPr>
            </w:pPr>
            <w:r>
              <w:rPr>
                <w:rFonts w:ascii="Arial" w:cs="Arial" w:eastAsia="Arial" w:hAnsi="Arial"/>
                <w:sz w:val="16"/>
                <w:szCs w:val="16"/>
                <w:color w:val="4D4D4F"/>
              </w:rPr>
              <w:t>other social responsibility issues and</w:t>
            </w:r>
          </w:p>
        </w:tc>
        <w:tc>
          <w:tcPr>
            <w:tcW w:w="0" w:type="dxa"/>
            <w:vAlign w:val="bottom"/>
          </w:tcPr>
          <w:p>
            <w:pPr>
              <w:spacing w:after="0"/>
              <w:rPr>
                <w:sz w:val="1"/>
                <w:szCs w:val="1"/>
                <w:color w:val="auto"/>
              </w:rPr>
            </w:pPr>
          </w:p>
        </w:tc>
      </w:tr>
      <w:tr>
        <w:trPr>
          <w:trHeight w:val="215"/>
        </w:trPr>
        <w:tc>
          <w:tcPr>
            <w:tcW w:w="220" w:type="dxa"/>
            <w:vAlign w:val="bottom"/>
            <w:shd w:val="clear" w:color="auto" w:fill="EAEEF2"/>
          </w:tcPr>
          <w:p>
            <w:pPr>
              <w:spacing w:after="0"/>
              <w:rPr>
                <w:sz w:val="18"/>
                <w:szCs w:val="18"/>
                <w:color w:val="auto"/>
              </w:rPr>
            </w:pPr>
          </w:p>
        </w:tc>
        <w:tc>
          <w:tcPr>
            <w:tcW w:w="3280" w:type="dxa"/>
            <w:vAlign w:val="bottom"/>
            <w:shd w:val="clear" w:color="auto" w:fill="EAEEF2"/>
          </w:tcPr>
          <w:p>
            <w:pPr>
              <w:spacing w:after="0"/>
              <w:rPr>
                <w:sz w:val="18"/>
                <w:szCs w:val="18"/>
                <w:color w:val="auto"/>
              </w:rPr>
            </w:pPr>
          </w:p>
        </w:tc>
        <w:tc>
          <w:tcPr>
            <w:tcW w:w="260" w:type="dxa"/>
            <w:vAlign w:val="bottom"/>
            <w:tcBorders>
              <w:right w:val="single" w:sz="8" w:color="00529B"/>
            </w:tcBorders>
            <w:shd w:val="clear" w:color="auto" w:fill="EAEEF2"/>
          </w:tcPr>
          <w:p>
            <w:pPr>
              <w:spacing w:after="0"/>
              <w:rPr>
                <w:sz w:val="18"/>
                <w:szCs w:val="18"/>
                <w:color w:val="auto"/>
              </w:rPr>
            </w:pPr>
          </w:p>
        </w:tc>
        <w:tc>
          <w:tcPr>
            <w:tcW w:w="200" w:type="dxa"/>
            <w:vAlign w:val="bottom"/>
            <w:shd w:val="clear" w:color="auto" w:fill="EAEEF2"/>
          </w:tcPr>
          <w:p>
            <w:pPr>
              <w:spacing w:after="0"/>
              <w:rPr>
                <w:sz w:val="18"/>
                <w:szCs w:val="18"/>
                <w:color w:val="auto"/>
              </w:rPr>
            </w:pPr>
          </w:p>
        </w:tc>
        <w:tc>
          <w:tcPr>
            <w:tcW w:w="1420" w:type="dxa"/>
            <w:vAlign w:val="bottom"/>
            <w:shd w:val="clear" w:color="auto" w:fill="EAEEF2"/>
          </w:tcPr>
          <w:p>
            <w:pPr>
              <w:spacing w:after="0"/>
              <w:rPr>
                <w:sz w:val="18"/>
                <w:szCs w:val="18"/>
                <w:color w:val="auto"/>
              </w:rPr>
            </w:pPr>
          </w:p>
        </w:tc>
        <w:tc>
          <w:tcPr>
            <w:tcW w:w="240" w:type="dxa"/>
            <w:vAlign w:val="bottom"/>
            <w:tcBorders>
              <w:right w:val="single" w:sz="8" w:color="EAEEF2"/>
            </w:tcBorders>
            <w:shd w:val="clear" w:color="auto" w:fill="EAEEF2"/>
          </w:tcPr>
          <w:p>
            <w:pPr>
              <w:spacing w:after="0"/>
              <w:rPr>
                <w:sz w:val="18"/>
                <w:szCs w:val="18"/>
                <w:color w:val="auto"/>
              </w:rPr>
            </w:pPr>
          </w:p>
        </w:tc>
        <w:tc>
          <w:tcPr>
            <w:tcW w:w="1880" w:type="dxa"/>
            <w:vAlign w:val="bottom"/>
            <w:tcBorders>
              <w:right w:val="single" w:sz="8" w:color="00529B"/>
            </w:tcBorders>
            <w:shd w:val="clear" w:color="auto" w:fill="EAEEF2"/>
          </w:tcPr>
          <w:p>
            <w:pPr>
              <w:spacing w:after="0"/>
              <w:rPr>
                <w:sz w:val="18"/>
                <w:szCs w:val="18"/>
                <w:color w:val="auto"/>
              </w:rPr>
            </w:pPr>
          </w:p>
        </w:tc>
        <w:tc>
          <w:tcPr>
            <w:tcW w:w="3740" w:type="dxa"/>
            <w:vAlign w:val="bottom"/>
            <w:gridSpan w:val="2"/>
            <w:shd w:val="clear" w:color="auto" w:fill="EAEEF2"/>
          </w:tcPr>
          <w:p>
            <w:pPr>
              <w:ind w:left="460"/>
              <w:spacing w:after="0"/>
              <w:rPr>
                <w:sz w:val="20"/>
                <w:szCs w:val="20"/>
                <w:color w:val="auto"/>
              </w:rPr>
            </w:pPr>
            <w:r>
              <w:rPr>
                <w:rFonts w:ascii="Arial" w:cs="Arial" w:eastAsia="Arial" w:hAnsi="Arial"/>
                <w:sz w:val="16"/>
                <w:szCs w:val="16"/>
                <w:color w:val="4D4D4F"/>
              </w:rPr>
              <w:t>impacts (“Sustainability Matters”).</w:t>
            </w:r>
          </w:p>
        </w:tc>
        <w:tc>
          <w:tcPr>
            <w:tcW w:w="0" w:type="dxa"/>
            <w:vAlign w:val="bottom"/>
          </w:tcPr>
          <w:p>
            <w:pPr>
              <w:spacing w:after="0"/>
              <w:rPr>
                <w:sz w:val="1"/>
                <w:szCs w:val="1"/>
                <w:color w:val="auto"/>
              </w:rPr>
            </w:pPr>
          </w:p>
        </w:tc>
      </w:tr>
      <w:tr>
        <w:trPr>
          <w:trHeight w:val="204"/>
        </w:trPr>
        <w:tc>
          <w:tcPr>
            <w:tcW w:w="220" w:type="dxa"/>
            <w:vAlign w:val="bottom"/>
            <w:shd w:val="clear" w:color="auto" w:fill="EAEEF2"/>
          </w:tcPr>
          <w:p>
            <w:pPr>
              <w:spacing w:after="0"/>
              <w:rPr>
                <w:sz w:val="17"/>
                <w:szCs w:val="17"/>
                <w:color w:val="auto"/>
              </w:rPr>
            </w:pPr>
          </w:p>
        </w:tc>
        <w:tc>
          <w:tcPr>
            <w:tcW w:w="3280" w:type="dxa"/>
            <w:vAlign w:val="bottom"/>
            <w:shd w:val="clear" w:color="auto" w:fill="EAEEF2"/>
          </w:tcPr>
          <w:p>
            <w:pPr>
              <w:spacing w:after="0"/>
              <w:rPr>
                <w:sz w:val="17"/>
                <w:szCs w:val="17"/>
                <w:color w:val="auto"/>
              </w:rPr>
            </w:pPr>
          </w:p>
        </w:tc>
        <w:tc>
          <w:tcPr>
            <w:tcW w:w="260" w:type="dxa"/>
            <w:vAlign w:val="bottom"/>
            <w:tcBorders>
              <w:right w:val="single" w:sz="8" w:color="00529B"/>
            </w:tcBorders>
            <w:shd w:val="clear" w:color="auto" w:fill="EAEEF2"/>
          </w:tcPr>
          <w:p>
            <w:pPr>
              <w:spacing w:after="0"/>
              <w:rPr>
                <w:sz w:val="17"/>
                <w:szCs w:val="17"/>
                <w:color w:val="auto"/>
              </w:rPr>
            </w:pPr>
          </w:p>
        </w:tc>
        <w:tc>
          <w:tcPr>
            <w:tcW w:w="200" w:type="dxa"/>
            <w:vAlign w:val="bottom"/>
            <w:shd w:val="clear" w:color="auto" w:fill="EAEEF2"/>
          </w:tcPr>
          <w:p>
            <w:pPr>
              <w:spacing w:after="0"/>
              <w:rPr>
                <w:sz w:val="17"/>
                <w:szCs w:val="17"/>
                <w:color w:val="auto"/>
              </w:rPr>
            </w:pPr>
          </w:p>
        </w:tc>
        <w:tc>
          <w:tcPr>
            <w:tcW w:w="1420" w:type="dxa"/>
            <w:vAlign w:val="bottom"/>
            <w:shd w:val="clear" w:color="auto" w:fill="EAEEF2"/>
          </w:tcPr>
          <w:p>
            <w:pPr>
              <w:spacing w:after="0"/>
              <w:rPr>
                <w:sz w:val="17"/>
                <w:szCs w:val="17"/>
                <w:color w:val="auto"/>
              </w:rPr>
            </w:pPr>
          </w:p>
        </w:tc>
        <w:tc>
          <w:tcPr>
            <w:tcW w:w="240" w:type="dxa"/>
            <w:vAlign w:val="bottom"/>
            <w:tcBorders>
              <w:right w:val="single" w:sz="8" w:color="EAEEF2"/>
            </w:tcBorders>
            <w:shd w:val="clear" w:color="auto" w:fill="EAEEF2"/>
          </w:tcPr>
          <w:p>
            <w:pPr>
              <w:spacing w:after="0"/>
              <w:rPr>
                <w:sz w:val="17"/>
                <w:szCs w:val="17"/>
                <w:color w:val="auto"/>
              </w:rPr>
            </w:pPr>
          </w:p>
        </w:tc>
        <w:tc>
          <w:tcPr>
            <w:tcW w:w="1880" w:type="dxa"/>
            <w:vAlign w:val="bottom"/>
            <w:tcBorders>
              <w:right w:val="single" w:sz="8" w:color="00529B"/>
            </w:tcBorders>
            <w:shd w:val="clear" w:color="auto" w:fill="EAEEF2"/>
          </w:tcPr>
          <w:p>
            <w:pPr>
              <w:spacing w:after="0"/>
              <w:rPr>
                <w:sz w:val="17"/>
                <w:szCs w:val="17"/>
                <w:color w:val="auto"/>
              </w:rPr>
            </w:pPr>
          </w:p>
        </w:tc>
        <w:tc>
          <w:tcPr>
            <w:tcW w:w="3520" w:type="dxa"/>
            <w:vAlign w:val="bottom"/>
            <w:shd w:val="clear" w:color="auto" w:fill="EAEEF2"/>
          </w:tcPr>
          <w:p>
            <w:pPr>
              <w:spacing w:after="0"/>
              <w:rPr>
                <w:sz w:val="17"/>
                <w:szCs w:val="17"/>
                <w:color w:val="auto"/>
              </w:rPr>
            </w:pPr>
          </w:p>
        </w:tc>
        <w:tc>
          <w:tcPr>
            <w:tcW w:w="220" w:type="dxa"/>
            <w:vAlign w:val="bottom"/>
            <w:shd w:val="clear" w:color="auto" w:fill="EAEE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shd w:val="clear" w:color="auto" w:fill="EAEEF2"/>
          </w:tcPr>
          <w:p>
            <w:pPr>
              <w:spacing w:after="0"/>
              <w:rPr>
                <w:sz w:val="17"/>
                <w:szCs w:val="17"/>
                <w:color w:val="auto"/>
              </w:rPr>
            </w:pPr>
          </w:p>
        </w:tc>
        <w:tc>
          <w:tcPr>
            <w:tcW w:w="3280" w:type="dxa"/>
            <w:vAlign w:val="bottom"/>
            <w:shd w:val="clear" w:color="auto" w:fill="EAEEF2"/>
          </w:tcPr>
          <w:p>
            <w:pPr>
              <w:spacing w:after="0"/>
              <w:rPr>
                <w:sz w:val="17"/>
                <w:szCs w:val="17"/>
                <w:color w:val="auto"/>
              </w:rPr>
            </w:pPr>
          </w:p>
        </w:tc>
        <w:tc>
          <w:tcPr>
            <w:tcW w:w="260" w:type="dxa"/>
            <w:vAlign w:val="bottom"/>
            <w:tcBorders>
              <w:right w:val="single" w:sz="8" w:color="EAEEF2"/>
            </w:tcBorders>
            <w:shd w:val="clear" w:color="auto" w:fill="EAEEF2"/>
          </w:tcPr>
          <w:p>
            <w:pPr>
              <w:spacing w:after="0"/>
              <w:rPr>
                <w:sz w:val="17"/>
                <w:szCs w:val="17"/>
                <w:color w:val="auto"/>
              </w:rPr>
            </w:pPr>
          </w:p>
        </w:tc>
        <w:tc>
          <w:tcPr>
            <w:tcW w:w="200" w:type="dxa"/>
            <w:vAlign w:val="bottom"/>
            <w:shd w:val="clear" w:color="auto" w:fill="EAEEF2"/>
          </w:tcPr>
          <w:p>
            <w:pPr>
              <w:spacing w:after="0"/>
              <w:rPr>
                <w:sz w:val="17"/>
                <w:szCs w:val="17"/>
                <w:color w:val="auto"/>
              </w:rPr>
            </w:pPr>
          </w:p>
        </w:tc>
        <w:tc>
          <w:tcPr>
            <w:tcW w:w="1420" w:type="dxa"/>
            <w:vAlign w:val="bottom"/>
            <w:shd w:val="clear" w:color="auto" w:fill="EAEEF2"/>
          </w:tcPr>
          <w:p>
            <w:pPr>
              <w:spacing w:after="0"/>
              <w:rPr>
                <w:sz w:val="17"/>
                <w:szCs w:val="17"/>
                <w:color w:val="auto"/>
              </w:rPr>
            </w:pPr>
          </w:p>
        </w:tc>
        <w:tc>
          <w:tcPr>
            <w:tcW w:w="240" w:type="dxa"/>
            <w:vAlign w:val="bottom"/>
            <w:tcBorders>
              <w:right w:val="single" w:sz="8" w:color="EAEEF2"/>
            </w:tcBorders>
            <w:shd w:val="clear" w:color="auto" w:fill="EAEEF2"/>
          </w:tcPr>
          <w:p>
            <w:pPr>
              <w:spacing w:after="0"/>
              <w:rPr>
                <w:sz w:val="17"/>
                <w:szCs w:val="17"/>
                <w:color w:val="auto"/>
              </w:rPr>
            </w:pPr>
          </w:p>
        </w:tc>
        <w:tc>
          <w:tcPr>
            <w:tcW w:w="1880" w:type="dxa"/>
            <w:vAlign w:val="bottom"/>
            <w:tcBorders>
              <w:right w:val="single" w:sz="8" w:color="EAEEF2"/>
            </w:tcBorders>
            <w:shd w:val="clear" w:color="auto" w:fill="EAEEF2"/>
          </w:tcPr>
          <w:p>
            <w:pPr>
              <w:spacing w:after="0"/>
              <w:rPr>
                <w:sz w:val="17"/>
                <w:szCs w:val="17"/>
                <w:color w:val="auto"/>
              </w:rPr>
            </w:pPr>
          </w:p>
        </w:tc>
        <w:tc>
          <w:tcPr>
            <w:tcW w:w="3520" w:type="dxa"/>
            <w:vAlign w:val="bottom"/>
            <w:shd w:val="clear" w:color="auto" w:fill="EAEEF2"/>
          </w:tcPr>
          <w:p>
            <w:pPr>
              <w:spacing w:after="0"/>
              <w:rPr>
                <w:sz w:val="17"/>
                <w:szCs w:val="17"/>
                <w:color w:val="auto"/>
              </w:rPr>
            </w:pPr>
          </w:p>
        </w:tc>
        <w:tc>
          <w:tcPr>
            <w:tcW w:w="220" w:type="dxa"/>
            <w:vAlign w:val="bottom"/>
            <w:shd w:val="clear" w:color="auto" w:fill="EAEEF2"/>
          </w:tcPr>
          <w:p>
            <w:pPr>
              <w:spacing w:after="0"/>
              <w:rPr>
                <w:sz w:val="17"/>
                <w:szCs w:val="17"/>
                <w:color w:val="auto"/>
              </w:rPr>
            </w:pPr>
          </w:p>
        </w:tc>
        <w:tc>
          <w:tcPr>
            <w:tcW w:w="0" w:type="dxa"/>
            <w:vAlign w:val="bottom"/>
          </w:tcPr>
          <w:p>
            <w:pPr>
              <w:spacing w:after="0"/>
              <w:rPr>
                <w:sz w:val="1"/>
                <w:szCs w:val="1"/>
                <w:color w:val="auto"/>
              </w:rPr>
            </w:pPr>
          </w:p>
        </w:tc>
      </w:tr>
      <w:tr>
        <w:trPr>
          <w:trHeight w:val="600"/>
        </w:trPr>
        <w:tc>
          <w:tcPr>
            <w:tcW w:w="2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40"/>
                <w:szCs w:val="40"/>
                <w:color w:val="00529B"/>
              </w:rPr>
              <w:t>o</w:t>
            </w: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146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4D4D4F"/>
        </w:rPr>
        <w:t>Management is responsible for the enterprise risk assessment process and the day-to-day management of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31</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4D4D4F"/>
        </w:rPr>
        <w:t>Throughout the year, the Board and its committees receive reports from our management identifying and explaining key areas of risk applicable to us and an explanation of the processes, policies and procedures in place to monitor and assess those risks. The Board and its committees will also periodically conduct an in-depth review and analysis of specific strategic, operational and financial risks, after which our management will continue to provide regular updates on our progress in respect of these focus areas for a period of time thereafter.</w:t>
      </w:r>
    </w:p>
    <w:p>
      <w:pPr>
        <w:spacing w:after="0" w:line="121" w:lineRule="exact"/>
        <w:rPr>
          <w:sz w:val="20"/>
          <w:szCs w:val="20"/>
          <w:color w:val="auto"/>
        </w:rPr>
      </w:pPr>
    </w:p>
    <w:p>
      <w:pPr>
        <w:spacing w:after="0" w:line="321" w:lineRule="auto"/>
        <w:rPr>
          <w:sz w:val="20"/>
          <w:szCs w:val="20"/>
          <w:color w:val="auto"/>
        </w:rPr>
      </w:pPr>
      <w:r>
        <w:rPr>
          <w:rFonts w:ascii="Arial" w:cs="Arial" w:eastAsia="Arial" w:hAnsi="Arial"/>
          <w:sz w:val="16"/>
          <w:szCs w:val="16"/>
          <w:color w:val="4D4D4F"/>
        </w:rPr>
        <w:t>Periodically, we also perform risk management assessments, both in specific areas of our business or on an enterprise wide basis. The principal purposes of these assessments are to:</w:t>
      </w:r>
    </w:p>
    <w:p>
      <w:pPr>
        <w:spacing w:after="0" w:line="102" w:lineRule="exact"/>
        <w:rPr>
          <w:sz w:val="20"/>
          <w:szCs w:val="20"/>
          <w:color w:val="auto"/>
        </w:rPr>
      </w:pPr>
    </w:p>
    <w:p>
      <w:pPr>
        <w:ind w:left="480" w:hanging="229"/>
        <w:spacing w:after="0"/>
        <w:tabs>
          <w:tab w:leader="none" w:pos="480" w:val="left"/>
        </w:tabs>
        <w:numPr>
          <w:ilvl w:val="0"/>
          <w:numId w:val="56"/>
        </w:numPr>
        <w:rPr>
          <w:rFonts w:ascii="Arial" w:cs="Arial" w:eastAsia="Arial" w:hAnsi="Arial"/>
          <w:sz w:val="16"/>
          <w:szCs w:val="16"/>
          <w:b w:val="1"/>
          <w:bCs w:val="1"/>
          <w:color w:val="00529B"/>
        </w:rPr>
      </w:pPr>
      <w:r>
        <w:rPr>
          <w:rFonts w:ascii="Arial" w:cs="Arial" w:eastAsia="Arial" w:hAnsi="Arial"/>
          <w:sz w:val="16"/>
          <w:szCs w:val="16"/>
          <w:color w:val="4D4D4F"/>
        </w:rPr>
        <w:t>ensure that risk management efforts are focused and directly linked to our underlying business strategy;</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56"/>
        </w:numPr>
        <w:rPr>
          <w:rFonts w:ascii="Arial" w:cs="Arial" w:eastAsia="Arial" w:hAnsi="Arial"/>
          <w:sz w:val="16"/>
          <w:szCs w:val="16"/>
          <w:b w:val="1"/>
          <w:bCs w:val="1"/>
          <w:color w:val="00529B"/>
        </w:rPr>
      </w:pPr>
      <w:r>
        <w:rPr>
          <w:rFonts w:ascii="Arial" w:cs="Arial" w:eastAsia="Arial" w:hAnsi="Arial"/>
          <w:sz w:val="16"/>
          <w:szCs w:val="16"/>
          <w:color w:val="4D4D4F"/>
        </w:rPr>
        <w:t>implement a sustainable and scalable framework to identify, manage and monitor risk;</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56"/>
        </w:numPr>
        <w:rPr>
          <w:rFonts w:ascii="Arial" w:cs="Arial" w:eastAsia="Arial" w:hAnsi="Arial"/>
          <w:sz w:val="16"/>
          <w:szCs w:val="16"/>
          <w:b w:val="1"/>
          <w:bCs w:val="1"/>
          <w:color w:val="00529B"/>
        </w:rPr>
      </w:pPr>
      <w:r>
        <w:rPr>
          <w:rFonts w:ascii="Arial" w:cs="Arial" w:eastAsia="Arial" w:hAnsi="Arial"/>
          <w:sz w:val="16"/>
          <w:szCs w:val="16"/>
          <w:color w:val="4D4D4F"/>
        </w:rPr>
        <w:t>assign responsibility for each risk, put mitigation plans in place and assess the effectiveness of such mitigation plans; and</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56"/>
        </w:numPr>
        <w:rPr>
          <w:rFonts w:ascii="Arial" w:cs="Arial" w:eastAsia="Arial" w:hAnsi="Arial"/>
          <w:sz w:val="16"/>
          <w:szCs w:val="16"/>
          <w:b w:val="1"/>
          <w:bCs w:val="1"/>
          <w:color w:val="00529B"/>
        </w:rPr>
      </w:pPr>
      <w:r>
        <w:rPr>
          <w:rFonts w:ascii="Arial" w:cs="Arial" w:eastAsia="Arial" w:hAnsi="Arial"/>
          <w:sz w:val="16"/>
          <w:szCs w:val="16"/>
          <w:color w:val="4D4D4F"/>
        </w:rPr>
        <w:t>enhance our risk management capabilities for priority risks and continue the development of risk management policies and action plans.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D4D4F"/>
        </w:rPr>
        <w:t>The results of these risk assessments are regularly communicated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6027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602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00529B"/>
        </w:rPr>
        <w:t>BOARD’S ROLE IN OVERSEEING COMPENSATION RISKS</w:t>
      </w:r>
    </w:p>
    <w:p>
      <w:pPr>
        <w:spacing w:after="0" w:line="144" w:lineRule="exact"/>
        <w:rPr>
          <w:sz w:val="20"/>
          <w:szCs w:val="20"/>
          <w:color w:val="auto"/>
        </w:rPr>
      </w:pPr>
    </w:p>
    <w:p>
      <w:pPr>
        <w:ind w:left="440" w:right="300"/>
        <w:spacing w:after="0" w:line="288" w:lineRule="auto"/>
        <w:rPr>
          <w:sz w:val="20"/>
          <w:szCs w:val="20"/>
          <w:color w:val="auto"/>
        </w:rPr>
      </w:pPr>
      <w:r>
        <w:rPr>
          <w:rFonts w:ascii="Arial" w:cs="Arial" w:eastAsia="Arial" w:hAnsi="Arial"/>
          <w:sz w:val="16"/>
          <w:szCs w:val="16"/>
          <w:color w:val="4D4D4F"/>
        </w:rPr>
        <w:t>In addition, each year management conducts, and the Compensation Committee oversees, a risk assessment of our compensation policies and practices with respect to all employees, including NEOs. The employee population is segmented into groups based on commonalities across their reward programs. Each program is then evaluated using the key design features of the program and the applicable risk mitigation features that exist in such programs. Once the assessment is completed, management reviews the assessment data, methodology and findings with the Compensation Committee. A key goal of this process is to ensure that there are controls in place to (i) safeguard us from unwarranted exposure to particular risks that individual employees might choose to take and (ii) avoid any inadvertent incentives for employees to take inappropriate business risks by making decisions that may be in their best interests but not in the best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0" w:hanging="534"/>
        <w:spacing w:after="0"/>
        <w:tabs>
          <w:tab w:leader="none" w:pos="560" w:val="left"/>
        </w:tabs>
        <w:numPr>
          <w:ilvl w:val="0"/>
          <w:numId w:val="57"/>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5" w:name="page36"/>
    <w:bookmarkEnd w:id="35"/>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43719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437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298655"/>
        </w:rPr>
        <w:t>BOARD’S ROLE IN OVERSEEING SUSTAINABILITY RISKS AND OPPORTUNITIES</w:t>
      </w:r>
    </w:p>
    <w:p>
      <w:pPr>
        <w:spacing w:after="0" w:line="144" w:lineRule="exact"/>
        <w:rPr>
          <w:sz w:val="20"/>
          <w:szCs w:val="20"/>
          <w:color w:val="auto"/>
        </w:rPr>
      </w:pPr>
    </w:p>
    <w:p>
      <w:pPr>
        <w:jc w:val="both"/>
        <w:ind w:left="440" w:right="360"/>
        <w:spacing w:after="0" w:line="295" w:lineRule="auto"/>
        <w:rPr>
          <w:sz w:val="20"/>
          <w:szCs w:val="20"/>
          <w:color w:val="auto"/>
        </w:rPr>
      </w:pPr>
      <w:r>
        <w:rPr>
          <w:rFonts w:ascii="Arial" w:cs="Arial" w:eastAsia="Arial" w:hAnsi="Arial"/>
          <w:sz w:val="16"/>
          <w:szCs w:val="16"/>
          <w:color w:val="4D4D4F"/>
        </w:rPr>
        <w:t>Our sustainability and corporate responsibility initiatives are directed by both Board and management-level oversight. As we have progressed in our approach to sustainability and corporate responsibility, our governance and oversight structure has also evolved. In 2018, we established our Sustainability Management Committee, which is a cross-functional committee composed of senior leaders and subject matter experts from across our business who collaborate to identify priorities, set goals and drive the implementation of our sustainability strategy and objectives.</w:t>
      </w:r>
    </w:p>
    <w:p>
      <w:pPr>
        <w:spacing w:after="0" w:line="121" w:lineRule="exact"/>
        <w:rPr>
          <w:sz w:val="20"/>
          <w:szCs w:val="20"/>
          <w:color w:val="auto"/>
        </w:rPr>
      </w:pPr>
    </w:p>
    <w:p>
      <w:pPr>
        <w:ind w:left="440" w:right="420"/>
        <w:spacing w:after="0" w:line="295" w:lineRule="auto"/>
        <w:rPr>
          <w:sz w:val="20"/>
          <w:szCs w:val="20"/>
          <w:color w:val="auto"/>
        </w:rPr>
      </w:pPr>
      <w:r>
        <w:rPr>
          <w:rFonts w:ascii="Arial" w:cs="Arial" w:eastAsia="Arial" w:hAnsi="Arial"/>
          <w:sz w:val="16"/>
          <w:szCs w:val="16"/>
          <w:color w:val="4D4D4F"/>
        </w:rPr>
        <w:t>In 2020, our Board established the Sustainability &amp; Corporate Responsibility Committee as a standing committee dedicated to the oversight of material sustainability issues for the Company. This committee is a reflection of our commitment to embed sustainability and corporate responsibility as an integral part of our business strategy for long-term value creation and ensures that our Board has sufficient fluency in how we assess and manage environmental and social risks, such as climate change and diversity, equity and inclusion.</w:t>
      </w:r>
    </w:p>
    <w:p>
      <w:pPr>
        <w:spacing w:after="0" w:line="121" w:lineRule="exact"/>
        <w:rPr>
          <w:sz w:val="20"/>
          <w:szCs w:val="20"/>
          <w:color w:val="auto"/>
        </w:rPr>
      </w:pPr>
    </w:p>
    <w:p>
      <w:pPr>
        <w:ind w:left="440" w:right="460"/>
        <w:spacing w:after="0" w:line="289" w:lineRule="auto"/>
        <w:rPr>
          <w:sz w:val="20"/>
          <w:szCs w:val="20"/>
          <w:color w:val="auto"/>
        </w:rPr>
      </w:pPr>
      <w:r>
        <w:rPr>
          <w:rFonts w:ascii="Arial" w:cs="Arial" w:eastAsia="Arial" w:hAnsi="Arial"/>
          <w:sz w:val="16"/>
          <w:szCs w:val="16"/>
          <w:color w:val="4D4D4F"/>
        </w:rPr>
        <w:t>The Sustainability &amp; Corporate Responsibility Committee is composed solely of independent directors and is responsible for overseeing and reviewing our programs, policies, risks and initiatives with respect to all Sustainability Matters not otherwise overseen by the other committees of the Board. These duties include reviewing and providing input on our strategy, goals and integration of Sustainability Matters into strategic and tactical business activities across the Company.</w:t>
      </w:r>
    </w:p>
    <w:p>
      <w:pPr>
        <w:spacing w:after="0" w:line="126" w:lineRule="exact"/>
        <w:rPr>
          <w:sz w:val="20"/>
          <w:szCs w:val="20"/>
          <w:color w:val="auto"/>
        </w:rPr>
      </w:pPr>
    </w:p>
    <w:p>
      <w:pPr>
        <w:jc w:val="both"/>
        <w:ind w:left="440" w:right="320"/>
        <w:spacing w:after="0" w:line="295" w:lineRule="auto"/>
        <w:rPr>
          <w:sz w:val="20"/>
          <w:szCs w:val="20"/>
          <w:color w:val="auto"/>
        </w:rPr>
      </w:pPr>
      <w:r>
        <w:rPr>
          <w:rFonts w:ascii="Arial" w:cs="Arial" w:eastAsia="Arial" w:hAnsi="Arial"/>
          <w:sz w:val="16"/>
          <w:szCs w:val="16"/>
          <w:color w:val="4D4D4F"/>
        </w:rPr>
        <w:t>Our management team regularly updates the Sustainability &amp; Corporate Responsibility Committee on climate-related risks and opportunities within our businesses and reviews our strategic plans for transitioning our business model to a net zero economy. Throughout the year, they also advise the Committee of our progress on meeting our established goals and objectives, including the actions we are taking to reduce our GHG emissions within our operations and the key drivers of any year-over-year variances.</w:t>
      </w:r>
    </w:p>
    <w:p>
      <w:pPr>
        <w:spacing w:after="0" w:line="121" w:lineRule="exact"/>
        <w:rPr>
          <w:sz w:val="20"/>
          <w:szCs w:val="20"/>
          <w:color w:val="auto"/>
        </w:rPr>
      </w:pPr>
    </w:p>
    <w:p>
      <w:pPr>
        <w:jc w:val="both"/>
        <w:ind w:left="440" w:right="340"/>
        <w:spacing w:after="0" w:line="301" w:lineRule="auto"/>
        <w:rPr>
          <w:sz w:val="20"/>
          <w:szCs w:val="20"/>
          <w:color w:val="auto"/>
        </w:rPr>
      </w:pPr>
      <w:r>
        <w:rPr>
          <w:rFonts w:ascii="Arial" w:cs="Arial" w:eastAsia="Arial" w:hAnsi="Arial"/>
          <w:sz w:val="16"/>
          <w:szCs w:val="16"/>
          <w:color w:val="4D4D4F"/>
        </w:rPr>
        <w:t>The committee also receives reports from various business leaders on topics such as the latest developments and status of renewable and lower carbon fuels within the transportation sector, as well as any new sustainability solutions being developed to support our customers in meeting their own carbon reduction goals.</w:t>
      </w:r>
    </w:p>
    <w:p>
      <w:pPr>
        <w:spacing w:after="0" w:line="118" w:lineRule="exact"/>
        <w:rPr>
          <w:sz w:val="20"/>
          <w:szCs w:val="20"/>
          <w:color w:val="auto"/>
        </w:rPr>
      </w:pPr>
    </w:p>
    <w:p>
      <w:pPr>
        <w:ind w:left="440" w:right="700" w:firstLine="42"/>
        <w:spacing w:after="0" w:line="321" w:lineRule="auto"/>
        <w:rPr>
          <w:sz w:val="20"/>
          <w:szCs w:val="20"/>
          <w:color w:val="auto"/>
        </w:rPr>
      </w:pPr>
      <w:r>
        <w:rPr>
          <w:rFonts w:ascii="Arial" w:cs="Arial" w:eastAsia="Arial" w:hAnsi="Arial"/>
          <w:sz w:val="16"/>
          <w:szCs w:val="16"/>
          <w:color w:val="4D4D4F"/>
        </w:rPr>
        <w:t>The Sustainability &amp; Corporate Responsibility Committee is also responsible for monitoring our progress against the goals and targets we establish and reviewing disclosures regarding our position, approach and reporting of Sustainability Matters, such as our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759460</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33</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65233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6523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132440"/>
        </w:rPr>
        <w:t>BOARD OVERSIGHT OF CYBERSECURITY AND DATA PRIVACY RISKS</w:t>
      </w:r>
    </w:p>
    <w:p>
      <w:pPr>
        <w:spacing w:after="0" w:line="144" w:lineRule="exact"/>
        <w:rPr>
          <w:sz w:val="20"/>
          <w:szCs w:val="20"/>
          <w:color w:val="auto"/>
        </w:rPr>
      </w:pPr>
    </w:p>
    <w:p>
      <w:pPr>
        <w:ind w:left="420"/>
        <w:spacing w:after="0" w:line="301" w:lineRule="auto"/>
        <w:rPr>
          <w:sz w:val="20"/>
          <w:szCs w:val="20"/>
          <w:color w:val="auto"/>
        </w:rPr>
      </w:pPr>
      <w:r>
        <w:rPr>
          <w:rFonts w:ascii="Arial" w:cs="Arial" w:eastAsia="Arial" w:hAnsi="Arial"/>
          <w:sz w:val="16"/>
          <w:szCs w:val="16"/>
          <w:color w:val="4D4D4F"/>
        </w:rPr>
        <w:t>Our commitment to cybersecurity risk management and sound governance of cybersecurity and other information security-related risks is reflected at the highest levels of our company. This commitment begins with our Board, which plays a key role in providing oversight of our business practices and related risks, while remaining informed as we evolve and new risks emerge over time</w:t>
      </w:r>
    </w:p>
    <w:p>
      <w:pPr>
        <w:spacing w:after="0" w:line="118" w:lineRule="exact"/>
        <w:rPr>
          <w:sz w:val="20"/>
          <w:szCs w:val="20"/>
          <w:color w:val="auto"/>
        </w:rPr>
      </w:pPr>
    </w:p>
    <w:p>
      <w:pPr>
        <w:ind w:left="420" w:right="260"/>
        <w:spacing w:after="0" w:line="288" w:lineRule="auto"/>
        <w:rPr>
          <w:sz w:val="20"/>
          <w:szCs w:val="20"/>
          <w:color w:val="auto"/>
        </w:rPr>
      </w:pPr>
      <w:r>
        <w:rPr>
          <w:rFonts w:ascii="Arial" w:cs="Arial" w:eastAsia="Arial" w:hAnsi="Arial"/>
          <w:sz w:val="16"/>
          <w:szCs w:val="16"/>
          <w:color w:val="4D4D4F"/>
        </w:rPr>
        <w:t>Our Audit Committee and our Technology &amp; Operations Committee have been delegated responsibility for monitoring and oversight of the information technology and cybersecurity components of our risk assessment and risk management programs. The independent directors comprising our Audit Committee and our Technology &amp; Operations Committee: regularly review our cybersecurity and related information technology risks, controls and procedures, including data protection and privacy and our plans to mitigate cybersecurity risks and to respond to data breaches; provide expertise and insight regarding technology and operations systems and processes that relate to or affect our internal control systems, information security, data protection and privacy, fraud and cybersecurity risks; and assist management in developing our risk management methodologies and the steps taken to identify, monitor and control such exposures.</w:t>
      </w:r>
    </w:p>
    <w:p>
      <w:pPr>
        <w:spacing w:after="0" w:line="115" w:lineRule="exact"/>
        <w:rPr>
          <w:sz w:val="20"/>
          <w:szCs w:val="20"/>
          <w:color w:val="auto"/>
        </w:rPr>
      </w:pPr>
    </w:p>
    <w:p>
      <w:pPr>
        <w:ind w:left="420" w:right="20"/>
        <w:spacing w:after="0" w:line="287" w:lineRule="auto"/>
        <w:rPr>
          <w:sz w:val="20"/>
          <w:szCs w:val="20"/>
          <w:color w:val="auto"/>
        </w:rPr>
      </w:pPr>
      <w:r>
        <w:rPr>
          <w:rFonts w:ascii="Arial" w:cs="Arial" w:eastAsia="Arial" w:hAnsi="Arial"/>
          <w:sz w:val="16"/>
          <w:szCs w:val="16"/>
          <w:color w:val="4D4D4F"/>
        </w:rPr>
        <w:t>Our Chief Information Officer (“CIO”) and our Chief Information Security Officer (“CISO”) are responsible for our company’s overall information security activities and cyber risk programs. Our CISO reports to our CIO and leads our cyber and data-related incident response activities. Our current CIO and CISO each have more than 25 years of experience in the digital and information technology field. We have a cross-functional approach to addressing cybersecurity risk, with our information technology, legal, and internal audit functions regularly presenting to the Audit Committee and Technology &amp; Operations Committee on key cybersecurity topics. Our CISO, together with our CIO and other members of the senior leadership in our information technology organization, also provide these committees with regular updates on at least a quarterly basis, and more often as needed. These reports include topics such as analyses of recent cybersecurity threats and incidents across the industry, as well as a review of our own security controls, assessments and program maturity, and risk mitigation status.</w:t>
      </w:r>
    </w:p>
    <w:p>
      <w:pPr>
        <w:spacing w:after="0" w:line="130" w:lineRule="exact"/>
        <w:rPr>
          <w:sz w:val="20"/>
          <w:szCs w:val="20"/>
          <w:color w:val="auto"/>
        </w:rPr>
      </w:pPr>
    </w:p>
    <w:p>
      <w:pPr>
        <w:ind w:left="420"/>
        <w:spacing w:after="0" w:line="295" w:lineRule="auto"/>
        <w:rPr>
          <w:sz w:val="20"/>
          <w:szCs w:val="20"/>
          <w:color w:val="auto"/>
        </w:rPr>
      </w:pPr>
      <w:r>
        <w:rPr>
          <w:rFonts w:ascii="Arial" w:cs="Arial" w:eastAsia="Arial" w:hAnsi="Arial"/>
          <w:sz w:val="16"/>
          <w:szCs w:val="16"/>
          <w:color w:val="4D4D4F"/>
        </w:rPr>
        <w:t>Our cybersecurity policies, standards, processes, and practices are robust and comprehensive, aligning with the National Institute of Standards and Technology Cybersecurity Framework. We have achieved ISO 27001 certification, demonstrating our commitment to security. Our cybersecurity program also includes a detailed control catalog that maps to several other frameworks, providing a broad and thorough approach to managing cyber risks.</w:t>
      </w:r>
    </w:p>
    <w:p>
      <w:pPr>
        <w:spacing w:after="0" w:line="121" w:lineRule="exact"/>
        <w:rPr>
          <w:sz w:val="20"/>
          <w:szCs w:val="20"/>
          <w:color w:val="auto"/>
        </w:rPr>
      </w:pPr>
    </w:p>
    <w:p>
      <w:pPr>
        <w:ind w:left="420" w:right="80"/>
        <w:spacing w:after="0" w:line="291" w:lineRule="auto"/>
        <w:rPr>
          <w:sz w:val="20"/>
          <w:szCs w:val="20"/>
          <w:color w:val="auto"/>
        </w:rPr>
      </w:pPr>
      <w:r>
        <w:rPr>
          <w:rFonts w:ascii="Arial" w:cs="Arial" w:eastAsia="Arial" w:hAnsi="Arial"/>
          <w:sz w:val="16"/>
          <w:szCs w:val="16"/>
          <w:color w:val="4D4D4F"/>
        </w:rPr>
        <w:t>We proactively conduct internal vulnerability scans, penetration tests, and breach simulation exercises, reinforcing our controls and our readiness to respond to potential threats. Recognizing the complexity and evolving nature of cybersecurity threats, we regularly engage with a range of external experts, including cybersecurity consultants, auditors and advisers, in evaluating and testing our risk management systems. Our collaboration with these third parties includes cybersecurity audits and testing, threat assessments and tabletop exercises, along with regular consultation on security enhancements.</w:t>
      </w:r>
    </w:p>
    <w:p>
      <w:pPr>
        <w:spacing w:after="0" w:line="127" w:lineRule="exact"/>
        <w:rPr>
          <w:sz w:val="20"/>
          <w:szCs w:val="20"/>
          <w:color w:val="auto"/>
        </w:rPr>
      </w:pPr>
    </w:p>
    <w:p>
      <w:pPr>
        <w:ind w:left="420" w:right="60"/>
        <w:spacing w:after="0" w:line="287" w:lineRule="auto"/>
        <w:rPr>
          <w:sz w:val="20"/>
          <w:szCs w:val="20"/>
          <w:color w:val="auto"/>
        </w:rPr>
      </w:pPr>
      <w:r>
        <w:rPr>
          <w:rFonts w:ascii="Arial" w:cs="Arial" w:eastAsia="Arial" w:hAnsi="Arial"/>
          <w:sz w:val="16"/>
          <w:szCs w:val="16"/>
          <w:color w:val="4D4D4F"/>
        </w:rPr>
        <w:t>As a global company, we are also committed to respecting individual privacy and complying with applicable data privacy laws throughout the world, such as the European Union’s General Data Protection Regulation, UK Data Protection Act, and the California Consumer Privacy Act. That is why we provide the disclosures found in our Privacy Policy and why we maintain a variety of processes aimed at properly collecting, storing, and processing personal data belonging to our employees, customers, business partners, and anyone else with whom we do business in accordance with applicable laws and our contractual obligations.</w:t>
      </w:r>
    </w:p>
    <w:p>
      <w:pPr>
        <w:spacing w:after="0" w:line="128" w:lineRule="exact"/>
        <w:rPr>
          <w:sz w:val="20"/>
          <w:szCs w:val="20"/>
          <w:color w:val="auto"/>
        </w:rPr>
      </w:pPr>
    </w:p>
    <w:p>
      <w:pPr>
        <w:ind w:left="420" w:right="60"/>
        <w:spacing w:after="0" w:line="295" w:lineRule="auto"/>
        <w:rPr>
          <w:sz w:val="20"/>
          <w:szCs w:val="20"/>
          <w:color w:val="auto"/>
        </w:rPr>
      </w:pPr>
      <w:r>
        <w:rPr>
          <w:rFonts w:ascii="Arial" w:cs="Arial" w:eastAsia="Arial" w:hAnsi="Arial"/>
          <w:sz w:val="16"/>
          <w:szCs w:val="16"/>
          <w:color w:val="4D4D4F"/>
        </w:rPr>
        <w:t>To that end, to protect our data, including personal data, we maintain comprehensive information security and data privacy programs, with a balanced portfolio of defenses designed to prevent, detect, and respond to cybersecurity threats. Additionally, we carry appropriate levels of cyber risk insurance as a level of assurance and for risk mitigation. To our knowledge, we have not experienced any material losses relating to cybersecurity attacks.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 w:hanging="534"/>
        <w:spacing w:after="0"/>
        <w:tabs>
          <w:tab w:leader="none" w:pos="540" w:val="left"/>
        </w:tabs>
        <w:numPr>
          <w:ilvl w:val="0"/>
          <w:numId w:val="58"/>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279" w:right="659" w:bottom="1440" w:gutter="0" w:footer="0" w:header="0"/>
        </w:sectPr>
      </w:pPr>
    </w:p>
    <w:bookmarkStart w:id="37" w:name="page38"/>
    <w:bookmarkEnd w:id="37"/>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Board Oversight of Sustainability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454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BOARD OF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40"/>
          <w:szCs w:val="40"/>
          <w:color w:val="298655"/>
        </w:rPr>
        <w:t>o</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 w:type="dxa"/>
            <w:vAlign w:val="bottom"/>
            <w:shd w:val="clear" w:color="auto" w:fill="EAEEF2"/>
          </w:tcPr>
          <w:p>
            <w:pPr>
              <w:spacing w:after="0"/>
              <w:rPr>
                <w:sz w:val="14"/>
                <w:szCs w:val="14"/>
                <w:color w:val="auto"/>
              </w:rPr>
            </w:pPr>
          </w:p>
        </w:tc>
        <w:tc>
          <w:tcPr>
            <w:tcW w:w="5100" w:type="dxa"/>
            <w:vAlign w:val="bottom"/>
            <w:vMerge w:val="restart"/>
            <w:shd w:val="clear" w:color="auto" w:fill="EAEEF2"/>
          </w:tcPr>
          <w:p>
            <w:pPr>
              <w:ind w:left="20"/>
              <w:spacing w:after="0"/>
              <w:rPr>
                <w:sz w:val="20"/>
                <w:szCs w:val="20"/>
                <w:color w:val="auto"/>
              </w:rPr>
            </w:pPr>
            <w:r>
              <w:rPr>
                <w:rFonts w:ascii="Arial" w:cs="Arial" w:eastAsia="Arial" w:hAnsi="Arial"/>
                <w:sz w:val="16"/>
                <w:szCs w:val="16"/>
                <w:b w:val="1"/>
                <w:bCs w:val="1"/>
                <w:color w:val="132440"/>
              </w:rPr>
              <w:t>COMPENSATION COMMITTEE</w:t>
            </w:r>
          </w:p>
        </w:tc>
        <w:tc>
          <w:tcPr>
            <w:tcW w:w="260" w:type="dxa"/>
            <w:vAlign w:val="bottom"/>
            <w:tcBorders>
              <w:right w:val="single" w:sz="8" w:color="EAEEF2"/>
            </w:tcBorders>
            <w:shd w:val="clear" w:color="auto" w:fill="EAEEF2"/>
          </w:tcPr>
          <w:p>
            <w:pPr>
              <w:spacing w:after="0"/>
              <w:rPr>
                <w:sz w:val="14"/>
                <w:szCs w:val="14"/>
                <w:color w:val="auto"/>
              </w:rPr>
            </w:pPr>
          </w:p>
        </w:tc>
        <w:tc>
          <w:tcPr>
            <w:tcW w:w="200" w:type="dxa"/>
            <w:vAlign w:val="bottom"/>
            <w:shd w:val="clear" w:color="auto" w:fill="EAEEF2"/>
          </w:tcPr>
          <w:p>
            <w:pPr>
              <w:spacing w:after="0"/>
              <w:rPr>
                <w:sz w:val="14"/>
                <w:szCs w:val="14"/>
                <w:color w:val="auto"/>
              </w:rPr>
            </w:pPr>
          </w:p>
        </w:tc>
        <w:tc>
          <w:tcPr>
            <w:tcW w:w="5400" w:type="dxa"/>
            <w:vAlign w:val="bottom"/>
            <w:gridSpan w:val="2"/>
            <w:vMerge w:val="restart"/>
            <w:shd w:val="clear" w:color="auto" w:fill="EAEEF2"/>
          </w:tcPr>
          <w:p>
            <w:pPr>
              <w:ind w:left="20"/>
              <w:spacing w:after="0"/>
              <w:rPr>
                <w:sz w:val="20"/>
                <w:szCs w:val="20"/>
                <w:color w:val="auto"/>
              </w:rPr>
            </w:pPr>
            <w:r>
              <w:rPr>
                <w:rFonts w:ascii="Arial" w:cs="Arial" w:eastAsia="Arial" w:hAnsi="Arial"/>
                <w:sz w:val="16"/>
                <w:szCs w:val="16"/>
                <w:b w:val="1"/>
                <w:bCs w:val="1"/>
                <w:color w:val="132440"/>
              </w:rPr>
              <w:t>GOVERNANCE COMMITTEE</w:t>
            </w:r>
          </w:p>
        </w:tc>
        <w:tc>
          <w:tcPr>
            <w:tcW w:w="0" w:type="dxa"/>
            <w:vAlign w:val="bottom"/>
          </w:tcPr>
          <w:p>
            <w:pPr>
              <w:spacing w:after="0"/>
              <w:rPr>
                <w:sz w:val="1"/>
                <w:szCs w:val="1"/>
                <w:color w:val="auto"/>
              </w:rPr>
            </w:pPr>
          </w:p>
        </w:tc>
      </w:tr>
      <w:tr>
        <w:trPr>
          <w:trHeight w:val="236"/>
        </w:trPr>
        <w:tc>
          <w:tcPr>
            <w:tcW w:w="280" w:type="dxa"/>
            <w:vAlign w:val="bottom"/>
            <w:shd w:val="clear" w:color="auto" w:fill="EAEEF2"/>
          </w:tcPr>
          <w:p>
            <w:pPr>
              <w:spacing w:after="0"/>
              <w:rPr>
                <w:sz w:val="20"/>
                <w:szCs w:val="20"/>
                <w:color w:val="auto"/>
              </w:rPr>
            </w:pPr>
          </w:p>
        </w:tc>
        <w:tc>
          <w:tcPr>
            <w:tcW w:w="5100" w:type="dxa"/>
            <w:vAlign w:val="bottom"/>
            <w:vMerge w:val="continue"/>
            <w:shd w:val="clear" w:color="auto" w:fill="EAEEF2"/>
          </w:tcPr>
          <w:p>
            <w:pPr>
              <w:spacing w:after="0"/>
              <w:rPr>
                <w:sz w:val="20"/>
                <w:szCs w:val="20"/>
                <w:color w:val="auto"/>
              </w:rPr>
            </w:pPr>
          </w:p>
        </w:tc>
        <w:tc>
          <w:tcPr>
            <w:tcW w:w="260" w:type="dxa"/>
            <w:vAlign w:val="bottom"/>
            <w:tcBorders>
              <w:right w:val="single" w:sz="8" w:color="298655"/>
            </w:tcBorders>
            <w:shd w:val="clear" w:color="auto" w:fill="EAEEF2"/>
          </w:tcPr>
          <w:p>
            <w:pPr>
              <w:spacing w:after="0"/>
              <w:rPr>
                <w:sz w:val="20"/>
                <w:szCs w:val="20"/>
                <w:color w:val="auto"/>
              </w:rPr>
            </w:pPr>
          </w:p>
        </w:tc>
        <w:tc>
          <w:tcPr>
            <w:tcW w:w="200" w:type="dxa"/>
            <w:vAlign w:val="bottom"/>
            <w:shd w:val="clear" w:color="auto" w:fill="EAEEF2"/>
          </w:tcPr>
          <w:p>
            <w:pPr>
              <w:spacing w:after="0"/>
              <w:rPr>
                <w:sz w:val="20"/>
                <w:szCs w:val="20"/>
                <w:color w:val="auto"/>
              </w:rPr>
            </w:pPr>
          </w:p>
        </w:tc>
        <w:tc>
          <w:tcPr>
            <w:tcW w:w="5400" w:type="dxa"/>
            <w:vAlign w:val="bottom"/>
            <w:gridSpan w:val="2"/>
            <w:vMerge w:val="continue"/>
            <w:shd w:val="clear" w:color="auto" w:fill="EAEEF2"/>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280" w:type="dxa"/>
            <w:vAlign w:val="bottom"/>
            <w:shd w:val="clear" w:color="auto" w:fill="EAEEF2"/>
          </w:tcPr>
          <w:p>
            <w:pPr>
              <w:spacing w:after="0"/>
              <w:rPr>
                <w:sz w:val="24"/>
                <w:szCs w:val="24"/>
                <w:color w:val="auto"/>
              </w:rPr>
            </w:pPr>
          </w:p>
        </w:tc>
        <w:tc>
          <w:tcPr>
            <w:tcW w:w="5100" w:type="dxa"/>
            <w:vAlign w:val="bottom"/>
            <w:shd w:val="clear" w:color="auto" w:fill="EAEEF2"/>
          </w:tcPr>
          <w:p>
            <w:pPr>
              <w:ind w:left="20"/>
              <w:spacing w:after="0"/>
              <w:rPr>
                <w:sz w:val="20"/>
                <w:szCs w:val="20"/>
                <w:color w:val="auto"/>
              </w:rPr>
            </w:pPr>
            <w:r>
              <w:rPr>
                <w:rFonts w:ascii="Arial" w:cs="Arial" w:eastAsia="Arial" w:hAnsi="Arial"/>
                <w:sz w:val="16"/>
                <w:szCs w:val="16"/>
                <w:b w:val="1"/>
                <w:bCs w:val="1"/>
                <w:color w:val="298655"/>
              </w:rPr>
              <w:t xml:space="preserve">•  </w:t>
            </w:r>
            <w:r>
              <w:rPr>
                <w:rFonts w:ascii="Arial" w:cs="Arial" w:eastAsia="Arial" w:hAnsi="Arial"/>
                <w:sz w:val="16"/>
                <w:szCs w:val="16"/>
                <w:color w:val="4D4D4F"/>
              </w:rPr>
              <w:t>Oversight and review of human capital management practices and</w:t>
            </w:r>
          </w:p>
        </w:tc>
        <w:tc>
          <w:tcPr>
            <w:tcW w:w="260" w:type="dxa"/>
            <w:vAlign w:val="bottom"/>
            <w:tcBorders>
              <w:right w:val="single" w:sz="8" w:color="298655"/>
            </w:tcBorders>
            <w:shd w:val="clear" w:color="auto" w:fill="EAEEF2"/>
          </w:tcPr>
          <w:p>
            <w:pPr>
              <w:spacing w:after="0"/>
              <w:rPr>
                <w:sz w:val="24"/>
                <w:szCs w:val="24"/>
                <w:color w:val="auto"/>
              </w:rPr>
            </w:pPr>
          </w:p>
        </w:tc>
        <w:tc>
          <w:tcPr>
            <w:tcW w:w="200" w:type="dxa"/>
            <w:vAlign w:val="bottom"/>
            <w:shd w:val="clear" w:color="auto" w:fill="EAEEF2"/>
          </w:tcPr>
          <w:p>
            <w:pPr>
              <w:spacing w:after="0"/>
              <w:rPr>
                <w:sz w:val="24"/>
                <w:szCs w:val="24"/>
                <w:color w:val="auto"/>
              </w:rPr>
            </w:pPr>
          </w:p>
        </w:tc>
        <w:tc>
          <w:tcPr>
            <w:tcW w:w="5400" w:type="dxa"/>
            <w:vAlign w:val="bottom"/>
            <w:gridSpan w:val="2"/>
            <w:shd w:val="clear" w:color="auto" w:fill="EAEEF2"/>
          </w:tcPr>
          <w:p>
            <w:pPr>
              <w:ind w:left="20"/>
              <w:spacing w:after="0"/>
              <w:rPr>
                <w:sz w:val="20"/>
                <w:szCs w:val="20"/>
                <w:color w:val="auto"/>
              </w:rPr>
            </w:pPr>
            <w:r>
              <w:rPr>
                <w:rFonts w:ascii="Arial" w:cs="Arial" w:eastAsia="Arial" w:hAnsi="Arial"/>
                <w:sz w:val="16"/>
                <w:szCs w:val="16"/>
                <w:b w:val="1"/>
                <w:bCs w:val="1"/>
                <w:color w:val="298655"/>
              </w:rPr>
              <w:t xml:space="preserve">•  </w:t>
            </w:r>
            <w:r>
              <w:rPr>
                <w:rFonts w:ascii="Arial" w:cs="Arial" w:eastAsia="Arial" w:hAnsi="Arial"/>
                <w:sz w:val="16"/>
                <w:szCs w:val="16"/>
                <w:color w:val="4D4D4F"/>
              </w:rPr>
              <w:t>Oversight and review of governance practices and policies</w:t>
            </w:r>
          </w:p>
        </w:tc>
        <w:tc>
          <w:tcPr>
            <w:tcW w:w="0" w:type="dxa"/>
            <w:vAlign w:val="bottom"/>
          </w:tcPr>
          <w:p>
            <w:pPr>
              <w:spacing w:after="0"/>
              <w:rPr>
                <w:sz w:val="1"/>
                <w:szCs w:val="1"/>
                <w:color w:val="auto"/>
              </w:rPr>
            </w:pPr>
          </w:p>
        </w:tc>
      </w:tr>
      <w:tr>
        <w:trPr>
          <w:trHeight w:val="215"/>
        </w:trPr>
        <w:tc>
          <w:tcPr>
            <w:tcW w:w="280" w:type="dxa"/>
            <w:vAlign w:val="bottom"/>
            <w:shd w:val="clear" w:color="auto" w:fill="EAEEF2"/>
          </w:tcPr>
          <w:p>
            <w:pPr>
              <w:spacing w:after="0"/>
              <w:rPr>
                <w:sz w:val="18"/>
                <w:szCs w:val="18"/>
                <w:color w:val="auto"/>
              </w:rPr>
            </w:pPr>
          </w:p>
        </w:tc>
        <w:tc>
          <w:tcPr>
            <w:tcW w:w="5100" w:type="dxa"/>
            <w:vAlign w:val="bottom"/>
            <w:shd w:val="clear" w:color="auto" w:fill="EAEEF2"/>
          </w:tcPr>
          <w:p>
            <w:pPr>
              <w:ind w:left="260"/>
              <w:spacing w:after="0"/>
              <w:rPr>
                <w:sz w:val="20"/>
                <w:szCs w:val="20"/>
                <w:color w:val="auto"/>
              </w:rPr>
            </w:pPr>
            <w:r>
              <w:rPr>
                <w:rFonts w:ascii="Arial" w:cs="Arial" w:eastAsia="Arial" w:hAnsi="Arial"/>
                <w:sz w:val="16"/>
                <w:szCs w:val="16"/>
                <w:color w:val="4D4D4F"/>
              </w:rPr>
              <w:t>policies</w:t>
            </w:r>
          </w:p>
        </w:tc>
        <w:tc>
          <w:tcPr>
            <w:tcW w:w="260" w:type="dxa"/>
            <w:vAlign w:val="bottom"/>
            <w:tcBorders>
              <w:right w:val="single" w:sz="8" w:color="298655"/>
            </w:tcBorders>
            <w:shd w:val="clear" w:color="auto" w:fill="EAEEF2"/>
          </w:tcPr>
          <w:p>
            <w:pPr>
              <w:spacing w:after="0"/>
              <w:rPr>
                <w:sz w:val="18"/>
                <w:szCs w:val="18"/>
                <w:color w:val="auto"/>
              </w:rPr>
            </w:pPr>
          </w:p>
        </w:tc>
        <w:tc>
          <w:tcPr>
            <w:tcW w:w="200" w:type="dxa"/>
            <w:vAlign w:val="bottom"/>
            <w:shd w:val="clear" w:color="auto" w:fill="EAEEF2"/>
          </w:tcPr>
          <w:p>
            <w:pPr>
              <w:spacing w:after="0"/>
              <w:rPr>
                <w:sz w:val="18"/>
                <w:szCs w:val="18"/>
                <w:color w:val="auto"/>
              </w:rPr>
            </w:pPr>
          </w:p>
        </w:tc>
        <w:tc>
          <w:tcPr>
            <w:tcW w:w="5120" w:type="dxa"/>
            <w:vAlign w:val="bottom"/>
            <w:shd w:val="clear" w:color="auto" w:fill="EAEEF2"/>
          </w:tcPr>
          <w:p>
            <w:pPr>
              <w:spacing w:after="0"/>
              <w:rPr>
                <w:sz w:val="18"/>
                <w:szCs w:val="18"/>
                <w:color w:val="auto"/>
              </w:rPr>
            </w:pPr>
          </w:p>
        </w:tc>
        <w:tc>
          <w:tcPr>
            <w:tcW w:w="280" w:type="dxa"/>
            <w:vAlign w:val="bottom"/>
            <w:shd w:val="clear" w:color="auto" w:fill="EAEEF2"/>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80" w:type="dxa"/>
            <w:vAlign w:val="bottom"/>
            <w:tcBorders>
              <w:bottom w:val="single" w:sz="8" w:color="EAEEF2"/>
            </w:tcBorders>
            <w:shd w:val="clear" w:color="auto" w:fill="EAEEF2"/>
          </w:tcPr>
          <w:p>
            <w:pPr>
              <w:spacing w:after="0"/>
              <w:rPr>
                <w:sz w:val="24"/>
                <w:szCs w:val="24"/>
                <w:color w:val="auto"/>
              </w:rPr>
            </w:pPr>
          </w:p>
        </w:tc>
        <w:tc>
          <w:tcPr>
            <w:tcW w:w="5100" w:type="dxa"/>
            <w:vAlign w:val="bottom"/>
            <w:tcBorders>
              <w:bottom w:val="single" w:sz="8" w:color="298655"/>
            </w:tcBorders>
            <w:shd w:val="clear" w:color="auto" w:fill="EAEEF2"/>
          </w:tcPr>
          <w:p>
            <w:pPr>
              <w:spacing w:after="0"/>
              <w:rPr>
                <w:sz w:val="24"/>
                <w:szCs w:val="24"/>
                <w:color w:val="auto"/>
              </w:rPr>
            </w:pPr>
          </w:p>
        </w:tc>
        <w:tc>
          <w:tcPr>
            <w:tcW w:w="260" w:type="dxa"/>
            <w:vAlign w:val="bottom"/>
            <w:tcBorders>
              <w:bottom w:val="single" w:sz="8" w:color="298655"/>
              <w:right w:val="single" w:sz="8" w:color="298655"/>
            </w:tcBorders>
            <w:shd w:val="clear" w:color="auto" w:fill="EAEEF2"/>
          </w:tcPr>
          <w:p>
            <w:pPr>
              <w:spacing w:after="0"/>
              <w:rPr>
                <w:sz w:val="24"/>
                <w:szCs w:val="24"/>
                <w:color w:val="auto"/>
              </w:rPr>
            </w:pPr>
          </w:p>
        </w:tc>
        <w:tc>
          <w:tcPr>
            <w:tcW w:w="200" w:type="dxa"/>
            <w:vAlign w:val="bottom"/>
            <w:tcBorders>
              <w:bottom w:val="single" w:sz="8" w:color="298655"/>
            </w:tcBorders>
            <w:shd w:val="clear" w:color="auto" w:fill="EAEEF2"/>
          </w:tcPr>
          <w:p>
            <w:pPr>
              <w:spacing w:after="0"/>
              <w:rPr>
                <w:sz w:val="24"/>
                <w:szCs w:val="24"/>
                <w:color w:val="auto"/>
              </w:rPr>
            </w:pPr>
          </w:p>
        </w:tc>
        <w:tc>
          <w:tcPr>
            <w:tcW w:w="5120" w:type="dxa"/>
            <w:vAlign w:val="bottom"/>
            <w:tcBorders>
              <w:bottom w:val="single" w:sz="8" w:color="298655"/>
            </w:tcBorders>
            <w:shd w:val="clear" w:color="auto" w:fill="EAEEF2"/>
          </w:tcPr>
          <w:p>
            <w:pPr>
              <w:spacing w:after="0"/>
              <w:rPr>
                <w:sz w:val="24"/>
                <w:szCs w:val="24"/>
                <w:color w:val="auto"/>
              </w:rPr>
            </w:pPr>
          </w:p>
        </w:tc>
        <w:tc>
          <w:tcPr>
            <w:tcW w:w="280" w:type="dxa"/>
            <w:vAlign w:val="bottom"/>
            <w:tcBorders>
              <w:bottom w:val="single" w:sz="8" w:color="EAEEF2"/>
            </w:tcBorders>
            <w:shd w:val="clear" w:color="auto" w:fill="EAEEF2"/>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shd w:val="clear" w:color="auto" w:fill="EAEEF2"/>
          </w:tcPr>
          <w:p>
            <w:pPr>
              <w:spacing w:after="0"/>
              <w:rPr>
                <w:sz w:val="24"/>
                <w:szCs w:val="24"/>
                <w:color w:val="auto"/>
              </w:rPr>
            </w:pPr>
          </w:p>
        </w:tc>
        <w:tc>
          <w:tcPr>
            <w:tcW w:w="5100" w:type="dxa"/>
            <w:vAlign w:val="bottom"/>
            <w:shd w:val="clear" w:color="auto" w:fill="EAEEF2"/>
          </w:tcPr>
          <w:p>
            <w:pPr>
              <w:ind w:left="20"/>
              <w:spacing w:after="0"/>
              <w:rPr>
                <w:sz w:val="20"/>
                <w:szCs w:val="20"/>
                <w:color w:val="auto"/>
              </w:rPr>
            </w:pPr>
            <w:r>
              <w:rPr>
                <w:rFonts w:ascii="Arial" w:cs="Arial" w:eastAsia="Arial" w:hAnsi="Arial"/>
                <w:sz w:val="16"/>
                <w:szCs w:val="16"/>
                <w:b w:val="1"/>
                <w:bCs w:val="1"/>
                <w:color w:val="132440"/>
              </w:rPr>
              <w:t>SUSTAINABILITY &amp; CORPORATE RESPONSIBILITY COMMITTEE</w:t>
            </w:r>
          </w:p>
        </w:tc>
        <w:tc>
          <w:tcPr>
            <w:tcW w:w="260" w:type="dxa"/>
            <w:vAlign w:val="bottom"/>
            <w:tcBorders>
              <w:right w:val="single" w:sz="8" w:color="298655"/>
            </w:tcBorders>
            <w:shd w:val="clear" w:color="auto" w:fill="EAEEF2"/>
          </w:tcPr>
          <w:p>
            <w:pPr>
              <w:spacing w:after="0"/>
              <w:rPr>
                <w:sz w:val="24"/>
                <w:szCs w:val="24"/>
                <w:color w:val="auto"/>
              </w:rPr>
            </w:pPr>
          </w:p>
        </w:tc>
        <w:tc>
          <w:tcPr>
            <w:tcW w:w="200" w:type="dxa"/>
            <w:vAlign w:val="bottom"/>
            <w:shd w:val="clear" w:color="auto" w:fill="EAEEF2"/>
          </w:tcPr>
          <w:p>
            <w:pPr>
              <w:spacing w:after="0"/>
              <w:rPr>
                <w:sz w:val="24"/>
                <w:szCs w:val="24"/>
                <w:color w:val="auto"/>
              </w:rPr>
            </w:pPr>
          </w:p>
        </w:tc>
        <w:tc>
          <w:tcPr>
            <w:tcW w:w="5120" w:type="dxa"/>
            <w:vAlign w:val="bottom"/>
            <w:shd w:val="clear" w:color="auto" w:fill="EAEEF2"/>
          </w:tcPr>
          <w:p>
            <w:pPr>
              <w:ind w:left="20"/>
              <w:spacing w:after="0"/>
              <w:rPr>
                <w:sz w:val="20"/>
                <w:szCs w:val="20"/>
                <w:color w:val="auto"/>
              </w:rPr>
            </w:pPr>
            <w:r>
              <w:rPr>
                <w:rFonts w:ascii="Arial" w:cs="Arial" w:eastAsia="Arial" w:hAnsi="Arial"/>
                <w:sz w:val="16"/>
                <w:szCs w:val="16"/>
                <w:b w:val="1"/>
                <w:bCs w:val="1"/>
                <w:color w:val="132440"/>
              </w:rPr>
              <w:t>AUDIT COMMITTEE</w:t>
            </w:r>
          </w:p>
        </w:tc>
        <w:tc>
          <w:tcPr>
            <w:tcW w:w="280" w:type="dxa"/>
            <w:vAlign w:val="bottom"/>
            <w:shd w:val="clear" w:color="auto" w:fill="EAEEF2"/>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80" w:type="dxa"/>
            <w:vAlign w:val="bottom"/>
            <w:shd w:val="clear" w:color="auto" w:fill="EAEEF2"/>
          </w:tcPr>
          <w:p>
            <w:pPr>
              <w:spacing w:after="0"/>
              <w:rPr>
                <w:sz w:val="24"/>
                <w:szCs w:val="24"/>
                <w:color w:val="auto"/>
              </w:rPr>
            </w:pPr>
          </w:p>
        </w:tc>
        <w:tc>
          <w:tcPr>
            <w:tcW w:w="5100" w:type="dxa"/>
            <w:vAlign w:val="bottom"/>
            <w:shd w:val="clear" w:color="auto" w:fill="EAEEF2"/>
          </w:tcPr>
          <w:p>
            <w:pPr>
              <w:ind w:left="20"/>
              <w:spacing w:after="0"/>
              <w:rPr>
                <w:sz w:val="20"/>
                <w:szCs w:val="20"/>
                <w:color w:val="auto"/>
              </w:rPr>
            </w:pPr>
            <w:r>
              <w:rPr>
                <w:rFonts w:ascii="Arial" w:cs="Arial" w:eastAsia="Arial" w:hAnsi="Arial"/>
                <w:sz w:val="16"/>
                <w:szCs w:val="16"/>
                <w:b w:val="1"/>
                <w:bCs w:val="1"/>
                <w:color w:val="298655"/>
              </w:rPr>
              <w:t xml:space="preserve">•  </w:t>
            </w:r>
            <w:r>
              <w:rPr>
                <w:rFonts w:ascii="Arial" w:cs="Arial" w:eastAsia="Arial" w:hAnsi="Arial"/>
                <w:sz w:val="16"/>
                <w:szCs w:val="16"/>
                <w:color w:val="4D4D4F"/>
              </w:rPr>
              <w:t>Oversight and review of Sustainability Matters</w:t>
            </w:r>
          </w:p>
        </w:tc>
        <w:tc>
          <w:tcPr>
            <w:tcW w:w="260" w:type="dxa"/>
            <w:vAlign w:val="bottom"/>
            <w:tcBorders>
              <w:right w:val="single" w:sz="8" w:color="298655"/>
            </w:tcBorders>
            <w:shd w:val="clear" w:color="auto" w:fill="EAEEF2"/>
          </w:tcPr>
          <w:p>
            <w:pPr>
              <w:spacing w:after="0"/>
              <w:rPr>
                <w:sz w:val="24"/>
                <w:szCs w:val="24"/>
                <w:color w:val="auto"/>
              </w:rPr>
            </w:pPr>
          </w:p>
        </w:tc>
        <w:tc>
          <w:tcPr>
            <w:tcW w:w="200" w:type="dxa"/>
            <w:vAlign w:val="bottom"/>
            <w:shd w:val="clear" w:color="auto" w:fill="EAEEF2"/>
          </w:tcPr>
          <w:p>
            <w:pPr>
              <w:spacing w:after="0"/>
              <w:rPr>
                <w:sz w:val="24"/>
                <w:szCs w:val="24"/>
                <w:color w:val="auto"/>
              </w:rPr>
            </w:pPr>
          </w:p>
        </w:tc>
        <w:tc>
          <w:tcPr>
            <w:tcW w:w="5120" w:type="dxa"/>
            <w:vAlign w:val="bottom"/>
            <w:shd w:val="clear" w:color="auto" w:fill="EAEEF2"/>
          </w:tcPr>
          <w:p>
            <w:pPr>
              <w:ind w:left="20"/>
              <w:spacing w:after="0"/>
              <w:rPr>
                <w:sz w:val="20"/>
                <w:szCs w:val="20"/>
                <w:color w:val="auto"/>
              </w:rPr>
            </w:pPr>
            <w:r>
              <w:rPr>
                <w:rFonts w:ascii="Arial" w:cs="Arial" w:eastAsia="Arial" w:hAnsi="Arial"/>
                <w:sz w:val="16"/>
                <w:szCs w:val="16"/>
                <w:b w:val="1"/>
                <w:bCs w:val="1"/>
                <w:color w:val="298655"/>
              </w:rPr>
              <w:t xml:space="preserve">•  </w:t>
            </w:r>
            <w:r>
              <w:rPr>
                <w:rFonts w:ascii="Arial" w:cs="Arial" w:eastAsia="Arial" w:hAnsi="Arial"/>
                <w:sz w:val="16"/>
                <w:szCs w:val="16"/>
                <w:color w:val="4D4D4F"/>
              </w:rPr>
              <w:t>Monitors and reviews our compliance with laws, regulations and</w:t>
            </w:r>
          </w:p>
        </w:tc>
        <w:tc>
          <w:tcPr>
            <w:tcW w:w="280" w:type="dxa"/>
            <w:vAlign w:val="bottom"/>
            <w:shd w:val="clear" w:color="auto" w:fill="EAEEF2"/>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80" w:type="dxa"/>
            <w:vAlign w:val="bottom"/>
            <w:shd w:val="clear" w:color="auto" w:fill="EAEEF2"/>
          </w:tcPr>
          <w:p>
            <w:pPr>
              <w:spacing w:after="0"/>
              <w:rPr>
                <w:sz w:val="18"/>
                <w:szCs w:val="18"/>
                <w:color w:val="auto"/>
              </w:rPr>
            </w:pPr>
          </w:p>
        </w:tc>
        <w:tc>
          <w:tcPr>
            <w:tcW w:w="5100" w:type="dxa"/>
            <w:vAlign w:val="bottom"/>
            <w:shd w:val="clear" w:color="auto" w:fill="EAEEF2"/>
          </w:tcPr>
          <w:p>
            <w:pPr>
              <w:spacing w:after="0"/>
              <w:rPr>
                <w:sz w:val="18"/>
                <w:szCs w:val="18"/>
                <w:color w:val="auto"/>
              </w:rPr>
            </w:pPr>
          </w:p>
        </w:tc>
        <w:tc>
          <w:tcPr>
            <w:tcW w:w="260" w:type="dxa"/>
            <w:vAlign w:val="bottom"/>
            <w:tcBorders>
              <w:right w:val="single" w:sz="8" w:color="298655"/>
            </w:tcBorders>
            <w:shd w:val="clear" w:color="auto" w:fill="EAEEF2"/>
          </w:tcPr>
          <w:p>
            <w:pPr>
              <w:spacing w:after="0"/>
              <w:rPr>
                <w:sz w:val="18"/>
                <w:szCs w:val="18"/>
                <w:color w:val="auto"/>
              </w:rPr>
            </w:pPr>
          </w:p>
        </w:tc>
        <w:tc>
          <w:tcPr>
            <w:tcW w:w="200" w:type="dxa"/>
            <w:vAlign w:val="bottom"/>
            <w:shd w:val="clear" w:color="auto" w:fill="EAEEF2"/>
          </w:tcPr>
          <w:p>
            <w:pPr>
              <w:spacing w:after="0"/>
              <w:rPr>
                <w:sz w:val="18"/>
                <w:szCs w:val="18"/>
                <w:color w:val="auto"/>
              </w:rPr>
            </w:pPr>
          </w:p>
        </w:tc>
        <w:tc>
          <w:tcPr>
            <w:tcW w:w="5120" w:type="dxa"/>
            <w:vAlign w:val="bottom"/>
            <w:shd w:val="clear" w:color="auto" w:fill="EAEEF2"/>
          </w:tcPr>
          <w:p>
            <w:pPr>
              <w:ind w:left="260"/>
              <w:spacing w:after="0"/>
              <w:rPr>
                <w:sz w:val="20"/>
                <w:szCs w:val="20"/>
                <w:color w:val="auto"/>
              </w:rPr>
            </w:pPr>
            <w:r>
              <w:rPr>
                <w:rFonts w:ascii="Arial" w:cs="Arial" w:eastAsia="Arial" w:hAnsi="Arial"/>
                <w:sz w:val="16"/>
                <w:szCs w:val="16"/>
                <w:color w:val="4D4D4F"/>
              </w:rPr>
              <w:t>our Code of Conduct</w:t>
            </w:r>
          </w:p>
        </w:tc>
        <w:tc>
          <w:tcPr>
            <w:tcW w:w="280" w:type="dxa"/>
            <w:vAlign w:val="bottom"/>
            <w:shd w:val="clear" w:color="auto" w:fill="EAEEF2"/>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80" w:type="dxa"/>
            <w:vAlign w:val="bottom"/>
            <w:shd w:val="clear" w:color="auto" w:fill="EAEEF2"/>
          </w:tcPr>
          <w:p>
            <w:pPr>
              <w:spacing w:after="0"/>
              <w:rPr>
                <w:sz w:val="17"/>
                <w:szCs w:val="17"/>
                <w:color w:val="auto"/>
              </w:rPr>
            </w:pPr>
          </w:p>
        </w:tc>
        <w:tc>
          <w:tcPr>
            <w:tcW w:w="5100" w:type="dxa"/>
            <w:vAlign w:val="bottom"/>
            <w:shd w:val="clear" w:color="auto" w:fill="EAEEF2"/>
          </w:tcPr>
          <w:p>
            <w:pPr>
              <w:spacing w:after="0"/>
              <w:rPr>
                <w:sz w:val="17"/>
                <w:szCs w:val="17"/>
                <w:color w:val="auto"/>
              </w:rPr>
            </w:pPr>
          </w:p>
        </w:tc>
        <w:tc>
          <w:tcPr>
            <w:tcW w:w="260" w:type="dxa"/>
            <w:vAlign w:val="bottom"/>
            <w:tcBorders>
              <w:right w:val="single" w:sz="8" w:color="298655"/>
            </w:tcBorders>
            <w:shd w:val="clear" w:color="auto" w:fill="EAEEF2"/>
          </w:tcPr>
          <w:p>
            <w:pPr>
              <w:spacing w:after="0"/>
              <w:rPr>
                <w:sz w:val="17"/>
                <w:szCs w:val="17"/>
                <w:color w:val="auto"/>
              </w:rPr>
            </w:pPr>
          </w:p>
        </w:tc>
        <w:tc>
          <w:tcPr>
            <w:tcW w:w="200" w:type="dxa"/>
            <w:vAlign w:val="bottom"/>
            <w:shd w:val="clear" w:color="auto" w:fill="EAEEF2"/>
          </w:tcPr>
          <w:p>
            <w:pPr>
              <w:spacing w:after="0"/>
              <w:rPr>
                <w:sz w:val="17"/>
                <w:szCs w:val="17"/>
                <w:color w:val="auto"/>
              </w:rPr>
            </w:pPr>
          </w:p>
        </w:tc>
        <w:tc>
          <w:tcPr>
            <w:tcW w:w="5120" w:type="dxa"/>
            <w:vAlign w:val="bottom"/>
            <w:shd w:val="clear" w:color="auto" w:fill="EAEEF2"/>
          </w:tcPr>
          <w:p>
            <w:pPr>
              <w:spacing w:after="0"/>
              <w:rPr>
                <w:sz w:val="17"/>
                <w:szCs w:val="17"/>
                <w:color w:val="auto"/>
              </w:rPr>
            </w:pPr>
          </w:p>
        </w:tc>
        <w:tc>
          <w:tcPr>
            <w:tcW w:w="280" w:type="dxa"/>
            <w:vAlign w:val="bottom"/>
            <w:shd w:val="clear" w:color="auto" w:fill="EAEEF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 w:type="dxa"/>
            <w:vAlign w:val="bottom"/>
            <w:shd w:val="clear" w:color="auto" w:fill="EAEEF2"/>
          </w:tcPr>
          <w:p>
            <w:pPr>
              <w:spacing w:after="0"/>
              <w:rPr>
                <w:sz w:val="14"/>
                <w:szCs w:val="14"/>
                <w:color w:val="auto"/>
              </w:rPr>
            </w:pPr>
          </w:p>
        </w:tc>
        <w:tc>
          <w:tcPr>
            <w:tcW w:w="5100" w:type="dxa"/>
            <w:vAlign w:val="bottom"/>
            <w:shd w:val="clear" w:color="auto" w:fill="EAEEF2"/>
          </w:tcPr>
          <w:p>
            <w:pPr>
              <w:spacing w:after="0"/>
              <w:rPr>
                <w:sz w:val="14"/>
                <w:szCs w:val="14"/>
                <w:color w:val="auto"/>
              </w:rPr>
            </w:pPr>
          </w:p>
        </w:tc>
        <w:tc>
          <w:tcPr>
            <w:tcW w:w="260" w:type="dxa"/>
            <w:vAlign w:val="bottom"/>
            <w:tcBorders>
              <w:right w:val="single" w:sz="8" w:color="EAEEF2"/>
            </w:tcBorders>
            <w:shd w:val="clear" w:color="auto" w:fill="EAEEF2"/>
          </w:tcPr>
          <w:p>
            <w:pPr>
              <w:spacing w:after="0"/>
              <w:rPr>
                <w:sz w:val="14"/>
                <w:szCs w:val="14"/>
                <w:color w:val="auto"/>
              </w:rPr>
            </w:pPr>
          </w:p>
        </w:tc>
        <w:tc>
          <w:tcPr>
            <w:tcW w:w="200" w:type="dxa"/>
            <w:vAlign w:val="bottom"/>
            <w:shd w:val="clear" w:color="auto" w:fill="EAEEF2"/>
          </w:tcPr>
          <w:p>
            <w:pPr>
              <w:spacing w:after="0"/>
              <w:rPr>
                <w:sz w:val="14"/>
                <w:szCs w:val="14"/>
                <w:color w:val="auto"/>
              </w:rPr>
            </w:pPr>
          </w:p>
        </w:tc>
        <w:tc>
          <w:tcPr>
            <w:tcW w:w="5120" w:type="dxa"/>
            <w:vAlign w:val="bottom"/>
            <w:shd w:val="clear" w:color="auto" w:fill="EAEEF2"/>
          </w:tcPr>
          <w:p>
            <w:pPr>
              <w:spacing w:after="0"/>
              <w:rPr>
                <w:sz w:val="14"/>
                <w:szCs w:val="14"/>
                <w:color w:val="auto"/>
              </w:rPr>
            </w:pPr>
          </w:p>
        </w:tc>
        <w:tc>
          <w:tcPr>
            <w:tcW w:w="280" w:type="dxa"/>
            <w:vAlign w:val="bottom"/>
            <w:shd w:val="clear" w:color="auto" w:fill="EAEEF2"/>
          </w:tcPr>
          <w:p>
            <w:pPr>
              <w:spacing w:after="0"/>
              <w:rPr>
                <w:sz w:val="14"/>
                <w:szCs w:val="1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40"/>
          <w:szCs w:val="40"/>
          <w:color w:val="298655"/>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454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SUSTAINABILITY MANAGEMENT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4D4D4F"/>
        </w:rPr>
        <w:t>Identifies, develops and drives the implementation of our strategy, goals and objectives with respect to Sustainability Matters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Climate-Related Risks and Opportunities</w:t>
      </w:r>
    </w:p>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6"/>
          <w:szCs w:val="16"/>
          <w:color w:val="4D4D4F"/>
        </w:rPr>
        <w:t>We manage climate-related risks and opportunities at various levels throughout our organization. The Sustainability &amp; Corporate Responsibility Committee of the Board is responsible for overseeing and providing input on our identification, assessment and management of risks associated with Sustainability Matters, such as climate change and its impact on us and our business. Our senior management, with the support of our Global Physical Operations Center of Excellence and our Sustainability Management Committee, is responsible for monitoring, evaluating and reporting to the Board and its committees, as appropriate, the status of any climate-related risks and opportunities, as well as the strategies being implemented to address key risks and opportunities. Our Vice President of Global Sustainability, along with our carbon footprint reporting team, also monitors and reports the status of our greenhouse gas (“GHG”) emissions reduction goals to our senior management and the Sustainability Management Committee on a routine basis.</w:t>
      </w:r>
    </w:p>
    <w:p>
      <w:pPr>
        <w:spacing w:after="0" w:line="13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4D4D4F"/>
        </w:rPr>
        <w:t>Our senior management regularly updates the Sustainability &amp; Corporate Responsibility Committee on climate-related risks and opportunities within our businesses and reviews our strategic plans for transitioning our business model to a net zero economy. Throughout the year, our management advises the Sustainability &amp; Corporate Responsibility Committee of our progress on meeting our established goals and objectives, including the actions we are taking to reduce our GHG emissions within our operations and the key drivers of any year-over-year variances. The Sustainability &amp; Corporate Responsibility Committee also receives reports from various business leaders on topics such as the latest developments and status of renewable and lower carbon fuels within the transportation sector, as well as any new sustainability solutions being developed to support our customers in meeting their own carbon reduction goals.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Code of Conduct</w:t>
      </w:r>
    </w:p>
    <w:p>
      <w:pPr>
        <w:spacing w:after="0" w:line="15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4D4D4F"/>
        </w:rPr>
        <w:t>All of our employees, officers (including our principal executive, financial and accounting officers) and directors are held accountable for adherence to our Code of Conduct. Our Code of Conduct is designed to help us meet our responsibility of conducting our business in compliance with laws and good ethical practice. Our Code of Conduct is available in multiple languages on our website at world-kinect.com by clicking on About Us and then Ethics &amp; Compliance, or by clicking on our Investor Relations website at ir.worldkinect.com under Corporate Governance. We intend to disclose any substantive amendments to our Code of Conduct and any waivers with respect to our Code of Conduct granted to our officers (including our principal executive, financial and accounting officers) and directors on our website at world-kinect.com. We have also established a separate Business Partner Code of Conduct outlining our standards and expectations of our suppliers and other business partners, which can also be found in the Investor Relations section of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35</w:t>
            </w:r>
          </w:p>
        </w:tc>
      </w:tr>
      <w:tr>
        <w:trPr>
          <w:trHeight w:val="211"/>
        </w:trPr>
        <w:tc>
          <w:tcPr>
            <w:tcW w:w="108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Review and Approval of Related Person Transactions</w:t>
      </w:r>
    </w:p>
    <w:p>
      <w:pPr>
        <w:spacing w:after="0" w:line="15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4D4D4F"/>
        </w:rPr>
        <w:t>Related person transactions can create actual or potential conflicts of interests and can create the appearance that certain decisions may not be in the best interest of us or our shareholders. Therefore, our Board has adopted a written policy with respect to related person transactions. It is our policy that, as a general matter, we should avoid related person transactions except in circumstances where the transaction is consistent with our best interests, such as obtaining products or services that are not readily available from alternative sources or when the transaction meets the standards that apply to similar transactions with unrelated third parties.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D4D4F"/>
        </w:rPr>
        <w:t>For purposes of our policy, we review all of the following relationships and transactions between us and:</w:t>
      </w:r>
    </w:p>
    <w:p>
      <w:pPr>
        <w:spacing w:after="0" w:line="194" w:lineRule="exact"/>
        <w:rPr>
          <w:sz w:val="20"/>
          <w:szCs w:val="20"/>
          <w:color w:val="auto"/>
        </w:rPr>
      </w:pPr>
    </w:p>
    <w:p>
      <w:pPr>
        <w:ind w:left="500" w:right="360" w:hanging="249"/>
        <w:spacing w:after="0" w:line="321" w:lineRule="auto"/>
        <w:tabs>
          <w:tab w:leader="none" w:pos="489" w:val="left"/>
        </w:tabs>
        <w:numPr>
          <w:ilvl w:val="0"/>
          <w:numId w:val="59"/>
        </w:numPr>
        <w:rPr>
          <w:rFonts w:ascii="Arial" w:cs="Arial" w:eastAsia="Arial" w:hAnsi="Arial"/>
          <w:sz w:val="16"/>
          <w:szCs w:val="16"/>
          <w:b w:val="1"/>
          <w:bCs w:val="1"/>
          <w:color w:val="00529B"/>
        </w:rPr>
      </w:pPr>
      <w:r>
        <w:rPr>
          <w:rFonts w:ascii="Arial" w:cs="Arial" w:eastAsia="Arial" w:hAnsi="Arial"/>
          <w:sz w:val="16"/>
          <w:szCs w:val="16"/>
          <w:color w:val="4D4D4F"/>
        </w:rPr>
        <w:t>our directors and executive officers, including persons who have at any time since the beginning of our last fiscal year served in that role and any nominees to become a director;</w:t>
      </w:r>
    </w:p>
    <w:p>
      <w:pPr>
        <w:spacing w:after="0" w:line="47" w:lineRule="exact"/>
        <w:rPr>
          <w:rFonts w:ascii="Arial" w:cs="Arial" w:eastAsia="Arial" w:hAnsi="Arial"/>
          <w:sz w:val="16"/>
          <w:szCs w:val="16"/>
          <w:b w:val="1"/>
          <w:bCs w:val="1"/>
          <w:color w:val="00529B"/>
        </w:rPr>
      </w:pPr>
    </w:p>
    <w:p>
      <w:pPr>
        <w:ind w:left="480" w:hanging="229"/>
        <w:spacing w:after="0"/>
        <w:tabs>
          <w:tab w:leader="none" w:pos="480" w:val="left"/>
        </w:tabs>
        <w:numPr>
          <w:ilvl w:val="0"/>
          <w:numId w:val="59"/>
        </w:numPr>
        <w:rPr>
          <w:rFonts w:ascii="Arial" w:cs="Arial" w:eastAsia="Arial" w:hAnsi="Arial"/>
          <w:sz w:val="16"/>
          <w:szCs w:val="16"/>
          <w:b w:val="1"/>
          <w:bCs w:val="1"/>
          <w:color w:val="00529B"/>
        </w:rPr>
      </w:pPr>
      <w:r>
        <w:rPr>
          <w:rFonts w:ascii="Arial" w:cs="Arial" w:eastAsia="Arial" w:hAnsi="Arial"/>
          <w:sz w:val="16"/>
          <w:szCs w:val="16"/>
          <w:color w:val="4D4D4F"/>
        </w:rPr>
        <w:t>any person we know to be the beneficial owner of more than 5% of any class of our voting securities;</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59"/>
        </w:numPr>
        <w:rPr>
          <w:rFonts w:ascii="Arial" w:cs="Arial" w:eastAsia="Arial" w:hAnsi="Arial"/>
          <w:sz w:val="16"/>
          <w:szCs w:val="16"/>
          <w:b w:val="1"/>
          <w:bCs w:val="1"/>
          <w:color w:val="00529B"/>
        </w:rPr>
      </w:pPr>
      <w:r>
        <w:rPr>
          <w:rFonts w:ascii="Arial" w:cs="Arial" w:eastAsia="Arial" w:hAnsi="Arial"/>
          <w:sz w:val="16"/>
          <w:szCs w:val="16"/>
          <w:color w:val="4D4D4F"/>
        </w:rPr>
        <w:t>any immediate family member or any person (other than tenants or employees) sharing the household of any of the foregoing; and</w:t>
      </w:r>
    </w:p>
    <w:p>
      <w:pPr>
        <w:spacing w:after="0" w:line="140" w:lineRule="exact"/>
        <w:rPr>
          <w:rFonts w:ascii="Arial" w:cs="Arial" w:eastAsia="Arial" w:hAnsi="Arial"/>
          <w:sz w:val="16"/>
          <w:szCs w:val="16"/>
          <w:b w:val="1"/>
          <w:bCs w:val="1"/>
          <w:color w:val="00529B"/>
        </w:rPr>
      </w:pPr>
    </w:p>
    <w:p>
      <w:pPr>
        <w:ind w:left="500" w:right="480" w:hanging="249"/>
        <w:spacing w:after="0" w:line="321" w:lineRule="auto"/>
        <w:tabs>
          <w:tab w:leader="none" w:pos="489" w:val="left"/>
        </w:tabs>
        <w:numPr>
          <w:ilvl w:val="0"/>
          <w:numId w:val="59"/>
        </w:numPr>
        <w:rPr>
          <w:rFonts w:ascii="Arial" w:cs="Arial" w:eastAsia="Arial" w:hAnsi="Arial"/>
          <w:sz w:val="16"/>
          <w:szCs w:val="16"/>
          <w:b w:val="1"/>
          <w:bCs w:val="1"/>
          <w:color w:val="00529B"/>
        </w:rPr>
      </w:pPr>
      <w:r>
        <w:rPr>
          <w:rFonts w:ascii="Arial" w:cs="Arial" w:eastAsia="Arial" w:hAnsi="Arial"/>
          <w:sz w:val="16"/>
          <w:szCs w:val="16"/>
          <w:color w:val="4D4D4F"/>
        </w:rPr>
        <w:t>any entity in which any of the foregoing persons is an officer, partner, employee or in a similar position, or in which such person owns directly or indirectly at least 5% equity interest.</w:t>
      </w:r>
    </w:p>
    <w:p>
      <w:pPr>
        <w:spacing w:after="0" w:line="102" w:lineRule="exact"/>
        <w:rPr>
          <w:sz w:val="20"/>
          <w:szCs w:val="20"/>
          <w:color w:val="auto"/>
        </w:rPr>
      </w:pPr>
    </w:p>
    <w:p>
      <w:pPr>
        <w:spacing w:after="0" w:line="286" w:lineRule="auto"/>
        <w:rPr>
          <w:sz w:val="20"/>
          <w:szCs w:val="20"/>
          <w:color w:val="auto"/>
        </w:rPr>
      </w:pPr>
      <w:r>
        <w:rPr>
          <w:rFonts w:ascii="Arial" w:cs="Arial" w:eastAsia="Arial" w:hAnsi="Arial"/>
          <w:sz w:val="16"/>
          <w:szCs w:val="16"/>
          <w:color w:val="4D4D4F"/>
        </w:rPr>
        <w:t>Pursuant to our policy, prior to entering into any proposed related party transaction, the Governance Committee is responsible for reviewing, and if appropriate, approving and overseeing any such proposed related party transaction, which includes any arrangement or relationship (including any indebtedness or guarantee of indebtedness) or any series of similar transactions, arrangements or relationships in which we (including any of our subsidiaries) were, are or will be a participant and the amount involved exceeds $120,000, and in which any related person had, has or will have a direct or indirect material interest. The foregoing rule will not be applied to those transactions exempt under Item 404(a) of Regulation S-K, such as the employment of an executive officer or compensation of a director if such executive officer’s or director’s compensation is required to be, or otherwise would be required to be, reported under the SEC’s compensation disclosure requirements, any transaction with another entity where the related person’s only relationship is as a beneficial owner of less than 1% of that corporation’s publicly traded securities, or any transaction where the related person’s interest arises solely from the ownership of our common stock and where all shareholders received the same benefit on a pro rata basis (e.g. dividends).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4D4D4F"/>
        </w:rPr>
        <w:t>In addition, the Governance Committee has determined that the following types of transactions, which involve ordinary course business transactions,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D4D4F"/>
        </w:rPr>
        <w:t>not be deemed to create or involve a direct or indirect “material” interest for a Related Person, even if the aggregate amount involved exceeds $120,000: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D4D4F"/>
        </w:rPr>
        <w:t>a transaction in which the related person’s interests arises solely based on his or her position as an employee or executive officer of the other entity and (i)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D4D4F"/>
        </w:rPr>
        <w:t>the related person was not involved in the transaction, (ii) the transaction was entered into in our ordinary course of business and on substantially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D4D4F"/>
        </w:rPr>
        <w:t>terms as those prevailing at the time for comparable transactions with non-affiliated persons, and (iii) the transaction does not involve the greater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D4D4F"/>
        </w:rPr>
        <w:t>$500,000 or 2% of the recipient’s total annual revenues and (2) any charitable contributions if the related person’s interest arises only from (i) the person’s or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4D4D4F"/>
        </w:rPr>
        <w:t>the person’s immediate family member’s position as an employee (other than an executive officer) or other position that does not involve policy-making</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4D4D4F"/>
        </w:rPr>
        <w:t>decisions or (ii) the person’s or persons’ immediate family member’s position as an executive officer or director and the aggregate amount involved does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D4D4F"/>
        </w:rPr>
        <w:t>exceed the lesser of $1,000,000 or 2% of the charitable organization’s total annual receipts.</w:t>
      </w:r>
    </w:p>
    <w:p>
      <w:pPr>
        <w:spacing w:after="0" w:line="19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4D4D4F"/>
        </w:rPr>
        <w:t>If the Chair of the Governance Committee determines that a proposed transaction is a related person transaction, it will submit the proposed transaction to the Governance Committee for approval. The Governance Committee will analyze the following factors, in addition to any other factors the Governance Committee deems appropriate, in determining whether to approve a related person transaction:</w:t>
      </w:r>
    </w:p>
    <w:p>
      <w:pPr>
        <w:spacing w:after="0" w:line="118" w:lineRule="exact"/>
        <w:rPr>
          <w:sz w:val="20"/>
          <w:szCs w:val="20"/>
          <w:color w:val="auto"/>
        </w:rPr>
      </w:pPr>
    </w:p>
    <w:p>
      <w:pPr>
        <w:ind w:left="480" w:hanging="229"/>
        <w:spacing w:after="0"/>
        <w:tabs>
          <w:tab w:leader="none" w:pos="480" w:val="left"/>
        </w:tabs>
        <w:numPr>
          <w:ilvl w:val="0"/>
          <w:numId w:val="60"/>
        </w:numPr>
        <w:rPr>
          <w:rFonts w:ascii="Arial" w:cs="Arial" w:eastAsia="Arial" w:hAnsi="Arial"/>
          <w:sz w:val="16"/>
          <w:szCs w:val="16"/>
          <w:b w:val="1"/>
          <w:bCs w:val="1"/>
          <w:color w:val="00529B"/>
        </w:rPr>
      </w:pPr>
      <w:r>
        <w:rPr>
          <w:rFonts w:ascii="Arial" w:cs="Arial" w:eastAsia="Arial" w:hAnsi="Arial"/>
          <w:sz w:val="16"/>
          <w:szCs w:val="16"/>
          <w:color w:val="4D4D4F"/>
        </w:rPr>
        <w:t>the benefits to us;</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60"/>
        </w:numPr>
        <w:rPr>
          <w:rFonts w:ascii="Arial" w:cs="Arial" w:eastAsia="Arial" w:hAnsi="Arial"/>
          <w:sz w:val="16"/>
          <w:szCs w:val="16"/>
          <w:b w:val="1"/>
          <w:bCs w:val="1"/>
          <w:color w:val="00529B"/>
        </w:rPr>
      </w:pPr>
      <w:r>
        <w:rPr>
          <w:rFonts w:ascii="Arial" w:cs="Arial" w:eastAsia="Arial" w:hAnsi="Arial"/>
          <w:sz w:val="16"/>
          <w:szCs w:val="16"/>
          <w:color w:val="4D4D4F"/>
        </w:rPr>
        <w:t>the impact on a director’s independence, if relevant;</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60"/>
        </w:numPr>
        <w:rPr>
          <w:rFonts w:ascii="Arial" w:cs="Arial" w:eastAsia="Arial" w:hAnsi="Arial"/>
          <w:sz w:val="16"/>
          <w:szCs w:val="16"/>
          <w:b w:val="1"/>
          <w:bCs w:val="1"/>
          <w:color w:val="00529B"/>
        </w:rPr>
      </w:pPr>
      <w:r>
        <w:rPr>
          <w:rFonts w:ascii="Arial" w:cs="Arial" w:eastAsia="Arial" w:hAnsi="Arial"/>
          <w:sz w:val="16"/>
          <w:szCs w:val="16"/>
          <w:color w:val="4D4D4F"/>
        </w:rPr>
        <w:t>the availability of other sources for comparable products or services;</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60"/>
        </w:numPr>
        <w:rPr>
          <w:rFonts w:ascii="Arial" w:cs="Arial" w:eastAsia="Arial" w:hAnsi="Arial"/>
          <w:sz w:val="16"/>
          <w:szCs w:val="16"/>
          <w:b w:val="1"/>
          <w:bCs w:val="1"/>
          <w:color w:val="00529B"/>
        </w:rPr>
      </w:pPr>
      <w:r>
        <w:rPr>
          <w:rFonts w:ascii="Arial" w:cs="Arial" w:eastAsia="Arial" w:hAnsi="Arial"/>
          <w:sz w:val="16"/>
          <w:szCs w:val="16"/>
          <w:color w:val="4D4D4F"/>
        </w:rPr>
        <w:t>the terms of the transaction; and</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60"/>
        </w:numPr>
        <w:rPr>
          <w:rFonts w:ascii="Arial" w:cs="Arial" w:eastAsia="Arial" w:hAnsi="Arial"/>
          <w:sz w:val="16"/>
          <w:szCs w:val="16"/>
          <w:b w:val="1"/>
          <w:bCs w:val="1"/>
          <w:color w:val="00529B"/>
        </w:rPr>
      </w:pPr>
      <w:r>
        <w:rPr>
          <w:rFonts w:ascii="Arial" w:cs="Arial" w:eastAsia="Arial" w:hAnsi="Arial"/>
          <w:sz w:val="16"/>
          <w:szCs w:val="16"/>
          <w:color w:val="4D4D4F"/>
        </w:rPr>
        <w:t>the terms available to unrelated third parties or to employees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0" w:hanging="534"/>
        <w:spacing w:after="0"/>
        <w:tabs>
          <w:tab w:leader="none" w:pos="560" w:val="left"/>
        </w:tabs>
        <w:numPr>
          <w:ilvl w:val="0"/>
          <w:numId w:val="61"/>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39" w:name="page40"/>
    <w:bookmarkEnd w:id="39"/>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4D4D4F"/>
        </w:rPr>
        <w:t>The Governance Committee will only pre-approve related person transactions that are consistent with our best interests and those of our shareholders. The Governance Committee’s approval is not a directive to enter into the related person transaction; rather, it is evidence that the Governance Committee does not object to the transaction based on the related nature of the transaction. The Governance Committee will regularly review any ongoing related person transactions that had been previously approved to determine whether it remains in our best interests and those of our shareholders to continue, modify or terminate the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4D4D4F"/>
        </w:rPr>
        <w:t>There were no reportable related person transactions in 2023.</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Sustainability and Corporate Responsibility</w:t>
      </w:r>
    </w:p>
    <w:p>
      <w:pPr>
        <w:spacing w:after="0" w:line="141" w:lineRule="exact"/>
        <w:rPr>
          <w:sz w:val="20"/>
          <w:szCs w:val="20"/>
          <w:color w:val="auto"/>
        </w:rPr>
      </w:pPr>
    </w:p>
    <w:p>
      <w:pPr>
        <w:ind w:right="580"/>
        <w:spacing w:after="0" w:line="321" w:lineRule="auto"/>
        <w:rPr>
          <w:sz w:val="20"/>
          <w:szCs w:val="20"/>
          <w:color w:val="auto"/>
        </w:rPr>
      </w:pPr>
      <w:r>
        <w:rPr>
          <w:rFonts w:ascii="Arial" w:cs="Arial" w:eastAsia="Arial" w:hAnsi="Arial"/>
          <w:sz w:val="16"/>
          <w:szCs w:val="16"/>
          <w:color w:val="4D4D4F"/>
        </w:rPr>
        <w:t>At World Kinect, we are focused on driving sustainable value for our customers, shareholders and the planet. We are continuously working to identify opportunities to protect the environment, support our people, and conduct our business safely and responsibly.</w:t>
      </w:r>
    </w:p>
    <w:p>
      <w:pPr>
        <w:spacing w:after="0" w:line="102"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4D4D4F"/>
        </w:rPr>
        <w:t>While sustainability and climate change are often associated with business risks, we also believe that it presents a wide range of opportunities for us to support our customers and supply partners in navigating the energy transition. We are not only working on reducing the carbon intensity of our own operations, but are also collaborating with customers, suppliers, and other industry partners to facilitate the transition to a sustainable future.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Sustainable Development</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4D4D4F"/>
        </w:rPr>
        <w:t>As a global company, we are focused on creating a positive impact, encouraging our employees to support the communities in which they live, and engaging with and supporting charities in all aspects of society. For us, fostering sustainable growth is about conducting our business in a manner that promotes a healthy environment and strengthens the local communities where we operate. We believe that this approach enables us to deliver long-term value to all our stakeholders, as well as uphold the principles of the United Nations (UN) Global Compact, including the protection of employees, respect for individual rights, and engagement with local communities.</w:t>
      </w:r>
    </w:p>
    <w:p>
      <w:pPr>
        <w:spacing w:after="0" w:line="127"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4D4D4F"/>
        </w:rPr>
        <w:t>Since 2020, we have continued to focus on the following UN Sustainable Development Goals (SDGs) as we believe they represent areas where we can have the greatest positive impact and create the most value for all of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107950</wp:posOffset>
            </wp:positionV>
            <wp:extent cx="5966460" cy="8140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64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Enabling the Energy Transition</w:t>
      </w:r>
    </w:p>
    <w:p>
      <w:pPr>
        <w:spacing w:after="0" w:line="23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4D4D4F"/>
        </w:rPr>
        <w:t>We believe that environmental stewardship is at the core of our business. As such, we must continuously seek to identify opportunities to make a positive contribution to protecting our environment and reducing the impact of our global operations. We are committed to doing our part by reducing GHG emissions in our own operations and collaborating with our customers, suppliers and other stakeholders to reduce carbon emissions throughout our value chain.</w:t>
      </w:r>
    </w:p>
    <w:p>
      <w:pPr>
        <w:spacing w:after="0" w:line="118"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4D4D4F"/>
        </w:rPr>
        <w:t>While we recognize the risks associated with climate change and are actively working to reduce our own emissions, we also believe that the energy transition presents a wide range of opportunities for us to support our customers and suppliers in shifting to lower carbon alternatives. An area where we believe we can have the greatest impact on advancing the global energy transition is through working with our suppliers and expanding our portfolio of energy solutions to provide customers with greater access to sustainably sourced energy and other lower carbon solutions as well as mechanisms to compensate for any residual emissions. As a trusted strategic partner, we have been working diligently to develop sustainability solutions and offer renewable energy and sustainable fuel products, as well as carbon reduction advisory services to support our customers in managing their energy needs, while reducing their environmental impact on the planet.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37</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33604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520"/>
        <w:spacing w:after="0"/>
        <w:rPr>
          <w:sz w:val="20"/>
          <w:szCs w:val="20"/>
          <w:color w:val="auto"/>
        </w:rPr>
      </w:pPr>
      <w:r>
        <w:rPr>
          <w:rFonts w:ascii="Arial" w:cs="Arial" w:eastAsia="Arial" w:hAnsi="Arial"/>
          <w:sz w:val="25"/>
          <w:szCs w:val="25"/>
          <w:b w:val="1"/>
          <w:bCs w:val="1"/>
          <w:color w:val="298655"/>
        </w:rPr>
        <w:t>THE EVOLUTION OF OUR BUSINESS</w:t>
      </w:r>
    </w:p>
    <w:p>
      <w:pPr>
        <w:spacing w:after="0" w:line="200" w:lineRule="exact"/>
        <w:rPr>
          <w:sz w:val="20"/>
          <w:szCs w:val="20"/>
          <w:color w:val="auto"/>
        </w:rPr>
      </w:pPr>
    </w:p>
    <w:p>
      <w:pPr>
        <w:spacing w:after="0" w:line="292" w:lineRule="exact"/>
        <w:rPr>
          <w:sz w:val="20"/>
          <w:szCs w:val="20"/>
          <w:color w:val="auto"/>
        </w:rPr>
      </w:pPr>
    </w:p>
    <w:p>
      <w:pPr>
        <w:jc w:val="both"/>
        <w:ind w:left="540" w:right="460"/>
        <w:spacing w:after="0" w:line="301" w:lineRule="auto"/>
        <w:rPr>
          <w:sz w:val="20"/>
          <w:szCs w:val="20"/>
          <w:color w:val="auto"/>
        </w:rPr>
      </w:pPr>
      <w:r>
        <w:rPr>
          <w:rFonts w:ascii="Arial" w:cs="Arial" w:eastAsia="Arial" w:hAnsi="Arial"/>
          <w:sz w:val="16"/>
          <w:szCs w:val="16"/>
          <w:color w:val="4D4D4F"/>
        </w:rPr>
        <w:t>Since our inception, the core of our business has been providing fuel and related services to our customers, principally in the aviation, land and marine transportation industries. However, over the past several decades, our corporate strategy has evolved, and we now offer a broad range of products and solutions across the energy spectrum.</w:t>
      </w:r>
    </w:p>
    <w:p>
      <w:pPr>
        <w:spacing w:after="0" w:line="172" w:lineRule="exact"/>
        <w:rPr>
          <w:sz w:val="20"/>
          <w:szCs w:val="20"/>
          <w:color w:val="auto"/>
        </w:rPr>
      </w:pPr>
    </w:p>
    <w:p>
      <w:pPr>
        <w:jc w:val="both"/>
        <w:ind w:left="540" w:right="400"/>
        <w:spacing w:after="0" w:line="301" w:lineRule="auto"/>
        <w:rPr>
          <w:sz w:val="20"/>
          <w:szCs w:val="20"/>
          <w:color w:val="auto"/>
        </w:rPr>
      </w:pPr>
      <w:r>
        <w:rPr>
          <w:rFonts w:ascii="Arial" w:cs="Arial" w:eastAsia="Arial" w:hAnsi="Arial"/>
          <w:sz w:val="16"/>
          <w:szCs w:val="16"/>
          <w:color w:val="4D4D4F"/>
        </w:rPr>
        <w:t>Our approach to sustainability is deliberate and collaborative. We have broadened our supply fulfillment capabilities to include renewable fuels, like renewable diesel and sustainable aviation fuel, along with natural gas and power. To better serve the needs of our customers and suppliers, we have also invested in a variety of technologies and expanded our digital offerings.</w:t>
      </w:r>
    </w:p>
    <w:p>
      <w:pPr>
        <w:spacing w:after="0" w:line="118" w:lineRule="exact"/>
        <w:rPr>
          <w:sz w:val="20"/>
          <w:szCs w:val="20"/>
          <w:color w:val="auto"/>
        </w:rPr>
      </w:pPr>
    </w:p>
    <w:p>
      <w:pPr>
        <w:jc w:val="both"/>
        <w:ind w:left="540" w:right="460"/>
        <w:spacing w:after="0" w:line="295" w:lineRule="auto"/>
        <w:rPr>
          <w:sz w:val="20"/>
          <w:szCs w:val="20"/>
          <w:color w:val="auto"/>
        </w:rPr>
      </w:pPr>
      <w:r>
        <w:rPr>
          <w:rFonts w:ascii="Arial" w:cs="Arial" w:eastAsia="Arial" w:hAnsi="Arial"/>
          <w:sz w:val="16"/>
          <w:szCs w:val="16"/>
          <w:color w:val="4D4D4F"/>
        </w:rPr>
        <w:t>We have also worked to enhance our energy solution-oriented capabilities around the globe to continue to provide our customers with superior service in our existing activities. This includes decarbonization and energy efficiency advisory services, carbon footprint reporting, on-site solar and other renewable energy alternatives, as well as carbon offsets and renewable energy certificates. This allows us to offer a diverse range of products and services that extend beyond our traditional core businesses.</w:t>
      </w:r>
    </w:p>
    <w:p>
      <w:pPr>
        <w:spacing w:after="0" w:line="121" w:lineRule="exact"/>
        <w:rPr>
          <w:sz w:val="20"/>
          <w:szCs w:val="20"/>
          <w:color w:val="auto"/>
        </w:rPr>
      </w:pPr>
    </w:p>
    <w:p>
      <w:pPr>
        <w:ind w:left="540" w:right="360"/>
        <w:spacing w:after="0" w:line="292" w:lineRule="auto"/>
        <w:rPr>
          <w:sz w:val="20"/>
          <w:szCs w:val="20"/>
          <w:color w:val="auto"/>
        </w:rPr>
      </w:pPr>
      <w:r>
        <w:rPr>
          <w:rFonts w:ascii="Arial" w:cs="Arial" w:eastAsia="Arial" w:hAnsi="Arial"/>
          <w:sz w:val="16"/>
          <w:szCs w:val="16"/>
          <w:color w:val="4D4D4F"/>
        </w:rPr>
        <w:t>We are continuing to embed sustainability throughout our business, particularly as the demand, availability, and affordability of low-carbon energy sources and technologies increases over time. In the meantime, we will continue to focus on serving the needs of our customers today through low-cost tailored fuel, energy, and digital solutions to guide them on their respective energy transitions toward a more sustainable future.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Our People</w:t>
      </w:r>
    </w:p>
    <w:p>
      <w:pPr>
        <w:spacing w:after="0" w:line="144" w:lineRule="exact"/>
        <w:rPr>
          <w:sz w:val="20"/>
          <w:szCs w:val="20"/>
          <w:color w:val="auto"/>
        </w:rPr>
      </w:pPr>
    </w:p>
    <w:p>
      <w:pPr>
        <w:spacing w:after="0" w:line="289" w:lineRule="auto"/>
        <w:rPr>
          <w:sz w:val="20"/>
          <w:szCs w:val="20"/>
          <w:color w:val="auto"/>
        </w:rPr>
      </w:pPr>
      <w:r>
        <w:rPr>
          <w:rFonts w:ascii="Arial" w:cs="Arial" w:eastAsia="Arial" w:hAnsi="Arial"/>
          <w:sz w:val="16"/>
          <w:szCs w:val="16"/>
          <w:color w:val="4D4D4F"/>
        </w:rPr>
        <w:t>We believe that our people's passion and expertise differentiates us, and investing in our people is a top priority. Our comprehensive approach to serving our workforce includes our commitment to promoting a diverse and inclusive environment, as well as focusing on our employees' growth and development, health and safety and overall wellbeing. The following charts provide information about our global workforce of approximately 5,300 employees as of December 31, 2023:</w:t>
      </w:r>
    </w:p>
    <w:p>
      <w:pPr>
        <w:spacing w:after="0" w:line="261" w:lineRule="exact"/>
        <w:rPr>
          <w:sz w:val="20"/>
          <w:szCs w:val="20"/>
          <w:color w:val="auto"/>
        </w:rPr>
      </w:pPr>
    </w:p>
    <w:p>
      <w:pPr>
        <w:ind w:left="2040"/>
        <w:spacing w:after="0"/>
        <w:tabs>
          <w:tab w:leader="none" w:pos="5960" w:val="left"/>
        </w:tabs>
        <w:rPr>
          <w:sz w:val="20"/>
          <w:szCs w:val="20"/>
          <w:color w:val="auto"/>
        </w:rPr>
      </w:pPr>
      <w:r>
        <w:rPr>
          <w:rFonts w:ascii="Arial" w:cs="Arial" w:eastAsia="Arial" w:hAnsi="Arial"/>
          <w:sz w:val="16"/>
          <w:szCs w:val="16"/>
          <w:b w:val="1"/>
          <w:bCs w:val="1"/>
          <w:color w:val="132440"/>
        </w:rPr>
        <w:t>GLOBAL WORKFORCE</w:t>
      </w:r>
      <w:r>
        <w:rPr>
          <w:sz w:val="20"/>
          <w:szCs w:val="20"/>
          <w:color w:val="auto"/>
        </w:rPr>
        <w:tab/>
      </w:r>
      <w:r>
        <w:rPr>
          <w:rFonts w:ascii="Arial" w:cs="Arial" w:eastAsia="Arial" w:hAnsi="Arial"/>
          <w:sz w:val="16"/>
          <w:szCs w:val="16"/>
          <w:b w:val="1"/>
          <w:bCs w:val="1"/>
          <w:color w:val="132440"/>
        </w:rPr>
        <w:t>GENDER WORKFORCE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192405</wp:posOffset>
            </wp:positionV>
            <wp:extent cx="5915025" cy="19716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15025" cy="19716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2532380</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60" w:hanging="534"/>
        <w:spacing w:after="0"/>
        <w:tabs>
          <w:tab w:leader="none" w:pos="560" w:val="left"/>
        </w:tabs>
        <w:numPr>
          <w:ilvl w:val="0"/>
          <w:numId w:val="62"/>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1" w:name="page42"/>
    <w:bookmarkEnd w:id="41"/>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HEALTH, SAFETY AND ENVIRONMENTAL PERFORMANCE</w:t>
      </w:r>
    </w:p>
    <w:p>
      <w:pPr>
        <w:spacing w:after="0" w:line="14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4D4D4F"/>
        </w:rPr>
        <w:t>As a global energy management company with significant physical operations, we are committed to doing the right thing in all that we do. We continually seek to minimize the impact of our operations and protect the health and safety of our employees, contractors, customers, suppliers and the communities in which we operate. We are actively striving to play a leading role in promoting best practices within the transportation industry and are closely involved in developing, setting, and maintaining health, safety and environment (“HSE”) industry standards. We have established a set of “Rules to Live By” to help strengthen our existing Integrated Management System and drive appropriate safety behaviors and practices that we believe are vital to preventing workplace incidents. These zero-tolerance rules are designed to ensure we execute our operations safely and security for all our stakeholders.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DIVERSITY, EQUITY AND INCLUSION</w:t>
      </w:r>
    </w:p>
    <w:p>
      <w:pPr>
        <w:spacing w:after="0" w:line="14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4D4D4F"/>
        </w:rPr>
        <w:t>Our people represent a workforce rich in all facets of diversity. We believe that our differences make us stronger and that unique perspectives fuel innovation. We strive to create an environment where all our employees feel safe and encouraged to share their differences. We strictly prohibit any discrimination or harassment based on gender, age, race, color, religion, sexual orientation, gender identity, mental or physical disability and any other status protected by law.</w:t>
      </w:r>
    </w:p>
    <w:p>
      <w:pPr>
        <w:spacing w:after="0" w:line="33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4D4D4F"/>
        </w:rPr>
        <w:t>We are also passionate about engaging with our employees and continuing to develop a culture where they feel heard and supported. We believe that management’s direct engagement with our employees is the best way to ensure that our valued personnel are heard. In 2022, we proudly launched an Employee Engagement Forum for our Global Physical Operations. This Forum enables elected employee representatives across our physical operations to meet with senior leadership to discuss a variety of operations and labor matters. We respect freedom of association and our employees’ right to form, join or not join labor unions or any other lawful organization, without fear of harassment, intimidation or retaliation. Globally, we are a party to a variety of collective bargaining agreements covering a number of our fuel transportation drivers and on-airport employees. We have a long history of favorable relations with the unions representing these employees.</w:t>
      </w:r>
    </w:p>
    <w:p>
      <w:pPr>
        <w:spacing w:after="0" w:line="1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4D4D4F"/>
        </w:rPr>
        <w:t>We are committed to building a culture and environment where employees feel comfortable to voluntarily disclose their race, gender, gender identity, military and/or disability status. We believe that in order to achieve success with our diversity, equity and inclusion initiatives, we must also take an honest and data driven approach to understand where our areas of focus should be. Through employee self-identification campaigns, we aim to bring cultural and social awareness to the forefront and provide all of our employees a safe platform to communicate, so areas that need improvement may be appropriately addressed.</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HEALTH, WELLBEING AND DEVELOPMENT</w:t>
      </w:r>
    </w:p>
    <w:p>
      <w:pPr>
        <w:spacing w:after="0" w:line="140"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4D4D4F"/>
        </w:rPr>
        <w:t>Investing in our employees is a top priority and we continually strive to provide an environment that promotes learning, growth and development to maximize our people’s potential. We are committed to creating a learning culture that builds skills needed for the future and develops great leaders. We provide a variety of resources to further our employees’ development, including online resources as well as in-person and virtual training programs to develop skills and gain knowledge that advances employees’ careers.</w:t>
      </w:r>
    </w:p>
    <w:p>
      <w:pPr>
        <w:spacing w:after="0" w:line="12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4D4D4F"/>
        </w:rPr>
        <w:t>Accordingly, we are devoted to supporting employee wellbeing in all dimensions, which goes beyond their physical health and includes support for emotional, financial and social welfare. We take a holistic approach intended to provide support and resources that empower our employees and their families to embrace a healthy lifestyle. For example, we offer competitive compensation packages consisting of salaries, incentive bonuses, various forms of equity awards and comprehensive benefits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Our Community</w:t>
      </w:r>
    </w:p>
    <w:p>
      <w:pPr>
        <w:spacing w:after="0" w:line="144"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4D4D4F"/>
        </w:rPr>
        <w:t>Our community is the backbone of our company. We believe in conducting our business in a manner that not only promotes a healthy environment, but also works to strengthen the bonds of the local communities we operate within. Here at World Kinect, we promote the UN Global Compact’s key social principles including protecting employees, respecting individual rights and engaging with local communities.</w:t>
      </w:r>
    </w:p>
    <w:p>
      <w:pPr>
        <w:spacing w:after="0" w:line="118" w:lineRule="exact"/>
        <w:rPr>
          <w:sz w:val="20"/>
          <w:szCs w:val="20"/>
          <w:color w:val="auto"/>
        </w:rPr>
      </w:pPr>
    </w:p>
    <w:p>
      <w:pPr>
        <w:jc w:val="both"/>
        <w:ind w:right="360"/>
        <w:spacing w:after="0" w:line="289" w:lineRule="auto"/>
        <w:rPr>
          <w:sz w:val="20"/>
          <w:szCs w:val="20"/>
          <w:color w:val="auto"/>
        </w:rPr>
      </w:pPr>
      <w:r>
        <w:rPr>
          <w:rFonts w:ascii="Arial" w:cs="Arial" w:eastAsia="Arial" w:hAnsi="Arial"/>
          <w:sz w:val="16"/>
          <w:szCs w:val="16"/>
          <w:color w:val="4D4D4F"/>
        </w:rPr>
        <w:t>Our care and respect for one another extends to the communities we serve and partnerships we create. We are committed to creating a positive impact, encouraging our employees to support the communities in which they live, and engaging with and supporting charities in all aspects of society. We have ongoing dialogue with community partners on charitable projects and planning for employee volunteerism. For us, fostering sustainable growth is about conducting our business in a manner that promotes a healthy environment and strengthens the local communities where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39</w:t>
            </w:r>
          </w:p>
        </w:tc>
      </w:tr>
      <w:tr>
        <w:trPr>
          <w:trHeight w:val="211"/>
        </w:trPr>
        <w:tc>
          <w:tcPr>
            <w:tcW w:w="108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HIGHLIGHTS OF “OUR COMMUNITY” PROGRAMS AND EFFORTS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01549C"/>
        </w:rPr>
        <w:t>MILITARY VETERANS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4D4D4F"/>
        </w:rPr>
        <w:t>We deeply value the military service members who serve our nations throughout the world.</w:t>
      </w:r>
    </w:p>
    <w:p>
      <w:pPr>
        <w:spacing w:after="0" w:line="194" w:lineRule="exact"/>
        <w:rPr>
          <w:sz w:val="20"/>
          <w:szCs w:val="20"/>
          <w:color w:val="auto"/>
        </w:rPr>
      </w:pPr>
    </w:p>
    <w:p>
      <w:pPr>
        <w:spacing w:after="0" w:line="295" w:lineRule="auto"/>
        <w:rPr>
          <w:sz w:val="20"/>
          <w:szCs w:val="20"/>
          <w:color w:val="auto"/>
        </w:rPr>
      </w:pPr>
      <w:r>
        <w:rPr>
          <w:rFonts w:ascii="Arial" w:cs="Arial" w:eastAsia="Arial" w:hAnsi="Arial"/>
          <w:sz w:val="16"/>
          <w:szCs w:val="16"/>
          <w:color w:val="4D4D4F"/>
        </w:rPr>
        <w:t>We believe that the skills and experiences military service members possess can make significant contributions to our company’s success. As such, we have made commitments to increase the representation of military veterans throughout our organization. As we seek to recruit, retain, and advance top talent in our organization globally, we are committed to increasing our engagement and recruitment of military veterans, reservists and guards as they transition from their military careers into new careers.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3544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3544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40" w:right="160"/>
        <w:spacing w:after="0" w:line="271" w:lineRule="auto"/>
        <w:rPr>
          <w:sz w:val="20"/>
          <w:szCs w:val="20"/>
          <w:color w:val="auto"/>
        </w:rPr>
      </w:pPr>
      <w:r>
        <w:rPr>
          <w:rFonts w:ascii="Arial" w:cs="Arial" w:eastAsia="Arial" w:hAnsi="Arial"/>
          <w:sz w:val="20"/>
          <w:szCs w:val="20"/>
          <w:color w:val="4D4D4F"/>
        </w:rPr>
        <w:t>We are honored for the recognition our veteran programs and continued support of military service members has received in recent years:</w:t>
      </w:r>
    </w:p>
    <w:p>
      <w:pPr>
        <w:spacing w:after="0" w:line="32" w:lineRule="exact"/>
        <w:rPr>
          <w:sz w:val="20"/>
          <w:szCs w:val="20"/>
          <w:color w:val="auto"/>
        </w:rPr>
      </w:pPr>
    </w:p>
    <w:p>
      <w:pPr>
        <w:ind w:left="660" w:hanging="229"/>
        <w:spacing w:after="0"/>
        <w:tabs>
          <w:tab w:leader="none" w:pos="660" w:val="left"/>
        </w:tabs>
        <w:numPr>
          <w:ilvl w:val="0"/>
          <w:numId w:val="63"/>
        </w:numPr>
        <w:rPr>
          <w:rFonts w:ascii="Arial" w:cs="Arial" w:eastAsia="Arial" w:hAnsi="Arial"/>
          <w:sz w:val="20"/>
          <w:szCs w:val="20"/>
          <w:b w:val="1"/>
          <w:bCs w:val="1"/>
          <w:color w:val="00529B"/>
        </w:rPr>
      </w:pPr>
      <w:r>
        <w:rPr>
          <w:rFonts w:ascii="Arial" w:cs="Arial" w:eastAsia="Arial" w:hAnsi="Arial"/>
          <w:sz w:val="20"/>
          <w:szCs w:val="20"/>
          <w:b w:val="1"/>
          <w:bCs w:val="1"/>
          <w:color w:val="4D4D4F"/>
        </w:rPr>
        <w:t>Military and Spouse Friendly Company by Military Friendly® in the US</w:t>
      </w:r>
    </w:p>
    <w:p>
      <w:pPr>
        <w:spacing w:after="0" w:line="94" w:lineRule="exact"/>
        <w:rPr>
          <w:rFonts w:ascii="Arial" w:cs="Arial" w:eastAsia="Arial" w:hAnsi="Arial"/>
          <w:sz w:val="20"/>
          <w:szCs w:val="20"/>
          <w:b w:val="1"/>
          <w:bCs w:val="1"/>
          <w:color w:val="00529B"/>
        </w:rPr>
      </w:pPr>
    </w:p>
    <w:p>
      <w:pPr>
        <w:ind w:left="660" w:hanging="229"/>
        <w:spacing w:after="0"/>
        <w:tabs>
          <w:tab w:leader="none" w:pos="660" w:val="left"/>
        </w:tabs>
        <w:numPr>
          <w:ilvl w:val="0"/>
          <w:numId w:val="63"/>
        </w:numPr>
        <w:rPr>
          <w:rFonts w:ascii="Arial" w:cs="Arial" w:eastAsia="Arial" w:hAnsi="Arial"/>
          <w:sz w:val="20"/>
          <w:szCs w:val="20"/>
          <w:b w:val="1"/>
          <w:bCs w:val="1"/>
          <w:color w:val="00529B"/>
        </w:rPr>
      </w:pPr>
      <w:r>
        <w:rPr>
          <w:rFonts w:ascii="Arial" w:cs="Arial" w:eastAsia="Arial" w:hAnsi="Arial"/>
          <w:sz w:val="20"/>
          <w:szCs w:val="20"/>
          <w:b w:val="1"/>
          <w:bCs w:val="1"/>
          <w:color w:val="4D4D4F"/>
        </w:rPr>
        <w:t>UK’s Armed Forces Covenant Employer Recognition Scheme – Silver Award</w:t>
      </w:r>
    </w:p>
    <w:p>
      <w:pPr>
        <w:spacing w:after="0" w:line="107" w:lineRule="exact"/>
        <w:rPr>
          <w:rFonts w:ascii="Arial" w:cs="Arial" w:eastAsia="Arial" w:hAnsi="Arial"/>
          <w:sz w:val="20"/>
          <w:szCs w:val="20"/>
          <w:b w:val="1"/>
          <w:bCs w:val="1"/>
          <w:color w:val="00529B"/>
        </w:rPr>
      </w:pPr>
    </w:p>
    <w:p>
      <w:pPr>
        <w:ind w:left="660" w:hanging="229"/>
        <w:spacing w:after="0"/>
        <w:tabs>
          <w:tab w:leader="none" w:pos="660" w:val="left"/>
        </w:tabs>
        <w:numPr>
          <w:ilvl w:val="0"/>
          <w:numId w:val="63"/>
        </w:numPr>
        <w:rPr>
          <w:rFonts w:ascii="Arial" w:cs="Arial" w:eastAsia="Arial" w:hAnsi="Arial"/>
          <w:sz w:val="20"/>
          <w:szCs w:val="20"/>
          <w:b w:val="1"/>
          <w:bCs w:val="1"/>
          <w:color w:val="00529B"/>
        </w:rPr>
      </w:pPr>
      <w:r>
        <w:rPr>
          <w:rFonts w:ascii="Arial" w:cs="Arial" w:eastAsia="Arial" w:hAnsi="Arial"/>
          <w:sz w:val="20"/>
          <w:szCs w:val="20"/>
          <w:b w:val="1"/>
          <w:bCs w:val="1"/>
          <w:color w:val="4D4D4F"/>
        </w:rPr>
        <w:t>Soldier On Australia Platinum Pledge Partner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4D4D4F"/>
        </w:rPr>
        <w:t>We are dedicated to ensuring a welcoming environment by providing on-boarding support, mentorship, recognition programming and development programs. In addition to our military careers website, we are committed to hiring and developing our veterans, active service members and their spouses through our military support networks and global partnerships such as Soldier On Australia. We have also partnered with the Soldier On Pathways Program team to further develop their veteran supportive practices and enable veterans and their families to have secure future careers. This program provides employment and educational support to serving and ex-serving veterans in Australia by connecting job seekers with veteran-supportive employers and enabling new pathways for veterans and their families transitioning from their military careers into civilian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107950</wp:posOffset>
            </wp:positionV>
            <wp:extent cx="205740" cy="2057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49"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01549C"/>
        </w:rPr>
        <w:t>CHARITABLE WORK</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4D4D4F"/>
        </w:rPr>
        <w:t>Each year we contribute to our local communities through giving our time and financial contributions to many local and global institutions and organizations.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D4D4F"/>
        </w:rPr>
        <w:t>Some of the charities in which we have participated recently include:</w:t>
      </w:r>
    </w:p>
    <w:p>
      <w:pPr>
        <w:spacing w:after="0" w:line="194" w:lineRule="exact"/>
        <w:rPr>
          <w:sz w:val="20"/>
          <w:szCs w:val="20"/>
          <w:color w:val="auto"/>
        </w:rPr>
      </w:pPr>
    </w:p>
    <w:p>
      <w:pPr>
        <w:ind w:left="480" w:hanging="229"/>
        <w:spacing w:after="0"/>
        <w:tabs>
          <w:tab w:leader="none" w:pos="480" w:val="left"/>
        </w:tabs>
        <w:numPr>
          <w:ilvl w:val="0"/>
          <w:numId w:val="64"/>
        </w:numPr>
        <w:rPr>
          <w:rFonts w:ascii="Arial" w:cs="Arial" w:eastAsia="Arial" w:hAnsi="Arial"/>
          <w:sz w:val="16"/>
          <w:szCs w:val="16"/>
          <w:b w:val="1"/>
          <w:bCs w:val="1"/>
          <w:color w:val="00529B"/>
        </w:rPr>
      </w:pPr>
      <w:r>
        <w:rPr>
          <w:rFonts w:ascii="Arial" w:cs="Arial" w:eastAsia="Arial" w:hAnsi="Arial"/>
          <w:sz w:val="16"/>
          <w:szCs w:val="16"/>
          <w:color w:val="4D4D4F"/>
        </w:rPr>
        <w:t>Disasters Emergency Committee;</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64"/>
        </w:numPr>
        <w:rPr>
          <w:rFonts w:ascii="Arial" w:cs="Arial" w:eastAsia="Arial" w:hAnsi="Arial"/>
          <w:sz w:val="16"/>
          <w:szCs w:val="16"/>
          <w:b w:val="1"/>
          <w:bCs w:val="1"/>
          <w:color w:val="00529B"/>
        </w:rPr>
      </w:pPr>
      <w:r>
        <w:rPr>
          <w:rFonts w:ascii="Arial" w:cs="Arial" w:eastAsia="Arial" w:hAnsi="Arial"/>
          <w:sz w:val="16"/>
          <w:szCs w:val="16"/>
          <w:color w:val="4D4D4F"/>
        </w:rPr>
        <w:t>Electriciens sans frontières;</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64"/>
        </w:numPr>
        <w:rPr>
          <w:rFonts w:ascii="Arial" w:cs="Arial" w:eastAsia="Arial" w:hAnsi="Arial"/>
          <w:sz w:val="16"/>
          <w:szCs w:val="16"/>
          <w:b w:val="1"/>
          <w:bCs w:val="1"/>
          <w:color w:val="00529B"/>
        </w:rPr>
      </w:pPr>
      <w:r>
        <w:rPr>
          <w:rFonts w:ascii="Arial" w:cs="Arial" w:eastAsia="Arial" w:hAnsi="Arial"/>
          <w:sz w:val="16"/>
          <w:szCs w:val="16"/>
          <w:color w:val="4D4D4F"/>
        </w:rPr>
        <w:t>Red Cross;</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64"/>
        </w:numPr>
        <w:rPr>
          <w:rFonts w:ascii="Arial" w:cs="Arial" w:eastAsia="Arial" w:hAnsi="Arial"/>
          <w:sz w:val="16"/>
          <w:szCs w:val="16"/>
          <w:b w:val="1"/>
          <w:bCs w:val="1"/>
          <w:color w:val="00529B"/>
        </w:rPr>
      </w:pPr>
      <w:r>
        <w:rPr>
          <w:rFonts w:ascii="Arial" w:cs="Arial" w:eastAsia="Arial" w:hAnsi="Arial"/>
          <w:sz w:val="16"/>
          <w:szCs w:val="16"/>
          <w:color w:val="4D4D4F"/>
        </w:rPr>
        <w:t>Muscular Dystrophy Association (MDA);</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64"/>
        </w:numPr>
        <w:rPr>
          <w:rFonts w:ascii="Arial" w:cs="Arial" w:eastAsia="Arial" w:hAnsi="Arial"/>
          <w:sz w:val="16"/>
          <w:szCs w:val="16"/>
          <w:b w:val="1"/>
          <w:bCs w:val="1"/>
          <w:color w:val="00529B"/>
        </w:rPr>
      </w:pPr>
      <w:r>
        <w:rPr>
          <w:rFonts w:ascii="Arial" w:cs="Arial" w:eastAsia="Arial" w:hAnsi="Arial"/>
          <w:sz w:val="16"/>
          <w:szCs w:val="16"/>
          <w:color w:val="4D4D4F"/>
        </w:rPr>
        <w:t>Jet Blue Swing for Good, which supports youth-oriented charities;</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64"/>
        </w:numPr>
        <w:rPr>
          <w:rFonts w:ascii="Arial" w:cs="Arial" w:eastAsia="Arial" w:hAnsi="Arial"/>
          <w:sz w:val="16"/>
          <w:szCs w:val="16"/>
          <w:b w:val="1"/>
          <w:bCs w:val="1"/>
          <w:color w:val="00529B"/>
        </w:rPr>
      </w:pPr>
      <w:r>
        <w:rPr>
          <w:rFonts w:ascii="Arial" w:cs="Arial" w:eastAsia="Arial" w:hAnsi="Arial"/>
          <w:sz w:val="16"/>
          <w:szCs w:val="16"/>
          <w:color w:val="4D4D4F"/>
        </w:rPr>
        <w:t>UNICEF; and</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64"/>
        </w:numPr>
        <w:rPr>
          <w:rFonts w:ascii="Arial" w:cs="Arial" w:eastAsia="Arial" w:hAnsi="Arial"/>
          <w:sz w:val="16"/>
          <w:szCs w:val="16"/>
          <w:b w:val="1"/>
          <w:bCs w:val="1"/>
          <w:color w:val="00529B"/>
        </w:rPr>
      </w:pPr>
      <w:r>
        <w:rPr>
          <w:rFonts w:ascii="Arial" w:cs="Arial" w:eastAsia="Arial" w:hAnsi="Arial"/>
          <w:sz w:val="16"/>
          <w:szCs w:val="16"/>
          <w:color w:val="4D4D4F"/>
        </w:rPr>
        <w:t>Heart to Heart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60" w:hanging="534"/>
        <w:spacing w:after="0"/>
        <w:tabs>
          <w:tab w:leader="none" w:pos="560" w:val="left"/>
        </w:tabs>
        <w:numPr>
          <w:ilvl w:val="0"/>
          <w:numId w:val="65"/>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Director Compensation and Ownership Guidelines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Director Fees Earned or Paid in Cash</w:t>
      </w:r>
    </w:p>
    <w:p>
      <w:pPr>
        <w:spacing w:after="0" w:line="144" w:lineRule="exact"/>
        <w:rPr>
          <w:sz w:val="20"/>
          <w:szCs w:val="20"/>
          <w:color w:val="auto"/>
        </w:rPr>
      </w:pPr>
    </w:p>
    <w:p>
      <w:pPr>
        <w:ind w:right="40"/>
        <w:spacing w:after="0" w:line="322" w:lineRule="auto"/>
        <w:rPr>
          <w:sz w:val="20"/>
          <w:szCs w:val="20"/>
          <w:color w:val="auto"/>
        </w:rPr>
      </w:pPr>
      <w:r>
        <w:rPr>
          <w:rFonts w:ascii="Arial" w:cs="Arial" w:eastAsia="Arial" w:hAnsi="Arial"/>
          <w:sz w:val="16"/>
          <w:szCs w:val="16"/>
          <w:color w:val="4D4D4F"/>
        </w:rPr>
        <w:t>Non-management directors earn fees for their services that are paid in cash on an annual basis. If a non-management director does not serve a full year in a position, such fees are paid on a pro-rated basis. The current fee structure for our non-management directors serving during the 2023-2024 term is as follows:</w:t>
      </w:r>
    </w:p>
    <w:p>
      <w:pPr>
        <w:spacing w:after="0" w:line="316" w:lineRule="exact"/>
        <w:rPr>
          <w:sz w:val="20"/>
          <w:szCs w:val="20"/>
          <w:color w:val="auto"/>
        </w:rPr>
      </w:pPr>
    </w:p>
    <w:p>
      <w:pPr>
        <w:ind w:left="480" w:hanging="229"/>
        <w:spacing w:after="0"/>
        <w:tabs>
          <w:tab w:leader="none" w:pos="480" w:val="left"/>
        </w:tabs>
        <w:numPr>
          <w:ilvl w:val="0"/>
          <w:numId w:val="66"/>
        </w:numPr>
        <w:rPr>
          <w:rFonts w:ascii="Arial" w:cs="Arial" w:eastAsia="Arial" w:hAnsi="Arial"/>
          <w:sz w:val="16"/>
          <w:szCs w:val="16"/>
          <w:b w:val="1"/>
          <w:bCs w:val="1"/>
          <w:color w:val="00529B"/>
        </w:rPr>
      </w:pPr>
      <w:r>
        <w:rPr>
          <w:rFonts w:ascii="Arial" w:cs="Arial" w:eastAsia="Arial" w:hAnsi="Arial"/>
          <w:sz w:val="16"/>
          <w:szCs w:val="16"/>
          <w:color w:val="4D4D4F"/>
        </w:rPr>
        <w:t>the annual fee payable to non-management directors for their service on the Board is $100,000;</w:t>
      </w:r>
    </w:p>
    <w:p>
      <w:pPr>
        <w:spacing w:after="0" w:line="126" w:lineRule="exact"/>
        <w:rPr>
          <w:rFonts w:ascii="Arial" w:cs="Arial" w:eastAsia="Arial" w:hAnsi="Arial"/>
          <w:sz w:val="16"/>
          <w:szCs w:val="16"/>
          <w:b w:val="1"/>
          <w:bCs w:val="1"/>
          <w:color w:val="00529B"/>
        </w:rPr>
      </w:pPr>
    </w:p>
    <w:p>
      <w:pPr>
        <w:ind w:left="480" w:hanging="229"/>
        <w:spacing w:after="0"/>
        <w:tabs>
          <w:tab w:leader="none" w:pos="480" w:val="left"/>
        </w:tabs>
        <w:numPr>
          <w:ilvl w:val="0"/>
          <w:numId w:val="66"/>
        </w:numPr>
        <w:rPr>
          <w:rFonts w:ascii="Arial" w:cs="Arial" w:eastAsia="Arial" w:hAnsi="Arial"/>
          <w:sz w:val="16"/>
          <w:szCs w:val="16"/>
          <w:b w:val="1"/>
          <w:bCs w:val="1"/>
          <w:color w:val="00529B"/>
        </w:rPr>
      </w:pPr>
      <w:r>
        <w:rPr>
          <w:rFonts w:ascii="Arial" w:cs="Arial" w:eastAsia="Arial" w:hAnsi="Arial"/>
          <w:sz w:val="16"/>
          <w:szCs w:val="16"/>
          <w:color w:val="4D4D4F"/>
        </w:rPr>
        <w:t>the additional fee payable to the Lead Independent Director is $40,000 per year;</w:t>
      </w:r>
    </w:p>
    <w:p>
      <w:pPr>
        <w:spacing w:after="0" w:line="140" w:lineRule="exact"/>
        <w:rPr>
          <w:rFonts w:ascii="Arial" w:cs="Arial" w:eastAsia="Arial" w:hAnsi="Arial"/>
          <w:sz w:val="16"/>
          <w:szCs w:val="16"/>
          <w:b w:val="1"/>
          <w:bCs w:val="1"/>
          <w:color w:val="00529B"/>
        </w:rPr>
      </w:pPr>
    </w:p>
    <w:p>
      <w:pPr>
        <w:ind w:left="500" w:right="20" w:hanging="249"/>
        <w:spacing w:after="0" w:line="301" w:lineRule="auto"/>
        <w:tabs>
          <w:tab w:leader="none" w:pos="489" w:val="left"/>
        </w:tabs>
        <w:numPr>
          <w:ilvl w:val="0"/>
          <w:numId w:val="66"/>
        </w:numPr>
        <w:rPr>
          <w:rFonts w:ascii="Arial" w:cs="Arial" w:eastAsia="Arial" w:hAnsi="Arial"/>
          <w:sz w:val="16"/>
          <w:szCs w:val="16"/>
          <w:b w:val="1"/>
          <w:bCs w:val="1"/>
          <w:color w:val="00529B"/>
        </w:rPr>
      </w:pPr>
      <w:r>
        <w:rPr>
          <w:rFonts w:ascii="Arial" w:cs="Arial" w:eastAsia="Arial" w:hAnsi="Arial"/>
          <w:sz w:val="16"/>
          <w:szCs w:val="16"/>
          <w:color w:val="4D4D4F"/>
        </w:rPr>
        <w:t>the additional fee payable to members of the Audit Committee is $15,000, while the additional fee payable to members of each of the Compensation Committee and Technology &amp; Operations Committee is $10,000 per year for each committee served and the additional fee payable to members of the Sustainability and Corporate Responsibility Committee as well as the Nominating Subcommittee is $5,000 per year for each committee served; and</w:t>
      </w:r>
    </w:p>
    <w:p>
      <w:pPr>
        <w:spacing w:after="0" w:line="63" w:lineRule="exact"/>
        <w:rPr>
          <w:rFonts w:ascii="Arial" w:cs="Arial" w:eastAsia="Arial" w:hAnsi="Arial"/>
          <w:sz w:val="16"/>
          <w:szCs w:val="16"/>
          <w:b w:val="1"/>
          <w:bCs w:val="1"/>
          <w:color w:val="00529B"/>
        </w:rPr>
      </w:pPr>
    </w:p>
    <w:p>
      <w:pPr>
        <w:ind w:left="500" w:right="140" w:hanging="249"/>
        <w:spacing w:after="0" w:line="295" w:lineRule="auto"/>
        <w:tabs>
          <w:tab w:leader="none" w:pos="489" w:val="left"/>
        </w:tabs>
        <w:numPr>
          <w:ilvl w:val="0"/>
          <w:numId w:val="66"/>
        </w:numPr>
        <w:rPr>
          <w:rFonts w:ascii="Arial" w:cs="Arial" w:eastAsia="Arial" w:hAnsi="Arial"/>
          <w:sz w:val="16"/>
          <w:szCs w:val="16"/>
          <w:b w:val="1"/>
          <w:bCs w:val="1"/>
          <w:color w:val="00529B"/>
        </w:rPr>
      </w:pPr>
      <w:r>
        <w:rPr>
          <w:rFonts w:ascii="Arial" w:cs="Arial" w:eastAsia="Arial" w:hAnsi="Arial"/>
          <w:sz w:val="16"/>
          <w:szCs w:val="16"/>
          <w:color w:val="4D4D4F"/>
        </w:rPr>
        <w:t>the additional fee payable to the Chair of the Audit Committee is $35,000 per year, the additional fee payable to the Chair of each of the Compensation Committee and Technology &amp; Operations Committee is $30,000 per year, the additional fee payable to the Chair of the Governance Committee is $20,000 per year and the additional fee payable to the Chair of each of the Sustainability and Corporate Responsibility Committee and the Nominating Subcommittee is $15,000 per year.</w:t>
      </w:r>
    </w:p>
    <w:p>
      <w:pPr>
        <w:spacing w:after="0" w:line="121"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4D4D4F"/>
        </w:rPr>
        <w:t>Our non-management directors are also reimbursed by us for their travel, food, lodging and related expenses incurred in connection with attending Board, committee and shareholder meetings, as well as continuing education programs.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Equity Awards</w:t>
      </w:r>
    </w:p>
    <w:p>
      <w:pPr>
        <w:spacing w:after="0" w:line="144"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4D4D4F"/>
        </w:rPr>
        <w:t>In 2023, the Board granted each non-management director $165,000 worth of restricted stock units (“RSUs”) for board service and to each member of the Governance Committee, an additional $10,000 in RSUs as the fee for service on the Governance Committee. In addition, the Chair of the Audit Committee was granted an additional $15,000 in RSUs as a portion of his fee for serving as Chair, and the Chairs of the Compensation Committee, Governance Committee, Technology &amp; Operations Committee, Sustainability and Corporate Responsibility Committee and Nominating Subcommittee each received an additional $10,000 in RSUs as a portion of their fees for serving as Chair of the respective committees. The RSUs vest on the earlier of: (i) the day prior to the annual meeting that next follows the grant date or (ii) one year from the grant date. Upon vesting of the RSUs, 100% of the underlying shares will be issued. Our 2021 Omnibus Plan (the “2021 Plan”) includes limits on equity awards that may be granted to non-management directors.</w:t>
      </w:r>
    </w:p>
    <w:p>
      <w:pPr>
        <w:spacing w:after="0" w:line="129"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4D4D4F"/>
        </w:rPr>
        <w:t>For the 2023–2024 term, Messrs. Bakshi and Benitez each received 8,305 RSUs, Mr. Manley received 8,092 RSUs, Mr. Roddenberry received 7,880 RSUs, Mr. Kassar and Mses. Cherwoo and Smart each received 7,454 RSUs, and Mr. Stebbins received 7,028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41</w:t>
            </w:r>
          </w:p>
        </w:tc>
      </w:tr>
      <w:tr>
        <w:trPr>
          <w:trHeight w:val="212"/>
        </w:trPr>
        <w:tc>
          <w:tcPr>
            <w:tcW w:w="108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14"/>
          <w:szCs w:val="14"/>
          <w:b w:val="1"/>
          <w:bCs w:val="1"/>
          <w:color w:val="5B677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580"/>
        <w:spacing w:after="0" w:line="321" w:lineRule="auto"/>
        <w:rPr>
          <w:sz w:val="20"/>
          <w:szCs w:val="20"/>
          <w:color w:val="auto"/>
        </w:rPr>
      </w:pPr>
      <w:r>
        <w:rPr>
          <w:rFonts w:ascii="Arial" w:cs="Arial" w:eastAsia="Arial" w:hAnsi="Arial"/>
          <w:sz w:val="16"/>
          <w:szCs w:val="16"/>
          <w:color w:val="4D4D4F"/>
        </w:rPr>
        <w:t>The following table summarizes the compensation paid by us to our non-management directors for services rendered during 2023. Directors who are employed by us do not receive additional compensation for serving as directors.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2024 Director Compensation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shd w:val="clear" w:color="auto" w:fill="132440"/>
          </w:tcPr>
          <w:p>
            <w:pPr>
              <w:spacing w:after="0"/>
              <w:rPr>
                <w:sz w:val="17"/>
                <w:szCs w:val="17"/>
                <w:color w:val="auto"/>
              </w:rPr>
            </w:pPr>
          </w:p>
        </w:tc>
        <w:tc>
          <w:tcPr>
            <w:tcW w:w="3680" w:type="dxa"/>
            <w:vAlign w:val="bottom"/>
            <w:shd w:val="clear" w:color="auto" w:fill="132440"/>
          </w:tcPr>
          <w:p>
            <w:pPr>
              <w:jc w:val="right"/>
              <w:ind w:right="728"/>
              <w:spacing w:after="0"/>
              <w:rPr>
                <w:sz w:val="20"/>
                <w:szCs w:val="20"/>
                <w:color w:val="auto"/>
              </w:rPr>
            </w:pPr>
            <w:r>
              <w:rPr>
                <w:rFonts w:ascii="Arial" w:cs="Arial" w:eastAsia="Arial" w:hAnsi="Arial"/>
                <w:sz w:val="14"/>
                <w:szCs w:val="14"/>
                <w:b w:val="1"/>
                <w:bCs w:val="1"/>
                <w:color w:val="FFFFFF"/>
              </w:rPr>
              <w:t>Fees Earned or Paid in Cash</w:t>
            </w:r>
          </w:p>
        </w:tc>
        <w:tc>
          <w:tcPr>
            <w:tcW w:w="3080" w:type="dxa"/>
            <w:vAlign w:val="bottom"/>
            <w:shd w:val="clear" w:color="auto" w:fill="132440"/>
          </w:tcPr>
          <w:p>
            <w:pPr>
              <w:jc w:val="right"/>
              <w:ind w:right="1028"/>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18"/>
                <w:szCs w:val="18"/>
                <w:b w:val="1"/>
                <w:bCs w:val="1"/>
                <w:color w:val="FFFFFF"/>
                <w:vertAlign w:val="superscript"/>
              </w:rPr>
              <w:t>(1)(2)</w:t>
            </w:r>
          </w:p>
        </w:tc>
        <w:tc>
          <w:tcPr>
            <w:tcW w:w="176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Total</w:t>
            </w:r>
          </w:p>
        </w:tc>
      </w:tr>
      <w:tr>
        <w:trPr>
          <w:trHeight w:val="212"/>
        </w:trPr>
        <w:tc>
          <w:tcPr>
            <w:tcW w:w="272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Name</w:t>
            </w:r>
          </w:p>
        </w:tc>
        <w:tc>
          <w:tcPr>
            <w:tcW w:w="3680" w:type="dxa"/>
            <w:vAlign w:val="bottom"/>
            <w:shd w:val="clear" w:color="auto" w:fill="132440"/>
          </w:tcPr>
          <w:p>
            <w:pPr>
              <w:jc w:val="right"/>
              <w:ind w:right="728"/>
              <w:spacing w:after="0"/>
              <w:rPr>
                <w:sz w:val="20"/>
                <w:szCs w:val="20"/>
                <w:color w:val="auto"/>
              </w:rPr>
            </w:pPr>
            <w:r>
              <w:rPr>
                <w:rFonts w:ascii="Arial" w:cs="Arial" w:eastAsia="Arial" w:hAnsi="Arial"/>
                <w:sz w:val="14"/>
                <w:szCs w:val="14"/>
                <w:b w:val="1"/>
                <w:bCs w:val="1"/>
                <w:color w:val="FFFFFF"/>
              </w:rPr>
              <w:t>($)</w:t>
            </w:r>
          </w:p>
        </w:tc>
        <w:tc>
          <w:tcPr>
            <w:tcW w:w="3080" w:type="dxa"/>
            <w:vAlign w:val="bottom"/>
            <w:shd w:val="clear" w:color="auto" w:fill="132440"/>
          </w:tcPr>
          <w:p>
            <w:pPr>
              <w:jc w:val="right"/>
              <w:ind w:right="1028"/>
              <w:spacing w:after="0"/>
              <w:rPr>
                <w:sz w:val="20"/>
                <w:szCs w:val="20"/>
                <w:color w:val="auto"/>
              </w:rPr>
            </w:pPr>
            <w:r>
              <w:rPr>
                <w:rFonts w:ascii="Arial" w:cs="Arial" w:eastAsia="Arial" w:hAnsi="Arial"/>
                <w:sz w:val="14"/>
                <w:szCs w:val="14"/>
                <w:b w:val="1"/>
                <w:bCs w:val="1"/>
                <w:color w:val="FFFFFF"/>
              </w:rPr>
              <w:t>($)</w:t>
            </w:r>
          </w:p>
        </w:tc>
        <w:tc>
          <w:tcPr>
            <w:tcW w:w="176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229"/>
        </w:trPr>
        <w:tc>
          <w:tcPr>
            <w:tcW w:w="272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Ken Bakshi</w:t>
            </w:r>
          </w:p>
        </w:tc>
        <w:tc>
          <w:tcPr>
            <w:tcW w:w="3680" w:type="dxa"/>
            <w:vAlign w:val="bottom"/>
            <w:shd w:val="clear" w:color="auto" w:fill="EAEEF2"/>
          </w:tcPr>
          <w:p>
            <w:pPr>
              <w:jc w:val="right"/>
              <w:ind w:right="788"/>
              <w:spacing w:after="0"/>
              <w:rPr>
                <w:sz w:val="20"/>
                <w:szCs w:val="20"/>
                <w:color w:val="auto"/>
              </w:rPr>
            </w:pPr>
            <w:r>
              <w:rPr>
                <w:rFonts w:ascii="Arial" w:cs="Arial" w:eastAsia="Arial" w:hAnsi="Arial"/>
                <w:sz w:val="14"/>
                <w:szCs w:val="14"/>
                <w:color w:val="4D4D4F"/>
              </w:rPr>
              <w:t>175,000</w:t>
            </w:r>
          </w:p>
        </w:tc>
        <w:tc>
          <w:tcPr>
            <w:tcW w:w="3080" w:type="dxa"/>
            <w:vAlign w:val="bottom"/>
            <w:shd w:val="clear" w:color="auto" w:fill="EAEEF2"/>
          </w:tcPr>
          <w:p>
            <w:pPr>
              <w:jc w:val="right"/>
              <w:ind w:right="1068"/>
              <w:spacing w:after="0"/>
              <w:rPr>
                <w:sz w:val="20"/>
                <w:szCs w:val="20"/>
                <w:color w:val="auto"/>
              </w:rPr>
            </w:pPr>
            <w:r>
              <w:rPr>
                <w:rFonts w:ascii="Arial" w:cs="Arial" w:eastAsia="Arial" w:hAnsi="Arial"/>
                <w:sz w:val="14"/>
                <w:szCs w:val="14"/>
                <w:color w:val="4D4D4F"/>
              </w:rPr>
              <w:t>195,001</w:t>
            </w:r>
          </w:p>
        </w:tc>
        <w:tc>
          <w:tcPr>
            <w:tcW w:w="1760" w:type="dxa"/>
            <w:vAlign w:val="bottom"/>
            <w:shd w:val="clear" w:color="auto" w:fill="EAEEF2"/>
          </w:tcPr>
          <w:p>
            <w:pPr>
              <w:jc w:val="right"/>
              <w:ind w:right="88"/>
              <w:spacing w:after="0"/>
              <w:rPr>
                <w:sz w:val="20"/>
                <w:szCs w:val="20"/>
                <w:color w:val="auto"/>
              </w:rPr>
            </w:pPr>
            <w:r>
              <w:rPr>
                <w:rFonts w:ascii="Arial" w:cs="Arial" w:eastAsia="Arial" w:hAnsi="Arial"/>
                <w:sz w:val="14"/>
                <w:szCs w:val="14"/>
                <w:color w:val="4D4D4F"/>
              </w:rPr>
              <w:t>370,001</w:t>
            </w:r>
          </w:p>
        </w:tc>
      </w:tr>
      <w:tr>
        <w:trPr>
          <w:trHeight w:val="222"/>
        </w:trPr>
        <w:tc>
          <w:tcPr>
            <w:tcW w:w="2720" w:type="dxa"/>
            <w:vAlign w:val="bottom"/>
          </w:tcPr>
          <w:p>
            <w:pPr>
              <w:ind w:left="100"/>
              <w:spacing w:after="0"/>
              <w:rPr>
                <w:sz w:val="20"/>
                <w:szCs w:val="20"/>
                <w:color w:val="auto"/>
              </w:rPr>
            </w:pPr>
            <w:r>
              <w:rPr>
                <w:rFonts w:ascii="Arial" w:cs="Arial" w:eastAsia="Arial" w:hAnsi="Arial"/>
                <w:sz w:val="14"/>
                <w:szCs w:val="14"/>
                <w:b w:val="1"/>
                <w:bCs w:val="1"/>
                <w:color w:val="4D4D4F"/>
              </w:rPr>
              <w:t>Jorge L. Benitez</w:t>
            </w:r>
          </w:p>
        </w:tc>
        <w:tc>
          <w:tcPr>
            <w:tcW w:w="3680" w:type="dxa"/>
            <w:vAlign w:val="bottom"/>
          </w:tcPr>
          <w:p>
            <w:pPr>
              <w:jc w:val="right"/>
              <w:ind w:right="788"/>
              <w:spacing w:after="0"/>
              <w:rPr>
                <w:sz w:val="20"/>
                <w:szCs w:val="20"/>
                <w:color w:val="auto"/>
              </w:rPr>
            </w:pPr>
            <w:r>
              <w:rPr>
                <w:rFonts w:ascii="Arial" w:cs="Arial" w:eastAsia="Arial" w:hAnsi="Arial"/>
                <w:sz w:val="14"/>
                <w:szCs w:val="14"/>
                <w:color w:val="4D4D4F"/>
              </w:rPr>
              <w:t>180,000</w:t>
            </w:r>
          </w:p>
        </w:tc>
        <w:tc>
          <w:tcPr>
            <w:tcW w:w="3080" w:type="dxa"/>
            <w:vAlign w:val="bottom"/>
          </w:tcPr>
          <w:p>
            <w:pPr>
              <w:jc w:val="right"/>
              <w:ind w:right="1068"/>
              <w:spacing w:after="0"/>
              <w:rPr>
                <w:sz w:val="20"/>
                <w:szCs w:val="20"/>
                <w:color w:val="auto"/>
              </w:rPr>
            </w:pPr>
            <w:r>
              <w:rPr>
                <w:rFonts w:ascii="Arial" w:cs="Arial" w:eastAsia="Arial" w:hAnsi="Arial"/>
                <w:sz w:val="14"/>
                <w:szCs w:val="14"/>
                <w:color w:val="4D4D4F"/>
              </w:rPr>
              <w:t>195,001</w:t>
            </w:r>
          </w:p>
        </w:tc>
        <w:tc>
          <w:tcPr>
            <w:tcW w:w="1760" w:type="dxa"/>
            <w:vAlign w:val="bottom"/>
          </w:tcPr>
          <w:p>
            <w:pPr>
              <w:jc w:val="right"/>
              <w:ind w:right="88"/>
              <w:spacing w:after="0"/>
              <w:rPr>
                <w:sz w:val="20"/>
                <w:szCs w:val="20"/>
                <w:color w:val="auto"/>
              </w:rPr>
            </w:pPr>
            <w:r>
              <w:rPr>
                <w:rFonts w:ascii="Arial" w:cs="Arial" w:eastAsia="Arial" w:hAnsi="Arial"/>
                <w:sz w:val="14"/>
                <w:szCs w:val="14"/>
                <w:color w:val="4D4D4F"/>
              </w:rPr>
              <w:t>375,001</w:t>
            </w:r>
          </w:p>
        </w:tc>
      </w:tr>
      <w:tr>
        <w:trPr>
          <w:trHeight w:val="237"/>
        </w:trPr>
        <w:tc>
          <w:tcPr>
            <w:tcW w:w="272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Sharda Cherwoo</w:t>
            </w:r>
          </w:p>
        </w:tc>
        <w:tc>
          <w:tcPr>
            <w:tcW w:w="3680" w:type="dxa"/>
            <w:vAlign w:val="bottom"/>
            <w:shd w:val="clear" w:color="auto" w:fill="EAEEF2"/>
          </w:tcPr>
          <w:p>
            <w:pPr>
              <w:jc w:val="right"/>
              <w:ind w:right="788"/>
              <w:spacing w:after="0"/>
              <w:rPr>
                <w:sz w:val="20"/>
                <w:szCs w:val="20"/>
                <w:color w:val="auto"/>
              </w:rPr>
            </w:pPr>
            <w:r>
              <w:rPr>
                <w:rFonts w:ascii="Arial" w:cs="Arial" w:eastAsia="Arial" w:hAnsi="Arial"/>
                <w:sz w:val="14"/>
                <w:szCs w:val="14"/>
                <w:color w:val="4D4D4F"/>
              </w:rPr>
              <w:t>130,000</w:t>
            </w:r>
          </w:p>
        </w:tc>
        <w:tc>
          <w:tcPr>
            <w:tcW w:w="3080" w:type="dxa"/>
            <w:vAlign w:val="bottom"/>
            <w:shd w:val="clear" w:color="auto" w:fill="EAEEF2"/>
          </w:tcPr>
          <w:p>
            <w:pPr>
              <w:jc w:val="right"/>
              <w:ind w:right="1068"/>
              <w:spacing w:after="0"/>
              <w:rPr>
                <w:sz w:val="20"/>
                <w:szCs w:val="20"/>
                <w:color w:val="auto"/>
              </w:rPr>
            </w:pPr>
            <w:r>
              <w:rPr>
                <w:rFonts w:ascii="Arial" w:cs="Arial" w:eastAsia="Arial" w:hAnsi="Arial"/>
                <w:sz w:val="14"/>
                <w:szCs w:val="14"/>
                <w:color w:val="4D4D4F"/>
              </w:rPr>
              <w:t>175,020</w:t>
            </w:r>
          </w:p>
        </w:tc>
        <w:tc>
          <w:tcPr>
            <w:tcW w:w="1760" w:type="dxa"/>
            <w:vAlign w:val="bottom"/>
            <w:shd w:val="clear" w:color="auto" w:fill="EAEEF2"/>
          </w:tcPr>
          <w:p>
            <w:pPr>
              <w:jc w:val="right"/>
              <w:ind w:right="88"/>
              <w:spacing w:after="0"/>
              <w:rPr>
                <w:sz w:val="20"/>
                <w:szCs w:val="20"/>
                <w:color w:val="auto"/>
              </w:rPr>
            </w:pPr>
            <w:r>
              <w:rPr>
                <w:rFonts w:ascii="Arial" w:cs="Arial" w:eastAsia="Arial" w:hAnsi="Arial"/>
                <w:sz w:val="14"/>
                <w:szCs w:val="14"/>
                <w:color w:val="4D4D4F"/>
              </w:rPr>
              <w:t>305,020</w:t>
            </w:r>
          </w:p>
        </w:tc>
      </w:tr>
      <w:tr>
        <w:trPr>
          <w:trHeight w:val="222"/>
        </w:trPr>
        <w:tc>
          <w:tcPr>
            <w:tcW w:w="2720" w:type="dxa"/>
            <w:vAlign w:val="bottom"/>
          </w:tcPr>
          <w:p>
            <w:pPr>
              <w:ind w:left="100"/>
              <w:spacing w:after="0"/>
              <w:rPr>
                <w:sz w:val="20"/>
                <w:szCs w:val="20"/>
                <w:color w:val="auto"/>
              </w:rPr>
            </w:pPr>
            <w:r>
              <w:rPr>
                <w:rFonts w:ascii="Arial" w:cs="Arial" w:eastAsia="Arial" w:hAnsi="Arial"/>
                <w:sz w:val="14"/>
                <w:szCs w:val="14"/>
                <w:b w:val="1"/>
                <w:bCs w:val="1"/>
                <w:color w:val="4D4D4F"/>
              </w:rPr>
              <w:t>Richard A. Kassar</w:t>
            </w:r>
          </w:p>
        </w:tc>
        <w:tc>
          <w:tcPr>
            <w:tcW w:w="3680" w:type="dxa"/>
            <w:vAlign w:val="bottom"/>
          </w:tcPr>
          <w:p>
            <w:pPr>
              <w:jc w:val="right"/>
              <w:ind w:right="788"/>
              <w:spacing w:after="0"/>
              <w:rPr>
                <w:sz w:val="20"/>
                <w:szCs w:val="20"/>
                <w:color w:val="auto"/>
              </w:rPr>
            </w:pPr>
            <w:r>
              <w:rPr>
                <w:rFonts w:ascii="Arial" w:cs="Arial" w:eastAsia="Arial" w:hAnsi="Arial"/>
                <w:sz w:val="14"/>
                <w:szCs w:val="14"/>
                <w:color w:val="4D4D4F"/>
              </w:rPr>
              <w:t>135,000</w:t>
            </w:r>
          </w:p>
        </w:tc>
        <w:tc>
          <w:tcPr>
            <w:tcW w:w="3080" w:type="dxa"/>
            <w:vAlign w:val="bottom"/>
          </w:tcPr>
          <w:p>
            <w:pPr>
              <w:jc w:val="right"/>
              <w:ind w:right="1068"/>
              <w:spacing w:after="0"/>
              <w:rPr>
                <w:sz w:val="20"/>
                <w:szCs w:val="20"/>
                <w:color w:val="auto"/>
              </w:rPr>
            </w:pPr>
            <w:r>
              <w:rPr>
                <w:rFonts w:ascii="Arial" w:cs="Arial" w:eastAsia="Arial" w:hAnsi="Arial"/>
                <w:sz w:val="14"/>
                <w:szCs w:val="14"/>
                <w:color w:val="4D4D4F"/>
              </w:rPr>
              <w:t>175,020</w:t>
            </w:r>
          </w:p>
        </w:tc>
        <w:tc>
          <w:tcPr>
            <w:tcW w:w="1760" w:type="dxa"/>
            <w:vAlign w:val="bottom"/>
          </w:tcPr>
          <w:p>
            <w:pPr>
              <w:jc w:val="right"/>
              <w:ind w:right="88"/>
              <w:spacing w:after="0"/>
              <w:rPr>
                <w:sz w:val="20"/>
                <w:szCs w:val="20"/>
                <w:color w:val="auto"/>
              </w:rPr>
            </w:pPr>
            <w:r>
              <w:rPr>
                <w:rFonts w:ascii="Arial" w:cs="Arial" w:eastAsia="Arial" w:hAnsi="Arial"/>
                <w:sz w:val="14"/>
                <w:szCs w:val="14"/>
                <w:color w:val="4D4D4F"/>
              </w:rPr>
              <w:t>310,020</w:t>
            </w:r>
          </w:p>
        </w:tc>
      </w:tr>
      <w:tr>
        <w:trPr>
          <w:trHeight w:val="237"/>
        </w:trPr>
        <w:tc>
          <w:tcPr>
            <w:tcW w:w="272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John L. Manley</w:t>
            </w:r>
          </w:p>
        </w:tc>
        <w:tc>
          <w:tcPr>
            <w:tcW w:w="3680" w:type="dxa"/>
            <w:vAlign w:val="bottom"/>
            <w:shd w:val="clear" w:color="auto" w:fill="EAEEF2"/>
          </w:tcPr>
          <w:p>
            <w:pPr>
              <w:jc w:val="right"/>
              <w:ind w:right="788"/>
              <w:spacing w:after="0"/>
              <w:rPr>
                <w:sz w:val="20"/>
                <w:szCs w:val="20"/>
                <w:color w:val="auto"/>
              </w:rPr>
            </w:pPr>
            <w:r>
              <w:rPr>
                <w:rFonts w:ascii="Arial" w:cs="Arial" w:eastAsia="Arial" w:hAnsi="Arial"/>
                <w:sz w:val="14"/>
                <w:szCs w:val="14"/>
                <w:color w:val="4D4D4F"/>
              </w:rPr>
              <w:t>165,000</w:t>
            </w:r>
          </w:p>
        </w:tc>
        <w:tc>
          <w:tcPr>
            <w:tcW w:w="3080" w:type="dxa"/>
            <w:vAlign w:val="bottom"/>
            <w:shd w:val="clear" w:color="auto" w:fill="EAEEF2"/>
          </w:tcPr>
          <w:p>
            <w:pPr>
              <w:jc w:val="right"/>
              <w:ind w:right="1068"/>
              <w:spacing w:after="0"/>
              <w:rPr>
                <w:sz w:val="20"/>
                <w:szCs w:val="20"/>
                <w:color w:val="auto"/>
              </w:rPr>
            </w:pPr>
            <w:r>
              <w:rPr>
                <w:rFonts w:ascii="Arial" w:cs="Arial" w:eastAsia="Arial" w:hAnsi="Arial"/>
                <w:sz w:val="14"/>
                <w:szCs w:val="14"/>
                <w:color w:val="4D4D4F"/>
              </w:rPr>
              <w:t>190,000</w:t>
            </w:r>
          </w:p>
        </w:tc>
        <w:tc>
          <w:tcPr>
            <w:tcW w:w="1760" w:type="dxa"/>
            <w:vAlign w:val="bottom"/>
            <w:shd w:val="clear" w:color="auto" w:fill="EAEEF2"/>
          </w:tcPr>
          <w:p>
            <w:pPr>
              <w:jc w:val="right"/>
              <w:ind w:right="88"/>
              <w:spacing w:after="0"/>
              <w:rPr>
                <w:sz w:val="20"/>
                <w:szCs w:val="20"/>
                <w:color w:val="auto"/>
              </w:rPr>
            </w:pPr>
            <w:r>
              <w:rPr>
                <w:rFonts w:ascii="Arial" w:cs="Arial" w:eastAsia="Arial" w:hAnsi="Arial"/>
                <w:sz w:val="14"/>
                <w:szCs w:val="14"/>
                <w:color w:val="4D4D4F"/>
              </w:rPr>
              <w:t>355,000</w:t>
            </w:r>
          </w:p>
        </w:tc>
      </w:tr>
      <w:tr>
        <w:trPr>
          <w:trHeight w:val="222"/>
        </w:trPr>
        <w:tc>
          <w:tcPr>
            <w:tcW w:w="2720" w:type="dxa"/>
            <w:vAlign w:val="bottom"/>
          </w:tcPr>
          <w:p>
            <w:pPr>
              <w:ind w:left="100"/>
              <w:spacing w:after="0"/>
              <w:rPr>
                <w:sz w:val="20"/>
                <w:szCs w:val="20"/>
                <w:color w:val="auto"/>
              </w:rPr>
            </w:pPr>
            <w:r>
              <w:rPr>
                <w:rFonts w:ascii="Arial" w:cs="Arial" w:eastAsia="Arial" w:hAnsi="Arial"/>
                <w:sz w:val="14"/>
                <w:szCs w:val="14"/>
                <w:b w:val="1"/>
                <w:bCs w:val="1"/>
                <w:color w:val="4D4D4F"/>
              </w:rPr>
              <w:t>Stephen K. Roddenberry</w:t>
            </w:r>
          </w:p>
        </w:tc>
        <w:tc>
          <w:tcPr>
            <w:tcW w:w="3680" w:type="dxa"/>
            <w:vAlign w:val="bottom"/>
          </w:tcPr>
          <w:p>
            <w:pPr>
              <w:jc w:val="right"/>
              <w:ind w:right="788"/>
              <w:spacing w:after="0"/>
              <w:rPr>
                <w:sz w:val="20"/>
                <w:szCs w:val="20"/>
                <w:color w:val="auto"/>
              </w:rPr>
            </w:pPr>
            <w:r>
              <w:rPr>
                <w:rFonts w:ascii="Arial" w:cs="Arial" w:eastAsia="Arial" w:hAnsi="Arial"/>
                <w:sz w:val="14"/>
                <w:szCs w:val="14"/>
                <w:color w:val="4D4D4F"/>
              </w:rPr>
              <w:t>170,000</w:t>
            </w:r>
          </w:p>
        </w:tc>
        <w:tc>
          <w:tcPr>
            <w:tcW w:w="3080" w:type="dxa"/>
            <w:vAlign w:val="bottom"/>
          </w:tcPr>
          <w:p>
            <w:pPr>
              <w:jc w:val="right"/>
              <w:ind w:right="1068"/>
              <w:spacing w:after="0"/>
              <w:rPr>
                <w:sz w:val="20"/>
                <w:szCs w:val="20"/>
                <w:color w:val="auto"/>
              </w:rPr>
            </w:pPr>
            <w:r>
              <w:rPr>
                <w:rFonts w:ascii="Arial" w:cs="Arial" w:eastAsia="Arial" w:hAnsi="Arial"/>
                <w:sz w:val="14"/>
                <w:szCs w:val="14"/>
                <w:color w:val="4D4D4F"/>
              </w:rPr>
              <w:t>185,022</w:t>
            </w:r>
          </w:p>
        </w:tc>
        <w:tc>
          <w:tcPr>
            <w:tcW w:w="1760" w:type="dxa"/>
            <w:vAlign w:val="bottom"/>
          </w:tcPr>
          <w:p>
            <w:pPr>
              <w:jc w:val="right"/>
              <w:ind w:right="88"/>
              <w:spacing w:after="0"/>
              <w:rPr>
                <w:sz w:val="20"/>
                <w:szCs w:val="20"/>
                <w:color w:val="auto"/>
              </w:rPr>
            </w:pPr>
            <w:r>
              <w:rPr>
                <w:rFonts w:ascii="Arial" w:cs="Arial" w:eastAsia="Arial" w:hAnsi="Arial"/>
                <w:sz w:val="14"/>
                <w:szCs w:val="14"/>
                <w:color w:val="4D4D4F"/>
              </w:rPr>
              <w:t>355,022</w:t>
            </w:r>
          </w:p>
        </w:tc>
      </w:tr>
      <w:tr>
        <w:trPr>
          <w:trHeight w:val="237"/>
        </w:trPr>
        <w:tc>
          <w:tcPr>
            <w:tcW w:w="272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Jill B. Smart</w:t>
            </w:r>
          </w:p>
        </w:tc>
        <w:tc>
          <w:tcPr>
            <w:tcW w:w="3680" w:type="dxa"/>
            <w:vAlign w:val="bottom"/>
            <w:shd w:val="clear" w:color="auto" w:fill="EAEEF2"/>
          </w:tcPr>
          <w:p>
            <w:pPr>
              <w:jc w:val="right"/>
              <w:ind w:right="788"/>
              <w:spacing w:after="0"/>
              <w:rPr>
                <w:sz w:val="20"/>
                <w:szCs w:val="20"/>
                <w:color w:val="auto"/>
              </w:rPr>
            </w:pPr>
            <w:r>
              <w:rPr>
                <w:rFonts w:ascii="Arial" w:cs="Arial" w:eastAsia="Arial" w:hAnsi="Arial"/>
                <w:sz w:val="14"/>
                <w:szCs w:val="14"/>
                <w:color w:val="4D4D4F"/>
              </w:rPr>
              <w:t>110,000</w:t>
            </w:r>
          </w:p>
        </w:tc>
        <w:tc>
          <w:tcPr>
            <w:tcW w:w="3080" w:type="dxa"/>
            <w:vAlign w:val="bottom"/>
            <w:shd w:val="clear" w:color="auto" w:fill="EAEEF2"/>
          </w:tcPr>
          <w:p>
            <w:pPr>
              <w:jc w:val="right"/>
              <w:ind w:right="1068"/>
              <w:spacing w:after="0"/>
              <w:rPr>
                <w:sz w:val="20"/>
                <w:szCs w:val="20"/>
                <w:color w:val="auto"/>
              </w:rPr>
            </w:pPr>
            <w:r>
              <w:rPr>
                <w:rFonts w:ascii="Arial" w:cs="Arial" w:eastAsia="Arial" w:hAnsi="Arial"/>
                <w:sz w:val="14"/>
                <w:szCs w:val="14"/>
                <w:color w:val="4D4D4F"/>
              </w:rPr>
              <w:t>175,020</w:t>
            </w:r>
          </w:p>
        </w:tc>
        <w:tc>
          <w:tcPr>
            <w:tcW w:w="1760" w:type="dxa"/>
            <w:vAlign w:val="bottom"/>
            <w:shd w:val="clear" w:color="auto" w:fill="EAEEF2"/>
          </w:tcPr>
          <w:p>
            <w:pPr>
              <w:jc w:val="right"/>
              <w:ind w:right="88"/>
              <w:spacing w:after="0"/>
              <w:rPr>
                <w:sz w:val="20"/>
                <w:szCs w:val="20"/>
                <w:color w:val="auto"/>
              </w:rPr>
            </w:pPr>
            <w:r>
              <w:rPr>
                <w:rFonts w:ascii="Arial" w:cs="Arial" w:eastAsia="Arial" w:hAnsi="Arial"/>
                <w:sz w:val="14"/>
                <w:szCs w:val="14"/>
                <w:color w:val="4D4D4F"/>
              </w:rPr>
              <w:t>285,020</w:t>
            </w:r>
          </w:p>
        </w:tc>
      </w:tr>
      <w:tr>
        <w:trPr>
          <w:trHeight w:val="223"/>
        </w:trPr>
        <w:tc>
          <w:tcPr>
            <w:tcW w:w="2720" w:type="dxa"/>
            <w:vAlign w:val="bottom"/>
            <w:tcBorders>
              <w:bottom w:val="single" w:sz="8" w:color="298655"/>
            </w:tcBorders>
          </w:tcPr>
          <w:p>
            <w:pPr>
              <w:ind w:left="100"/>
              <w:spacing w:after="0"/>
              <w:rPr>
                <w:sz w:val="20"/>
                <w:szCs w:val="20"/>
                <w:color w:val="auto"/>
              </w:rPr>
            </w:pPr>
            <w:r>
              <w:rPr>
                <w:rFonts w:ascii="Arial" w:cs="Arial" w:eastAsia="Arial" w:hAnsi="Arial"/>
                <w:sz w:val="14"/>
                <w:szCs w:val="14"/>
                <w:b w:val="1"/>
                <w:bCs w:val="1"/>
                <w:color w:val="4D4D4F"/>
              </w:rPr>
              <w:t>Paul H. Stebbins</w:t>
            </w:r>
          </w:p>
        </w:tc>
        <w:tc>
          <w:tcPr>
            <w:tcW w:w="3680" w:type="dxa"/>
            <w:vAlign w:val="bottom"/>
            <w:tcBorders>
              <w:bottom w:val="single" w:sz="8" w:color="298655"/>
            </w:tcBorders>
          </w:tcPr>
          <w:p>
            <w:pPr>
              <w:jc w:val="right"/>
              <w:ind w:right="788"/>
              <w:spacing w:after="0"/>
              <w:rPr>
                <w:sz w:val="20"/>
                <w:szCs w:val="20"/>
                <w:color w:val="auto"/>
              </w:rPr>
            </w:pPr>
            <w:r>
              <w:rPr>
                <w:rFonts w:ascii="Arial" w:cs="Arial" w:eastAsia="Arial" w:hAnsi="Arial"/>
                <w:sz w:val="14"/>
                <w:szCs w:val="14"/>
                <w:color w:val="4D4D4F"/>
              </w:rPr>
              <w:t>105,000</w:t>
            </w:r>
          </w:p>
        </w:tc>
        <w:tc>
          <w:tcPr>
            <w:tcW w:w="3080" w:type="dxa"/>
            <w:vAlign w:val="bottom"/>
            <w:tcBorders>
              <w:bottom w:val="single" w:sz="8" w:color="298655"/>
            </w:tcBorders>
          </w:tcPr>
          <w:p>
            <w:pPr>
              <w:jc w:val="right"/>
              <w:ind w:right="1068"/>
              <w:spacing w:after="0"/>
              <w:rPr>
                <w:sz w:val="20"/>
                <w:szCs w:val="20"/>
                <w:color w:val="auto"/>
              </w:rPr>
            </w:pPr>
            <w:r>
              <w:rPr>
                <w:rFonts w:ascii="Arial" w:cs="Arial" w:eastAsia="Arial" w:hAnsi="Arial"/>
                <w:sz w:val="14"/>
                <w:szCs w:val="14"/>
                <w:color w:val="4D4D4F"/>
              </w:rPr>
              <w:t>165,017</w:t>
            </w:r>
          </w:p>
        </w:tc>
        <w:tc>
          <w:tcPr>
            <w:tcW w:w="1760" w:type="dxa"/>
            <w:vAlign w:val="bottom"/>
            <w:tcBorders>
              <w:bottom w:val="single" w:sz="8" w:color="298655"/>
            </w:tcBorders>
          </w:tcPr>
          <w:p>
            <w:pPr>
              <w:jc w:val="right"/>
              <w:ind w:right="88"/>
              <w:spacing w:after="0"/>
              <w:rPr>
                <w:sz w:val="20"/>
                <w:szCs w:val="20"/>
                <w:color w:val="auto"/>
              </w:rPr>
            </w:pPr>
            <w:r>
              <w:rPr>
                <w:rFonts w:ascii="Arial" w:cs="Arial" w:eastAsia="Arial" w:hAnsi="Arial"/>
                <w:sz w:val="14"/>
                <w:szCs w:val="14"/>
                <w:color w:val="4D4D4F"/>
              </w:rPr>
              <w:t>270,017</w:t>
            </w:r>
          </w:p>
        </w:tc>
      </w:tr>
    </w:tbl>
    <w:p>
      <w:pPr>
        <w:spacing w:after="0" w:line="126" w:lineRule="exact"/>
        <w:rPr>
          <w:sz w:val="20"/>
          <w:szCs w:val="20"/>
          <w:color w:val="auto"/>
        </w:rPr>
      </w:pPr>
    </w:p>
    <w:p>
      <w:pPr>
        <w:ind w:left="500" w:right="60" w:hanging="330"/>
        <w:spacing w:after="0" w:line="276" w:lineRule="auto"/>
        <w:tabs>
          <w:tab w:leader="none" w:pos="498" w:val="left"/>
        </w:tabs>
        <w:numPr>
          <w:ilvl w:val="0"/>
          <w:numId w:val="67"/>
        </w:numPr>
        <w:rPr>
          <w:rFonts w:ascii="Arial" w:cs="Arial" w:eastAsia="Arial" w:hAnsi="Arial"/>
          <w:sz w:val="14"/>
          <w:szCs w:val="14"/>
          <w:color w:val="4D4D4F"/>
        </w:rPr>
      </w:pPr>
      <w:r>
        <w:rPr>
          <w:rFonts w:ascii="Arial" w:cs="Arial" w:eastAsia="Arial" w:hAnsi="Arial"/>
          <w:sz w:val="14"/>
          <w:szCs w:val="14"/>
          <w:color w:val="4D4D4F"/>
        </w:rPr>
        <w:t>The amounts shown in this column represent the estimated aggregate grant date fair value of the RSU awards granted to the non-management independent directors in 2023. The estimated aggregate grant date fair value of these awards is based on the grant date fair market value of our common stock, as defined in the 2021 Plan and is computed in accordance with FASB ASC Topic 718. Assumptions used in determining the aggregate grant date fair value of RSU awards are set forth in Note 12 to the notes to the consolidated financial statements in Item 15 of our Annual Report on Form 10-K for the year ended December 31, 2023.</w:t>
      </w:r>
    </w:p>
    <w:p>
      <w:pPr>
        <w:spacing w:after="0" w:line="15" w:lineRule="exact"/>
        <w:rPr>
          <w:rFonts w:ascii="Arial" w:cs="Arial" w:eastAsia="Arial" w:hAnsi="Arial"/>
          <w:sz w:val="14"/>
          <w:szCs w:val="14"/>
          <w:color w:val="4D4D4F"/>
        </w:rPr>
      </w:pPr>
    </w:p>
    <w:p>
      <w:pPr>
        <w:ind w:left="500" w:hanging="330"/>
        <w:spacing w:after="0"/>
        <w:tabs>
          <w:tab w:leader="none" w:pos="500" w:val="left"/>
        </w:tabs>
        <w:numPr>
          <w:ilvl w:val="0"/>
          <w:numId w:val="67"/>
        </w:numPr>
        <w:rPr>
          <w:rFonts w:ascii="Arial" w:cs="Arial" w:eastAsia="Arial" w:hAnsi="Arial"/>
          <w:sz w:val="14"/>
          <w:szCs w:val="14"/>
          <w:color w:val="4D4D4F"/>
        </w:rPr>
      </w:pPr>
      <w:r>
        <w:rPr>
          <w:rFonts w:ascii="Arial" w:cs="Arial" w:eastAsia="Arial" w:hAnsi="Arial"/>
          <w:sz w:val="14"/>
          <w:szCs w:val="14"/>
          <w:color w:val="4D4D4F"/>
        </w:rPr>
        <w:t>The aggregate number of RSUs and stock units held by each non-management director serving as at December 31, 2023 was as follows:</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318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Name</w:t>
            </w:r>
          </w:p>
        </w:tc>
        <w:tc>
          <w:tcPr>
            <w:tcW w:w="2680" w:type="dxa"/>
            <w:vAlign w:val="bottom"/>
            <w:shd w:val="clear" w:color="auto" w:fill="132440"/>
          </w:tcPr>
          <w:p>
            <w:pPr>
              <w:jc w:val="right"/>
              <w:ind w:right="728"/>
              <w:spacing w:after="0"/>
              <w:rPr>
                <w:sz w:val="20"/>
                <w:szCs w:val="20"/>
                <w:color w:val="auto"/>
              </w:rPr>
            </w:pPr>
            <w:r>
              <w:rPr>
                <w:rFonts w:ascii="Arial" w:cs="Arial" w:eastAsia="Arial" w:hAnsi="Arial"/>
                <w:sz w:val="14"/>
                <w:szCs w:val="14"/>
                <w:b w:val="1"/>
                <w:bCs w:val="1"/>
                <w:color w:val="FFFFFF"/>
              </w:rPr>
              <w:t>RSUs</w:t>
            </w:r>
          </w:p>
        </w:tc>
        <w:tc>
          <w:tcPr>
            <w:tcW w:w="2540" w:type="dxa"/>
            <w:vAlign w:val="bottom"/>
            <w:shd w:val="clear" w:color="auto" w:fill="132440"/>
          </w:tcPr>
          <w:p>
            <w:pPr>
              <w:jc w:val="right"/>
              <w:ind w:right="728"/>
              <w:spacing w:after="0"/>
              <w:rPr>
                <w:sz w:val="20"/>
                <w:szCs w:val="20"/>
                <w:color w:val="auto"/>
              </w:rPr>
            </w:pPr>
            <w:r>
              <w:rPr>
                <w:rFonts w:ascii="Arial" w:cs="Arial" w:eastAsia="Arial" w:hAnsi="Arial"/>
                <w:sz w:val="14"/>
                <w:szCs w:val="14"/>
                <w:b w:val="1"/>
                <w:bCs w:val="1"/>
                <w:color w:val="FFFFFF"/>
              </w:rPr>
              <w:t>Stock Units</w:t>
            </w:r>
            <w:r>
              <w:rPr>
                <w:rFonts w:ascii="Arial" w:cs="Arial" w:eastAsia="Arial" w:hAnsi="Arial"/>
                <w:sz w:val="9"/>
                <w:szCs w:val="9"/>
                <w:b w:val="1"/>
                <w:bCs w:val="1"/>
                <w:color w:val="FFFFFF"/>
              </w:rPr>
              <w:t>(a)</w:t>
            </w:r>
          </w:p>
        </w:tc>
        <w:tc>
          <w:tcPr>
            <w:tcW w:w="178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Total Units</w:t>
            </w:r>
            <w:r>
              <w:rPr>
                <w:rFonts w:ascii="Arial" w:cs="Arial" w:eastAsia="Arial" w:hAnsi="Arial"/>
                <w:sz w:val="9"/>
                <w:szCs w:val="9"/>
                <w:b w:val="1"/>
                <w:bCs w:val="1"/>
                <w:color w:val="FFFFFF"/>
              </w:rPr>
              <w:t>(b)</w:t>
            </w:r>
          </w:p>
        </w:tc>
      </w:tr>
      <w:tr>
        <w:trPr>
          <w:trHeight w:val="229"/>
        </w:trPr>
        <w:tc>
          <w:tcPr>
            <w:tcW w:w="318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Ken Bakshi(a)</w:t>
            </w:r>
          </w:p>
        </w:tc>
        <w:tc>
          <w:tcPr>
            <w:tcW w:w="2680" w:type="dxa"/>
            <w:vAlign w:val="bottom"/>
            <w:shd w:val="clear" w:color="auto" w:fill="EAEEF2"/>
          </w:tcPr>
          <w:p>
            <w:pPr>
              <w:jc w:val="right"/>
              <w:ind w:right="788"/>
              <w:spacing w:after="0"/>
              <w:rPr>
                <w:sz w:val="20"/>
                <w:szCs w:val="20"/>
                <w:color w:val="auto"/>
              </w:rPr>
            </w:pPr>
            <w:r>
              <w:rPr>
                <w:rFonts w:ascii="Arial" w:cs="Arial" w:eastAsia="Arial" w:hAnsi="Arial"/>
                <w:sz w:val="14"/>
                <w:szCs w:val="14"/>
                <w:color w:val="4D4D4F"/>
              </w:rPr>
              <w:t>24,984</w:t>
            </w:r>
          </w:p>
        </w:tc>
        <w:tc>
          <w:tcPr>
            <w:tcW w:w="2540" w:type="dxa"/>
            <w:vAlign w:val="bottom"/>
            <w:shd w:val="clear" w:color="auto" w:fill="EAEEF2"/>
          </w:tcPr>
          <w:p>
            <w:pPr>
              <w:jc w:val="right"/>
              <w:ind w:right="788"/>
              <w:spacing w:after="0"/>
              <w:rPr>
                <w:sz w:val="20"/>
                <w:szCs w:val="20"/>
                <w:color w:val="auto"/>
              </w:rPr>
            </w:pPr>
            <w:r>
              <w:rPr>
                <w:rFonts w:ascii="Arial" w:cs="Arial" w:eastAsia="Arial" w:hAnsi="Arial"/>
                <w:sz w:val="14"/>
                <w:szCs w:val="14"/>
                <w:color w:val="4D4D4F"/>
              </w:rPr>
              <w:t>14,091</w:t>
            </w:r>
          </w:p>
        </w:tc>
        <w:tc>
          <w:tcPr>
            <w:tcW w:w="1780" w:type="dxa"/>
            <w:vAlign w:val="bottom"/>
            <w:shd w:val="clear" w:color="auto" w:fill="EAEEF2"/>
          </w:tcPr>
          <w:p>
            <w:pPr>
              <w:jc w:val="right"/>
              <w:ind w:right="88"/>
              <w:spacing w:after="0"/>
              <w:rPr>
                <w:sz w:val="20"/>
                <w:szCs w:val="20"/>
                <w:color w:val="auto"/>
              </w:rPr>
            </w:pPr>
            <w:r>
              <w:rPr>
                <w:rFonts w:ascii="Arial" w:cs="Arial" w:eastAsia="Arial" w:hAnsi="Arial"/>
                <w:sz w:val="14"/>
                <w:szCs w:val="14"/>
                <w:color w:val="4D4D4F"/>
              </w:rPr>
              <w:t>39,075</w:t>
            </w:r>
          </w:p>
        </w:tc>
      </w:tr>
      <w:tr>
        <w:trPr>
          <w:trHeight w:val="222"/>
        </w:trPr>
        <w:tc>
          <w:tcPr>
            <w:tcW w:w="3180" w:type="dxa"/>
            <w:vAlign w:val="bottom"/>
          </w:tcPr>
          <w:p>
            <w:pPr>
              <w:ind w:left="100"/>
              <w:spacing w:after="0"/>
              <w:rPr>
                <w:sz w:val="20"/>
                <w:szCs w:val="20"/>
                <w:color w:val="auto"/>
              </w:rPr>
            </w:pPr>
            <w:r>
              <w:rPr>
                <w:rFonts w:ascii="Arial" w:cs="Arial" w:eastAsia="Arial" w:hAnsi="Arial"/>
                <w:sz w:val="14"/>
                <w:szCs w:val="14"/>
                <w:b w:val="1"/>
                <w:bCs w:val="1"/>
                <w:color w:val="4D4D4F"/>
              </w:rPr>
              <w:t>Jorge L. Benitez</w:t>
            </w:r>
          </w:p>
        </w:tc>
        <w:tc>
          <w:tcPr>
            <w:tcW w:w="2680" w:type="dxa"/>
            <w:vAlign w:val="bottom"/>
          </w:tcPr>
          <w:p>
            <w:pPr>
              <w:jc w:val="right"/>
              <w:ind w:right="788"/>
              <w:spacing w:after="0"/>
              <w:rPr>
                <w:sz w:val="20"/>
                <w:szCs w:val="20"/>
                <w:color w:val="auto"/>
              </w:rPr>
            </w:pPr>
            <w:r>
              <w:rPr>
                <w:rFonts w:ascii="Arial" w:cs="Arial" w:eastAsia="Arial" w:hAnsi="Arial"/>
                <w:sz w:val="14"/>
                <w:szCs w:val="14"/>
                <w:color w:val="4D4D4F"/>
              </w:rPr>
              <w:t>8,305</w:t>
            </w:r>
          </w:p>
        </w:tc>
        <w:tc>
          <w:tcPr>
            <w:tcW w:w="2540" w:type="dxa"/>
            <w:vAlign w:val="bottom"/>
          </w:tcPr>
          <w:p>
            <w:pPr>
              <w:jc w:val="right"/>
              <w:ind w:right="788"/>
              <w:spacing w:after="0"/>
              <w:rPr>
                <w:sz w:val="20"/>
                <w:szCs w:val="20"/>
                <w:color w:val="auto"/>
              </w:rPr>
            </w:pPr>
            <w:r>
              <w:rPr>
                <w:rFonts w:ascii="Arial" w:cs="Arial" w:eastAsia="Arial" w:hAnsi="Arial"/>
                <w:sz w:val="14"/>
                <w:szCs w:val="14"/>
                <w:color w:val="4D4D4F"/>
              </w:rPr>
              <w:t>—</w:t>
            </w:r>
          </w:p>
        </w:tc>
        <w:tc>
          <w:tcPr>
            <w:tcW w:w="1780" w:type="dxa"/>
            <w:vAlign w:val="bottom"/>
          </w:tcPr>
          <w:p>
            <w:pPr>
              <w:jc w:val="right"/>
              <w:ind w:right="88"/>
              <w:spacing w:after="0"/>
              <w:rPr>
                <w:sz w:val="20"/>
                <w:szCs w:val="20"/>
                <w:color w:val="auto"/>
              </w:rPr>
            </w:pPr>
            <w:r>
              <w:rPr>
                <w:rFonts w:ascii="Arial" w:cs="Arial" w:eastAsia="Arial" w:hAnsi="Arial"/>
                <w:sz w:val="14"/>
                <w:szCs w:val="14"/>
                <w:color w:val="4D4D4F"/>
              </w:rPr>
              <w:t>8,305</w:t>
            </w:r>
          </w:p>
        </w:tc>
      </w:tr>
      <w:tr>
        <w:trPr>
          <w:trHeight w:val="237"/>
        </w:trPr>
        <w:tc>
          <w:tcPr>
            <w:tcW w:w="318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Sharda Cherwoo</w:t>
            </w:r>
          </w:p>
        </w:tc>
        <w:tc>
          <w:tcPr>
            <w:tcW w:w="2680" w:type="dxa"/>
            <w:vAlign w:val="bottom"/>
            <w:shd w:val="clear" w:color="auto" w:fill="EAEEF2"/>
          </w:tcPr>
          <w:p>
            <w:pPr>
              <w:jc w:val="right"/>
              <w:ind w:right="788"/>
              <w:spacing w:after="0"/>
              <w:rPr>
                <w:sz w:val="20"/>
                <w:szCs w:val="20"/>
                <w:color w:val="auto"/>
              </w:rPr>
            </w:pPr>
            <w:r>
              <w:rPr>
                <w:rFonts w:ascii="Arial" w:cs="Arial" w:eastAsia="Arial" w:hAnsi="Arial"/>
                <w:sz w:val="14"/>
                <w:szCs w:val="14"/>
                <w:color w:val="4D4D4F"/>
              </w:rPr>
              <w:t>7,454</w:t>
            </w:r>
          </w:p>
        </w:tc>
        <w:tc>
          <w:tcPr>
            <w:tcW w:w="2540" w:type="dxa"/>
            <w:vAlign w:val="bottom"/>
            <w:shd w:val="clear" w:color="auto" w:fill="EAEEF2"/>
          </w:tcPr>
          <w:p>
            <w:pPr>
              <w:jc w:val="right"/>
              <w:ind w:right="788"/>
              <w:spacing w:after="0"/>
              <w:rPr>
                <w:sz w:val="20"/>
                <w:szCs w:val="20"/>
                <w:color w:val="auto"/>
              </w:rPr>
            </w:pPr>
            <w:r>
              <w:rPr>
                <w:rFonts w:ascii="Arial" w:cs="Arial" w:eastAsia="Arial" w:hAnsi="Arial"/>
                <w:sz w:val="14"/>
                <w:szCs w:val="14"/>
                <w:color w:val="4D4D4F"/>
              </w:rPr>
              <w:t>—</w:t>
            </w:r>
          </w:p>
        </w:tc>
        <w:tc>
          <w:tcPr>
            <w:tcW w:w="1780" w:type="dxa"/>
            <w:vAlign w:val="bottom"/>
            <w:shd w:val="clear" w:color="auto" w:fill="EAEEF2"/>
          </w:tcPr>
          <w:p>
            <w:pPr>
              <w:jc w:val="right"/>
              <w:ind w:right="88"/>
              <w:spacing w:after="0"/>
              <w:rPr>
                <w:sz w:val="20"/>
                <w:szCs w:val="20"/>
                <w:color w:val="auto"/>
              </w:rPr>
            </w:pPr>
            <w:r>
              <w:rPr>
                <w:rFonts w:ascii="Arial" w:cs="Arial" w:eastAsia="Arial" w:hAnsi="Arial"/>
                <w:sz w:val="14"/>
                <w:szCs w:val="14"/>
                <w:color w:val="4D4D4F"/>
              </w:rPr>
              <w:t>7,454</w:t>
            </w:r>
          </w:p>
        </w:tc>
      </w:tr>
      <w:tr>
        <w:trPr>
          <w:trHeight w:val="222"/>
        </w:trPr>
        <w:tc>
          <w:tcPr>
            <w:tcW w:w="3180" w:type="dxa"/>
            <w:vAlign w:val="bottom"/>
          </w:tcPr>
          <w:p>
            <w:pPr>
              <w:ind w:left="100"/>
              <w:spacing w:after="0"/>
              <w:rPr>
                <w:sz w:val="20"/>
                <w:szCs w:val="20"/>
                <w:color w:val="auto"/>
              </w:rPr>
            </w:pPr>
            <w:r>
              <w:rPr>
                <w:rFonts w:ascii="Arial" w:cs="Arial" w:eastAsia="Arial" w:hAnsi="Arial"/>
                <w:sz w:val="14"/>
                <w:szCs w:val="14"/>
                <w:b w:val="1"/>
                <w:bCs w:val="1"/>
                <w:color w:val="4D4D4F"/>
              </w:rPr>
              <w:t>Richard A. Kassar</w:t>
            </w:r>
          </w:p>
        </w:tc>
        <w:tc>
          <w:tcPr>
            <w:tcW w:w="2680" w:type="dxa"/>
            <w:vAlign w:val="bottom"/>
          </w:tcPr>
          <w:p>
            <w:pPr>
              <w:jc w:val="right"/>
              <w:ind w:right="788"/>
              <w:spacing w:after="0"/>
              <w:rPr>
                <w:sz w:val="20"/>
                <w:szCs w:val="20"/>
                <w:color w:val="auto"/>
              </w:rPr>
            </w:pPr>
            <w:r>
              <w:rPr>
                <w:rFonts w:ascii="Arial" w:cs="Arial" w:eastAsia="Arial" w:hAnsi="Arial"/>
                <w:sz w:val="14"/>
                <w:szCs w:val="14"/>
                <w:color w:val="4D4D4F"/>
              </w:rPr>
              <w:t>24,133</w:t>
            </w:r>
          </w:p>
        </w:tc>
        <w:tc>
          <w:tcPr>
            <w:tcW w:w="2540" w:type="dxa"/>
            <w:vAlign w:val="bottom"/>
          </w:tcPr>
          <w:p>
            <w:pPr>
              <w:jc w:val="right"/>
              <w:ind w:right="788"/>
              <w:spacing w:after="0"/>
              <w:rPr>
                <w:sz w:val="20"/>
                <w:szCs w:val="20"/>
                <w:color w:val="auto"/>
              </w:rPr>
            </w:pPr>
            <w:r>
              <w:rPr>
                <w:rFonts w:ascii="Arial" w:cs="Arial" w:eastAsia="Arial" w:hAnsi="Arial"/>
                <w:sz w:val="14"/>
                <w:szCs w:val="14"/>
                <w:color w:val="4D4D4F"/>
              </w:rPr>
              <w:t>—</w:t>
            </w:r>
          </w:p>
        </w:tc>
        <w:tc>
          <w:tcPr>
            <w:tcW w:w="1780" w:type="dxa"/>
            <w:vAlign w:val="bottom"/>
          </w:tcPr>
          <w:p>
            <w:pPr>
              <w:jc w:val="right"/>
              <w:ind w:right="88"/>
              <w:spacing w:after="0"/>
              <w:rPr>
                <w:sz w:val="20"/>
                <w:szCs w:val="20"/>
                <w:color w:val="auto"/>
              </w:rPr>
            </w:pPr>
            <w:r>
              <w:rPr>
                <w:rFonts w:ascii="Arial" w:cs="Arial" w:eastAsia="Arial" w:hAnsi="Arial"/>
                <w:sz w:val="14"/>
                <w:szCs w:val="14"/>
                <w:color w:val="4D4D4F"/>
              </w:rPr>
              <w:t>24,133</w:t>
            </w:r>
          </w:p>
        </w:tc>
      </w:tr>
      <w:tr>
        <w:trPr>
          <w:trHeight w:val="237"/>
        </w:trPr>
        <w:tc>
          <w:tcPr>
            <w:tcW w:w="318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John L. Manley</w:t>
            </w:r>
          </w:p>
        </w:tc>
        <w:tc>
          <w:tcPr>
            <w:tcW w:w="2680" w:type="dxa"/>
            <w:vAlign w:val="bottom"/>
            <w:shd w:val="clear" w:color="auto" w:fill="EAEEF2"/>
          </w:tcPr>
          <w:p>
            <w:pPr>
              <w:jc w:val="right"/>
              <w:ind w:right="788"/>
              <w:spacing w:after="0"/>
              <w:rPr>
                <w:sz w:val="20"/>
                <w:szCs w:val="20"/>
                <w:color w:val="auto"/>
              </w:rPr>
            </w:pPr>
            <w:r>
              <w:rPr>
                <w:rFonts w:ascii="Arial" w:cs="Arial" w:eastAsia="Arial" w:hAnsi="Arial"/>
                <w:sz w:val="14"/>
                <w:szCs w:val="14"/>
                <w:color w:val="4D4D4F"/>
              </w:rPr>
              <w:t>9,841</w:t>
            </w:r>
          </w:p>
        </w:tc>
        <w:tc>
          <w:tcPr>
            <w:tcW w:w="2540" w:type="dxa"/>
            <w:vAlign w:val="bottom"/>
            <w:shd w:val="clear" w:color="auto" w:fill="EAEEF2"/>
          </w:tcPr>
          <w:p>
            <w:pPr>
              <w:jc w:val="right"/>
              <w:ind w:right="788"/>
              <w:spacing w:after="0"/>
              <w:rPr>
                <w:sz w:val="20"/>
                <w:szCs w:val="20"/>
                <w:color w:val="auto"/>
              </w:rPr>
            </w:pPr>
            <w:r>
              <w:rPr>
                <w:rFonts w:ascii="Arial" w:cs="Arial" w:eastAsia="Arial" w:hAnsi="Arial"/>
                <w:sz w:val="14"/>
                <w:szCs w:val="14"/>
                <w:color w:val="4D4D4F"/>
              </w:rPr>
              <w:t>—</w:t>
            </w:r>
          </w:p>
        </w:tc>
        <w:tc>
          <w:tcPr>
            <w:tcW w:w="1780" w:type="dxa"/>
            <w:vAlign w:val="bottom"/>
            <w:shd w:val="clear" w:color="auto" w:fill="EAEEF2"/>
          </w:tcPr>
          <w:p>
            <w:pPr>
              <w:jc w:val="right"/>
              <w:ind w:right="88"/>
              <w:spacing w:after="0"/>
              <w:rPr>
                <w:sz w:val="20"/>
                <w:szCs w:val="20"/>
                <w:color w:val="auto"/>
              </w:rPr>
            </w:pPr>
            <w:r>
              <w:rPr>
                <w:rFonts w:ascii="Arial" w:cs="Arial" w:eastAsia="Arial" w:hAnsi="Arial"/>
                <w:sz w:val="14"/>
                <w:szCs w:val="14"/>
                <w:color w:val="4D4D4F"/>
              </w:rPr>
              <w:t>9,841</w:t>
            </w:r>
          </w:p>
        </w:tc>
      </w:tr>
      <w:tr>
        <w:trPr>
          <w:trHeight w:val="222"/>
        </w:trPr>
        <w:tc>
          <w:tcPr>
            <w:tcW w:w="3180" w:type="dxa"/>
            <w:vAlign w:val="bottom"/>
          </w:tcPr>
          <w:p>
            <w:pPr>
              <w:ind w:left="100"/>
              <w:spacing w:after="0"/>
              <w:rPr>
                <w:sz w:val="20"/>
                <w:szCs w:val="20"/>
                <w:color w:val="auto"/>
              </w:rPr>
            </w:pPr>
            <w:r>
              <w:rPr>
                <w:rFonts w:ascii="Arial" w:cs="Arial" w:eastAsia="Arial" w:hAnsi="Arial"/>
                <w:sz w:val="14"/>
                <w:szCs w:val="14"/>
                <w:b w:val="1"/>
                <w:bCs w:val="1"/>
                <w:color w:val="4D4D4F"/>
              </w:rPr>
              <w:t>Stephen K. Roddenberry</w:t>
            </w:r>
          </w:p>
        </w:tc>
        <w:tc>
          <w:tcPr>
            <w:tcW w:w="2680" w:type="dxa"/>
            <w:vAlign w:val="bottom"/>
          </w:tcPr>
          <w:p>
            <w:pPr>
              <w:jc w:val="right"/>
              <w:ind w:right="788"/>
              <w:spacing w:after="0"/>
              <w:rPr>
                <w:sz w:val="20"/>
                <w:szCs w:val="20"/>
                <w:color w:val="auto"/>
              </w:rPr>
            </w:pPr>
            <w:r>
              <w:rPr>
                <w:rFonts w:ascii="Arial" w:cs="Arial" w:eastAsia="Arial" w:hAnsi="Arial"/>
                <w:sz w:val="14"/>
                <w:szCs w:val="14"/>
                <w:color w:val="4D4D4F"/>
              </w:rPr>
              <w:t>24,559</w:t>
            </w:r>
          </w:p>
        </w:tc>
        <w:tc>
          <w:tcPr>
            <w:tcW w:w="2540" w:type="dxa"/>
            <w:vAlign w:val="bottom"/>
          </w:tcPr>
          <w:p>
            <w:pPr>
              <w:jc w:val="right"/>
              <w:ind w:right="788"/>
              <w:spacing w:after="0"/>
              <w:rPr>
                <w:sz w:val="20"/>
                <w:szCs w:val="20"/>
                <w:color w:val="auto"/>
              </w:rPr>
            </w:pPr>
            <w:r>
              <w:rPr>
                <w:rFonts w:ascii="Arial" w:cs="Arial" w:eastAsia="Arial" w:hAnsi="Arial"/>
                <w:sz w:val="14"/>
                <w:szCs w:val="14"/>
                <w:color w:val="4D4D4F"/>
              </w:rPr>
              <w:t>—</w:t>
            </w:r>
          </w:p>
        </w:tc>
        <w:tc>
          <w:tcPr>
            <w:tcW w:w="1780" w:type="dxa"/>
            <w:vAlign w:val="bottom"/>
          </w:tcPr>
          <w:p>
            <w:pPr>
              <w:jc w:val="right"/>
              <w:ind w:right="88"/>
              <w:spacing w:after="0"/>
              <w:rPr>
                <w:sz w:val="20"/>
                <w:szCs w:val="20"/>
                <w:color w:val="auto"/>
              </w:rPr>
            </w:pPr>
            <w:r>
              <w:rPr>
                <w:rFonts w:ascii="Arial" w:cs="Arial" w:eastAsia="Arial" w:hAnsi="Arial"/>
                <w:sz w:val="14"/>
                <w:szCs w:val="14"/>
                <w:color w:val="4D4D4F"/>
              </w:rPr>
              <w:t>24,559</w:t>
            </w:r>
          </w:p>
        </w:tc>
      </w:tr>
      <w:tr>
        <w:trPr>
          <w:trHeight w:val="237"/>
        </w:trPr>
        <w:tc>
          <w:tcPr>
            <w:tcW w:w="318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Jill B. Smart</w:t>
            </w:r>
          </w:p>
        </w:tc>
        <w:tc>
          <w:tcPr>
            <w:tcW w:w="2680" w:type="dxa"/>
            <w:vAlign w:val="bottom"/>
            <w:shd w:val="clear" w:color="auto" w:fill="EAEEF2"/>
          </w:tcPr>
          <w:p>
            <w:pPr>
              <w:jc w:val="right"/>
              <w:ind w:right="788"/>
              <w:spacing w:after="0"/>
              <w:rPr>
                <w:sz w:val="20"/>
                <w:szCs w:val="20"/>
                <w:color w:val="auto"/>
              </w:rPr>
            </w:pPr>
            <w:r>
              <w:rPr>
                <w:rFonts w:ascii="Arial" w:cs="Arial" w:eastAsia="Arial" w:hAnsi="Arial"/>
                <w:sz w:val="14"/>
                <w:szCs w:val="14"/>
                <w:color w:val="4D4D4F"/>
              </w:rPr>
              <w:t>7,454</w:t>
            </w:r>
          </w:p>
        </w:tc>
        <w:tc>
          <w:tcPr>
            <w:tcW w:w="2540" w:type="dxa"/>
            <w:vAlign w:val="bottom"/>
            <w:shd w:val="clear" w:color="auto" w:fill="EAEEF2"/>
          </w:tcPr>
          <w:p>
            <w:pPr>
              <w:jc w:val="right"/>
              <w:ind w:right="788"/>
              <w:spacing w:after="0"/>
              <w:rPr>
                <w:sz w:val="20"/>
                <w:szCs w:val="20"/>
                <w:color w:val="auto"/>
              </w:rPr>
            </w:pPr>
            <w:r>
              <w:rPr>
                <w:rFonts w:ascii="Arial" w:cs="Arial" w:eastAsia="Arial" w:hAnsi="Arial"/>
                <w:sz w:val="14"/>
                <w:szCs w:val="14"/>
                <w:color w:val="4D4D4F"/>
              </w:rPr>
              <w:t>—</w:t>
            </w:r>
          </w:p>
        </w:tc>
        <w:tc>
          <w:tcPr>
            <w:tcW w:w="1780" w:type="dxa"/>
            <w:vAlign w:val="bottom"/>
            <w:shd w:val="clear" w:color="auto" w:fill="EAEEF2"/>
          </w:tcPr>
          <w:p>
            <w:pPr>
              <w:jc w:val="right"/>
              <w:ind w:right="88"/>
              <w:spacing w:after="0"/>
              <w:rPr>
                <w:sz w:val="20"/>
                <w:szCs w:val="20"/>
                <w:color w:val="auto"/>
              </w:rPr>
            </w:pPr>
            <w:r>
              <w:rPr>
                <w:rFonts w:ascii="Arial" w:cs="Arial" w:eastAsia="Arial" w:hAnsi="Arial"/>
                <w:sz w:val="14"/>
                <w:szCs w:val="14"/>
                <w:color w:val="4D4D4F"/>
              </w:rPr>
              <w:t>7,454</w:t>
            </w:r>
          </w:p>
        </w:tc>
      </w:tr>
      <w:tr>
        <w:trPr>
          <w:trHeight w:val="223"/>
        </w:trPr>
        <w:tc>
          <w:tcPr>
            <w:tcW w:w="3180" w:type="dxa"/>
            <w:vAlign w:val="bottom"/>
            <w:tcBorders>
              <w:bottom w:val="single" w:sz="8" w:color="298655"/>
            </w:tcBorders>
          </w:tcPr>
          <w:p>
            <w:pPr>
              <w:ind w:left="100"/>
              <w:spacing w:after="0"/>
              <w:rPr>
                <w:sz w:val="20"/>
                <w:szCs w:val="20"/>
                <w:color w:val="auto"/>
              </w:rPr>
            </w:pPr>
            <w:r>
              <w:rPr>
                <w:rFonts w:ascii="Arial" w:cs="Arial" w:eastAsia="Arial" w:hAnsi="Arial"/>
                <w:sz w:val="14"/>
                <w:szCs w:val="14"/>
                <w:b w:val="1"/>
                <w:bCs w:val="1"/>
                <w:color w:val="4D4D4F"/>
              </w:rPr>
              <w:t>Paul H. Stebbins</w:t>
            </w:r>
          </w:p>
        </w:tc>
        <w:tc>
          <w:tcPr>
            <w:tcW w:w="2680" w:type="dxa"/>
            <w:vAlign w:val="bottom"/>
            <w:tcBorders>
              <w:bottom w:val="single" w:sz="8" w:color="298655"/>
            </w:tcBorders>
          </w:tcPr>
          <w:p>
            <w:pPr>
              <w:jc w:val="right"/>
              <w:ind w:right="788"/>
              <w:spacing w:after="0"/>
              <w:rPr>
                <w:sz w:val="20"/>
                <w:szCs w:val="20"/>
                <w:color w:val="auto"/>
              </w:rPr>
            </w:pPr>
            <w:r>
              <w:rPr>
                <w:rFonts w:ascii="Arial" w:cs="Arial" w:eastAsia="Arial" w:hAnsi="Arial"/>
                <w:sz w:val="14"/>
                <w:szCs w:val="14"/>
                <w:color w:val="4D4D4F"/>
              </w:rPr>
              <w:t>7,028</w:t>
            </w:r>
          </w:p>
        </w:tc>
        <w:tc>
          <w:tcPr>
            <w:tcW w:w="2540" w:type="dxa"/>
            <w:vAlign w:val="bottom"/>
            <w:tcBorders>
              <w:bottom w:val="single" w:sz="8" w:color="298655"/>
            </w:tcBorders>
          </w:tcPr>
          <w:p>
            <w:pPr>
              <w:jc w:val="right"/>
              <w:ind w:right="788"/>
              <w:spacing w:after="0"/>
              <w:rPr>
                <w:sz w:val="20"/>
                <w:szCs w:val="20"/>
                <w:color w:val="auto"/>
              </w:rPr>
            </w:pPr>
            <w:r>
              <w:rPr>
                <w:rFonts w:ascii="Arial" w:cs="Arial" w:eastAsia="Arial" w:hAnsi="Arial"/>
                <w:sz w:val="14"/>
                <w:szCs w:val="14"/>
                <w:color w:val="4D4D4F"/>
              </w:rPr>
              <w:t>—</w:t>
            </w:r>
          </w:p>
        </w:tc>
        <w:tc>
          <w:tcPr>
            <w:tcW w:w="1780" w:type="dxa"/>
            <w:vAlign w:val="bottom"/>
            <w:tcBorders>
              <w:bottom w:val="single" w:sz="8" w:color="298655"/>
            </w:tcBorders>
          </w:tcPr>
          <w:p>
            <w:pPr>
              <w:jc w:val="right"/>
              <w:ind w:right="88"/>
              <w:spacing w:after="0"/>
              <w:rPr>
                <w:sz w:val="20"/>
                <w:szCs w:val="20"/>
                <w:color w:val="auto"/>
              </w:rPr>
            </w:pPr>
            <w:r>
              <w:rPr>
                <w:rFonts w:ascii="Arial" w:cs="Arial" w:eastAsia="Arial" w:hAnsi="Arial"/>
                <w:sz w:val="14"/>
                <w:szCs w:val="14"/>
                <w:color w:val="4D4D4F"/>
              </w:rPr>
              <w:t>7,028</w:t>
            </w:r>
          </w:p>
        </w:tc>
      </w:tr>
    </w:tbl>
    <w:p>
      <w:pPr>
        <w:spacing w:after="0" w:line="139" w:lineRule="exact"/>
        <w:rPr>
          <w:sz w:val="20"/>
          <w:szCs w:val="20"/>
          <w:color w:val="auto"/>
        </w:rPr>
      </w:pPr>
    </w:p>
    <w:p>
      <w:pPr>
        <w:ind w:left="820" w:right="200" w:hanging="326"/>
        <w:spacing w:after="0" w:line="301" w:lineRule="auto"/>
        <w:tabs>
          <w:tab w:leader="none" w:pos="818" w:val="left"/>
        </w:tabs>
        <w:numPr>
          <w:ilvl w:val="0"/>
          <w:numId w:val="68"/>
        </w:numPr>
        <w:rPr>
          <w:rFonts w:ascii="Arial" w:cs="Arial" w:eastAsia="Arial" w:hAnsi="Arial"/>
          <w:sz w:val="14"/>
          <w:szCs w:val="14"/>
          <w:color w:val="4D4D4F"/>
        </w:rPr>
      </w:pPr>
      <w:r>
        <w:rPr>
          <w:rFonts w:ascii="Arial" w:cs="Arial" w:eastAsia="Arial" w:hAnsi="Arial"/>
          <w:sz w:val="14"/>
          <w:szCs w:val="14"/>
          <w:color w:val="4D4D4F"/>
        </w:rPr>
        <w:t>Includes 14,091 stock units for Mr. Bakshi, which represents stock awards he received that he previously elected to defer pursuant to our Non-Employee Director Stock Deferral Plan.</w:t>
      </w:r>
    </w:p>
    <w:p>
      <w:pPr>
        <w:spacing w:after="0" w:line="1" w:lineRule="exact"/>
        <w:rPr>
          <w:rFonts w:ascii="Arial" w:cs="Arial" w:eastAsia="Arial" w:hAnsi="Arial"/>
          <w:sz w:val="14"/>
          <w:szCs w:val="14"/>
          <w:color w:val="4D4D4F"/>
        </w:rPr>
      </w:pPr>
    </w:p>
    <w:p>
      <w:pPr>
        <w:ind w:left="820" w:hanging="326"/>
        <w:spacing w:after="0" w:line="305" w:lineRule="auto"/>
        <w:tabs>
          <w:tab w:leader="none" w:pos="818" w:val="left"/>
        </w:tabs>
        <w:numPr>
          <w:ilvl w:val="0"/>
          <w:numId w:val="68"/>
        </w:numPr>
        <w:rPr>
          <w:rFonts w:ascii="Arial" w:cs="Arial" w:eastAsia="Arial" w:hAnsi="Arial"/>
          <w:sz w:val="14"/>
          <w:szCs w:val="14"/>
          <w:color w:val="4D4D4F"/>
        </w:rPr>
      </w:pPr>
      <w:r>
        <w:rPr>
          <w:rFonts w:ascii="Arial" w:cs="Arial" w:eastAsia="Arial" w:hAnsi="Arial"/>
          <w:sz w:val="14"/>
          <w:szCs w:val="14"/>
          <w:color w:val="4D4D4F"/>
        </w:rPr>
        <w:t>For a discussion of the applicable vesting terms of these RSUs and stock units, please see the “Security Ownership of Certain Beneficial Owners and Management” table and related footnotes for each director beginning on page 77.</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Director Stock Ownership Guidelines</w:t>
      </w:r>
    </w:p>
    <w:p>
      <w:pPr>
        <w:spacing w:after="0" w:line="14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4D4D4F"/>
        </w:rPr>
        <w:t>After joining the Board, each non-management director is required to accumulate ownership in our common stock over a five-year period of at least five times their annual fee for service on the Board, or $500,000. All of our non-management directors are in compliance with these guidelines. Vested RSUs and stock units that a director has elected to defer until retirement are included in the calculation of whether the minimum ownership requirement has been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0" w:hanging="534"/>
        <w:spacing w:after="0"/>
        <w:tabs>
          <w:tab w:leader="none" w:pos="560" w:val="left"/>
        </w:tabs>
        <w:numPr>
          <w:ilvl w:val="0"/>
          <w:numId w:val="69"/>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5" w:name="page46"/>
    <w:bookmarkEnd w:id="45"/>
    <w:p>
      <w:pPr>
        <w:ind w:left="20" w:right="5100"/>
        <w:spacing w:after="0" w:line="293" w:lineRule="auto"/>
        <w:rPr>
          <w:sz w:val="20"/>
          <w:szCs w:val="20"/>
          <w:color w:val="auto"/>
        </w:rPr>
      </w:pPr>
      <w:r>
        <w:rPr>
          <w:rFonts w:ascii="Arial" w:cs="Arial" w:eastAsia="Arial" w:hAnsi="Arial"/>
          <w:sz w:val="53"/>
          <w:szCs w:val="53"/>
          <w:b w:val="1"/>
          <w:bCs w:val="1"/>
          <w:color w:val="01549C"/>
        </w:rPr>
        <w:t>Information Concerning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-803910</wp:posOffset>
            </wp:positionV>
            <wp:extent cx="1157605" cy="6172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57605" cy="617220"/>
                    </a:xfrm>
                    <a:prstGeom prst="rect">
                      <a:avLst/>
                    </a:prstGeom>
                    <a:noFill/>
                  </pic:spPr>
                </pic:pic>
              </a:graphicData>
            </a:graphic>
          </wp:anchor>
        </w:drawing>
      </w:r>
    </w:p>
    <w:p>
      <w:pPr>
        <w:spacing w:after="0" w:line="210"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4D4D4F"/>
        </w:rPr>
        <w:t>The following table sets forth certain information with respect to our current executive officers and lists their current titles. A summary of the background and experience of Messrs. Birns and Rau are set forth in the paragraphs following the table. The background and experience of Mr. Kasbar is described above in the section titled “Proposal No. 1—Election of Directors.” All executive officers serve at the discretion of the Board.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20" w:type="dxa"/>
            <w:vAlign w:val="bottom"/>
            <w:shd w:val="clear" w:color="auto" w:fill="132440"/>
          </w:tcPr>
          <w:p>
            <w:pPr>
              <w:spacing w:after="0"/>
              <w:rPr>
                <w:sz w:val="15"/>
                <w:szCs w:val="15"/>
                <w:color w:val="auto"/>
              </w:rPr>
            </w:pPr>
          </w:p>
        </w:tc>
        <w:tc>
          <w:tcPr>
            <w:tcW w:w="2780" w:type="dxa"/>
            <w:vAlign w:val="bottom"/>
            <w:shd w:val="clear" w:color="auto" w:fill="132440"/>
          </w:tcPr>
          <w:p>
            <w:pPr>
              <w:spacing w:after="0"/>
              <w:rPr>
                <w:sz w:val="15"/>
                <w:szCs w:val="15"/>
                <w:color w:val="auto"/>
              </w:rPr>
            </w:pPr>
          </w:p>
        </w:tc>
        <w:tc>
          <w:tcPr>
            <w:tcW w:w="2540" w:type="dxa"/>
            <w:vAlign w:val="bottom"/>
            <w:shd w:val="clear" w:color="auto" w:fill="132440"/>
          </w:tcPr>
          <w:p>
            <w:pPr>
              <w:jc w:val="center"/>
              <w:ind w:left="348"/>
              <w:spacing w:after="0"/>
              <w:rPr>
                <w:sz w:val="20"/>
                <w:szCs w:val="20"/>
                <w:color w:val="auto"/>
              </w:rPr>
            </w:pPr>
            <w:r>
              <w:rPr>
                <w:rFonts w:ascii="Arial" w:cs="Arial" w:eastAsia="Arial" w:hAnsi="Arial"/>
                <w:sz w:val="14"/>
                <w:szCs w:val="14"/>
                <w:b w:val="1"/>
                <w:bCs w:val="1"/>
                <w:color w:val="FFFFFF"/>
              </w:rPr>
              <w:t>Year First Became Executive</w:t>
            </w:r>
          </w:p>
        </w:tc>
        <w:tc>
          <w:tcPr>
            <w:tcW w:w="0" w:type="dxa"/>
            <w:vAlign w:val="bottom"/>
          </w:tcPr>
          <w:p>
            <w:pPr>
              <w:spacing w:after="0"/>
              <w:rPr>
                <w:sz w:val="1"/>
                <w:szCs w:val="1"/>
                <w:color w:val="auto"/>
              </w:rPr>
            </w:pPr>
          </w:p>
        </w:tc>
      </w:tr>
      <w:tr>
        <w:trPr>
          <w:trHeight w:val="225"/>
        </w:trPr>
        <w:tc>
          <w:tcPr>
            <w:tcW w:w="592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Name and Current Position</w:t>
            </w:r>
          </w:p>
        </w:tc>
        <w:tc>
          <w:tcPr>
            <w:tcW w:w="2780" w:type="dxa"/>
            <w:vAlign w:val="bottom"/>
            <w:shd w:val="clear" w:color="auto" w:fill="132440"/>
          </w:tcPr>
          <w:p>
            <w:pPr>
              <w:jc w:val="center"/>
              <w:ind w:left="1428"/>
              <w:spacing w:after="0"/>
              <w:rPr>
                <w:sz w:val="20"/>
                <w:szCs w:val="20"/>
                <w:color w:val="auto"/>
              </w:rPr>
            </w:pPr>
            <w:r>
              <w:rPr>
                <w:rFonts w:ascii="Arial" w:cs="Arial" w:eastAsia="Arial" w:hAnsi="Arial"/>
                <w:sz w:val="14"/>
                <w:szCs w:val="14"/>
                <w:b w:val="1"/>
                <w:bCs w:val="1"/>
                <w:color w:val="FFFFFF"/>
              </w:rPr>
              <w:t>Age</w:t>
            </w:r>
          </w:p>
        </w:tc>
        <w:tc>
          <w:tcPr>
            <w:tcW w:w="2540" w:type="dxa"/>
            <w:vAlign w:val="bottom"/>
            <w:shd w:val="clear" w:color="auto" w:fill="132440"/>
          </w:tcPr>
          <w:p>
            <w:pPr>
              <w:jc w:val="center"/>
              <w:ind w:left="348"/>
              <w:spacing w:after="0"/>
              <w:rPr>
                <w:sz w:val="20"/>
                <w:szCs w:val="20"/>
                <w:color w:val="auto"/>
              </w:rPr>
            </w:pPr>
            <w:r>
              <w:rPr>
                <w:rFonts w:ascii="Arial" w:cs="Arial" w:eastAsia="Arial" w:hAnsi="Arial"/>
                <w:sz w:val="14"/>
                <w:szCs w:val="14"/>
                <w:b w:val="1"/>
                <w:bCs w:val="1"/>
                <w:color w:val="FFFFFF"/>
              </w:rPr>
              <w:t>Officer</w:t>
            </w:r>
          </w:p>
        </w:tc>
        <w:tc>
          <w:tcPr>
            <w:tcW w:w="0" w:type="dxa"/>
            <w:vAlign w:val="bottom"/>
          </w:tcPr>
          <w:p>
            <w:pPr>
              <w:spacing w:after="0"/>
              <w:rPr>
                <w:sz w:val="1"/>
                <w:szCs w:val="1"/>
                <w:color w:val="auto"/>
              </w:rPr>
            </w:pPr>
          </w:p>
        </w:tc>
      </w:tr>
      <w:tr>
        <w:trPr>
          <w:trHeight w:val="180"/>
        </w:trPr>
        <w:tc>
          <w:tcPr>
            <w:tcW w:w="592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Michael J. Kasbar</w:t>
            </w:r>
          </w:p>
        </w:tc>
        <w:tc>
          <w:tcPr>
            <w:tcW w:w="2780" w:type="dxa"/>
            <w:vAlign w:val="bottom"/>
            <w:vMerge w:val="restart"/>
            <w:shd w:val="clear" w:color="auto" w:fill="EAEEF2"/>
          </w:tcPr>
          <w:p>
            <w:pPr>
              <w:jc w:val="center"/>
              <w:ind w:left="1428"/>
              <w:spacing w:after="0"/>
              <w:rPr>
                <w:sz w:val="20"/>
                <w:szCs w:val="20"/>
                <w:color w:val="auto"/>
              </w:rPr>
            </w:pPr>
            <w:r>
              <w:rPr>
                <w:rFonts w:ascii="Arial" w:cs="Arial" w:eastAsia="Arial" w:hAnsi="Arial"/>
                <w:sz w:val="14"/>
                <w:szCs w:val="14"/>
                <w:color w:val="4D4D4F"/>
              </w:rPr>
              <w:t>67</w:t>
            </w:r>
          </w:p>
        </w:tc>
        <w:tc>
          <w:tcPr>
            <w:tcW w:w="2540" w:type="dxa"/>
            <w:vAlign w:val="bottom"/>
            <w:vMerge w:val="restart"/>
            <w:shd w:val="clear" w:color="auto" w:fill="EAEEF2"/>
          </w:tcPr>
          <w:p>
            <w:pPr>
              <w:jc w:val="center"/>
              <w:ind w:left="348"/>
              <w:spacing w:after="0"/>
              <w:rPr>
                <w:sz w:val="20"/>
                <w:szCs w:val="20"/>
                <w:color w:val="auto"/>
              </w:rPr>
            </w:pPr>
            <w:r>
              <w:rPr>
                <w:rFonts w:ascii="Arial" w:cs="Arial" w:eastAsia="Arial" w:hAnsi="Arial"/>
                <w:sz w:val="14"/>
                <w:szCs w:val="14"/>
                <w:color w:val="4D4D4F"/>
              </w:rPr>
              <w:t>1995</w:t>
            </w:r>
          </w:p>
        </w:tc>
        <w:tc>
          <w:tcPr>
            <w:tcW w:w="0" w:type="dxa"/>
            <w:vAlign w:val="bottom"/>
          </w:tcPr>
          <w:p>
            <w:pPr>
              <w:spacing w:after="0"/>
              <w:rPr>
                <w:sz w:val="1"/>
                <w:szCs w:val="1"/>
                <w:color w:val="auto"/>
              </w:rPr>
            </w:pPr>
          </w:p>
        </w:tc>
      </w:tr>
      <w:tr>
        <w:trPr>
          <w:trHeight w:val="136"/>
        </w:trPr>
        <w:tc>
          <w:tcPr>
            <w:tcW w:w="592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Chairman, President and Chief Executive Officer</w:t>
            </w:r>
          </w:p>
        </w:tc>
        <w:tc>
          <w:tcPr>
            <w:tcW w:w="2780" w:type="dxa"/>
            <w:vAlign w:val="bottom"/>
            <w:vMerge w:val="continue"/>
            <w:shd w:val="clear" w:color="auto" w:fill="EAEEF2"/>
          </w:tcPr>
          <w:p>
            <w:pPr>
              <w:spacing w:after="0"/>
              <w:rPr>
                <w:sz w:val="11"/>
                <w:szCs w:val="11"/>
                <w:color w:val="auto"/>
              </w:rPr>
            </w:pPr>
          </w:p>
        </w:tc>
        <w:tc>
          <w:tcPr>
            <w:tcW w:w="2540" w:type="dxa"/>
            <w:vAlign w:val="bottom"/>
            <w:vMerge w:val="continue"/>
            <w:shd w:val="clear" w:color="auto" w:fill="EAEEF2"/>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920" w:type="dxa"/>
            <w:vAlign w:val="bottom"/>
            <w:vMerge w:val="continue"/>
            <w:shd w:val="clear" w:color="auto" w:fill="EAEEF2"/>
          </w:tcPr>
          <w:p>
            <w:pPr>
              <w:spacing w:after="0"/>
              <w:rPr>
                <w:sz w:val="4"/>
                <w:szCs w:val="4"/>
                <w:color w:val="auto"/>
              </w:rPr>
            </w:pPr>
          </w:p>
        </w:tc>
        <w:tc>
          <w:tcPr>
            <w:tcW w:w="2780" w:type="dxa"/>
            <w:vAlign w:val="bottom"/>
            <w:shd w:val="clear" w:color="auto" w:fill="EAEEF2"/>
          </w:tcPr>
          <w:p>
            <w:pPr>
              <w:spacing w:after="0"/>
              <w:rPr>
                <w:sz w:val="4"/>
                <w:szCs w:val="4"/>
                <w:color w:val="auto"/>
              </w:rPr>
            </w:pPr>
          </w:p>
        </w:tc>
        <w:tc>
          <w:tcPr>
            <w:tcW w:w="2540" w:type="dxa"/>
            <w:vAlign w:val="bottom"/>
            <w:shd w:val="clear" w:color="auto" w:fill="EAEEF2"/>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5920" w:type="dxa"/>
            <w:vAlign w:val="bottom"/>
            <w:shd w:val="clear" w:color="auto" w:fill="EAEEF2"/>
          </w:tcPr>
          <w:p>
            <w:pPr>
              <w:spacing w:after="0"/>
              <w:rPr>
                <w:sz w:val="7"/>
                <w:szCs w:val="7"/>
                <w:color w:val="auto"/>
              </w:rPr>
            </w:pPr>
          </w:p>
        </w:tc>
        <w:tc>
          <w:tcPr>
            <w:tcW w:w="2780" w:type="dxa"/>
            <w:vAlign w:val="bottom"/>
            <w:shd w:val="clear" w:color="auto" w:fill="EAEEF2"/>
          </w:tcPr>
          <w:p>
            <w:pPr>
              <w:spacing w:after="0"/>
              <w:rPr>
                <w:sz w:val="7"/>
                <w:szCs w:val="7"/>
                <w:color w:val="auto"/>
              </w:rPr>
            </w:pPr>
          </w:p>
        </w:tc>
        <w:tc>
          <w:tcPr>
            <w:tcW w:w="2540" w:type="dxa"/>
            <w:vAlign w:val="bottom"/>
            <w:shd w:val="clear" w:color="auto" w:fill="EAEEF2"/>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920" w:type="dxa"/>
            <w:vAlign w:val="bottom"/>
          </w:tcPr>
          <w:p>
            <w:pPr>
              <w:ind w:left="100"/>
              <w:spacing w:after="0"/>
              <w:rPr>
                <w:sz w:val="20"/>
                <w:szCs w:val="20"/>
                <w:color w:val="auto"/>
              </w:rPr>
            </w:pPr>
            <w:r>
              <w:rPr>
                <w:rFonts w:ascii="Arial" w:cs="Arial" w:eastAsia="Arial" w:hAnsi="Arial"/>
                <w:sz w:val="14"/>
                <w:szCs w:val="14"/>
                <w:b w:val="1"/>
                <w:bCs w:val="1"/>
                <w:color w:val="4D4D4F"/>
              </w:rPr>
              <w:t>Ira M. Birns</w:t>
            </w:r>
          </w:p>
        </w:tc>
        <w:tc>
          <w:tcPr>
            <w:tcW w:w="2780" w:type="dxa"/>
            <w:vAlign w:val="bottom"/>
            <w:vMerge w:val="restart"/>
          </w:tcPr>
          <w:p>
            <w:pPr>
              <w:jc w:val="center"/>
              <w:ind w:left="1428"/>
              <w:spacing w:after="0"/>
              <w:rPr>
                <w:sz w:val="20"/>
                <w:szCs w:val="20"/>
                <w:color w:val="auto"/>
              </w:rPr>
            </w:pPr>
            <w:r>
              <w:rPr>
                <w:rFonts w:ascii="Arial" w:cs="Arial" w:eastAsia="Arial" w:hAnsi="Arial"/>
                <w:sz w:val="14"/>
                <w:szCs w:val="14"/>
                <w:color w:val="4D4D4F"/>
              </w:rPr>
              <w:t>61</w:t>
            </w:r>
          </w:p>
        </w:tc>
        <w:tc>
          <w:tcPr>
            <w:tcW w:w="2540" w:type="dxa"/>
            <w:vAlign w:val="bottom"/>
            <w:vMerge w:val="restart"/>
          </w:tcPr>
          <w:p>
            <w:pPr>
              <w:jc w:val="center"/>
              <w:ind w:left="348"/>
              <w:spacing w:after="0"/>
              <w:rPr>
                <w:sz w:val="20"/>
                <w:szCs w:val="20"/>
                <w:color w:val="auto"/>
              </w:rPr>
            </w:pPr>
            <w:r>
              <w:rPr>
                <w:rFonts w:ascii="Arial" w:cs="Arial" w:eastAsia="Arial" w:hAnsi="Arial"/>
                <w:sz w:val="14"/>
                <w:szCs w:val="14"/>
                <w:color w:val="4D4D4F"/>
              </w:rPr>
              <w:t>2007</w:t>
            </w:r>
          </w:p>
        </w:tc>
        <w:tc>
          <w:tcPr>
            <w:tcW w:w="0" w:type="dxa"/>
            <w:vAlign w:val="bottom"/>
          </w:tcPr>
          <w:p>
            <w:pPr>
              <w:spacing w:after="0"/>
              <w:rPr>
                <w:sz w:val="1"/>
                <w:szCs w:val="1"/>
                <w:color w:val="auto"/>
              </w:rPr>
            </w:pPr>
          </w:p>
        </w:tc>
      </w:tr>
      <w:tr>
        <w:trPr>
          <w:trHeight w:val="136"/>
        </w:trPr>
        <w:tc>
          <w:tcPr>
            <w:tcW w:w="5920" w:type="dxa"/>
            <w:vAlign w:val="bottom"/>
            <w:vMerge w:val="restart"/>
          </w:tcPr>
          <w:p>
            <w:pPr>
              <w:ind w:left="100"/>
              <w:spacing w:after="0"/>
              <w:rPr>
                <w:sz w:val="20"/>
                <w:szCs w:val="20"/>
                <w:color w:val="auto"/>
              </w:rPr>
            </w:pPr>
            <w:r>
              <w:rPr>
                <w:rFonts w:ascii="Arial" w:cs="Arial" w:eastAsia="Arial" w:hAnsi="Arial"/>
                <w:sz w:val="14"/>
                <w:szCs w:val="14"/>
                <w:color w:val="4D4D4F"/>
              </w:rPr>
              <w:t>Executive Vice President and Chief Financial Officer</w:t>
            </w:r>
          </w:p>
        </w:tc>
        <w:tc>
          <w:tcPr>
            <w:tcW w:w="2780" w:type="dxa"/>
            <w:vAlign w:val="bottom"/>
            <w:vMerge w:val="continue"/>
          </w:tcPr>
          <w:p>
            <w:pPr>
              <w:spacing w:after="0"/>
              <w:rPr>
                <w:sz w:val="11"/>
                <w:szCs w:val="11"/>
                <w:color w:val="auto"/>
              </w:rPr>
            </w:pPr>
          </w:p>
        </w:tc>
        <w:tc>
          <w:tcPr>
            <w:tcW w:w="2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920" w:type="dxa"/>
            <w:vAlign w:val="bottom"/>
            <w:vMerge w:val="continue"/>
          </w:tcPr>
          <w:p>
            <w:pPr>
              <w:spacing w:after="0"/>
              <w:rPr>
                <w:sz w:val="4"/>
                <w:szCs w:val="4"/>
                <w:color w:val="auto"/>
              </w:rPr>
            </w:pPr>
          </w:p>
        </w:tc>
        <w:tc>
          <w:tcPr>
            <w:tcW w:w="2780" w:type="dxa"/>
            <w:vAlign w:val="bottom"/>
          </w:tcPr>
          <w:p>
            <w:pPr>
              <w:spacing w:after="0"/>
              <w:rPr>
                <w:sz w:val="4"/>
                <w:szCs w:val="4"/>
                <w:color w:val="auto"/>
              </w:rPr>
            </w:pPr>
          </w:p>
        </w:tc>
        <w:tc>
          <w:tcPr>
            <w:tcW w:w="2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59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92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John P. Rau</w:t>
            </w:r>
          </w:p>
        </w:tc>
        <w:tc>
          <w:tcPr>
            <w:tcW w:w="2780" w:type="dxa"/>
            <w:vAlign w:val="bottom"/>
            <w:vMerge w:val="restart"/>
            <w:shd w:val="clear" w:color="auto" w:fill="EAEEF2"/>
          </w:tcPr>
          <w:p>
            <w:pPr>
              <w:jc w:val="center"/>
              <w:ind w:left="1428"/>
              <w:spacing w:after="0"/>
              <w:rPr>
                <w:sz w:val="20"/>
                <w:szCs w:val="20"/>
                <w:color w:val="auto"/>
              </w:rPr>
            </w:pPr>
            <w:r>
              <w:rPr>
                <w:rFonts w:ascii="Arial" w:cs="Arial" w:eastAsia="Arial" w:hAnsi="Arial"/>
                <w:sz w:val="14"/>
                <w:szCs w:val="14"/>
                <w:color w:val="4D4D4F"/>
              </w:rPr>
              <w:t>61</w:t>
            </w:r>
          </w:p>
        </w:tc>
        <w:tc>
          <w:tcPr>
            <w:tcW w:w="2540" w:type="dxa"/>
            <w:vAlign w:val="bottom"/>
            <w:vMerge w:val="restart"/>
            <w:shd w:val="clear" w:color="auto" w:fill="EAEEF2"/>
          </w:tcPr>
          <w:p>
            <w:pPr>
              <w:jc w:val="center"/>
              <w:ind w:left="348"/>
              <w:spacing w:after="0"/>
              <w:rPr>
                <w:sz w:val="20"/>
                <w:szCs w:val="20"/>
                <w:color w:val="auto"/>
              </w:rPr>
            </w:pPr>
            <w:r>
              <w:rPr>
                <w:rFonts w:ascii="Arial" w:cs="Arial" w:eastAsia="Arial" w:hAnsi="Arial"/>
                <w:sz w:val="14"/>
                <w:szCs w:val="14"/>
                <w:color w:val="4D4D4F"/>
              </w:rPr>
              <w:t>2016</w:t>
            </w:r>
          </w:p>
        </w:tc>
        <w:tc>
          <w:tcPr>
            <w:tcW w:w="0" w:type="dxa"/>
            <w:vAlign w:val="bottom"/>
          </w:tcPr>
          <w:p>
            <w:pPr>
              <w:spacing w:after="0"/>
              <w:rPr>
                <w:sz w:val="1"/>
                <w:szCs w:val="1"/>
                <w:color w:val="auto"/>
              </w:rPr>
            </w:pPr>
          </w:p>
        </w:tc>
      </w:tr>
      <w:tr>
        <w:trPr>
          <w:trHeight w:val="136"/>
        </w:trPr>
        <w:tc>
          <w:tcPr>
            <w:tcW w:w="592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Executive Vice President, Global Aviation, Land and Marine</w:t>
            </w:r>
          </w:p>
        </w:tc>
        <w:tc>
          <w:tcPr>
            <w:tcW w:w="2780" w:type="dxa"/>
            <w:vAlign w:val="bottom"/>
            <w:vMerge w:val="continue"/>
            <w:shd w:val="clear" w:color="auto" w:fill="EAEEF2"/>
          </w:tcPr>
          <w:p>
            <w:pPr>
              <w:spacing w:after="0"/>
              <w:rPr>
                <w:sz w:val="11"/>
                <w:szCs w:val="11"/>
                <w:color w:val="auto"/>
              </w:rPr>
            </w:pPr>
          </w:p>
        </w:tc>
        <w:tc>
          <w:tcPr>
            <w:tcW w:w="2540" w:type="dxa"/>
            <w:vAlign w:val="bottom"/>
            <w:vMerge w:val="continue"/>
            <w:shd w:val="clear" w:color="auto" w:fill="EAEEF2"/>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920" w:type="dxa"/>
            <w:vAlign w:val="bottom"/>
            <w:vMerge w:val="continue"/>
            <w:shd w:val="clear" w:color="auto" w:fill="EAEEF2"/>
          </w:tcPr>
          <w:p>
            <w:pPr>
              <w:spacing w:after="0"/>
              <w:rPr>
                <w:sz w:val="4"/>
                <w:szCs w:val="4"/>
                <w:color w:val="auto"/>
              </w:rPr>
            </w:pPr>
          </w:p>
        </w:tc>
        <w:tc>
          <w:tcPr>
            <w:tcW w:w="2780" w:type="dxa"/>
            <w:vAlign w:val="bottom"/>
            <w:shd w:val="clear" w:color="auto" w:fill="EAEEF2"/>
          </w:tcPr>
          <w:p>
            <w:pPr>
              <w:spacing w:after="0"/>
              <w:rPr>
                <w:sz w:val="4"/>
                <w:szCs w:val="4"/>
                <w:color w:val="auto"/>
              </w:rPr>
            </w:pPr>
          </w:p>
        </w:tc>
        <w:tc>
          <w:tcPr>
            <w:tcW w:w="2540" w:type="dxa"/>
            <w:vAlign w:val="bottom"/>
            <w:shd w:val="clear" w:color="auto" w:fill="EAEEF2"/>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5920" w:type="dxa"/>
            <w:vAlign w:val="bottom"/>
            <w:tcBorders>
              <w:bottom w:val="single" w:sz="8" w:color="298655"/>
            </w:tcBorders>
            <w:shd w:val="clear" w:color="auto" w:fill="EAEEF2"/>
          </w:tcPr>
          <w:p>
            <w:pPr>
              <w:spacing w:after="0"/>
              <w:rPr>
                <w:sz w:val="7"/>
                <w:szCs w:val="7"/>
                <w:color w:val="auto"/>
              </w:rPr>
            </w:pPr>
          </w:p>
        </w:tc>
        <w:tc>
          <w:tcPr>
            <w:tcW w:w="2780" w:type="dxa"/>
            <w:vAlign w:val="bottom"/>
            <w:tcBorders>
              <w:bottom w:val="single" w:sz="8" w:color="298655"/>
            </w:tcBorders>
            <w:shd w:val="clear" w:color="auto" w:fill="EAEEF2"/>
          </w:tcPr>
          <w:p>
            <w:pPr>
              <w:spacing w:after="0"/>
              <w:rPr>
                <w:sz w:val="7"/>
                <w:szCs w:val="7"/>
                <w:color w:val="auto"/>
              </w:rPr>
            </w:pPr>
          </w:p>
        </w:tc>
        <w:tc>
          <w:tcPr>
            <w:tcW w:w="2540" w:type="dxa"/>
            <w:vAlign w:val="bottom"/>
            <w:tcBorders>
              <w:bottom w:val="single" w:sz="8" w:color="298655"/>
            </w:tcBorders>
            <w:shd w:val="clear" w:color="auto" w:fill="EAEEF2"/>
          </w:tcPr>
          <w:p>
            <w:pPr>
              <w:spacing w:after="0"/>
              <w:rPr>
                <w:sz w:val="7"/>
                <w:szCs w:val="7"/>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color w:val="4D4D4F"/>
        </w:rPr>
        <w:t xml:space="preserve">IRA M. BIRNS </w:t>
      </w:r>
      <w:r>
        <w:rPr>
          <w:rFonts w:ascii="Arial" w:cs="Arial" w:eastAsia="Arial" w:hAnsi="Arial"/>
          <w:sz w:val="16"/>
          <w:szCs w:val="16"/>
          <w:color w:val="4D4D4F"/>
        </w:rPr>
        <w:t>has served as our Executive Vice President and Chief Financial Officer since 2007. From 2002 to 2007, Mr. Birns served as Vice President</w:t>
      </w:r>
      <w:r>
        <w:rPr>
          <w:rFonts w:ascii="Arial" w:cs="Arial" w:eastAsia="Arial" w:hAnsi="Arial"/>
          <w:sz w:val="16"/>
          <w:szCs w:val="16"/>
          <w:b w:val="1"/>
          <w:bCs w:val="1"/>
          <w:color w:val="4D4D4F"/>
        </w:rPr>
        <w:t xml:space="preserve"> </w:t>
      </w:r>
      <w:r>
        <w:rPr>
          <w:rFonts w:ascii="Arial" w:cs="Arial" w:eastAsia="Arial" w:hAnsi="Arial"/>
          <w:sz w:val="16"/>
          <w:szCs w:val="16"/>
          <w:color w:val="4D4D4F"/>
        </w:rPr>
        <w:t>and Treasurer of Arrow Electronics, Inc., a NYSE company and global provider of technology products, services and solutions. Prior thereto, he served as Treasurer of Arrow Electronics, Inc. from 1996 to 2002 and Assistant Treasurer from 1989 to 1996. Mr. Birns is the vice chairman of the board of trustees of the New World Symphony of Miami, Florida. Since 2023, Mr. Birns has also served as a member of the board of directors and the chair of the audit committee of Stem, Inc. (NYSE: STEM), a global leader in artificial intelligence driven clean energy solutions and services.</w:t>
      </w:r>
    </w:p>
    <w:p>
      <w:pPr>
        <w:spacing w:after="0" w:line="12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b w:val="1"/>
          <w:bCs w:val="1"/>
          <w:color w:val="4D4D4F"/>
        </w:rPr>
        <w:t xml:space="preserve">JOHN P. RAU </w:t>
      </w:r>
      <w:r>
        <w:rPr>
          <w:rFonts w:ascii="Arial" w:cs="Arial" w:eastAsia="Arial" w:hAnsi="Arial"/>
          <w:sz w:val="16"/>
          <w:szCs w:val="16"/>
          <w:color w:val="4D4D4F"/>
        </w:rPr>
        <w:t>has served as our Executive Vice President of Global Aviation and Marine since March 2016 and assumed responsibility for Global Land,</w:t>
      </w:r>
      <w:r>
        <w:rPr>
          <w:rFonts w:ascii="Arial" w:cs="Arial" w:eastAsia="Arial" w:hAnsi="Arial"/>
          <w:sz w:val="16"/>
          <w:szCs w:val="16"/>
          <w:b w:val="1"/>
          <w:bCs w:val="1"/>
          <w:color w:val="4D4D4F"/>
        </w:rPr>
        <w:t xml:space="preserve"> </w:t>
      </w:r>
      <w:r>
        <w:rPr>
          <w:rFonts w:ascii="Arial" w:cs="Arial" w:eastAsia="Arial" w:hAnsi="Arial"/>
          <w:sz w:val="16"/>
          <w:szCs w:val="16"/>
          <w:color w:val="4D4D4F"/>
        </w:rPr>
        <w:t>effective April 1, 2022. Previously, he served as our Executive Vice President of Aviation from April 2014 and as our Senior Vice President of Aviation Americas from October 2011 to April 2014. From July 1995 to October 2011, Mr. Rau served as Managing Director at American Airlines, where he was responsible for the purchase and management of jet fuel, utilities, deicing fluids, and transportation, as well as management of American’s supplier diversity program. From January 1987 to July 1995, Mr. Rau served as Manager of Fuel Supply and Trading at United Airlines. Prior to that, he served as United Airlines’ Operations Manager from January 1987 to November 1988. From May 1985 to January 1987, Mr. Rau was a Supply, Marketing and Distribution representative for Koch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43</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46" w:name="page47"/>
    <w:bookmarkEnd w:id="46"/>
    <w:p>
      <w:pPr>
        <w:ind w:left="20" w:right="4200"/>
        <w:spacing w:after="0" w:line="293" w:lineRule="auto"/>
        <w:rPr>
          <w:sz w:val="20"/>
          <w:szCs w:val="20"/>
          <w:color w:val="auto"/>
        </w:rPr>
      </w:pPr>
      <w:r>
        <w:rPr>
          <w:rFonts w:ascii="Arial" w:cs="Arial" w:eastAsia="Arial" w:hAnsi="Arial"/>
          <w:sz w:val="53"/>
          <w:szCs w:val="53"/>
          <w:b w:val="1"/>
          <w:bCs w:val="1"/>
          <w:color w:val="01549C"/>
        </w:rPr>
        <w:t>Letter from the Chair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-803910</wp:posOffset>
            </wp:positionV>
            <wp:extent cx="1157605" cy="6172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57605" cy="61722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4D4D4F"/>
        </w:rPr>
        <w:t>Dear Fellow Shareholders,</w:t>
      </w:r>
    </w:p>
    <w:p>
      <w:pPr>
        <w:spacing w:after="0" w:line="194"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4D4D4F"/>
        </w:rPr>
        <w:t>As the Chair of the Compensation Committee, I would like to thank you for your continued investment in World Kinect and your support for the executive leadership team and the Company’s Board of Directors.</w:t>
      </w:r>
    </w:p>
    <w:p>
      <w:pPr>
        <w:spacing w:after="0" w:line="10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4D4D4F"/>
        </w:rPr>
        <w:t>Since the outcome of the Company’s 2023 say-on-pay vote, the Compensation Committee has been focused on understanding underlying shareholder concerns and developing appropriate, responsive actions. We conducted an extensive shareholder engagement effort and heard a diverse range of shareholder perspectives that were shared with the Compensation Committee and the full Board. I personally led these meetings and would like to thank all of you, who met with us, for your candid and constructive feedback.</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4D4D4F"/>
        </w:rPr>
        <w:t>Supporting Our Transformation Strategy</w:t>
      </w:r>
    </w:p>
    <w:p>
      <w:pPr>
        <w:spacing w:after="0" w:line="19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4D4D4F"/>
        </w:rPr>
        <w:t>As detailed in last year’s proxy statement, at the end of 2022, World Kinect launched a transformation strategy to expand our energy solutions business around the globe. The demand for low-carbon energy and digital services continues to increase, and this transformation is focused on evolving our products and service offerings to support our customers in their transition to a sustainable future.</w:t>
      </w:r>
    </w:p>
    <w:p>
      <w:pPr>
        <w:spacing w:after="0" w:line="11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4D4D4F"/>
        </w:rPr>
        <w:t>To support the execution of this plan and help ensure that executive compensation is aligned with the creation of long-term shareholder value, the Compensation Committee, in consultation with its independent compensation consultants, approved performance-based equity awards in 2022 to our CEO and other members of our senior leadership team whose contributions are integral to World Kinect’s success in executing this transformation effort. These transformational awards can be earned (at threshold level of performance) only if our total shareholder return, or TSR, increases by about 30% over the three-year performance period.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4D4D4F"/>
        </w:rPr>
        <w:t>Addressing Topics Raised During Engagement</w:t>
      </w:r>
    </w:p>
    <w:p>
      <w:pPr>
        <w:spacing w:after="0" w:line="194" w:lineRule="exact"/>
        <w:rPr>
          <w:sz w:val="20"/>
          <w:szCs w:val="20"/>
          <w:color w:val="auto"/>
        </w:rPr>
      </w:pPr>
    </w:p>
    <w:p>
      <w:pPr>
        <w:spacing w:after="0" w:line="322" w:lineRule="auto"/>
        <w:rPr>
          <w:sz w:val="20"/>
          <w:szCs w:val="20"/>
          <w:color w:val="auto"/>
        </w:rPr>
      </w:pPr>
      <w:r>
        <w:rPr>
          <w:rFonts w:ascii="Arial" w:cs="Arial" w:eastAsia="Arial" w:hAnsi="Arial"/>
          <w:sz w:val="16"/>
          <w:szCs w:val="16"/>
          <w:color w:val="4D4D4F"/>
        </w:rPr>
        <w:t>Following the 2023 say-on-pay vote and our extensive shareholder engagement, we determined that, while shareholders generally appreciated the rationale for the transformational awards granted to our CEO and other NEOs, many wanted more transparency on the performance levels required to earn the awards.</w:t>
      </w:r>
    </w:p>
    <w:p>
      <w:pPr>
        <w:spacing w:after="0" w:line="316" w:lineRule="exact"/>
        <w:rPr>
          <w:sz w:val="20"/>
          <w:szCs w:val="20"/>
          <w:color w:val="auto"/>
        </w:rPr>
      </w:pPr>
    </w:p>
    <w:p>
      <w:pPr>
        <w:spacing w:after="0" w:line="301" w:lineRule="auto"/>
        <w:rPr>
          <w:sz w:val="20"/>
          <w:szCs w:val="20"/>
          <w:color w:val="auto"/>
        </w:rPr>
      </w:pPr>
      <w:r>
        <w:rPr>
          <w:rFonts w:ascii="Arial" w:cs="Arial" w:eastAsia="Arial" w:hAnsi="Arial"/>
          <w:sz w:val="16"/>
          <w:szCs w:val="16"/>
          <w:color w:val="4D4D4F"/>
        </w:rPr>
        <w:t>To provide shareholders with more detail on the specific TSR milestones associated with the vesting of these awards, prior to the 2023 Annual Meeting we made available a supplemental filing with detailed disclosure of the performance hurdles. Following the 2023 Annual Meeting, the Compensation Committee also took additional actions in response to shareholder feedback. The Compensation Committee:</w:t>
      </w:r>
    </w:p>
    <w:p>
      <w:pPr>
        <w:spacing w:after="0" w:line="118" w:lineRule="exact"/>
        <w:rPr>
          <w:sz w:val="20"/>
          <w:szCs w:val="20"/>
          <w:color w:val="auto"/>
        </w:rPr>
      </w:pPr>
    </w:p>
    <w:p>
      <w:pPr>
        <w:ind w:left="500" w:right="20" w:hanging="330"/>
        <w:spacing w:after="0" w:line="321" w:lineRule="auto"/>
        <w:tabs>
          <w:tab w:leader="none" w:pos="500" w:val="left"/>
        </w:tabs>
        <w:numPr>
          <w:ilvl w:val="0"/>
          <w:numId w:val="70"/>
        </w:numPr>
        <w:rPr>
          <w:rFonts w:ascii="Arial" w:cs="Arial" w:eastAsia="Arial" w:hAnsi="Arial"/>
          <w:sz w:val="16"/>
          <w:szCs w:val="16"/>
          <w:color w:val="4D4D4F"/>
        </w:rPr>
      </w:pPr>
      <w:r>
        <w:rPr>
          <w:rFonts w:ascii="Arial" w:cs="Arial" w:eastAsia="Arial" w:hAnsi="Arial"/>
          <w:sz w:val="16"/>
          <w:szCs w:val="16"/>
          <w:color w:val="4D4D4F"/>
        </w:rPr>
        <w:t>Committed not to modify the 2022 Transformational Award metrics during the term of the awards and, based on the unique factors that led to grant of the 2022 Transformational Awards, confirmed that these one-time awards are not indicative of future equity award levels;</w:t>
      </w:r>
    </w:p>
    <w:p>
      <w:pPr>
        <w:spacing w:after="0" w:line="88" w:lineRule="exact"/>
        <w:rPr>
          <w:rFonts w:ascii="Arial" w:cs="Arial" w:eastAsia="Arial" w:hAnsi="Arial"/>
          <w:sz w:val="16"/>
          <w:szCs w:val="16"/>
          <w:color w:val="4D4D4F"/>
        </w:rPr>
      </w:pPr>
    </w:p>
    <w:p>
      <w:pPr>
        <w:ind w:left="500" w:right="840" w:hanging="330"/>
        <w:spacing w:after="0" w:line="321" w:lineRule="auto"/>
        <w:tabs>
          <w:tab w:leader="none" w:pos="500" w:val="left"/>
        </w:tabs>
        <w:numPr>
          <w:ilvl w:val="0"/>
          <w:numId w:val="70"/>
        </w:numPr>
        <w:rPr>
          <w:rFonts w:ascii="Arial" w:cs="Arial" w:eastAsia="Arial" w:hAnsi="Arial"/>
          <w:sz w:val="16"/>
          <w:szCs w:val="16"/>
          <w:color w:val="4D4D4F"/>
        </w:rPr>
      </w:pPr>
      <w:r>
        <w:rPr>
          <w:rFonts w:ascii="Arial" w:cs="Arial" w:eastAsia="Arial" w:hAnsi="Arial"/>
          <w:sz w:val="16"/>
          <w:szCs w:val="16"/>
          <w:color w:val="4D4D4F"/>
        </w:rPr>
        <w:t>Reaffirmed that special awards should be rare and additional special equity awards to executives would not be granted absent compelling circumstances; and</w:t>
      </w:r>
    </w:p>
    <w:p>
      <w:pPr>
        <w:spacing w:after="0" w:line="101" w:lineRule="exact"/>
        <w:rPr>
          <w:rFonts w:ascii="Arial" w:cs="Arial" w:eastAsia="Arial" w:hAnsi="Arial"/>
          <w:sz w:val="16"/>
          <w:szCs w:val="16"/>
          <w:color w:val="4D4D4F"/>
        </w:rPr>
      </w:pPr>
    </w:p>
    <w:p>
      <w:pPr>
        <w:ind w:left="500" w:hanging="330"/>
        <w:spacing w:after="0"/>
        <w:tabs>
          <w:tab w:leader="none" w:pos="500" w:val="left"/>
        </w:tabs>
        <w:numPr>
          <w:ilvl w:val="0"/>
          <w:numId w:val="70"/>
        </w:numPr>
        <w:rPr>
          <w:rFonts w:ascii="Arial" w:cs="Arial" w:eastAsia="Arial" w:hAnsi="Arial"/>
          <w:sz w:val="16"/>
          <w:szCs w:val="16"/>
          <w:color w:val="4D4D4F"/>
        </w:rPr>
      </w:pPr>
      <w:r>
        <w:rPr>
          <w:rFonts w:ascii="Arial" w:cs="Arial" w:eastAsia="Arial" w:hAnsi="Arial"/>
          <w:sz w:val="16"/>
          <w:szCs w:val="16"/>
          <w:color w:val="4D4D4F"/>
        </w:rPr>
        <w:t>Confirmed that any future special awards would be accompanied by a robust disclosure of the underlying performance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4D4D4F"/>
        </w:rPr>
        <w:t>Changes to Our 2024 Executive Compensation Program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D4D4F"/>
        </w:rPr>
        <w:t>Additionally, the Compensation Committee has modified the 2024 Annual Incentive Program in direct response to shareholder input by:</w:t>
      </w:r>
    </w:p>
    <w:p>
      <w:pPr>
        <w:spacing w:after="0" w:line="194" w:lineRule="exact"/>
        <w:rPr>
          <w:sz w:val="20"/>
          <w:szCs w:val="20"/>
          <w:color w:val="auto"/>
        </w:rPr>
      </w:pPr>
    </w:p>
    <w:p>
      <w:pPr>
        <w:ind w:left="500" w:hanging="330"/>
        <w:spacing w:after="0"/>
        <w:tabs>
          <w:tab w:leader="none" w:pos="500" w:val="left"/>
        </w:tabs>
        <w:numPr>
          <w:ilvl w:val="0"/>
          <w:numId w:val="71"/>
        </w:numPr>
        <w:rPr>
          <w:rFonts w:ascii="Arial" w:cs="Arial" w:eastAsia="Arial" w:hAnsi="Arial"/>
          <w:sz w:val="16"/>
          <w:szCs w:val="16"/>
          <w:color w:val="4D4D4F"/>
        </w:rPr>
      </w:pPr>
      <w:r>
        <w:rPr>
          <w:rFonts w:ascii="Arial" w:cs="Arial" w:eastAsia="Arial" w:hAnsi="Arial"/>
          <w:sz w:val="16"/>
          <w:szCs w:val="16"/>
          <w:color w:val="4D4D4F"/>
        </w:rPr>
        <w:t>Increasing the weighting of the financial metric component of the program from 60% to 75%;</w:t>
      </w:r>
    </w:p>
    <w:p>
      <w:pPr>
        <w:spacing w:after="0" w:line="194" w:lineRule="exact"/>
        <w:rPr>
          <w:rFonts w:ascii="Arial" w:cs="Arial" w:eastAsia="Arial" w:hAnsi="Arial"/>
          <w:sz w:val="16"/>
          <w:szCs w:val="16"/>
          <w:color w:val="4D4D4F"/>
        </w:rPr>
      </w:pPr>
    </w:p>
    <w:p>
      <w:pPr>
        <w:ind w:left="500" w:hanging="330"/>
        <w:spacing w:after="0"/>
        <w:tabs>
          <w:tab w:leader="none" w:pos="500" w:val="left"/>
        </w:tabs>
        <w:numPr>
          <w:ilvl w:val="0"/>
          <w:numId w:val="71"/>
        </w:numPr>
        <w:rPr>
          <w:rFonts w:ascii="Arial" w:cs="Arial" w:eastAsia="Arial" w:hAnsi="Arial"/>
          <w:sz w:val="16"/>
          <w:szCs w:val="16"/>
          <w:color w:val="4D4D4F"/>
        </w:rPr>
      </w:pPr>
      <w:r>
        <w:rPr>
          <w:rFonts w:ascii="Arial" w:cs="Arial" w:eastAsia="Arial" w:hAnsi="Arial"/>
          <w:sz w:val="16"/>
          <w:szCs w:val="16"/>
          <w:color w:val="4D4D4F"/>
        </w:rPr>
        <w:t>Reducing the number of strategic objectives and the allocated weighting in the program from 40% to 25%;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0" w:hanging="534"/>
        <w:spacing w:after="0"/>
        <w:tabs>
          <w:tab w:leader="none" w:pos="560" w:val="left"/>
        </w:tabs>
        <w:numPr>
          <w:ilvl w:val="0"/>
          <w:numId w:val="72"/>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5" w:right="399" w:bottom="1440" w:gutter="0" w:footer="0" w:header="0"/>
        </w:sectPr>
      </w:pPr>
    </w:p>
    <w:bookmarkStart w:id="47" w:name="page48"/>
    <w:bookmarkEnd w:id="47"/>
    <w:p>
      <w:pPr>
        <w:ind w:left="20"/>
        <w:spacing w:after="0"/>
        <w:rPr>
          <w:sz w:val="20"/>
          <w:szCs w:val="20"/>
          <w:color w:val="auto"/>
        </w:rPr>
      </w:pPr>
      <w:r>
        <w:rPr>
          <w:rFonts w:ascii="Arial" w:cs="Arial" w:eastAsia="Arial" w:hAnsi="Arial"/>
          <w:sz w:val="14"/>
          <w:szCs w:val="14"/>
          <w:b w:val="1"/>
          <w:bCs w:val="1"/>
          <w:color w:val="5B6770"/>
        </w:rPr>
        <w:t>Letter from the Chair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00" w:right="560" w:hanging="330"/>
        <w:spacing w:after="0" w:line="321" w:lineRule="auto"/>
        <w:tabs>
          <w:tab w:leader="none" w:pos="500" w:val="left"/>
        </w:tabs>
        <w:numPr>
          <w:ilvl w:val="0"/>
          <w:numId w:val="73"/>
        </w:numPr>
        <w:rPr>
          <w:rFonts w:ascii="Arial" w:cs="Arial" w:eastAsia="Arial" w:hAnsi="Arial"/>
          <w:sz w:val="16"/>
          <w:szCs w:val="16"/>
          <w:color w:val="4D4D4F"/>
        </w:rPr>
      </w:pPr>
      <w:r>
        <w:rPr>
          <w:rFonts w:ascii="Arial" w:cs="Arial" w:eastAsia="Arial" w:hAnsi="Arial"/>
          <w:sz w:val="16"/>
          <w:szCs w:val="16"/>
          <w:color w:val="4D4D4F"/>
        </w:rPr>
        <w:t>Allocating a specific weighting to each strategic objective to provide additional transparency to shareholders of the Compensation Committee’s assessment of the relative importance of each objective and performance achieved, subject to a cap of 100% of target.</w:t>
      </w:r>
    </w:p>
    <w:p>
      <w:pPr>
        <w:spacing w:after="0" w:line="102"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4D4D4F"/>
        </w:rPr>
        <w:t>In response to shareholder preferences, in this year’s proxy statement we have also expanded our disclosure on the level of performance achieved by the named executive officers against the strategic objective targets for 2023.</w:t>
      </w:r>
    </w:p>
    <w:p>
      <w:pPr>
        <w:spacing w:after="0" w:line="102"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4D4D4F"/>
        </w:rPr>
        <w:t>I am honored to serve as Chair of our Compensation Committee and will continue to work to ensure that our compensation program supports our strategic priorities and motivates our management team to address the challenges of a rapidly transforming energy industry and deliver shareholder value.</w:t>
      </w:r>
    </w:p>
    <w:p>
      <w:pPr>
        <w:spacing w:after="0" w:line="102"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4D4D4F"/>
        </w:rPr>
        <w:t>On behalf of the Compensation Committee, we appreciate the input our shareholders have shared with us and look forward to continuing this dialogue in 2024 and beyond.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4D4D4F"/>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4D4D4F"/>
        </w:rPr>
        <w:t xml:space="preserve">Ken Bakshi, </w:t>
      </w:r>
      <w:r>
        <w:rPr>
          <w:rFonts w:ascii="Arial" w:cs="Arial" w:eastAsia="Arial" w:hAnsi="Arial"/>
          <w:sz w:val="16"/>
          <w:szCs w:val="16"/>
          <w:color w:val="4D4D4F"/>
        </w:rPr>
        <w:t>Chair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45</w:t>
            </w:r>
          </w:p>
        </w:tc>
      </w:tr>
      <w:tr>
        <w:trPr>
          <w:trHeight w:val="212"/>
        </w:trPr>
        <w:tc>
          <w:tcPr>
            <w:tcW w:w="108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8" w:name="page49"/>
    <w:bookmarkEnd w:id="48"/>
    <w:p>
      <w:pPr>
        <w:ind w:left="20" w:right="4860"/>
        <w:spacing w:after="0" w:line="293" w:lineRule="auto"/>
        <w:rPr>
          <w:sz w:val="20"/>
          <w:szCs w:val="20"/>
          <w:color w:val="auto"/>
        </w:rPr>
      </w:pPr>
      <w:r>
        <w:rPr>
          <w:rFonts w:ascii="Arial" w:cs="Arial" w:eastAsia="Arial" w:hAnsi="Arial"/>
          <w:sz w:val="53"/>
          <w:szCs w:val="53"/>
          <w:b w:val="1"/>
          <w:bCs w:val="1"/>
          <w:color w:val="01549C"/>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-803910</wp:posOffset>
            </wp:positionV>
            <wp:extent cx="1157605" cy="6172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57605" cy="617220"/>
                    </a:xfrm>
                    <a:prstGeom prst="rect">
                      <a:avLst/>
                    </a:prstGeom>
                    <a:noFill/>
                  </pic:spPr>
                </pic:pic>
              </a:graphicData>
            </a:graphic>
          </wp:anchor>
        </w:drawing>
      </w:r>
    </w:p>
    <w:p>
      <w:pPr>
        <w:spacing w:after="0" w:line="210" w:lineRule="exact"/>
        <w:rPr>
          <w:sz w:val="20"/>
          <w:szCs w:val="20"/>
          <w:color w:val="auto"/>
        </w:rPr>
      </w:pPr>
    </w:p>
    <w:p>
      <w:pPr>
        <w:ind w:right="660"/>
        <w:spacing w:after="0" w:line="321" w:lineRule="auto"/>
        <w:rPr>
          <w:sz w:val="20"/>
          <w:szCs w:val="20"/>
          <w:color w:val="auto"/>
        </w:rPr>
      </w:pPr>
      <w:r>
        <w:rPr>
          <w:rFonts w:ascii="Arial" w:cs="Arial" w:eastAsia="Arial" w:hAnsi="Arial"/>
          <w:sz w:val="16"/>
          <w:szCs w:val="16"/>
          <w:color w:val="4D4D4F"/>
        </w:rPr>
        <w:t>This Compensation Discussion and Analysis describes our compensation policies and practices as they relate to our three named executive officers (“NEOs”) as of December 31, 2023, identified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Name</w:t>
            </w:r>
          </w:p>
        </w:tc>
        <w:tc>
          <w:tcPr>
            <w:tcW w:w="7760" w:type="dxa"/>
            <w:vAlign w:val="bottom"/>
            <w:shd w:val="clear" w:color="auto" w:fill="132440"/>
          </w:tcPr>
          <w:p>
            <w:pPr>
              <w:ind w:left="2180"/>
              <w:spacing w:after="0"/>
              <w:rPr>
                <w:sz w:val="20"/>
                <w:szCs w:val="20"/>
                <w:color w:val="auto"/>
              </w:rPr>
            </w:pPr>
            <w:r>
              <w:rPr>
                <w:rFonts w:ascii="Arial" w:cs="Arial" w:eastAsia="Arial" w:hAnsi="Arial"/>
                <w:sz w:val="14"/>
                <w:szCs w:val="14"/>
                <w:b w:val="1"/>
                <w:bCs w:val="1"/>
                <w:color w:val="FFFFFF"/>
              </w:rPr>
              <w:t>Title</w:t>
            </w:r>
          </w:p>
        </w:tc>
      </w:tr>
      <w:tr>
        <w:trPr>
          <w:trHeight w:val="229"/>
        </w:trPr>
        <w:tc>
          <w:tcPr>
            <w:tcW w:w="348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Michael J. Kasbar</w:t>
            </w:r>
          </w:p>
        </w:tc>
        <w:tc>
          <w:tcPr>
            <w:tcW w:w="7760" w:type="dxa"/>
            <w:vAlign w:val="bottom"/>
            <w:shd w:val="clear" w:color="auto" w:fill="EAEEF2"/>
          </w:tcPr>
          <w:p>
            <w:pPr>
              <w:ind w:left="2180"/>
              <w:spacing w:after="0"/>
              <w:rPr>
                <w:sz w:val="20"/>
                <w:szCs w:val="20"/>
                <w:color w:val="auto"/>
              </w:rPr>
            </w:pPr>
            <w:r>
              <w:rPr>
                <w:rFonts w:ascii="Arial" w:cs="Arial" w:eastAsia="Arial" w:hAnsi="Arial"/>
                <w:sz w:val="14"/>
                <w:szCs w:val="14"/>
                <w:color w:val="4D4D4F"/>
              </w:rPr>
              <w:t>Chairman, President and Chief Executive Officer</w:t>
            </w:r>
          </w:p>
        </w:tc>
      </w:tr>
      <w:tr>
        <w:trPr>
          <w:trHeight w:val="222"/>
        </w:trPr>
        <w:tc>
          <w:tcPr>
            <w:tcW w:w="3480" w:type="dxa"/>
            <w:vAlign w:val="bottom"/>
          </w:tcPr>
          <w:p>
            <w:pPr>
              <w:ind w:left="100"/>
              <w:spacing w:after="0"/>
              <w:rPr>
                <w:sz w:val="20"/>
                <w:szCs w:val="20"/>
                <w:color w:val="auto"/>
              </w:rPr>
            </w:pPr>
            <w:r>
              <w:rPr>
                <w:rFonts w:ascii="Arial" w:cs="Arial" w:eastAsia="Arial" w:hAnsi="Arial"/>
                <w:sz w:val="14"/>
                <w:szCs w:val="14"/>
                <w:b w:val="1"/>
                <w:bCs w:val="1"/>
                <w:color w:val="4D4D4F"/>
              </w:rPr>
              <w:t>Ira M. Birns</w:t>
            </w:r>
          </w:p>
        </w:tc>
        <w:tc>
          <w:tcPr>
            <w:tcW w:w="7760" w:type="dxa"/>
            <w:vAlign w:val="bottom"/>
          </w:tcPr>
          <w:p>
            <w:pPr>
              <w:ind w:left="2180"/>
              <w:spacing w:after="0"/>
              <w:rPr>
                <w:sz w:val="20"/>
                <w:szCs w:val="20"/>
                <w:color w:val="auto"/>
              </w:rPr>
            </w:pPr>
            <w:r>
              <w:rPr>
                <w:rFonts w:ascii="Arial" w:cs="Arial" w:eastAsia="Arial" w:hAnsi="Arial"/>
                <w:sz w:val="14"/>
                <w:szCs w:val="14"/>
                <w:color w:val="4D4D4F"/>
              </w:rPr>
              <w:t>Executive Vice President and Chief Financial Officer</w:t>
            </w:r>
          </w:p>
        </w:tc>
      </w:tr>
      <w:tr>
        <w:trPr>
          <w:trHeight w:val="231"/>
        </w:trPr>
        <w:tc>
          <w:tcPr>
            <w:tcW w:w="3480" w:type="dxa"/>
            <w:vAlign w:val="bottom"/>
            <w:tcBorders>
              <w:bottom w:val="single" w:sz="8" w:color="298655"/>
            </w:tcBorders>
            <w:shd w:val="clear" w:color="auto" w:fill="EAEEF2"/>
          </w:tcPr>
          <w:p>
            <w:pPr>
              <w:ind w:left="100"/>
              <w:spacing w:after="0"/>
              <w:rPr>
                <w:sz w:val="20"/>
                <w:szCs w:val="20"/>
                <w:color w:val="auto"/>
              </w:rPr>
            </w:pPr>
            <w:r>
              <w:rPr>
                <w:rFonts w:ascii="Arial" w:cs="Arial" w:eastAsia="Arial" w:hAnsi="Arial"/>
                <w:sz w:val="14"/>
                <w:szCs w:val="14"/>
                <w:b w:val="1"/>
                <w:bCs w:val="1"/>
                <w:color w:val="4D4D4F"/>
              </w:rPr>
              <w:t>John P. Rau</w:t>
            </w:r>
          </w:p>
        </w:tc>
        <w:tc>
          <w:tcPr>
            <w:tcW w:w="7760" w:type="dxa"/>
            <w:vAlign w:val="bottom"/>
            <w:tcBorders>
              <w:bottom w:val="single" w:sz="8" w:color="298655"/>
            </w:tcBorders>
            <w:shd w:val="clear" w:color="auto" w:fill="EAEEF2"/>
          </w:tcPr>
          <w:p>
            <w:pPr>
              <w:ind w:left="2180"/>
              <w:spacing w:after="0"/>
              <w:rPr>
                <w:sz w:val="20"/>
                <w:szCs w:val="20"/>
                <w:color w:val="auto"/>
              </w:rPr>
            </w:pPr>
            <w:r>
              <w:rPr>
                <w:rFonts w:ascii="Arial" w:cs="Arial" w:eastAsia="Arial" w:hAnsi="Arial"/>
                <w:sz w:val="14"/>
                <w:szCs w:val="14"/>
                <w:color w:val="4D4D4F"/>
              </w:rPr>
              <w:t>Executive Vice President, Global Aviation, Land and Marine</w:t>
            </w:r>
          </w:p>
        </w:tc>
      </w:tr>
    </w:tbl>
    <w:p>
      <w:pPr>
        <w:spacing w:after="0" w:line="229" w:lineRule="exact"/>
        <w:rPr>
          <w:sz w:val="20"/>
          <w:szCs w:val="20"/>
          <w:color w:val="auto"/>
        </w:rPr>
      </w:pPr>
    </w:p>
    <w:p>
      <w:pPr>
        <w:jc w:val="both"/>
        <w:ind w:right="200"/>
        <w:spacing w:after="0" w:line="295" w:lineRule="auto"/>
        <w:rPr>
          <w:sz w:val="20"/>
          <w:szCs w:val="20"/>
          <w:color w:val="auto"/>
        </w:rPr>
      </w:pPr>
      <w:r>
        <w:rPr>
          <w:rFonts w:ascii="Arial" w:cs="Arial" w:eastAsia="Arial" w:hAnsi="Arial"/>
          <w:sz w:val="16"/>
          <w:szCs w:val="16"/>
          <w:color w:val="4D4D4F"/>
        </w:rPr>
        <w:t>As discussed in Proposal 2 of this proxy statement, we are conducting a say-on-pay vote this year that requests your approval, on a non-binding advisory basis, of the compensation of our NEOs as described in this section and in the tables and accompanying narrative contained below. To assist you with this vote, you should review this information, including our compensation philosophy, the design of our executive compensation programs and how we believe these programs contribute to our financial performance and the achievement of our long-term strategy.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Compensation Discussion and Analysis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60" w:type="dxa"/>
            <w:vAlign w:val="bottom"/>
          </w:tcPr>
          <w:p>
            <w:pPr>
              <w:ind w:left="20"/>
              <w:spacing w:after="0"/>
              <w:rPr>
                <w:sz w:val="20"/>
                <w:szCs w:val="20"/>
                <w:color w:val="auto"/>
              </w:rPr>
            </w:pPr>
            <w:r>
              <w:rPr>
                <w:rFonts w:ascii="Arial" w:cs="Arial" w:eastAsia="Arial" w:hAnsi="Arial"/>
                <w:sz w:val="14"/>
                <w:szCs w:val="14"/>
                <w:b w:val="1"/>
                <w:bCs w:val="1"/>
                <w:color w:val="00529B"/>
              </w:rPr>
              <w:t>Executive Summary</w:t>
            </w:r>
          </w:p>
        </w:tc>
        <w:tc>
          <w:tcPr>
            <w:tcW w:w="2480" w:type="dxa"/>
            <w:vAlign w:val="bottom"/>
          </w:tcPr>
          <w:p>
            <w:pPr>
              <w:jc w:val="right"/>
              <w:spacing w:after="0"/>
              <w:rPr>
                <w:sz w:val="20"/>
                <w:szCs w:val="20"/>
                <w:color w:val="auto"/>
              </w:rPr>
            </w:pPr>
            <w:r>
              <w:rPr>
                <w:rFonts w:ascii="Arial" w:cs="Arial" w:eastAsia="Arial" w:hAnsi="Arial"/>
                <w:sz w:val="14"/>
                <w:szCs w:val="14"/>
                <w:b w:val="1"/>
                <w:bCs w:val="1"/>
                <w:color w:val="00529B"/>
              </w:rPr>
              <w:t>47</w:t>
            </w:r>
          </w:p>
        </w:tc>
      </w:tr>
      <w:tr>
        <w:trPr>
          <w:trHeight w:val="250"/>
        </w:trPr>
        <w:tc>
          <w:tcPr>
            <w:tcW w:w="8760" w:type="dxa"/>
            <w:vAlign w:val="bottom"/>
          </w:tcPr>
          <w:p>
            <w:pPr>
              <w:ind w:left="100"/>
              <w:spacing w:after="0"/>
              <w:rPr>
                <w:sz w:val="20"/>
                <w:szCs w:val="20"/>
                <w:color w:val="auto"/>
              </w:rPr>
            </w:pPr>
            <w:r>
              <w:rPr>
                <w:rFonts w:ascii="Arial" w:cs="Arial" w:eastAsia="Arial" w:hAnsi="Arial"/>
                <w:sz w:val="14"/>
                <w:szCs w:val="14"/>
                <w:color w:val="4D4D4F"/>
              </w:rPr>
              <w:t>Principles of Our Executive Compensation Program</w:t>
            </w:r>
          </w:p>
        </w:tc>
        <w:tc>
          <w:tcPr>
            <w:tcW w:w="2480" w:type="dxa"/>
            <w:vAlign w:val="bottom"/>
          </w:tcPr>
          <w:p>
            <w:pPr>
              <w:jc w:val="right"/>
              <w:spacing w:after="0"/>
              <w:rPr>
                <w:sz w:val="20"/>
                <w:szCs w:val="20"/>
                <w:color w:val="auto"/>
              </w:rPr>
            </w:pPr>
            <w:r>
              <w:rPr>
                <w:rFonts w:ascii="Arial" w:cs="Arial" w:eastAsia="Arial" w:hAnsi="Arial"/>
                <w:sz w:val="14"/>
                <w:szCs w:val="14"/>
                <w:color w:val="4D4D4F"/>
              </w:rPr>
              <w:t>47</w:t>
            </w:r>
          </w:p>
        </w:tc>
      </w:tr>
      <w:tr>
        <w:trPr>
          <w:trHeight w:val="284"/>
        </w:trPr>
        <w:tc>
          <w:tcPr>
            <w:tcW w:w="8760" w:type="dxa"/>
            <w:vAlign w:val="bottom"/>
          </w:tcPr>
          <w:p>
            <w:pPr>
              <w:ind w:left="100"/>
              <w:spacing w:after="0"/>
              <w:rPr>
                <w:sz w:val="20"/>
                <w:szCs w:val="20"/>
                <w:color w:val="auto"/>
              </w:rPr>
            </w:pPr>
            <w:r>
              <w:rPr>
                <w:rFonts w:ascii="Arial" w:cs="Arial" w:eastAsia="Arial" w:hAnsi="Arial"/>
                <w:sz w:val="14"/>
                <w:szCs w:val="14"/>
                <w:color w:val="4D4D4F"/>
              </w:rPr>
              <w:t>2023 Executive Compensation Highlights</w:t>
            </w:r>
          </w:p>
        </w:tc>
        <w:tc>
          <w:tcPr>
            <w:tcW w:w="2480" w:type="dxa"/>
            <w:vAlign w:val="bottom"/>
          </w:tcPr>
          <w:p>
            <w:pPr>
              <w:jc w:val="right"/>
              <w:spacing w:after="0"/>
              <w:rPr>
                <w:sz w:val="20"/>
                <w:szCs w:val="20"/>
                <w:color w:val="auto"/>
              </w:rPr>
            </w:pPr>
            <w:r>
              <w:rPr>
                <w:rFonts w:ascii="Arial" w:cs="Arial" w:eastAsia="Arial" w:hAnsi="Arial"/>
                <w:sz w:val="14"/>
                <w:szCs w:val="14"/>
                <w:color w:val="4D4D4F"/>
              </w:rPr>
              <w:t>47</w:t>
            </w:r>
          </w:p>
        </w:tc>
      </w:tr>
      <w:tr>
        <w:trPr>
          <w:trHeight w:val="49"/>
        </w:trPr>
        <w:tc>
          <w:tcPr>
            <w:tcW w:w="8760" w:type="dxa"/>
            <w:vAlign w:val="bottom"/>
            <w:tcBorders>
              <w:bottom w:val="single" w:sz="8" w:color="132440"/>
            </w:tcBorders>
          </w:tcPr>
          <w:p>
            <w:pPr>
              <w:spacing w:after="0"/>
              <w:rPr>
                <w:sz w:val="4"/>
                <w:szCs w:val="4"/>
                <w:color w:val="auto"/>
              </w:rPr>
            </w:pPr>
          </w:p>
        </w:tc>
        <w:tc>
          <w:tcPr>
            <w:tcW w:w="2480" w:type="dxa"/>
            <w:vAlign w:val="bottom"/>
            <w:tcBorders>
              <w:bottom w:val="single" w:sz="8" w:color="132440"/>
            </w:tcBorders>
          </w:tcPr>
          <w:p>
            <w:pPr>
              <w:spacing w:after="0"/>
              <w:rPr>
                <w:sz w:val="4"/>
                <w:szCs w:val="4"/>
                <w:color w:val="auto"/>
              </w:rPr>
            </w:pPr>
          </w:p>
        </w:tc>
      </w:tr>
      <w:tr>
        <w:trPr>
          <w:trHeight w:val="217"/>
        </w:trPr>
        <w:tc>
          <w:tcPr>
            <w:tcW w:w="8760" w:type="dxa"/>
            <w:vAlign w:val="bottom"/>
            <w:tcBorders>
              <w:bottom w:val="single" w:sz="8" w:color="132440"/>
            </w:tcBorders>
          </w:tcPr>
          <w:p>
            <w:pPr>
              <w:ind w:left="20"/>
              <w:spacing w:after="0"/>
              <w:rPr>
                <w:sz w:val="20"/>
                <w:szCs w:val="20"/>
                <w:color w:val="auto"/>
              </w:rPr>
            </w:pPr>
            <w:r>
              <w:rPr>
                <w:rFonts w:ascii="Arial" w:cs="Arial" w:eastAsia="Arial" w:hAnsi="Arial"/>
                <w:sz w:val="14"/>
                <w:szCs w:val="14"/>
                <w:b w:val="1"/>
                <w:bCs w:val="1"/>
                <w:color w:val="00529B"/>
              </w:rPr>
              <w:t>2023 Performance Highlights</w:t>
            </w:r>
          </w:p>
        </w:tc>
        <w:tc>
          <w:tcPr>
            <w:tcW w:w="2480" w:type="dxa"/>
            <w:vAlign w:val="bottom"/>
            <w:tcBorders>
              <w:bottom w:val="single" w:sz="8" w:color="132440"/>
            </w:tcBorders>
          </w:tcPr>
          <w:p>
            <w:pPr>
              <w:jc w:val="right"/>
              <w:spacing w:after="0"/>
              <w:rPr>
                <w:sz w:val="20"/>
                <w:szCs w:val="20"/>
                <w:color w:val="auto"/>
              </w:rPr>
            </w:pPr>
            <w:r>
              <w:rPr>
                <w:rFonts w:ascii="Arial" w:cs="Arial" w:eastAsia="Arial" w:hAnsi="Arial"/>
                <w:sz w:val="14"/>
                <w:szCs w:val="14"/>
                <w:b w:val="1"/>
                <w:bCs w:val="1"/>
                <w:color w:val="00529B"/>
              </w:rPr>
              <w:t>49</w:t>
            </w:r>
          </w:p>
        </w:tc>
      </w:tr>
      <w:tr>
        <w:trPr>
          <w:trHeight w:val="223"/>
        </w:trPr>
        <w:tc>
          <w:tcPr>
            <w:tcW w:w="8760" w:type="dxa"/>
            <w:vAlign w:val="bottom"/>
            <w:tcBorders>
              <w:bottom w:val="single" w:sz="8" w:color="132440"/>
            </w:tcBorders>
          </w:tcPr>
          <w:p>
            <w:pPr>
              <w:ind w:left="20"/>
              <w:spacing w:after="0"/>
              <w:rPr>
                <w:sz w:val="20"/>
                <w:szCs w:val="20"/>
                <w:color w:val="auto"/>
              </w:rPr>
            </w:pPr>
            <w:r>
              <w:rPr>
                <w:rFonts w:ascii="Arial" w:cs="Arial" w:eastAsia="Arial" w:hAnsi="Arial"/>
                <w:sz w:val="14"/>
                <w:szCs w:val="14"/>
                <w:b w:val="1"/>
                <w:bCs w:val="1"/>
                <w:color w:val="00529B"/>
              </w:rPr>
              <w:t>Executive Compensation Practices</w:t>
            </w:r>
          </w:p>
        </w:tc>
        <w:tc>
          <w:tcPr>
            <w:tcW w:w="2480" w:type="dxa"/>
            <w:vAlign w:val="bottom"/>
            <w:tcBorders>
              <w:bottom w:val="single" w:sz="8" w:color="132440"/>
            </w:tcBorders>
          </w:tcPr>
          <w:p>
            <w:pPr>
              <w:jc w:val="right"/>
              <w:spacing w:after="0"/>
              <w:rPr>
                <w:sz w:val="20"/>
                <w:szCs w:val="20"/>
                <w:color w:val="auto"/>
              </w:rPr>
            </w:pPr>
            <w:r>
              <w:rPr>
                <w:rFonts w:ascii="Arial" w:cs="Arial" w:eastAsia="Arial" w:hAnsi="Arial"/>
                <w:sz w:val="14"/>
                <w:szCs w:val="14"/>
                <w:b w:val="1"/>
                <w:bCs w:val="1"/>
                <w:color w:val="00529B"/>
              </w:rPr>
              <w:t>50</w:t>
            </w:r>
          </w:p>
        </w:tc>
      </w:tr>
      <w:tr>
        <w:trPr>
          <w:trHeight w:val="214"/>
        </w:trPr>
        <w:tc>
          <w:tcPr>
            <w:tcW w:w="8760" w:type="dxa"/>
            <w:vAlign w:val="bottom"/>
          </w:tcPr>
          <w:p>
            <w:pPr>
              <w:ind w:left="20"/>
              <w:spacing w:after="0"/>
              <w:rPr>
                <w:sz w:val="20"/>
                <w:szCs w:val="20"/>
                <w:color w:val="auto"/>
              </w:rPr>
            </w:pPr>
            <w:r>
              <w:rPr>
                <w:rFonts w:ascii="Arial" w:cs="Arial" w:eastAsia="Arial" w:hAnsi="Arial"/>
                <w:sz w:val="14"/>
                <w:szCs w:val="14"/>
                <w:b w:val="1"/>
                <w:bCs w:val="1"/>
                <w:color w:val="00529B"/>
              </w:rPr>
              <w:t>Overview of the 2023 Executive Compensation Program</w:t>
            </w:r>
          </w:p>
        </w:tc>
        <w:tc>
          <w:tcPr>
            <w:tcW w:w="2480" w:type="dxa"/>
            <w:vAlign w:val="bottom"/>
          </w:tcPr>
          <w:p>
            <w:pPr>
              <w:jc w:val="right"/>
              <w:spacing w:after="0"/>
              <w:rPr>
                <w:sz w:val="20"/>
                <w:szCs w:val="20"/>
                <w:color w:val="auto"/>
              </w:rPr>
            </w:pPr>
            <w:r>
              <w:rPr>
                <w:rFonts w:ascii="Arial" w:cs="Arial" w:eastAsia="Arial" w:hAnsi="Arial"/>
                <w:sz w:val="14"/>
                <w:szCs w:val="14"/>
                <w:b w:val="1"/>
                <w:bCs w:val="1"/>
                <w:color w:val="00529B"/>
              </w:rPr>
              <w:t>51</w:t>
            </w:r>
          </w:p>
        </w:tc>
      </w:tr>
      <w:tr>
        <w:trPr>
          <w:trHeight w:val="250"/>
        </w:trPr>
        <w:tc>
          <w:tcPr>
            <w:tcW w:w="8760" w:type="dxa"/>
            <w:vAlign w:val="bottom"/>
          </w:tcPr>
          <w:p>
            <w:pPr>
              <w:ind w:left="100"/>
              <w:spacing w:after="0"/>
              <w:rPr>
                <w:sz w:val="20"/>
                <w:szCs w:val="20"/>
                <w:color w:val="auto"/>
              </w:rPr>
            </w:pPr>
            <w:r>
              <w:rPr>
                <w:rFonts w:ascii="Arial" w:cs="Arial" w:eastAsia="Arial" w:hAnsi="Arial"/>
                <w:sz w:val="14"/>
                <w:szCs w:val="14"/>
                <w:color w:val="4D4D4F"/>
              </w:rPr>
              <w:t>Annual Base Salary</w:t>
            </w:r>
          </w:p>
        </w:tc>
        <w:tc>
          <w:tcPr>
            <w:tcW w:w="2480" w:type="dxa"/>
            <w:vAlign w:val="bottom"/>
          </w:tcPr>
          <w:p>
            <w:pPr>
              <w:jc w:val="right"/>
              <w:spacing w:after="0"/>
              <w:rPr>
                <w:sz w:val="20"/>
                <w:szCs w:val="20"/>
                <w:color w:val="auto"/>
              </w:rPr>
            </w:pPr>
            <w:r>
              <w:rPr>
                <w:rFonts w:ascii="Arial" w:cs="Arial" w:eastAsia="Arial" w:hAnsi="Arial"/>
                <w:sz w:val="14"/>
                <w:szCs w:val="14"/>
                <w:color w:val="4D4D4F"/>
              </w:rPr>
              <w:t>52</w:t>
            </w:r>
          </w:p>
        </w:tc>
      </w:tr>
      <w:tr>
        <w:trPr>
          <w:trHeight w:val="283"/>
        </w:trPr>
        <w:tc>
          <w:tcPr>
            <w:tcW w:w="8760" w:type="dxa"/>
            <w:vAlign w:val="bottom"/>
          </w:tcPr>
          <w:p>
            <w:pPr>
              <w:ind w:left="100"/>
              <w:spacing w:after="0"/>
              <w:rPr>
                <w:sz w:val="20"/>
                <w:szCs w:val="20"/>
                <w:color w:val="auto"/>
              </w:rPr>
            </w:pPr>
            <w:r>
              <w:rPr>
                <w:rFonts w:ascii="Arial" w:cs="Arial" w:eastAsia="Arial" w:hAnsi="Arial"/>
                <w:sz w:val="14"/>
                <w:szCs w:val="14"/>
                <w:color w:val="4D4D4F"/>
              </w:rPr>
              <w:t>Annual Incentive Program</w:t>
            </w:r>
          </w:p>
        </w:tc>
        <w:tc>
          <w:tcPr>
            <w:tcW w:w="2480" w:type="dxa"/>
            <w:vAlign w:val="bottom"/>
          </w:tcPr>
          <w:p>
            <w:pPr>
              <w:jc w:val="right"/>
              <w:spacing w:after="0"/>
              <w:rPr>
                <w:sz w:val="20"/>
                <w:szCs w:val="20"/>
                <w:color w:val="auto"/>
              </w:rPr>
            </w:pPr>
            <w:r>
              <w:rPr>
                <w:rFonts w:ascii="Arial" w:cs="Arial" w:eastAsia="Arial" w:hAnsi="Arial"/>
                <w:sz w:val="14"/>
                <w:szCs w:val="14"/>
                <w:color w:val="4D4D4F"/>
              </w:rPr>
              <w:t>52</w:t>
            </w:r>
          </w:p>
        </w:tc>
      </w:tr>
      <w:tr>
        <w:trPr>
          <w:trHeight w:val="284"/>
        </w:trPr>
        <w:tc>
          <w:tcPr>
            <w:tcW w:w="8760" w:type="dxa"/>
            <w:vAlign w:val="bottom"/>
          </w:tcPr>
          <w:p>
            <w:pPr>
              <w:ind w:left="100"/>
              <w:spacing w:after="0"/>
              <w:rPr>
                <w:sz w:val="20"/>
                <w:szCs w:val="20"/>
                <w:color w:val="auto"/>
              </w:rPr>
            </w:pPr>
            <w:r>
              <w:rPr>
                <w:rFonts w:ascii="Arial" w:cs="Arial" w:eastAsia="Arial" w:hAnsi="Arial"/>
                <w:sz w:val="14"/>
                <w:szCs w:val="14"/>
                <w:color w:val="4D4D4F"/>
              </w:rPr>
              <w:t>2023 AIP Performance Determinations</w:t>
            </w:r>
          </w:p>
        </w:tc>
        <w:tc>
          <w:tcPr>
            <w:tcW w:w="2480" w:type="dxa"/>
            <w:vAlign w:val="bottom"/>
          </w:tcPr>
          <w:p>
            <w:pPr>
              <w:jc w:val="right"/>
              <w:spacing w:after="0"/>
              <w:rPr>
                <w:sz w:val="20"/>
                <w:szCs w:val="20"/>
                <w:color w:val="auto"/>
              </w:rPr>
            </w:pPr>
            <w:r>
              <w:rPr>
                <w:rFonts w:ascii="Arial" w:cs="Arial" w:eastAsia="Arial" w:hAnsi="Arial"/>
                <w:sz w:val="14"/>
                <w:szCs w:val="14"/>
                <w:color w:val="4D4D4F"/>
              </w:rPr>
              <w:t>53</w:t>
            </w:r>
          </w:p>
        </w:tc>
      </w:tr>
      <w:tr>
        <w:trPr>
          <w:trHeight w:val="283"/>
        </w:trPr>
        <w:tc>
          <w:tcPr>
            <w:tcW w:w="8760" w:type="dxa"/>
            <w:vAlign w:val="bottom"/>
          </w:tcPr>
          <w:p>
            <w:pPr>
              <w:ind w:left="260"/>
              <w:spacing w:after="0"/>
              <w:rPr>
                <w:sz w:val="20"/>
                <w:szCs w:val="20"/>
                <w:color w:val="auto"/>
              </w:rPr>
            </w:pPr>
            <w:r>
              <w:rPr>
                <w:rFonts w:ascii="Arial" w:cs="Arial" w:eastAsia="Arial" w:hAnsi="Arial"/>
                <w:sz w:val="14"/>
                <w:szCs w:val="14"/>
                <w:color w:val="4D4D4F"/>
              </w:rPr>
              <w:t>Adjusted EBITDA Performance Assessment</w:t>
            </w:r>
          </w:p>
        </w:tc>
        <w:tc>
          <w:tcPr>
            <w:tcW w:w="2480" w:type="dxa"/>
            <w:vAlign w:val="bottom"/>
          </w:tcPr>
          <w:p>
            <w:pPr>
              <w:jc w:val="right"/>
              <w:spacing w:after="0"/>
              <w:rPr>
                <w:sz w:val="20"/>
                <w:szCs w:val="20"/>
                <w:color w:val="auto"/>
              </w:rPr>
            </w:pPr>
            <w:r>
              <w:rPr>
                <w:rFonts w:ascii="Arial" w:cs="Arial" w:eastAsia="Arial" w:hAnsi="Arial"/>
                <w:sz w:val="14"/>
                <w:szCs w:val="14"/>
                <w:color w:val="4D4D4F"/>
              </w:rPr>
              <w:t>53</w:t>
            </w:r>
          </w:p>
        </w:tc>
      </w:tr>
      <w:tr>
        <w:trPr>
          <w:trHeight w:val="283"/>
        </w:trPr>
        <w:tc>
          <w:tcPr>
            <w:tcW w:w="8760" w:type="dxa"/>
            <w:vAlign w:val="bottom"/>
          </w:tcPr>
          <w:p>
            <w:pPr>
              <w:ind w:left="260"/>
              <w:spacing w:after="0"/>
              <w:rPr>
                <w:sz w:val="20"/>
                <w:szCs w:val="20"/>
                <w:color w:val="auto"/>
              </w:rPr>
            </w:pPr>
            <w:r>
              <w:rPr>
                <w:rFonts w:ascii="Arial" w:cs="Arial" w:eastAsia="Arial" w:hAnsi="Arial"/>
                <w:sz w:val="14"/>
                <w:szCs w:val="14"/>
                <w:color w:val="4D4D4F"/>
              </w:rPr>
              <w:t>Strategic Objectives Performance Assessment</w:t>
            </w:r>
          </w:p>
        </w:tc>
        <w:tc>
          <w:tcPr>
            <w:tcW w:w="2480" w:type="dxa"/>
            <w:vAlign w:val="bottom"/>
          </w:tcPr>
          <w:p>
            <w:pPr>
              <w:jc w:val="right"/>
              <w:spacing w:after="0"/>
              <w:rPr>
                <w:sz w:val="20"/>
                <w:szCs w:val="20"/>
                <w:color w:val="auto"/>
              </w:rPr>
            </w:pPr>
            <w:r>
              <w:rPr>
                <w:rFonts w:ascii="Arial" w:cs="Arial" w:eastAsia="Arial" w:hAnsi="Arial"/>
                <w:sz w:val="14"/>
                <w:szCs w:val="14"/>
                <w:color w:val="4D4D4F"/>
              </w:rPr>
              <w:t>53</w:t>
            </w:r>
          </w:p>
        </w:tc>
      </w:tr>
      <w:tr>
        <w:trPr>
          <w:trHeight w:val="284"/>
        </w:trPr>
        <w:tc>
          <w:tcPr>
            <w:tcW w:w="8760" w:type="dxa"/>
            <w:vAlign w:val="bottom"/>
          </w:tcPr>
          <w:p>
            <w:pPr>
              <w:ind w:left="260"/>
              <w:spacing w:after="0"/>
              <w:rPr>
                <w:sz w:val="20"/>
                <w:szCs w:val="20"/>
                <w:color w:val="auto"/>
              </w:rPr>
            </w:pPr>
            <w:r>
              <w:rPr>
                <w:rFonts w:ascii="Arial" w:cs="Arial" w:eastAsia="Arial" w:hAnsi="Arial"/>
                <w:sz w:val="14"/>
                <w:szCs w:val="14"/>
                <w:color w:val="4D4D4F"/>
              </w:rPr>
              <w:t>Compensation Committee Exercise of Discretion</w:t>
            </w:r>
          </w:p>
        </w:tc>
        <w:tc>
          <w:tcPr>
            <w:tcW w:w="2480" w:type="dxa"/>
            <w:vAlign w:val="bottom"/>
          </w:tcPr>
          <w:p>
            <w:pPr>
              <w:jc w:val="right"/>
              <w:spacing w:after="0"/>
              <w:rPr>
                <w:sz w:val="20"/>
                <w:szCs w:val="20"/>
                <w:color w:val="auto"/>
              </w:rPr>
            </w:pPr>
            <w:r>
              <w:rPr>
                <w:rFonts w:ascii="Arial" w:cs="Arial" w:eastAsia="Arial" w:hAnsi="Arial"/>
                <w:sz w:val="14"/>
                <w:szCs w:val="14"/>
                <w:color w:val="4D4D4F"/>
              </w:rPr>
              <w:t>55</w:t>
            </w:r>
          </w:p>
        </w:tc>
      </w:tr>
      <w:tr>
        <w:trPr>
          <w:trHeight w:val="283"/>
        </w:trPr>
        <w:tc>
          <w:tcPr>
            <w:tcW w:w="8760" w:type="dxa"/>
            <w:vAlign w:val="bottom"/>
          </w:tcPr>
          <w:p>
            <w:pPr>
              <w:ind w:left="100"/>
              <w:spacing w:after="0"/>
              <w:rPr>
                <w:sz w:val="20"/>
                <w:szCs w:val="20"/>
                <w:color w:val="auto"/>
              </w:rPr>
            </w:pPr>
            <w:r>
              <w:rPr>
                <w:rFonts w:ascii="Arial" w:cs="Arial" w:eastAsia="Arial" w:hAnsi="Arial"/>
                <w:sz w:val="14"/>
                <w:szCs w:val="14"/>
                <w:color w:val="4D4D4F"/>
              </w:rPr>
              <w:t>Annual Long-Term Incentive Program</w:t>
            </w:r>
          </w:p>
        </w:tc>
        <w:tc>
          <w:tcPr>
            <w:tcW w:w="2480" w:type="dxa"/>
            <w:vAlign w:val="bottom"/>
          </w:tcPr>
          <w:p>
            <w:pPr>
              <w:jc w:val="right"/>
              <w:spacing w:after="0"/>
              <w:rPr>
                <w:sz w:val="20"/>
                <w:szCs w:val="20"/>
                <w:color w:val="auto"/>
              </w:rPr>
            </w:pPr>
            <w:r>
              <w:rPr>
                <w:rFonts w:ascii="Arial" w:cs="Arial" w:eastAsia="Arial" w:hAnsi="Arial"/>
                <w:sz w:val="14"/>
                <w:szCs w:val="14"/>
                <w:color w:val="4D4D4F"/>
              </w:rPr>
              <w:t>55</w:t>
            </w:r>
          </w:p>
        </w:tc>
      </w:tr>
      <w:tr>
        <w:trPr>
          <w:trHeight w:val="257"/>
        </w:trPr>
        <w:tc>
          <w:tcPr>
            <w:tcW w:w="8760" w:type="dxa"/>
            <w:vAlign w:val="bottom"/>
          </w:tcPr>
          <w:p>
            <w:pPr>
              <w:ind w:left="260"/>
              <w:spacing w:after="0"/>
              <w:rPr>
                <w:sz w:val="20"/>
                <w:szCs w:val="20"/>
                <w:color w:val="auto"/>
              </w:rPr>
            </w:pPr>
            <w:r>
              <w:rPr>
                <w:rFonts w:ascii="Arial" w:cs="Arial" w:eastAsia="Arial" w:hAnsi="Arial"/>
                <w:sz w:val="14"/>
                <w:szCs w:val="14"/>
                <w:color w:val="4D4D4F"/>
              </w:rPr>
              <w:t>2023 – 2025 PRSUs</w:t>
            </w:r>
          </w:p>
        </w:tc>
        <w:tc>
          <w:tcPr>
            <w:tcW w:w="2480" w:type="dxa"/>
            <w:vAlign w:val="bottom"/>
          </w:tcPr>
          <w:p>
            <w:pPr>
              <w:jc w:val="right"/>
              <w:spacing w:after="0"/>
              <w:rPr>
                <w:sz w:val="20"/>
                <w:szCs w:val="20"/>
                <w:color w:val="auto"/>
              </w:rPr>
            </w:pPr>
            <w:r>
              <w:rPr>
                <w:rFonts w:ascii="Arial" w:cs="Arial" w:eastAsia="Arial" w:hAnsi="Arial"/>
                <w:sz w:val="14"/>
                <w:szCs w:val="14"/>
                <w:color w:val="4D4D4F"/>
              </w:rPr>
              <w:t>56</w:t>
            </w:r>
          </w:p>
        </w:tc>
      </w:tr>
      <w:tr>
        <w:trPr>
          <w:trHeight w:val="229"/>
        </w:trPr>
        <w:tc>
          <w:tcPr>
            <w:tcW w:w="8760" w:type="dxa"/>
            <w:vAlign w:val="bottom"/>
          </w:tcPr>
          <w:p>
            <w:pPr>
              <w:ind w:left="260"/>
              <w:spacing w:after="0"/>
              <w:rPr>
                <w:sz w:val="20"/>
                <w:szCs w:val="20"/>
                <w:color w:val="auto"/>
              </w:rPr>
            </w:pPr>
            <w:r>
              <w:rPr>
                <w:rFonts w:ascii="Arial" w:cs="Arial" w:eastAsia="Arial" w:hAnsi="Arial"/>
                <w:sz w:val="14"/>
                <w:szCs w:val="14"/>
                <w:color w:val="4D4D4F"/>
              </w:rPr>
              <w:t>2021 – 2023 PRSUs</w:t>
            </w:r>
          </w:p>
        </w:tc>
        <w:tc>
          <w:tcPr>
            <w:tcW w:w="2480" w:type="dxa"/>
            <w:vAlign w:val="bottom"/>
          </w:tcPr>
          <w:p>
            <w:pPr>
              <w:jc w:val="right"/>
              <w:spacing w:after="0"/>
              <w:rPr>
                <w:sz w:val="20"/>
                <w:szCs w:val="20"/>
                <w:color w:val="auto"/>
              </w:rPr>
            </w:pPr>
            <w:r>
              <w:rPr>
                <w:rFonts w:ascii="Arial" w:cs="Arial" w:eastAsia="Arial" w:hAnsi="Arial"/>
                <w:sz w:val="14"/>
                <w:szCs w:val="14"/>
                <w:color w:val="4D4D4F"/>
              </w:rPr>
              <w:t>57</w:t>
            </w:r>
          </w:p>
        </w:tc>
      </w:tr>
      <w:tr>
        <w:trPr>
          <w:trHeight w:val="22"/>
        </w:trPr>
        <w:tc>
          <w:tcPr>
            <w:tcW w:w="8760" w:type="dxa"/>
            <w:vAlign w:val="bottom"/>
            <w:tcBorders>
              <w:bottom w:val="single" w:sz="8" w:color="132440"/>
            </w:tcBorders>
          </w:tcPr>
          <w:p>
            <w:pPr>
              <w:spacing w:after="0" w:line="20" w:lineRule="exact"/>
              <w:rPr>
                <w:sz w:val="1"/>
                <w:szCs w:val="1"/>
                <w:color w:val="auto"/>
              </w:rPr>
            </w:pPr>
          </w:p>
        </w:tc>
        <w:tc>
          <w:tcPr>
            <w:tcW w:w="2480" w:type="dxa"/>
            <w:vAlign w:val="bottom"/>
            <w:tcBorders>
              <w:bottom w:val="single" w:sz="8" w:color="132440"/>
            </w:tcBorders>
          </w:tcPr>
          <w:p>
            <w:pPr>
              <w:spacing w:after="0" w:line="20" w:lineRule="exact"/>
              <w:rPr>
                <w:sz w:val="1"/>
                <w:szCs w:val="1"/>
                <w:color w:val="auto"/>
              </w:rPr>
            </w:pPr>
          </w:p>
        </w:tc>
      </w:tr>
      <w:tr>
        <w:trPr>
          <w:trHeight w:val="217"/>
        </w:trPr>
        <w:tc>
          <w:tcPr>
            <w:tcW w:w="8760" w:type="dxa"/>
            <w:vAlign w:val="bottom"/>
            <w:tcBorders>
              <w:bottom w:val="single" w:sz="8" w:color="132440"/>
            </w:tcBorders>
          </w:tcPr>
          <w:p>
            <w:pPr>
              <w:ind w:left="20"/>
              <w:spacing w:after="0"/>
              <w:rPr>
                <w:sz w:val="20"/>
                <w:szCs w:val="20"/>
                <w:color w:val="auto"/>
              </w:rPr>
            </w:pPr>
            <w:r>
              <w:rPr>
                <w:rFonts w:ascii="Arial" w:cs="Arial" w:eastAsia="Arial" w:hAnsi="Arial"/>
                <w:sz w:val="14"/>
                <w:szCs w:val="14"/>
                <w:b w:val="1"/>
                <w:bCs w:val="1"/>
                <w:color w:val="00529B"/>
              </w:rPr>
              <w:t>Changes to the 2024 Executive Compensation Program in Response to Shareholder Feedback</w:t>
            </w:r>
          </w:p>
        </w:tc>
        <w:tc>
          <w:tcPr>
            <w:tcW w:w="2480" w:type="dxa"/>
            <w:vAlign w:val="bottom"/>
            <w:tcBorders>
              <w:bottom w:val="single" w:sz="8" w:color="132440"/>
            </w:tcBorders>
          </w:tcPr>
          <w:p>
            <w:pPr>
              <w:jc w:val="right"/>
              <w:spacing w:after="0"/>
              <w:rPr>
                <w:sz w:val="20"/>
                <w:szCs w:val="20"/>
                <w:color w:val="auto"/>
              </w:rPr>
            </w:pPr>
            <w:r>
              <w:rPr>
                <w:rFonts w:ascii="Arial" w:cs="Arial" w:eastAsia="Arial" w:hAnsi="Arial"/>
                <w:sz w:val="14"/>
                <w:szCs w:val="14"/>
                <w:b w:val="1"/>
                <w:bCs w:val="1"/>
                <w:color w:val="00529B"/>
              </w:rPr>
              <w:t>58</w:t>
            </w:r>
          </w:p>
        </w:tc>
      </w:tr>
      <w:tr>
        <w:trPr>
          <w:trHeight w:val="214"/>
        </w:trPr>
        <w:tc>
          <w:tcPr>
            <w:tcW w:w="8760" w:type="dxa"/>
            <w:vAlign w:val="bottom"/>
          </w:tcPr>
          <w:p>
            <w:pPr>
              <w:ind w:left="20"/>
              <w:spacing w:after="0"/>
              <w:rPr>
                <w:sz w:val="20"/>
                <w:szCs w:val="20"/>
                <w:color w:val="auto"/>
              </w:rPr>
            </w:pPr>
            <w:r>
              <w:rPr>
                <w:rFonts w:ascii="Arial" w:cs="Arial" w:eastAsia="Arial" w:hAnsi="Arial"/>
                <w:sz w:val="14"/>
                <w:szCs w:val="14"/>
                <w:b w:val="1"/>
                <w:bCs w:val="1"/>
                <w:color w:val="00529B"/>
              </w:rPr>
              <w:t>Annual Compensation Setting Process</w:t>
            </w:r>
          </w:p>
        </w:tc>
        <w:tc>
          <w:tcPr>
            <w:tcW w:w="2480" w:type="dxa"/>
            <w:vAlign w:val="bottom"/>
          </w:tcPr>
          <w:p>
            <w:pPr>
              <w:jc w:val="right"/>
              <w:spacing w:after="0"/>
              <w:rPr>
                <w:sz w:val="20"/>
                <w:szCs w:val="20"/>
                <w:color w:val="auto"/>
              </w:rPr>
            </w:pPr>
            <w:r>
              <w:rPr>
                <w:rFonts w:ascii="Arial" w:cs="Arial" w:eastAsia="Arial" w:hAnsi="Arial"/>
                <w:sz w:val="14"/>
                <w:szCs w:val="14"/>
                <w:b w:val="1"/>
                <w:bCs w:val="1"/>
                <w:color w:val="00529B"/>
              </w:rPr>
              <w:t>59</w:t>
            </w:r>
          </w:p>
        </w:tc>
      </w:tr>
      <w:tr>
        <w:trPr>
          <w:trHeight w:val="223"/>
        </w:trPr>
        <w:tc>
          <w:tcPr>
            <w:tcW w:w="8760" w:type="dxa"/>
            <w:vAlign w:val="bottom"/>
          </w:tcPr>
          <w:p>
            <w:pPr>
              <w:ind w:left="100"/>
              <w:spacing w:after="0"/>
              <w:rPr>
                <w:sz w:val="20"/>
                <w:szCs w:val="20"/>
                <w:color w:val="auto"/>
              </w:rPr>
            </w:pPr>
            <w:r>
              <w:rPr>
                <w:rFonts w:ascii="Arial" w:cs="Arial" w:eastAsia="Arial" w:hAnsi="Arial"/>
                <w:sz w:val="14"/>
                <w:szCs w:val="14"/>
                <w:color w:val="4D4D4F"/>
              </w:rPr>
              <w:t>Evaluating Compensation Program Design Using Compensation Comparison Companies</w:t>
            </w:r>
          </w:p>
        </w:tc>
        <w:tc>
          <w:tcPr>
            <w:tcW w:w="2480" w:type="dxa"/>
            <w:vAlign w:val="bottom"/>
          </w:tcPr>
          <w:p>
            <w:pPr>
              <w:jc w:val="right"/>
              <w:spacing w:after="0"/>
              <w:rPr>
                <w:sz w:val="20"/>
                <w:szCs w:val="20"/>
                <w:color w:val="auto"/>
              </w:rPr>
            </w:pPr>
            <w:r>
              <w:rPr>
                <w:rFonts w:ascii="Arial" w:cs="Arial" w:eastAsia="Arial" w:hAnsi="Arial"/>
                <w:sz w:val="14"/>
                <w:szCs w:val="14"/>
                <w:color w:val="4D4D4F"/>
              </w:rPr>
              <w:t>59</w:t>
            </w:r>
          </w:p>
        </w:tc>
      </w:tr>
      <w:tr>
        <w:trPr>
          <w:trHeight w:val="229"/>
        </w:trPr>
        <w:tc>
          <w:tcPr>
            <w:tcW w:w="8760" w:type="dxa"/>
            <w:vAlign w:val="bottom"/>
          </w:tcPr>
          <w:p>
            <w:pPr>
              <w:ind w:left="100"/>
              <w:spacing w:after="0"/>
              <w:rPr>
                <w:sz w:val="20"/>
                <w:szCs w:val="20"/>
                <w:color w:val="auto"/>
              </w:rPr>
            </w:pPr>
            <w:r>
              <w:rPr>
                <w:rFonts w:ascii="Arial" w:cs="Arial" w:eastAsia="Arial" w:hAnsi="Arial"/>
                <w:sz w:val="14"/>
                <w:szCs w:val="14"/>
                <w:color w:val="4D4D4F"/>
              </w:rPr>
              <w:t>Role of Independent Compensation Consultant</w:t>
            </w:r>
          </w:p>
        </w:tc>
        <w:tc>
          <w:tcPr>
            <w:tcW w:w="2480" w:type="dxa"/>
            <w:vAlign w:val="bottom"/>
          </w:tcPr>
          <w:p>
            <w:pPr>
              <w:jc w:val="right"/>
              <w:spacing w:after="0"/>
              <w:rPr>
                <w:sz w:val="20"/>
                <w:szCs w:val="20"/>
                <w:color w:val="auto"/>
              </w:rPr>
            </w:pPr>
            <w:r>
              <w:rPr>
                <w:rFonts w:ascii="Arial" w:cs="Arial" w:eastAsia="Arial" w:hAnsi="Arial"/>
                <w:sz w:val="14"/>
                <w:szCs w:val="14"/>
                <w:color w:val="4D4D4F"/>
              </w:rPr>
              <w:t>60</w:t>
            </w:r>
          </w:p>
        </w:tc>
      </w:tr>
      <w:tr>
        <w:trPr>
          <w:trHeight w:val="22"/>
        </w:trPr>
        <w:tc>
          <w:tcPr>
            <w:tcW w:w="8760" w:type="dxa"/>
            <w:vAlign w:val="bottom"/>
            <w:tcBorders>
              <w:bottom w:val="single" w:sz="8" w:color="132440"/>
            </w:tcBorders>
          </w:tcPr>
          <w:p>
            <w:pPr>
              <w:spacing w:after="0" w:line="20" w:lineRule="exact"/>
              <w:rPr>
                <w:sz w:val="1"/>
                <w:szCs w:val="1"/>
                <w:color w:val="auto"/>
              </w:rPr>
            </w:pPr>
          </w:p>
        </w:tc>
        <w:tc>
          <w:tcPr>
            <w:tcW w:w="2480" w:type="dxa"/>
            <w:vAlign w:val="bottom"/>
            <w:tcBorders>
              <w:bottom w:val="single" w:sz="8" w:color="132440"/>
            </w:tcBorders>
          </w:tcPr>
          <w:p>
            <w:pPr>
              <w:spacing w:after="0" w:line="20" w:lineRule="exact"/>
              <w:rPr>
                <w:sz w:val="1"/>
                <w:szCs w:val="1"/>
                <w:color w:val="auto"/>
              </w:rPr>
            </w:pPr>
          </w:p>
        </w:tc>
      </w:tr>
      <w:tr>
        <w:trPr>
          <w:trHeight w:val="217"/>
        </w:trPr>
        <w:tc>
          <w:tcPr>
            <w:tcW w:w="8760" w:type="dxa"/>
            <w:vAlign w:val="bottom"/>
            <w:tcBorders>
              <w:bottom w:val="single" w:sz="8" w:color="132440"/>
            </w:tcBorders>
          </w:tcPr>
          <w:p>
            <w:pPr>
              <w:ind w:left="20"/>
              <w:spacing w:after="0"/>
              <w:rPr>
                <w:sz w:val="20"/>
                <w:szCs w:val="20"/>
                <w:color w:val="auto"/>
              </w:rPr>
            </w:pPr>
            <w:r>
              <w:rPr>
                <w:rFonts w:ascii="Arial" w:cs="Arial" w:eastAsia="Arial" w:hAnsi="Arial"/>
                <w:sz w:val="14"/>
                <w:szCs w:val="14"/>
                <w:b w:val="1"/>
                <w:bCs w:val="1"/>
                <w:color w:val="00529B"/>
              </w:rPr>
              <w:t>Employee Benefits and Executive Perquisites</w:t>
            </w:r>
          </w:p>
        </w:tc>
        <w:tc>
          <w:tcPr>
            <w:tcW w:w="2480" w:type="dxa"/>
            <w:vAlign w:val="bottom"/>
            <w:tcBorders>
              <w:bottom w:val="single" w:sz="8" w:color="132440"/>
            </w:tcBorders>
          </w:tcPr>
          <w:p>
            <w:pPr>
              <w:jc w:val="right"/>
              <w:spacing w:after="0"/>
              <w:rPr>
                <w:sz w:val="20"/>
                <w:szCs w:val="20"/>
                <w:color w:val="auto"/>
              </w:rPr>
            </w:pPr>
            <w:r>
              <w:rPr>
                <w:rFonts w:ascii="Arial" w:cs="Arial" w:eastAsia="Arial" w:hAnsi="Arial"/>
                <w:sz w:val="14"/>
                <w:szCs w:val="14"/>
                <w:b w:val="1"/>
                <w:bCs w:val="1"/>
                <w:color w:val="00529B"/>
              </w:rPr>
              <w:t>61</w:t>
            </w:r>
          </w:p>
        </w:tc>
      </w:tr>
      <w:tr>
        <w:trPr>
          <w:trHeight w:val="214"/>
        </w:trPr>
        <w:tc>
          <w:tcPr>
            <w:tcW w:w="8760" w:type="dxa"/>
            <w:vAlign w:val="bottom"/>
          </w:tcPr>
          <w:p>
            <w:pPr>
              <w:ind w:left="20"/>
              <w:spacing w:after="0"/>
              <w:rPr>
                <w:sz w:val="20"/>
                <w:szCs w:val="20"/>
                <w:color w:val="auto"/>
              </w:rPr>
            </w:pPr>
            <w:r>
              <w:rPr>
                <w:rFonts w:ascii="Arial" w:cs="Arial" w:eastAsia="Arial" w:hAnsi="Arial"/>
                <w:sz w:val="14"/>
                <w:szCs w:val="14"/>
                <w:b w:val="1"/>
                <w:bCs w:val="1"/>
                <w:color w:val="00529B"/>
              </w:rPr>
              <w:t>Other Compensation Practices</w:t>
            </w:r>
          </w:p>
        </w:tc>
        <w:tc>
          <w:tcPr>
            <w:tcW w:w="2480" w:type="dxa"/>
            <w:vAlign w:val="bottom"/>
          </w:tcPr>
          <w:p>
            <w:pPr>
              <w:jc w:val="right"/>
              <w:spacing w:after="0"/>
              <w:rPr>
                <w:sz w:val="20"/>
                <w:szCs w:val="20"/>
                <w:color w:val="auto"/>
              </w:rPr>
            </w:pPr>
            <w:r>
              <w:rPr>
                <w:rFonts w:ascii="Arial" w:cs="Arial" w:eastAsia="Arial" w:hAnsi="Arial"/>
                <w:sz w:val="14"/>
                <w:szCs w:val="14"/>
                <w:b w:val="1"/>
                <w:bCs w:val="1"/>
                <w:color w:val="00529B"/>
              </w:rPr>
              <w:t>62</w:t>
            </w:r>
          </w:p>
        </w:tc>
      </w:tr>
      <w:tr>
        <w:trPr>
          <w:trHeight w:val="250"/>
        </w:trPr>
        <w:tc>
          <w:tcPr>
            <w:tcW w:w="8760" w:type="dxa"/>
            <w:vAlign w:val="bottom"/>
          </w:tcPr>
          <w:p>
            <w:pPr>
              <w:ind w:left="100"/>
              <w:spacing w:after="0"/>
              <w:rPr>
                <w:sz w:val="20"/>
                <w:szCs w:val="20"/>
                <w:color w:val="auto"/>
              </w:rPr>
            </w:pPr>
            <w:r>
              <w:rPr>
                <w:rFonts w:ascii="Arial" w:cs="Arial" w:eastAsia="Arial" w:hAnsi="Arial"/>
                <w:sz w:val="14"/>
                <w:szCs w:val="14"/>
                <w:color w:val="4D4D4F"/>
              </w:rPr>
              <w:t>Clawback Policy</w:t>
            </w:r>
          </w:p>
        </w:tc>
        <w:tc>
          <w:tcPr>
            <w:tcW w:w="2480" w:type="dxa"/>
            <w:vAlign w:val="bottom"/>
          </w:tcPr>
          <w:p>
            <w:pPr>
              <w:jc w:val="right"/>
              <w:spacing w:after="0"/>
              <w:rPr>
                <w:sz w:val="20"/>
                <w:szCs w:val="20"/>
                <w:color w:val="auto"/>
              </w:rPr>
            </w:pPr>
            <w:r>
              <w:rPr>
                <w:rFonts w:ascii="Arial" w:cs="Arial" w:eastAsia="Arial" w:hAnsi="Arial"/>
                <w:sz w:val="14"/>
                <w:szCs w:val="14"/>
                <w:color w:val="4D4D4F"/>
              </w:rPr>
              <w:t>62</w:t>
            </w:r>
          </w:p>
        </w:tc>
      </w:tr>
      <w:tr>
        <w:trPr>
          <w:trHeight w:val="256"/>
        </w:trPr>
        <w:tc>
          <w:tcPr>
            <w:tcW w:w="8760" w:type="dxa"/>
            <w:vAlign w:val="bottom"/>
          </w:tcPr>
          <w:p>
            <w:pPr>
              <w:ind w:left="100"/>
              <w:spacing w:after="0"/>
              <w:rPr>
                <w:sz w:val="20"/>
                <w:szCs w:val="20"/>
                <w:color w:val="auto"/>
              </w:rPr>
            </w:pPr>
            <w:r>
              <w:rPr>
                <w:rFonts w:ascii="Arial" w:cs="Arial" w:eastAsia="Arial" w:hAnsi="Arial"/>
                <w:sz w:val="14"/>
                <w:szCs w:val="14"/>
                <w:color w:val="4D4D4F"/>
              </w:rPr>
              <w:t>Equity Grant Practices</w:t>
            </w:r>
          </w:p>
        </w:tc>
        <w:tc>
          <w:tcPr>
            <w:tcW w:w="2480" w:type="dxa"/>
            <w:vAlign w:val="bottom"/>
          </w:tcPr>
          <w:p>
            <w:pPr>
              <w:jc w:val="right"/>
              <w:spacing w:after="0"/>
              <w:rPr>
                <w:sz w:val="20"/>
                <w:szCs w:val="20"/>
                <w:color w:val="auto"/>
              </w:rPr>
            </w:pPr>
            <w:r>
              <w:rPr>
                <w:rFonts w:ascii="Arial" w:cs="Arial" w:eastAsia="Arial" w:hAnsi="Arial"/>
                <w:sz w:val="14"/>
                <w:szCs w:val="14"/>
                <w:color w:val="4D4D4F"/>
              </w:rPr>
              <w:t>62</w:t>
            </w:r>
          </w:p>
        </w:tc>
      </w:tr>
      <w:tr>
        <w:trPr>
          <w:trHeight w:val="230"/>
        </w:trPr>
        <w:tc>
          <w:tcPr>
            <w:tcW w:w="8760" w:type="dxa"/>
            <w:vAlign w:val="bottom"/>
          </w:tcPr>
          <w:p>
            <w:pPr>
              <w:ind w:left="100"/>
              <w:spacing w:after="0"/>
              <w:rPr>
                <w:sz w:val="20"/>
                <w:szCs w:val="20"/>
                <w:color w:val="auto"/>
              </w:rPr>
            </w:pPr>
            <w:r>
              <w:rPr>
                <w:rFonts w:ascii="Arial" w:cs="Arial" w:eastAsia="Arial" w:hAnsi="Arial"/>
                <w:sz w:val="14"/>
                <w:szCs w:val="14"/>
                <w:color w:val="4D4D4F"/>
              </w:rPr>
              <w:t>Stock Ownership Policies</w:t>
            </w:r>
          </w:p>
        </w:tc>
        <w:tc>
          <w:tcPr>
            <w:tcW w:w="2480" w:type="dxa"/>
            <w:vAlign w:val="bottom"/>
          </w:tcPr>
          <w:p>
            <w:pPr>
              <w:jc w:val="right"/>
              <w:spacing w:after="0"/>
              <w:rPr>
                <w:sz w:val="20"/>
                <w:szCs w:val="20"/>
                <w:color w:val="auto"/>
              </w:rPr>
            </w:pPr>
            <w:r>
              <w:rPr>
                <w:rFonts w:ascii="Arial" w:cs="Arial" w:eastAsia="Arial" w:hAnsi="Arial"/>
                <w:sz w:val="14"/>
                <w:szCs w:val="14"/>
                <w:color w:val="4D4D4F"/>
              </w:rPr>
              <w:t>62</w:t>
            </w:r>
          </w:p>
        </w:tc>
      </w:tr>
      <w:tr>
        <w:trPr>
          <w:trHeight w:val="229"/>
        </w:trPr>
        <w:tc>
          <w:tcPr>
            <w:tcW w:w="8760" w:type="dxa"/>
            <w:vAlign w:val="bottom"/>
          </w:tcPr>
          <w:p>
            <w:pPr>
              <w:ind w:left="100"/>
              <w:spacing w:after="0"/>
              <w:rPr>
                <w:sz w:val="20"/>
                <w:szCs w:val="20"/>
                <w:color w:val="auto"/>
              </w:rPr>
            </w:pPr>
            <w:r>
              <w:rPr>
                <w:rFonts w:ascii="Arial" w:cs="Arial" w:eastAsia="Arial" w:hAnsi="Arial"/>
                <w:sz w:val="14"/>
                <w:szCs w:val="14"/>
                <w:color w:val="4D4D4F"/>
              </w:rPr>
              <w:t>Derivatives, Hedging and Pledging Transactions</w:t>
            </w:r>
          </w:p>
        </w:tc>
        <w:tc>
          <w:tcPr>
            <w:tcW w:w="2480" w:type="dxa"/>
            <w:vAlign w:val="bottom"/>
          </w:tcPr>
          <w:p>
            <w:pPr>
              <w:jc w:val="right"/>
              <w:spacing w:after="0"/>
              <w:rPr>
                <w:sz w:val="20"/>
                <w:szCs w:val="20"/>
                <w:color w:val="auto"/>
              </w:rPr>
            </w:pPr>
            <w:r>
              <w:rPr>
                <w:rFonts w:ascii="Arial" w:cs="Arial" w:eastAsia="Arial" w:hAnsi="Arial"/>
                <w:sz w:val="14"/>
                <w:szCs w:val="14"/>
                <w:color w:val="4D4D4F"/>
              </w:rPr>
              <w:t>63</w:t>
            </w:r>
          </w:p>
        </w:tc>
      </w:tr>
      <w:tr>
        <w:trPr>
          <w:trHeight w:val="21"/>
        </w:trPr>
        <w:tc>
          <w:tcPr>
            <w:tcW w:w="8760" w:type="dxa"/>
            <w:vAlign w:val="bottom"/>
            <w:tcBorders>
              <w:bottom w:val="single" w:sz="8" w:color="132440"/>
            </w:tcBorders>
          </w:tcPr>
          <w:p>
            <w:pPr>
              <w:spacing w:after="0" w:line="20" w:lineRule="exact"/>
              <w:rPr>
                <w:sz w:val="1"/>
                <w:szCs w:val="1"/>
                <w:color w:val="auto"/>
              </w:rPr>
            </w:pPr>
          </w:p>
        </w:tc>
        <w:tc>
          <w:tcPr>
            <w:tcW w:w="2480" w:type="dxa"/>
            <w:vAlign w:val="bottom"/>
            <w:tcBorders>
              <w:bottom w:val="single" w:sz="8" w:color="132440"/>
            </w:tcBorders>
          </w:tcPr>
          <w:p>
            <w:pPr>
              <w:spacing w:after="0" w:line="20" w:lineRule="exact"/>
              <w:rPr>
                <w:sz w:val="1"/>
                <w:szCs w:val="1"/>
                <w:color w:val="auto"/>
              </w:rPr>
            </w:pPr>
          </w:p>
        </w:tc>
      </w:tr>
      <w:tr>
        <w:trPr>
          <w:trHeight w:val="217"/>
        </w:trPr>
        <w:tc>
          <w:tcPr>
            <w:tcW w:w="8760" w:type="dxa"/>
            <w:vAlign w:val="bottom"/>
            <w:tcBorders>
              <w:bottom w:val="single" w:sz="8" w:color="132440"/>
            </w:tcBorders>
          </w:tcPr>
          <w:p>
            <w:pPr>
              <w:ind w:left="20"/>
              <w:spacing w:after="0"/>
              <w:rPr>
                <w:sz w:val="20"/>
                <w:szCs w:val="20"/>
                <w:color w:val="auto"/>
              </w:rPr>
            </w:pPr>
            <w:r>
              <w:rPr>
                <w:rFonts w:ascii="Arial" w:cs="Arial" w:eastAsia="Arial" w:hAnsi="Arial"/>
                <w:sz w:val="14"/>
                <w:szCs w:val="14"/>
                <w:b w:val="1"/>
                <w:bCs w:val="1"/>
                <w:color w:val="00529B"/>
              </w:rPr>
              <w:t>Compensation Committee Report</w:t>
            </w:r>
          </w:p>
        </w:tc>
        <w:tc>
          <w:tcPr>
            <w:tcW w:w="2480" w:type="dxa"/>
            <w:vAlign w:val="bottom"/>
            <w:tcBorders>
              <w:bottom w:val="single" w:sz="8" w:color="132440"/>
            </w:tcBorders>
          </w:tcPr>
          <w:p>
            <w:pPr>
              <w:jc w:val="right"/>
              <w:spacing w:after="0"/>
              <w:rPr>
                <w:sz w:val="20"/>
                <w:szCs w:val="20"/>
                <w:color w:val="auto"/>
              </w:rPr>
            </w:pPr>
            <w:r>
              <w:rPr>
                <w:rFonts w:ascii="Arial" w:cs="Arial" w:eastAsia="Arial" w:hAnsi="Arial"/>
                <w:sz w:val="14"/>
                <w:szCs w:val="14"/>
                <w:b w:val="1"/>
                <w:bCs w:val="1"/>
                <w:color w:val="00529B"/>
              </w:rPr>
              <w:t>63</w:t>
            </w:r>
          </w:p>
        </w:tc>
      </w:tr>
      <w:tr>
        <w:trPr>
          <w:trHeight w:val="223"/>
        </w:trPr>
        <w:tc>
          <w:tcPr>
            <w:tcW w:w="8760" w:type="dxa"/>
            <w:vAlign w:val="bottom"/>
            <w:tcBorders>
              <w:bottom w:val="single" w:sz="8" w:color="298655"/>
            </w:tcBorders>
          </w:tcPr>
          <w:p>
            <w:pPr>
              <w:ind w:left="20"/>
              <w:spacing w:after="0"/>
              <w:rPr>
                <w:sz w:val="20"/>
                <w:szCs w:val="20"/>
                <w:color w:val="auto"/>
              </w:rPr>
            </w:pPr>
            <w:r>
              <w:rPr>
                <w:rFonts w:ascii="Arial" w:cs="Arial" w:eastAsia="Arial" w:hAnsi="Arial"/>
                <w:sz w:val="14"/>
                <w:szCs w:val="14"/>
                <w:b w:val="1"/>
                <w:bCs w:val="1"/>
                <w:color w:val="00529B"/>
              </w:rPr>
              <w:t>Executive Compensation Tables</w:t>
            </w:r>
          </w:p>
        </w:tc>
        <w:tc>
          <w:tcPr>
            <w:tcW w:w="2480" w:type="dxa"/>
            <w:vAlign w:val="bottom"/>
            <w:tcBorders>
              <w:bottom w:val="single" w:sz="8" w:color="298655"/>
            </w:tcBorders>
          </w:tcPr>
          <w:p>
            <w:pPr>
              <w:jc w:val="right"/>
              <w:spacing w:after="0"/>
              <w:rPr>
                <w:sz w:val="20"/>
                <w:szCs w:val="20"/>
                <w:color w:val="auto"/>
              </w:rPr>
            </w:pPr>
            <w:r>
              <w:rPr>
                <w:rFonts w:ascii="Arial" w:cs="Arial" w:eastAsia="Arial" w:hAnsi="Arial"/>
                <w:sz w:val="14"/>
                <w:szCs w:val="14"/>
                <w:b w:val="1"/>
                <w:bCs w:val="1"/>
                <w:color w:val="00529B"/>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60" w:hanging="534"/>
        <w:spacing w:after="0"/>
        <w:tabs>
          <w:tab w:leader="none" w:pos="560" w:val="left"/>
        </w:tabs>
        <w:numPr>
          <w:ilvl w:val="0"/>
          <w:numId w:val="74"/>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49" w:name="page50"/>
    <w:bookmarkEnd w:id="49"/>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Executive Summary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Principles of Our Executive Compensation Program</w:t>
      </w:r>
    </w:p>
    <w:p>
      <w:pPr>
        <w:spacing w:after="0" w:line="144"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4D4D4F"/>
        </w:rPr>
        <w:t>Our executive compensation program is designed to attract and retain our executives and motivate them to deliver results that support our growth strategy. We structure our executive compensation program to directly align our compensation levels with current and future performance that creates value for our shareholders, employees, customers and other stakeholders. Consistent with that objective, we select performance metrics and targets that we believe, if achieved, will translate into strong financial performance both in the short- and long-term, resulting in positive returns for our shareholders and other stakeholders.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2023 Executive Compensation Highlights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OUR EXECUTIVE COMPENSATION IS PREDOMINANTLY AT RISK AND PERFORMANCE BASED</w:t>
      </w:r>
    </w:p>
    <w:p>
      <w:pPr>
        <w:spacing w:after="0" w:line="140"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color w:val="4D4D4F"/>
        </w:rPr>
        <w:t>For 2023, 86% of the CEO’s target compensation was at risk, and 77% of our other NEOs’ target compensation was at risk, for our other NEOs, with compensation value tied specifically to our stock price performance and/or achievement of rigorous, pre-established performance metrics.</w:t>
      </w:r>
    </w:p>
    <w:p>
      <w:pPr>
        <w:spacing w:after="0" w:line="169" w:lineRule="exact"/>
        <w:rPr>
          <w:sz w:val="20"/>
          <w:szCs w:val="20"/>
          <w:color w:val="auto"/>
        </w:rPr>
      </w:pPr>
    </w:p>
    <w:p>
      <w:pPr>
        <w:ind w:left="2180"/>
        <w:spacing w:after="0"/>
        <w:tabs>
          <w:tab w:leader="none" w:pos="6860" w:val="left"/>
        </w:tabs>
        <w:rPr>
          <w:sz w:val="20"/>
          <w:szCs w:val="20"/>
          <w:color w:val="auto"/>
        </w:rPr>
      </w:pPr>
      <w:r>
        <w:rPr>
          <w:rFonts w:ascii="Arial" w:cs="Arial" w:eastAsia="Arial" w:hAnsi="Arial"/>
          <w:sz w:val="16"/>
          <w:szCs w:val="16"/>
          <w:b w:val="1"/>
          <w:bCs w:val="1"/>
          <w:color w:val="00529B"/>
        </w:rPr>
        <w:t>CHIEF EXECUTIVE OFFICER</w:t>
      </w:r>
      <w:r>
        <w:rPr>
          <w:sz w:val="20"/>
          <w:szCs w:val="20"/>
          <w:color w:val="auto"/>
        </w:rPr>
        <w:tab/>
      </w:r>
      <w:r>
        <w:rPr>
          <w:rFonts w:ascii="Arial" w:cs="Arial" w:eastAsia="Arial" w:hAnsi="Arial"/>
          <w:sz w:val="16"/>
          <w:szCs w:val="16"/>
          <w:b w:val="1"/>
          <w:bCs w:val="1"/>
          <w:color w:val="00529B"/>
        </w:rPr>
        <w:t>AVERAGE OF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200660</wp:posOffset>
            </wp:positionV>
            <wp:extent cx="5795010" cy="17741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79501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NO CHANGES TO CEO 2023 TOTAL TARGET COMPENSATION</w:t>
      </w:r>
    </w:p>
    <w:p>
      <w:pPr>
        <w:spacing w:after="0" w:line="12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4D4D4F"/>
        </w:rPr>
        <w:t>In consultation with Compensation Strategies, Inc., its independent compensation consultant, the Compensation Committee determined not to increase the CEO’s target total compensation package for 2023. Target total compensation for Messrs. Birns and Rau was increased to reflect expanded scope of responsibilities and market benchmarks for comparable roles, as further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THE COMPENSATION COMMITTEE APPLIED DISCRETION TO REDUCE 2023 ANNUAL INCENTIVE PAYOUTS</w:t>
      </w:r>
    </w:p>
    <w:p>
      <w:pPr>
        <w:spacing w:after="0" w:line="140"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4D4D4F"/>
        </w:rPr>
        <w:t>Reflecting on our overall Company performance for 2023, the Compensation Committee applied its discretionary authority to reduce payouts under the 2023 annual incentive program from 86% of target to 71% for the CEO and 72% for each of Messrs. Birns and Rau.</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2021-2023 LONG-TERM PERFORMANCE EQUITY AWARDS FORFEITED IN THEIR ENTIRETY</w:t>
      </w:r>
    </w:p>
    <w:p>
      <w:pPr>
        <w:spacing w:after="0" w:line="14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4D4D4F"/>
        </w:rPr>
        <w:t>As our 2023 adjusted earnings per share, or adjusted EPS, results did not meet the minimum threshold level of performance, the 2021 – 2023 performance-based restricted stock units (“PRSUs”) with a grant date value of $1,700,000 for Mr. Kasbar, $700,000 for Mr. Birns and $450,000 for Mr. Rau, were forfeited and cancelled in their entirety as of the end of the 2021 to 2023 performance period, further demonstrating our commitment to aligning pay outcomes with the experience of our shareholders over the performance period.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THE COMPENSATION COMMITTEE ADOPTED A CLAWBACK POLICY</w:t>
      </w:r>
    </w:p>
    <w:p>
      <w:pPr>
        <w:spacing w:after="0" w:line="14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4D4D4F"/>
        </w:rPr>
        <w:t>In 2023, the Compensation Committee adopted a NYSE-compliant clawback policy, under which our Section 16 officers, including our NEOs, are required to repay or return certain variable performance-based incentive compensation payments received during a three fiscal-year recovery period immediately preceding a financial restatement, subject to limited exceptions, to the extent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47</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0" w:name="page51"/>
    <w:bookmarkEnd w:id="50"/>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4D4D4F"/>
        </w:rPr>
        <w:t>these payments exceed the amount of performance-based incentive compensation that would have been received by our Section 16 officers during the period had they been determined based on the relevant restated amounts. The return of such compensation applies regardless of whether a covered executive engaged in misconduct or otherwise caused or contributed to the requirement of the accounting restatement. The full text of the clawback policy can be found as an exhibit to our Annual Report on Form 10-K for the fiscal year ended December 31, 2023.</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WE LISTENED AND RESPONDED TO OUR SHAREHOLDERS</w:t>
      </w:r>
    </w:p>
    <w:p>
      <w:pPr>
        <w:spacing w:after="0" w:line="14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4D4D4F"/>
        </w:rPr>
        <w:t>We strive to design our executive compensation program to strongly align with the interests of our shareholders. Historically, our shareholders have overwhelmingly supported our executive compensation program, with approval levels generally above 90% over the past 10 years. In 2023, however, we received a negative say-on-pay recommendation from two major proxy advisory firms and began broad-based engagement to understand our shareholders’ concerns. While shareholders did approve the compensation of our named executive officers at our 2023 Annual Meeting, we were nonetheless disappointed in the level of overall support.</w:t>
      </w:r>
    </w:p>
    <w:p>
      <w:pPr>
        <w:spacing w:after="0" w:line="12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4D4D4F"/>
        </w:rPr>
        <w:t>The Compensation Committee and the full Board took the concerns raised by our 2023 say-on-pay vote seriously, and in response, focused their efforts on understanding the perspectives of our shareholders in order to develop appropriate actions. In connection with the 2023 say-on-pay proposal, we conducted an expanded shareholder engagement effort between the filing of our 2023 proxy statement and the 2023 Annual Meeting and again in the fall of 2023 and early 2024. The Compensation Committee Chair, with the support of the Chair of both the Sustainability &amp; Corporate Responsibility and Technology &amp; Operations Committees, as well as representatives from our investor relations, legal, talent management and sustainability teams, led and attended these telephonic one-on-one meetings focused specifically on executive compensation, corporate governance, and sustainability.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60" w:type="dxa"/>
            <w:vAlign w:val="bottom"/>
            <w:shd w:val="clear" w:color="auto" w:fill="00529B"/>
          </w:tcPr>
          <w:p>
            <w:pPr>
              <w:spacing w:after="0"/>
              <w:rPr>
                <w:sz w:val="24"/>
                <w:szCs w:val="24"/>
                <w:color w:val="auto"/>
              </w:rPr>
            </w:pPr>
          </w:p>
        </w:tc>
        <w:tc>
          <w:tcPr>
            <w:tcW w:w="3300" w:type="dxa"/>
            <w:vAlign w:val="bottom"/>
            <w:shd w:val="clear" w:color="auto" w:fill="EAEEF2"/>
          </w:tcPr>
          <w:p>
            <w:pPr>
              <w:jc w:val="center"/>
              <w:spacing w:after="0"/>
              <w:rPr>
                <w:sz w:val="20"/>
                <w:szCs w:val="20"/>
                <w:color w:val="auto"/>
              </w:rPr>
            </w:pPr>
            <w:r>
              <w:rPr>
                <w:rFonts w:ascii="Arial" w:cs="Arial" w:eastAsia="Arial" w:hAnsi="Arial"/>
                <w:sz w:val="16"/>
                <w:szCs w:val="16"/>
                <w:b w:val="1"/>
                <w:bCs w:val="1"/>
                <w:color w:val="00529B"/>
              </w:rPr>
              <w:t>We reached out to our Top 20</w:t>
            </w:r>
          </w:p>
        </w:tc>
        <w:tc>
          <w:tcPr>
            <w:tcW w:w="340" w:type="dxa"/>
            <w:vAlign w:val="bottom"/>
          </w:tcPr>
          <w:p>
            <w:pPr>
              <w:spacing w:after="0"/>
              <w:rPr>
                <w:sz w:val="24"/>
                <w:szCs w:val="24"/>
                <w:color w:val="auto"/>
              </w:rPr>
            </w:pPr>
          </w:p>
        </w:tc>
        <w:tc>
          <w:tcPr>
            <w:tcW w:w="220" w:type="dxa"/>
            <w:vAlign w:val="bottom"/>
            <w:shd w:val="clear" w:color="auto" w:fill="298655"/>
          </w:tcPr>
          <w:p>
            <w:pPr>
              <w:spacing w:after="0"/>
              <w:rPr>
                <w:sz w:val="24"/>
                <w:szCs w:val="24"/>
                <w:color w:val="auto"/>
              </w:rPr>
            </w:pPr>
          </w:p>
        </w:tc>
        <w:tc>
          <w:tcPr>
            <w:tcW w:w="3300" w:type="dxa"/>
            <w:vAlign w:val="bottom"/>
            <w:shd w:val="clear" w:color="auto" w:fill="EAEEF2"/>
          </w:tcPr>
          <w:p>
            <w:pPr>
              <w:jc w:val="center"/>
              <w:spacing w:after="0"/>
              <w:rPr>
                <w:sz w:val="20"/>
                <w:szCs w:val="20"/>
                <w:color w:val="auto"/>
              </w:rPr>
            </w:pPr>
            <w:r>
              <w:rPr>
                <w:rFonts w:ascii="Arial" w:cs="Arial" w:eastAsia="Arial" w:hAnsi="Arial"/>
                <w:sz w:val="16"/>
                <w:szCs w:val="16"/>
                <w:b w:val="1"/>
                <w:bCs w:val="1"/>
                <w:color w:val="298655"/>
              </w:rPr>
              <w:t>We met one-on-one with 6 shareholders</w:t>
            </w:r>
          </w:p>
        </w:tc>
        <w:tc>
          <w:tcPr>
            <w:tcW w:w="360" w:type="dxa"/>
            <w:vAlign w:val="bottom"/>
          </w:tcPr>
          <w:p>
            <w:pPr>
              <w:spacing w:after="0"/>
              <w:rPr>
                <w:sz w:val="24"/>
                <w:szCs w:val="24"/>
                <w:color w:val="auto"/>
              </w:rPr>
            </w:pPr>
          </w:p>
        </w:tc>
        <w:tc>
          <w:tcPr>
            <w:tcW w:w="220" w:type="dxa"/>
            <w:vAlign w:val="bottom"/>
            <w:shd w:val="clear" w:color="auto" w:fill="132440"/>
          </w:tcPr>
          <w:p>
            <w:pPr>
              <w:spacing w:after="0"/>
              <w:rPr>
                <w:sz w:val="24"/>
                <w:szCs w:val="24"/>
                <w:color w:val="auto"/>
              </w:rPr>
            </w:pPr>
          </w:p>
        </w:tc>
        <w:tc>
          <w:tcPr>
            <w:tcW w:w="3340" w:type="dxa"/>
            <w:vAlign w:val="bottom"/>
            <w:vMerge w:val="restart"/>
            <w:shd w:val="clear" w:color="auto" w:fill="EAEEF2"/>
          </w:tcPr>
          <w:p>
            <w:pPr>
              <w:jc w:val="center"/>
              <w:spacing w:after="0"/>
              <w:rPr>
                <w:sz w:val="20"/>
                <w:szCs w:val="20"/>
                <w:color w:val="auto"/>
              </w:rPr>
            </w:pPr>
            <w:r>
              <w:rPr>
                <w:rFonts w:ascii="Arial" w:cs="Arial" w:eastAsia="Arial" w:hAnsi="Arial"/>
                <w:sz w:val="38"/>
                <w:szCs w:val="38"/>
                <w:b w:val="1"/>
                <w:bCs w:val="1"/>
                <w:color w:val="132440"/>
                <w:w w:val="98"/>
              </w:rPr>
              <w:t>100%</w:t>
            </w:r>
          </w:p>
        </w:tc>
        <w:tc>
          <w:tcPr>
            <w:tcW w:w="0" w:type="dxa"/>
            <w:vAlign w:val="bottom"/>
          </w:tcPr>
          <w:p>
            <w:pPr>
              <w:spacing w:after="0"/>
              <w:rPr>
                <w:sz w:val="1"/>
                <w:szCs w:val="1"/>
                <w:color w:val="auto"/>
              </w:rPr>
            </w:pPr>
          </w:p>
        </w:tc>
      </w:tr>
      <w:tr>
        <w:trPr>
          <w:trHeight w:val="163"/>
        </w:trPr>
        <w:tc>
          <w:tcPr>
            <w:tcW w:w="160" w:type="dxa"/>
            <w:vAlign w:val="bottom"/>
            <w:shd w:val="clear" w:color="auto" w:fill="00529B"/>
          </w:tcPr>
          <w:p>
            <w:pPr>
              <w:spacing w:after="0"/>
              <w:rPr>
                <w:sz w:val="14"/>
                <w:szCs w:val="14"/>
                <w:color w:val="auto"/>
              </w:rPr>
            </w:pPr>
          </w:p>
        </w:tc>
        <w:tc>
          <w:tcPr>
            <w:tcW w:w="3300" w:type="dxa"/>
            <w:vAlign w:val="bottom"/>
            <w:vMerge w:val="restart"/>
            <w:shd w:val="clear" w:color="auto" w:fill="EAEEF2"/>
          </w:tcPr>
          <w:p>
            <w:pPr>
              <w:jc w:val="center"/>
              <w:spacing w:after="0"/>
              <w:rPr>
                <w:sz w:val="20"/>
                <w:szCs w:val="20"/>
                <w:color w:val="auto"/>
              </w:rPr>
            </w:pPr>
            <w:r>
              <w:rPr>
                <w:rFonts w:ascii="Arial" w:cs="Arial" w:eastAsia="Arial" w:hAnsi="Arial"/>
                <w:sz w:val="16"/>
                <w:szCs w:val="16"/>
                <w:b w:val="1"/>
                <w:bCs w:val="1"/>
                <w:color w:val="00529B"/>
              </w:rPr>
              <w:t>shareholders representing</w:t>
            </w:r>
          </w:p>
        </w:tc>
        <w:tc>
          <w:tcPr>
            <w:tcW w:w="340" w:type="dxa"/>
            <w:vAlign w:val="bottom"/>
          </w:tcPr>
          <w:p>
            <w:pPr>
              <w:spacing w:after="0"/>
              <w:rPr>
                <w:sz w:val="14"/>
                <w:szCs w:val="14"/>
                <w:color w:val="auto"/>
              </w:rPr>
            </w:pPr>
          </w:p>
        </w:tc>
        <w:tc>
          <w:tcPr>
            <w:tcW w:w="220" w:type="dxa"/>
            <w:vAlign w:val="bottom"/>
            <w:shd w:val="clear" w:color="auto" w:fill="298655"/>
          </w:tcPr>
          <w:p>
            <w:pPr>
              <w:spacing w:after="0"/>
              <w:rPr>
                <w:sz w:val="14"/>
                <w:szCs w:val="14"/>
                <w:color w:val="auto"/>
              </w:rPr>
            </w:pPr>
          </w:p>
        </w:tc>
        <w:tc>
          <w:tcPr>
            <w:tcW w:w="3300" w:type="dxa"/>
            <w:vAlign w:val="bottom"/>
            <w:vMerge w:val="restart"/>
            <w:shd w:val="clear" w:color="auto" w:fill="EAEEF2"/>
          </w:tcPr>
          <w:p>
            <w:pPr>
              <w:jc w:val="center"/>
              <w:spacing w:after="0"/>
              <w:rPr>
                <w:sz w:val="20"/>
                <w:szCs w:val="20"/>
                <w:color w:val="auto"/>
              </w:rPr>
            </w:pPr>
            <w:r>
              <w:rPr>
                <w:rFonts w:ascii="Arial" w:cs="Arial" w:eastAsia="Arial" w:hAnsi="Arial"/>
                <w:sz w:val="16"/>
                <w:szCs w:val="16"/>
                <w:b w:val="1"/>
                <w:bCs w:val="1"/>
                <w:color w:val="298655"/>
              </w:rPr>
              <w:t>representing</w:t>
            </w:r>
          </w:p>
        </w:tc>
        <w:tc>
          <w:tcPr>
            <w:tcW w:w="360" w:type="dxa"/>
            <w:vAlign w:val="bottom"/>
          </w:tcPr>
          <w:p>
            <w:pPr>
              <w:spacing w:after="0"/>
              <w:rPr>
                <w:sz w:val="14"/>
                <w:szCs w:val="14"/>
                <w:color w:val="auto"/>
              </w:rPr>
            </w:pPr>
          </w:p>
        </w:tc>
        <w:tc>
          <w:tcPr>
            <w:tcW w:w="220" w:type="dxa"/>
            <w:vAlign w:val="bottom"/>
            <w:shd w:val="clear" w:color="auto" w:fill="132440"/>
          </w:tcPr>
          <w:p>
            <w:pPr>
              <w:spacing w:after="0"/>
              <w:rPr>
                <w:sz w:val="14"/>
                <w:szCs w:val="14"/>
                <w:color w:val="auto"/>
              </w:rPr>
            </w:pPr>
          </w:p>
        </w:tc>
        <w:tc>
          <w:tcPr>
            <w:tcW w:w="3340" w:type="dxa"/>
            <w:vAlign w:val="bottom"/>
            <w:vMerge w:val="continue"/>
            <w:shd w:val="clear" w:color="auto" w:fill="EAEEF2"/>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60" w:type="dxa"/>
            <w:vAlign w:val="bottom"/>
            <w:shd w:val="clear" w:color="auto" w:fill="00529B"/>
          </w:tcPr>
          <w:p>
            <w:pPr>
              <w:spacing w:after="0"/>
              <w:rPr>
                <w:sz w:val="5"/>
                <w:szCs w:val="5"/>
                <w:color w:val="auto"/>
              </w:rPr>
            </w:pPr>
          </w:p>
        </w:tc>
        <w:tc>
          <w:tcPr>
            <w:tcW w:w="3300" w:type="dxa"/>
            <w:vAlign w:val="bottom"/>
            <w:vMerge w:val="continue"/>
            <w:shd w:val="clear" w:color="auto" w:fill="EAEEF2"/>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shd w:val="clear" w:color="auto" w:fill="298655"/>
          </w:tcPr>
          <w:p>
            <w:pPr>
              <w:spacing w:after="0"/>
              <w:rPr>
                <w:sz w:val="5"/>
                <w:szCs w:val="5"/>
                <w:color w:val="auto"/>
              </w:rPr>
            </w:pPr>
          </w:p>
        </w:tc>
        <w:tc>
          <w:tcPr>
            <w:tcW w:w="3300" w:type="dxa"/>
            <w:vAlign w:val="bottom"/>
            <w:vMerge w:val="continue"/>
            <w:shd w:val="clear" w:color="auto" w:fill="EAEEF2"/>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shd w:val="clear" w:color="auto" w:fill="132440"/>
          </w:tcPr>
          <w:p>
            <w:pPr>
              <w:spacing w:after="0"/>
              <w:rPr>
                <w:sz w:val="5"/>
                <w:szCs w:val="5"/>
                <w:color w:val="auto"/>
              </w:rPr>
            </w:pPr>
          </w:p>
        </w:tc>
        <w:tc>
          <w:tcPr>
            <w:tcW w:w="3340" w:type="dxa"/>
            <w:vAlign w:val="bottom"/>
            <w:shd w:val="clear" w:color="auto" w:fill="EAEEF2"/>
          </w:tcPr>
          <w:p>
            <w:pPr>
              <w:spacing w:after="0"/>
              <w:rPr>
                <w:sz w:val="5"/>
                <w:szCs w:val="5"/>
                <w:color w:val="auto"/>
              </w:rPr>
            </w:pPr>
          </w:p>
        </w:tc>
        <w:tc>
          <w:tcPr>
            <w:tcW w:w="0" w:type="dxa"/>
            <w:vAlign w:val="bottom"/>
          </w:tcPr>
          <w:p>
            <w:pPr>
              <w:spacing w:after="0"/>
              <w:rPr>
                <w:sz w:val="1"/>
                <w:szCs w:val="1"/>
                <w:color w:val="auto"/>
              </w:rPr>
            </w:pPr>
          </w:p>
        </w:tc>
      </w:tr>
      <w:tr>
        <w:trPr>
          <w:trHeight w:val="413"/>
        </w:trPr>
        <w:tc>
          <w:tcPr>
            <w:tcW w:w="160" w:type="dxa"/>
            <w:vAlign w:val="bottom"/>
            <w:shd w:val="clear" w:color="auto" w:fill="00529B"/>
          </w:tcPr>
          <w:p>
            <w:pPr>
              <w:spacing w:after="0"/>
              <w:rPr>
                <w:sz w:val="24"/>
                <w:szCs w:val="24"/>
                <w:color w:val="auto"/>
              </w:rPr>
            </w:pPr>
          </w:p>
        </w:tc>
        <w:tc>
          <w:tcPr>
            <w:tcW w:w="3300" w:type="dxa"/>
            <w:vAlign w:val="bottom"/>
            <w:shd w:val="clear" w:color="auto" w:fill="EAEEF2"/>
          </w:tcPr>
          <w:p>
            <w:pPr>
              <w:jc w:val="center"/>
              <w:spacing w:after="0" w:line="412" w:lineRule="exact"/>
              <w:rPr>
                <w:sz w:val="20"/>
                <w:szCs w:val="20"/>
                <w:color w:val="auto"/>
              </w:rPr>
            </w:pPr>
            <w:r>
              <w:rPr>
                <w:rFonts w:ascii="Arial" w:cs="Arial" w:eastAsia="Arial" w:hAnsi="Arial"/>
                <w:sz w:val="38"/>
                <w:szCs w:val="38"/>
                <w:b w:val="1"/>
                <w:bCs w:val="1"/>
                <w:color w:val="00529B"/>
                <w:w w:val="99"/>
              </w:rPr>
              <w:t>~60%</w:t>
            </w:r>
          </w:p>
        </w:tc>
        <w:tc>
          <w:tcPr>
            <w:tcW w:w="340" w:type="dxa"/>
            <w:vAlign w:val="bottom"/>
          </w:tcPr>
          <w:p>
            <w:pPr>
              <w:spacing w:after="0"/>
              <w:rPr>
                <w:sz w:val="24"/>
                <w:szCs w:val="24"/>
                <w:color w:val="auto"/>
              </w:rPr>
            </w:pPr>
          </w:p>
        </w:tc>
        <w:tc>
          <w:tcPr>
            <w:tcW w:w="220" w:type="dxa"/>
            <w:vAlign w:val="bottom"/>
            <w:shd w:val="clear" w:color="auto" w:fill="298655"/>
          </w:tcPr>
          <w:p>
            <w:pPr>
              <w:spacing w:after="0"/>
              <w:rPr>
                <w:sz w:val="24"/>
                <w:szCs w:val="24"/>
                <w:color w:val="auto"/>
              </w:rPr>
            </w:pPr>
          </w:p>
        </w:tc>
        <w:tc>
          <w:tcPr>
            <w:tcW w:w="3300" w:type="dxa"/>
            <w:vAlign w:val="bottom"/>
            <w:shd w:val="clear" w:color="auto" w:fill="EAEEF2"/>
          </w:tcPr>
          <w:p>
            <w:pPr>
              <w:jc w:val="center"/>
              <w:spacing w:after="0" w:line="412" w:lineRule="exact"/>
              <w:rPr>
                <w:sz w:val="20"/>
                <w:szCs w:val="20"/>
                <w:color w:val="auto"/>
              </w:rPr>
            </w:pPr>
            <w:r>
              <w:rPr>
                <w:rFonts w:ascii="Arial" w:cs="Arial" w:eastAsia="Arial" w:hAnsi="Arial"/>
                <w:sz w:val="38"/>
                <w:szCs w:val="38"/>
                <w:b w:val="1"/>
                <w:bCs w:val="1"/>
                <w:color w:val="298655"/>
                <w:w w:val="99"/>
              </w:rPr>
              <w:t>~43%</w:t>
            </w:r>
          </w:p>
        </w:tc>
        <w:tc>
          <w:tcPr>
            <w:tcW w:w="360" w:type="dxa"/>
            <w:vAlign w:val="bottom"/>
          </w:tcPr>
          <w:p>
            <w:pPr>
              <w:spacing w:after="0"/>
              <w:rPr>
                <w:sz w:val="24"/>
                <w:szCs w:val="24"/>
                <w:color w:val="auto"/>
              </w:rPr>
            </w:pPr>
          </w:p>
        </w:tc>
        <w:tc>
          <w:tcPr>
            <w:tcW w:w="220" w:type="dxa"/>
            <w:vAlign w:val="bottom"/>
            <w:shd w:val="clear" w:color="auto" w:fill="132440"/>
          </w:tcPr>
          <w:p>
            <w:pPr>
              <w:spacing w:after="0"/>
              <w:rPr>
                <w:sz w:val="24"/>
                <w:szCs w:val="24"/>
                <w:color w:val="auto"/>
              </w:rPr>
            </w:pPr>
          </w:p>
        </w:tc>
        <w:tc>
          <w:tcPr>
            <w:tcW w:w="3340" w:type="dxa"/>
            <w:vAlign w:val="bottom"/>
            <w:vMerge w:val="restart"/>
            <w:shd w:val="clear" w:color="auto" w:fill="EAEEF2"/>
          </w:tcPr>
          <w:p>
            <w:pPr>
              <w:jc w:val="center"/>
              <w:spacing w:after="0"/>
              <w:rPr>
                <w:sz w:val="20"/>
                <w:szCs w:val="20"/>
                <w:color w:val="auto"/>
              </w:rPr>
            </w:pPr>
            <w:r>
              <w:rPr>
                <w:rFonts w:ascii="Arial" w:cs="Arial" w:eastAsia="Arial" w:hAnsi="Arial"/>
                <w:sz w:val="16"/>
                <w:szCs w:val="16"/>
                <w:b w:val="1"/>
                <w:bCs w:val="1"/>
                <w:color w:val="132440"/>
              </w:rPr>
              <w:t>of meetings attended by independent</w:t>
            </w:r>
          </w:p>
        </w:tc>
        <w:tc>
          <w:tcPr>
            <w:tcW w:w="0" w:type="dxa"/>
            <w:vAlign w:val="bottom"/>
          </w:tcPr>
          <w:p>
            <w:pPr>
              <w:spacing w:after="0"/>
              <w:rPr>
                <w:sz w:val="1"/>
                <w:szCs w:val="1"/>
                <w:color w:val="auto"/>
              </w:rPr>
            </w:pPr>
          </w:p>
        </w:tc>
      </w:tr>
      <w:tr>
        <w:trPr>
          <w:trHeight w:val="26"/>
        </w:trPr>
        <w:tc>
          <w:tcPr>
            <w:tcW w:w="160" w:type="dxa"/>
            <w:vAlign w:val="bottom"/>
            <w:shd w:val="clear" w:color="auto" w:fill="00529B"/>
          </w:tcPr>
          <w:p>
            <w:pPr>
              <w:spacing w:after="0"/>
              <w:rPr>
                <w:sz w:val="2"/>
                <w:szCs w:val="2"/>
                <w:color w:val="auto"/>
              </w:rPr>
            </w:pPr>
          </w:p>
        </w:tc>
        <w:tc>
          <w:tcPr>
            <w:tcW w:w="3300" w:type="dxa"/>
            <w:vAlign w:val="bottom"/>
            <w:shd w:val="clear" w:color="auto" w:fill="EAEEF2"/>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298655"/>
          </w:tcPr>
          <w:p>
            <w:pPr>
              <w:spacing w:after="0"/>
              <w:rPr>
                <w:sz w:val="2"/>
                <w:szCs w:val="2"/>
                <w:color w:val="auto"/>
              </w:rPr>
            </w:pPr>
          </w:p>
        </w:tc>
        <w:tc>
          <w:tcPr>
            <w:tcW w:w="3300" w:type="dxa"/>
            <w:vAlign w:val="bottom"/>
            <w:shd w:val="clear" w:color="auto" w:fill="EAEEF2"/>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132440"/>
          </w:tcPr>
          <w:p>
            <w:pPr>
              <w:spacing w:after="0"/>
              <w:rPr>
                <w:sz w:val="2"/>
                <w:szCs w:val="2"/>
                <w:color w:val="auto"/>
              </w:rPr>
            </w:pPr>
          </w:p>
        </w:tc>
        <w:tc>
          <w:tcPr>
            <w:tcW w:w="3340" w:type="dxa"/>
            <w:vAlign w:val="bottom"/>
            <w:vMerge w:val="continue"/>
            <w:shd w:val="clear" w:color="auto" w:fill="EAEEF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shd w:val="clear" w:color="auto" w:fill="00529B"/>
          </w:tcPr>
          <w:p>
            <w:pPr>
              <w:spacing w:after="0"/>
              <w:rPr>
                <w:sz w:val="19"/>
                <w:szCs w:val="19"/>
                <w:color w:val="auto"/>
              </w:rPr>
            </w:pPr>
          </w:p>
        </w:tc>
        <w:tc>
          <w:tcPr>
            <w:tcW w:w="3300" w:type="dxa"/>
            <w:vAlign w:val="bottom"/>
            <w:vMerge w:val="restart"/>
            <w:shd w:val="clear" w:color="auto" w:fill="EAEEF2"/>
          </w:tcPr>
          <w:p>
            <w:pPr>
              <w:jc w:val="center"/>
              <w:spacing w:after="0"/>
              <w:rPr>
                <w:sz w:val="20"/>
                <w:szCs w:val="20"/>
                <w:color w:val="auto"/>
              </w:rPr>
            </w:pPr>
            <w:r>
              <w:rPr>
                <w:rFonts w:ascii="Arial" w:cs="Arial" w:eastAsia="Arial" w:hAnsi="Arial"/>
                <w:sz w:val="16"/>
                <w:szCs w:val="16"/>
                <w:b w:val="1"/>
                <w:bCs w:val="1"/>
                <w:color w:val="00529B"/>
              </w:rPr>
              <w:t>of our outstanding shares</w:t>
            </w:r>
          </w:p>
        </w:tc>
        <w:tc>
          <w:tcPr>
            <w:tcW w:w="340" w:type="dxa"/>
            <w:vAlign w:val="bottom"/>
          </w:tcPr>
          <w:p>
            <w:pPr>
              <w:spacing w:after="0"/>
              <w:rPr>
                <w:sz w:val="19"/>
                <w:szCs w:val="19"/>
                <w:color w:val="auto"/>
              </w:rPr>
            </w:pPr>
          </w:p>
        </w:tc>
        <w:tc>
          <w:tcPr>
            <w:tcW w:w="220" w:type="dxa"/>
            <w:vAlign w:val="bottom"/>
            <w:shd w:val="clear" w:color="auto" w:fill="298655"/>
          </w:tcPr>
          <w:p>
            <w:pPr>
              <w:spacing w:after="0"/>
              <w:rPr>
                <w:sz w:val="19"/>
                <w:szCs w:val="19"/>
                <w:color w:val="auto"/>
              </w:rPr>
            </w:pPr>
          </w:p>
        </w:tc>
        <w:tc>
          <w:tcPr>
            <w:tcW w:w="3300" w:type="dxa"/>
            <w:vAlign w:val="bottom"/>
            <w:vMerge w:val="restart"/>
            <w:shd w:val="clear" w:color="auto" w:fill="EAEEF2"/>
          </w:tcPr>
          <w:p>
            <w:pPr>
              <w:jc w:val="center"/>
              <w:spacing w:after="0"/>
              <w:rPr>
                <w:sz w:val="20"/>
                <w:szCs w:val="20"/>
                <w:color w:val="auto"/>
              </w:rPr>
            </w:pPr>
            <w:r>
              <w:rPr>
                <w:rFonts w:ascii="Arial" w:cs="Arial" w:eastAsia="Arial" w:hAnsi="Arial"/>
                <w:sz w:val="16"/>
                <w:szCs w:val="16"/>
                <w:b w:val="1"/>
                <w:bCs w:val="1"/>
                <w:color w:val="298655"/>
              </w:rPr>
              <w:t>of our outstanding shares</w:t>
            </w:r>
          </w:p>
        </w:tc>
        <w:tc>
          <w:tcPr>
            <w:tcW w:w="360" w:type="dxa"/>
            <w:vAlign w:val="bottom"/>
          </w:tcPr>
          <w:p>
            <w:pPr>
              <w:spacing w:after="0"/>
              <w:rPr>
                <w:sz w:val="19"/>
                <w:szCs w:val="19"/>
                <w:color w:val="auto"/>
              </w:rPr>
            </w:pPr>
          </w:p>
        </w:tc>
        <w:tc>
          <w:tcPr>
            <w:tcW w:w="220" w:type="dxa"/>
            <w:vAlign w:val="bottom"/>
            <w:shd w:val="clear" w:color="auto" w:fill="132440"/>
          </w:tcPr>
          <w:p>
            <w:pPr>
              <w:spacing w:after="0"/>
              <w:rPr>
                <w:sz w:val="19"/>
                <w:szCs w:val="19"/>
                <w:color w:val="auto"/>
              </w:rPr>
            </w:pPr>
          </w:p>
        </w:tc>
        <w:tc>
          <w:tcPr>
            <w:tcW w:w="3340" w:type="dxa"/>
            <w:vAlign w:val="bottom"/>
            <w:shd w:val="clear" w:color="auto" w:fill="EAEEF2"/>
          </w:tcPr>
          <w:p>
            <w:pPr>
              <w:jc w:val="center"/>
              <w:spacing w:after="0"/>
              <w:rPr>
                <w:sz w:val="20"/>
                <w:szCs w:val="20"/>
                <w:color w:val="auto"/>
              </w:rPr>
            </w:pPr>
            <w:r>
              <w:rPr>
                <w:rFonts w:ascii="Arial" w:cs="Arial" w:eastAsia="Arial" w:hAnsi="Arial"/>
                <w:sz w:val="16"/>
                <w:szCs w:val="16"/>
                <w:b w:val="1"/>
                <w:bCs w:val="1"/>
                <w:color w:val="132440"/>
              </w:rPr>
              <w:t>board members</w:t>
            </w:r>
          </w:p>
        </w:tc>
        <w:tc>
          <w:tcPr>
            <w:tcW w:w="0" w:type="dxa"/>
            <w:vAlign w:val="bottom"/>
          </w:tcPr>
          <w:p>
            <w:pPr>
              <w:spacing w:after="0"/>
              <w:rPr>
                <w:sz w:val="1"/>
                <w:szCs w:val="1"/>
                <w:color w:val="auto"/>
              </w:rPr>
            </w:pPr>
          </w:p>
        </w:tc>
      </w:tr>
      <w:tr>
        <w:trPr>
          <w:trHeight w:val="148"/>
        </w:trPr>
        <w:tc>
          <w:tcPr>
            <w:tcW w:w="160" w:type="dxa"/>
            <w:vAlign w:val="bottom"/>
            <w:shd w:val="clear" w:color="auto" w:fill="00529B"/>
          </w:tcPr>
          <w:p>
            <w:pPr>
              <w:spacing w:after="0"/>
              <w:rPr>
                <w:sz w:val="12"/>
                <w:szCs w:val="12"/>
                <w:color w:val="auto"/>
              </w:rPr>
            </w:pPr>
          </w:p>
        </w:tc>
        <w:tc>
          <w:tcPr>
            <w:tcW w:w="3300" w:type="dxa"/>
            <w:vAlign w:val="bottom"/>
            <w:vMerge w:val="continue"/>
            <w:shd w:val="clear" w:color="auto" w:fill="EAEEF2"/>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shd w:val="clear" w:color="auto" w:fill="298655"/>
          </w:tcPr>
          <w:p>
            <w:pPr>
              <w:spacing w:after="0"/>
              <w:rPr>
                <w:sz w:val="12"/>
                <w:szCs w:val="12"/>
                <w:color w:val="auto"/>
              </w:rPr>
            </w:pPr>
          </w:p>
        </w:tc>
        <w:tc>
          <w:tcPr>
            <w:tcW w:w="3300" w:type="dxa"/>
            <w:vAlign w:val="bottom"/>
            <w:vMerge w:val="continue"/>
            <w:shd w:val="clear" w:color="auto" w:fill="EAEEF2"/>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shd w:val="clear" w:color="auto" w:fill="132440"/>
          </w:tcPr>
          <w:p>
            <w:pPr>
              <w:spacing w:after="0"/>
              <w:rPr>
                <w:sz w:val="12"/>
                <w:szCs w:val="12"/>
                <w:color w:val="auto"/>
              </w:rPr>
            </w:pPr>
          </w:p>
        </w:tc>
        <w:tc>
          <w:tcPr>
            <w:tcW w:w="3340" w:type="dxa"/>
            <w:vAlign w:val="bottom"/>
            <w:shd w:val="clear" w:color="auto" w:fill="EAEEF2"/>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60" w:type="dxa"/>
            <w:vAlign w:val="bottom"/>
            <w:shd w:val="clear" w:color="auto" w:fill="00529B"/>
          </w:tcPr>
          <w:p>
            <w:pPr>
              <w:spacing w:after="0"/>
              <w:rPr>
                <w:sz w:val="14"/>
                <w:szCs w:val="14"/>
                <w:color w:val="auto"/>
              </w:rPr>
            </w:pPr>
          </w:p>
        </w:tc>
        <w:tc>
          <w:tcPr>
            <w:tcW w:w="3300" w:type="dxa"/>
            <w:vAlign w:val="bottom"/>
            <w:shd w:val="clear" w:color="auto" w:fill="EAEEF2"/>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shd w:val="clear" w:color="auto" w:fill="298655"/>
          </w:tcPr>
          <w:p>
            <w:pPr>
              <w:spacing w:after="0"/>
              <w:rPr>
                <w:sz w:val="14"/>
                <w:szCs w:val="14"/>
                <w:color w:val="auto"/>
              </w:rPr>
            </w:pPr>
          </w:p>
        </w:tc>
        <w:tc>
          <w:tcPr>
            <w:tcW w:w="3300" w:type="dxa"/>
            <w:vAlign w:val="bottom"/>
            <w:shd w:val="clear" w:color="auto" w:fill="EAEEF2"/>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shd w:val="clear" w:color="auto" w:fill="132440"/>
          </w:tcPr>
          <w:p>
            <w:pPr>
              <w:spacing w:after="0"/>
              <w:rPr>
                <w:sz w:val="14"/>
                <w:szCs w:val="14"/>
                <w:color w:val="auto"/>
              </w:rPr>
            </w:pPr>
          </w:p>
        </w:tc>
        <w:tc>
          <w:tcPr>
            <w:tcW w:w="3340" w:type="dxa"/>
            <w:vAlign w:val="bottom"/>
            <w:shd w:val="clear" w:color="auto" w:fill="EAEEF2"/>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4D4D4F"/>
        </w:rPr>
        <w:t>Throughout the engagement meetings, shareholders shared diverse perspectives on various aspects of our executive compensation program. A majority of shareholders who met with us focused on the 2022 Transformational Award provided to our CEO outside of the annual compensation program and the initial lack of performance metrics disclosure as the key drivers behind their opposition to the 2023 say-on-pay proposal. These 2022 Transformational Awards were granted in the form of “at-risk” PRSUs, which generally can be earned from 0% to 200% of a target award level based on our achievement of absolute TSR goals over a three-year performance period beginning on the grant date. Earned 2022 Transformational Awards will vest 50% when performance against the absolute TSR goals is evaluated and measured, and 50% on the fourth anniversary of the original grant date, generally subject to continued service by the awardee. For purposes of the 2022 Transformational Awards, absolute TSR achievement will be measured based on the volume-weighted average trading price for the 30 consecutive trading days prior to each of the grant date and the end of the performance period. While shareholders were generally supportive of the overall performance-based nature of the executive compensation program design, many expressed a preference for a greater allocation of the annual incentive opportunities to financial performance metrics. The following table outlines key feedback we received from our shareholders as it relates to our executive compensation program and the responsiveness actions the Compensation Committee has implemented in light of these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454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84" w:lineRule="exact"/>
        <w:rPr>
          <w:sz w:val="20"/>
          <w:szCs w:val="20"/>
          <w:color w:val="auto"/>
        </w:rPr>
      </w:pPr>
    </w:p>
    <w:p>
      <w:pPr>
        <w:ind w:left="100"/>
        <w:spacing w:after="0"/>
        <w:tabs>
          <w:tab w:leader="none" w:pos="2920" w:val="left"/>
        </w:tabs>
        <w:rPr>
          <w:sz w:val="20"/>
          <w:szCs w:val="20"/>
          <w:color w:val="auto"/>
        </w:rPr>
      </w:pPr>
      <w:r>
        <w:rPr>
          <w:rFonts w:ascii="Arial" w:cs="Arial" w:eastAsia="Arial" w:hAnsi="Arial"/>
          <w:sz w:val="14"/>
          <w:szCs w:val="14"/>
          <w:b w:val="1"/>
          <w:bCs w:val="1"/>
          <w:color w:val="FFFFFF"/>
        </w:rPr>
        <w:t>What We Heard from Shareholders</w:t>
      </w:r>
      <w:r>
        <w:rPr>
          <w:sz w:val="20"/>
          <w:szCs w:val="20"/>
          <w:color w:val="auto"/>
        </w:rPr>
        <w:tab/>
      </w:r>
      <w:r>
        <w:rPr>
          <w:rFonts w:ascii="Arial" w:cs="Arial" w:eastAsia="Arial" w:hAnsi="Arial"/>
          <w:sz w:val="14"/>
          <w:szCs w:val="14"/>
          <w:b w:val="1"/>
          <w:bCs w:val="1"/>
          <w:color w:val="FFFFFF"/>
        </w:rPr>
        <w:t>Actions Taken in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005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50050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158" w:lineRule="exact"/>
        <w:rPr>
          <w:sz w:val="20"/>
          <w:szCs w:val="20"/>
          <w:color w:val="auto"/>
        </w:rPr>
      </w:pPr>
    </w:p>
    <w:p>
      <w:pPr>
        <w:ind w:left="100"/>
        <w:spacing w:after="0" w:line="295" w:lineRule="auto"/>
        <w:rPr>
          <w:sz w:val="20"/>
          <w:szCs w:val="20"/>
          <w:color w:val="auto"/>
        </w:rPr>
      </w:pPr>
      <w:r>
        <w:rPr>
          <w:rFonts w:ascii="Arial" w:cs="Arial" w:eastAsia="Arial" w:hAnsi="Arial"/>
          <w:sz w:val="16"/>
          <w:szCs w:val="16"/>
          <w:color w:val="4D4D4F"/>
        </w:rPr>
        <w:t>Expressed concerns about the initial lack of performance metrics disclosure for the 2022 Transformational Award for the CEO</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37" w:right="220" w:hanging="237"/>
        <w:spacing w:after="0" w:line="321" w:lineRule="auto"/>
        <w:tabs>
          <w:tab w:leader="none" w:pos="226" w:val="left"/>
        </w:tabs>
        <w:numPr>
          <w:ilvl w:val="0"/>
          <w:numId w:val="75"/>
        </w:numPr>
        <w:rPr>
          <w:rFonts w:ascii="Arial" w:cs="Arial" w:eastAsia="Arial" w:hAnsi="Arial"/>
          <w:sz w:val="16"/>
          <w:szCs w:val="16"/>
          <w:b w:val="1"/>
          <w:bCs w:val="1"/>
          <w:color w:val="00529B"/>
        </w:rPr>
      </w:pPr>
      <w:r>
        <w:rPr>
          <w:rFonts w:ascii="Arial" w:cs="Arial" w:eastAsia="Arial" w:hAnsi="Arial"/>
          <w:sz w:val="16"/>
          <w:szCs w:val="16"/>
          <w:color w:val="4D4D4F"/>
        </w:rPr>
        <w:t>We disclosed performance metrics for the Transformational Awards in the supplemental proxy materials filed on June 7, 2023, which was positively received by investors.</w:t>
      </w:r>
    </w:p>
    <w:p>
      <w:pPr>
        <w:spacing w:after="0" w:line="47" w:lineRule="exact"/>
        <w:rPr>
          <w:rFonts w:ascii="Arial" w:cs="Arial" w:eastAsia="Arial" w:hAnsi="Arial"/>
          <w:sz w:val="16"/>
          <w:szCs w:val="16"/>
          <w:b w:val="1"/>
          <w:bCs w:val="1"/>
          <w:color w:val="00529B"/>
        </w:rPr>
      </w:pPr>
    </w:p>
    <w:p>
      <w:pPr>
        <w:ind w:left="237" w:right="340" w:hanging="237"/>
        <w:spacing w:after="0" w:line="288" w:lineRule="auto"/>
        <w:tabs>
          <w:tab w:leader="none" w:pos="226" w:val="left"/>
        </w:tabs>
        <w:numPr>
          <w:ilvl w:val="0"/>
          <w:numId w:val="75"/>
        </w:numPr>
        <w:rPr>
          <w:rFonts w:ascii="Arial" w:cs="Arial" w:eastAsia="Arial" w:hAnsi="Arial"/>
          <w:sz w:val="16"/>
          <w:szCs w:val="16"/>
          <w:b w:val="1"/>
          <w:bCs w:val="1"/>
          <w:color w:val="00529B"/>
        </w:rPr>
      </w:pPr>
      <w:r>
        <w:rPr>
          <w:rFonts w:ascii="Arial" w:cs="Arial" w:eastAsia="Arial" w:hAnsi="Arial"/>
          <w:sz w:val="16"/>
          <w:szCs w:val="16"/>
          <w:color w:val="4D4D4F"/>
        </w:rPr>
        <w:t>The Compensation Committee reaffirms that special awards should be rare and commits not to grant additional special equity awards to executives absent compelling circumstances. The Compensation Committee also expects that any future special awards will be accompanied by a robust disclosure of the underlying performance objectives. In addition, the Compensation Committee commits not to modify the 2022 Transformational Awards metrics during the term of the awards and, based on the unique factors that led to the 2022 Transformational Awards, does not believe that these one-time awards are indicative of future equity award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-1913890</wp:posOffset>
            </wp:positionH>
            <wp:positionV relativeFrom="paragraph">
              <wp:posOffset>570865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303"/>
            <w:col w:w="8217"/>
          </w:cols>
          <w:pgMar w:left="320" w:top="2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60" w:hanging="534"/>
        <w:spacing w:after="0"/>
        <w:tabs>
          <w:tab w:leader="none" w:pos="560" w:val="left"/>
        </w:tabs>
        <w:numPr>
          <w:ilvl w:val="0"/>
          <w:numId w:val="76"/>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51" w:name="page52"/>
    <w:bookmarkEnd w:id="51"/>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2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What We Heard from Shareholders</w:t>
            </w:r>
          </w:p>
        </w:tc>
        <w:tc>
          <w:tcPr>
            <w:tcW w:w="8420" w:type="dxa"/>
            <w:vAlign w:val="bottom"/>
            <w:shd w:val="clear" w:color="auto" w:fill="132440"/>
          </w:tcPr>
          <w:p>
            <w:pPr>
              <w:ind w:left="120"/>
              <w:spacing w:after="0"/>
              <w:rPr>
                <w:sz w:val="20"/>
                <w:szCs w:val="20"/>
                <w:color w:val="auto"/>
              </w:rPr>
            </w:pPr>
            <w:r>
              <w:rPr>
                <w:rFonts w:ascii="Arial" w:cs="Arial" w:eastAsia="Arial" w:hAnsi="Arial"/>
                <w:sz w:val="14"/>
                <w:szCs w:val="14"/>
                <w:b w:val="1"/>
                <w:bCs w:val="1"/>
                <w:color w:val="FFFFFF"/>
              </w:rPr>
              <w:t>Actions Taken in Response</w:t>
            </w:r>
          </w:p>
        </w:tc>
      </w:tr>
      <w:tr>
        <w:trPr>
          <w:trHeight w:val="323"/>
        </w:trPr>
        <w:tc>
          <w:tcPr>
            <w:tcW w:w="2820" w:type="dxa"/>
            <w:vAlign w:val="bottom"/>
          </w:tcPr>
          <w:p>
            <w:pPr>
              <w:ind w:left="100"/>
              <w:spacing w:after="0"/>
              <w:rPr>
                <w:sz w:val="20"/>
                <w:szCs w:val="20"/>
                <w:color w:val="auto"/>
              </w:rPr>
            </w:pPr>
            <w:r>
              <w:rPr>
                <w:rFonts w:ascii="Arial" w:cs="Arial" w:eastAsia="Arial" w:hAnsi="Arial"/>
                <w:sz w:val="16"/>
                <w:szCs w:val="16"/>
                <w:color w:val="4D4D4F"/>
              </w:rPr>
              <w:t>Expressed a preference for a higher</w:t>
            </w:r>
          </w:p>
        </w:tc>
        <w:tc>
          <w:tcPr>
            <w:tcW w:w="8420" w:type="dxa"/>
            <w:vAlign w:val="bottom"/>
          </w:tcPr>
          <w:p>
            <w:pPr>
              <w:ind w:left="200"/>
              <w:spacing w:after="0"/>
              <w:rPr>
                <w:sz w:val="20"/>
                <w:szCs w:val="20"/>
                <w:color w:val="auto"/>
              </w:rPr>
            </w:pPr>
            <w:r>
              <w:rPr>
                <w:rFonts w:ascii="Arial" w:cs="Arial" w:eastAsia="Arial" w:hAnsi="Arial"/>
                <w:sz w:val="16"/>
                <w:szCs w:val="16"/>
                <w:b w:val="1"/>
                <w:bCs w:val="1"/>
                <w:color w:val="00529B"/>
              </w:rPr>
              <w:t xml:space="preserve">•  </w:t>
            </w:r>
            <w:r>
              <w:rPr>
                <w:rFonts w:ascii="Arial" w:cs="Arial" w:eastAsia="Arial" w:hAnsi="Arial"/>
                <w:sz w:val="16"/>
                <w:szCs w:val="16"/>
                <w:color w:val="4D4D4F"/>
              </w:rPr>
              <w:t>We increased the weighting of the financial performance metrics in the 2024 annual incentive program from</w:t>
            </w:r>
          </w:p>
        </w:tc>
      </w:tr>
      <w:tr>
        <w:trPr>
          <w:trHeight w:val="215"/>
        </w:trPr>
        <w:tc>
          <w:tcPr>
            <w:tcW w:w="2820" w:type="dxa"/>
            <w:vAlign w:val="bottom"/>
          </w:tcPr>
          <w:p>
            <w:pPr>
              <w:ind w:left="100"/>
              <w:spacing w:after="0"/>
              <w:rPr>
                <w:sz w:val="20"/>
                <w:szCs w:val="20"/>
                <w:color w:val="auto"/>
              </w:rPr>
            </w:pPr>
            <w:r>
              <w:rPr>
                <w:rFonts w:ascii="Arial" w:cs="Arial" w:eastAsia="Arial" w:hAnsi="Arial"/>
                <w:sz w:val="16"/>
                <w:szCs w:val="16"/>
                <w:color w:val="4D4D4F"/>
              </w:rPr>
              <w:t>weighting allocation toward the</w:t>
            </w:r>
          </w:p>
        </w:tc>
        <w:tc>
          <w:tcPr>
            <w:tcW w:w="8420" w:type="dxa"/>
            <w:vAlign w:val="bottom"/>
          </w:tcPr>
          <w:p>
            <w:pPr>
              <w:ind w:left="440"/>
              <w:spacing w:after="0"/>
              <w:rPr>
                <w:sz w:val="20"/>
                <w:szCs w:val="20"/>
                <w:color w:val="auto"/>
              </w:rPr>
            </w:pPr>
            <w:r>
              <w:rPr>
                <w:rFonts w:ascii="Arial" w:cs="Arial" w:eastAsia="Arial" w:hAnsi="Arial"/>
                <w:sz w:val="16"/>
                <w:szCs w:val="16"/>
                <w:color w:val="4D4D4F"/>
              </w:rPr>
              <w:t>60% to 75%, with the strategic objectives weighting reduced from 40% to 25%.</w:t>
            </w:r>
          </w:p>
        </w:tc>
      </w:tr>
      <w:tr>
        <w:trPr>
          <w:trHeight w:val="216"/>
        </w:trPr>
        <w:tc>
          <w:tcPr>
            <w:tcW w:w="2820" w:type="dxa"/>
            <w:vAlign w:val="bottom"/>
          </w:tcPr>
          <w:p>
            <w:pPr>
              <w:ind w:left="100"/>
              <w:spacing w:after="0"/>
              <w:rPr>
                <w:sz w:val="20"/>
                <w:szCs w:val="20"/>
                <w:color w:val="auto"/>
              </w:rPr>
            </w:pPr>
            <w:r>
              <w:rPr>
                <w:rFonts w:ascii="Arial" w:cs="Arial" w:eastAsia="Arial" w:hAnsi="Arial"/>
                <w:sz w:val="16"/>
                <w:szCs w:val="16"/>
                <w:color w:val="4D4D4F"/>
              </w:rPr>
              <w:t>financial metric in the annual</w:t>
            </w:r>
          </w:p>
        </w:tc>
        <w:tc>
          <w:tcPr>
            <w:tcW w:w="8420" w:type="dxa"/>
            <w:vAlign w:val="bottom"/>
          </w:tcPr>
          <w:p>
            <w:pPr>
              <w:spacing w:after="0"/>
              <w:rPr>
                <w:sz w:val="18"/>
                <w:szCs w:val="18"/>
                <w:color w:val="auto"/>
              </w:rPr>
            </w:pPr>
          </w:p>
        </w:tc>
      </w:tr>
      <w:tr>
        <w:trPr>
          <w:trHeight w:val="216"/>
        </w:trPr>
        <w:tc>
          <w:tcPr>
            <w:tcW w:w="2820" w:type="dxa"/>
            <w:vAlign w:val="bottom"/>
          </w:tcPr>
          <w:p>
            <w:pPr>
              <w:ind w:left="100"/>
              <w:spacing w:after="0"/>
              <w:rPr>
                <w:sz w:val="20"/>
                <w:szCs w:val="20"/>
                <w:color w:val="auto"/>
              </w:rPr>
            </w:pPr>
            <w:r>
              <w:rPr>
                <w:rFonts w:ascii="Arial" w:cs="Arial" w:eastAsia="Arial" w:hAnsi="Arial"/>
                <w:sz w:val="16"/>
                <w:szCs w:val="16"/>
                <w:color w:val="4D4D4F"/>
              </w:rPr>
              <w:t>incentive program</w:t>
            </w:r>
          </w:p>
        </w:tc>
        <w:tc>
          <w:tcPr>
            <w:tcW w:w="84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627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3627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312" w:lineRule="exact"/>
        <w:rPr>
          <w:sz w:val="20"/>
          <w:szCs w:val="20"/>
          <w:color w:val="auto"/>
        </w:rPr>
      </w:pPr>
    </w:p>
    <w:p>
      <w:pPr>
        <w:ind w:left="100"/>
        <w:spacing w:after="0" w:line="291" w:lineRule="auto"/>
        <w:rPr>
          <w:sz w:val="20"/>
          <w:szCs w:val="20"/>
          <w:color w:val="auto"/>
        </w:rPr>
      </w:pPr>
      <w:r>
        <w:rPr>
          <w:rFonts w:ascii="Arial" w:cs="Arial" w:eastAsia="Arial" w:hAnsi="Arial"/>
          <w:sz w:val="16"/>
          <w:szCs w:val="16"/>
          <w:color w:val="4D4D4F"/>
        </w:rPr>
        <w:t>Requested greater transparency around the strategic objectives and achieved performance results used to inform the annual incentive program payouts</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left="237" w:right="740" w:hanging="237"/>
        <w:spacing w:after="0" w:line="321" w:lineRule="auto"/>
        <w:tabs>
          <w:tab w:leader="none" w:pos="226" w:val="left"/>
        </w:tabs>
        <w:numPr>
          <w:ilvl w:val="0"/>
          <w:numId w:val="77"/>
        </w:numPr>
        <w:rPr>
          <w:rFonts w:ascii="Arial" w:cs="Arial" w:eastAsia="Arial" w:hAnsi="Arial"/>
          <w:sz w:val="16"/>
          <w:szCs w:val="16"/>
          <w:b w:val="1"/>
          <w:bCs w:val="1"/>
          <w:color w:val="00529B"/>
        </w:rPr>
      </w:pPr>
      <w:r>
        <w:rPr>
          <w:rFonts w:ascii="Arial" w:cs="Arial" w:eastAsia="Arial" w:hAnsi="Arial"/>
          <w:sz w:val="16"/>
          <w:szCs w:val="16"/>
          <w:color w:val="4D4D4F"/>
        </w:rPr>
        <w:t>We enhanced our disclosure in this proxy statement to provide a greater level of transparency around specific strategic objectives, achieved results, and determination of final payouts.</w:t>
      </w:r>
    </w:p>
    <w:p>
      <w:pPr>
        <w:spacing w:after="0" w:line="47" w:lineRule="exact"/>
        <w:rPr>
          <w:rFonts w:ascii="Arial" w:cs="Arial" w:eastAsia="Arial" w:hAnsi="Arial"/>
          <w:sz w:val="16"/>
          <w:szCs w:val="16"/>
          <w:b w:val="1"/>
          <w:bCs w:val="1"/>
          <w:color w:val="00529B"/>
        </w:rPr>
      </w:pPr>
    </w:p>
    <w:p>
      <w:pPr>
        <w:ind w:left="237" w:right="420" w:hanging="237"/>
        <w:spacing w:after="0" w:line="289" w:lineRule="auto"/>
        <w:tabs>
          <w:tab w:leader="none" w:pos="226" w:val="left"/>
        </w:tabs>
        <w:numPr>
          <w:ilvl w:val="0"/>
          <w:numId w:val="77"/>
        </w:numPr>
        <w:rPr>
          <w:rFonts w:ascii="Arial" w:cs="Arial" w:eastAsia="Arial" w:hAnsi="Arial"/>
          <w:sz w:val="16"/>
          <w:szCs w:val="16"/>
          <w:b w:val="1"/>
          <w:bCs w:val="1"/>
          <w:color w:val="00529B"/>
        </w:rPr>
      </w:pPr>
      <w:r>
        <w:rPr>
          <w:rFonts w:ascii="Arial" w:cs="Arial" w:eastAsia="Arial" w:hAnsi="Arial"/>
          <w:sz w:val="16"/>
          <w:szCs w:val="16"/>
          <w:color w:val="4D4D4F"/>
        </w:rPr>
        <w:t>For the 2024 annual incentive program, we simplified the strategic objectives component by substantially reducing the number of objectives. Each objective is: weighted based on the Compensation Committee’s assessment of the significance of the objective’s contribution to our long-term ability to create shareholder value; evaluated and rated by the Compensation Committee; and assigned a payout percentage ranging from 0% to 100%. The overall weighted average payout under the strategic objectives component of the annual incentive program is then calculated, capped at 100% of target.</w:t>
      </w:r>
    </w:p>
    <w:p>
      <w:pPr>
        <w:spacing w:after="0" w:line="200" w:lineRule="exact"/>
        <w:rPr>
          <w:sz w:val="20"/>
          <w:szCs w:val="20"/>
          <w:color w:val="auto"/>
        </w:rPr>
      </w:pPr>
    </w:p>
    <w:p>
      <w:pPr>
        <w:sectPr>
          <w:pgSz w:w="11900" w:h="16838" w:orient="portrait"/>
          <w:cols w:equalWidth="0" w:num="2">
            <w:col w:w="2620" w:space="403"/>
            <w:col w:w="8217"/>
          </w:cols>
          <w:pgMar w:left="320" w:top="279" w:right="339" w:bottom="1440" w:gutter="0" w:footer="0" w:header="0"/>
          <w:type w:val="continuous"/>
        </w:sectPr>
      </w:pP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ind w:left="100"/>
              <w:spacing w:after="0"/>
              <w:rPr>
                <w:sz w:val="20"/>
                <w:szCs w:val="20"/>
                <w:color w:val="auto"/>
              </w:rPr>
            </w:pPr>
            <w:r>
              <w:rPr>
                <w:rFonts w:ascii="Arial" w:cs="Arial" w:eastAsia="Arial" w:hAnsi="Arial"/>
                <w:sz w:val="16"/>
                <w:szCs w:val="16"/>
                <w:color w:val="4D4D4F"/>
              </w:rPr>
              <w:t>Emphasized the importance of</w:t>
            </w:r>
          </w:p>
        </w:tc>
        <w:tc>
          <w:tcPr>
            <w:tcW w:w="8580" w:type="dxa"/>
            <w:vAlign w:val="bottom"/>
          </w:tcPr>
          <w:p>
            <w:pPr>
              <w:ind w:left="360"/>
              <w:spacing w:after="0"/>
              <w:rPr>
                <w:sz w:val="20"/>
                <w:szCs w:val="20"/>
                <w:color w:val="auto"/>
              </w:rPr>
            </w:pPr>
            <w:r>
              <w:rPr>
                <w:rFonts w:ascii="Arial" w:cs="Arial" w:eastAsia="Arial" w:hAnsi="Arial"/>
                <w:sz w:val="16"/>
                <w:szCs w:val="16"/>
                <w:b w:val="1"/>
                <w:bCs w:val="1"/>
                <w:color w:val="00529B"/>
              </w:rPr>
              <w:t xml:space="preserve">•  </w:t>
            </w:r>
            <w:r>
              <w:rPr>
                <w:rFonts w:ascii="Arial" w:cs="Arial" w:eastAsia="Arial" w:hAnsi="Arial"/>
                <w:sz w:val="16"/>
                <w:szCs w:val="16"/>
                <w:color w:val="4D4D4F"/>
              </w:rPr>
              <w:t>We have adopted a New York Stock Exchange (“NYSE”) compliant clawback policy that generally requires</w:t>
            </w:r>
          </w:p>
        </w:tc>
      </w:tr>
      <w:tr>
        <w:trPr>
          <w:trHeight w:val="215"/>
        </w:trPr>
        <w:tc>
          <w:tcPr>
            <w:tcW w:w="2660" w:type="dxa"/>
            <w:vAlign w:val="bottom"/>
          </w:tcPr>
          <w:p>
            <w:pPr>
              <w:ind w:left="100"/>
              <w:spacing w:after="0"/>
              <w:rPr>
                <w:sz w:val="20"/>
                <w:szCs w:val="20"/>
                <w:color w:val="auto"/>
              </w:rPr>
            </w:pPr>
            <w:r>
              <w:rPr>
                <w:rFonts w:ascii="Arial" w:cs="Arial" w:eastAsia="Arial" w:hAnsi="Arial"/>
                <w:sz w:val="16"/>
                <w:szCs w:val="16"/>
                <w:color w:val="4D4D4F"/>
              </w:rPr>
              <w:t>adopting a clawback policy</w:t>
            </w:r>
          </w:p>
        </w:tc>
        <w:tc>
          <w:tcPr>
            <w:tcW w:w="8580" w:type="dxa"/>
            <w:vAlign w:val="bottom"/>
          </w:tcPr>
          <w:p>
            <w:pPr>
              <w:ind w:left="600"/>
              <w:spacing w:after="0"/>
              <w:rPr>
                <w:sz w:val="20"/>
                <w:szCs w:val="20"/>
                <w:color w:val="auto"/>
              </w:rPr>
            </w:pPr>
            <w:r>
              <w:rPr>
                <w:rFonts w:ascii="Arial" w:cs="Arial" w:eastAsia="Arial" w:hAnsi="Arial"/>
                <w:sz w:val="16"/>
                <w:szCs w:val="16"/>
                <w:color w:val="4D4D4F"/>
              </w:rPr>
              <w:t>our NEOs (among others) to repay certain variable performance-based incentive compensation payments</w:t>
            </w:r>
          </w:p>
        </w:tc>
      </w:tr>
      <w:tr>
        <w:trPr>
          <w:trHeight w:val="216"/>
        </w:trPr>
        <w:tc>
          <w:tcPr>
            <w:tcW w:w="266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6"/>
                <w:szCs w:val="16"/>
                <w:color w:val="4D4D4F"/>
              </w:rPr>
              <w:t>received during a three fiscal-year recovery period preceding a financial restatement, in the event of a</w:t>
            </w:r>
          </w:p>
        </w:tc>
      </w:tr>
      <w:tr>
        <w:trPr>
          <w:trHeight w:val="216"/>
        </w:trPr>
        <w:tc>
          <w:tcPr>
            <w:tcW w:w="266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6"/>
                <w:szCs w:val="16"/>
                <w:color w:val="4D4D4F"/>
              </w:rPr>
              <w:t>financial restatement.</w:t>
            </w:r>
          </w:p>
        </w:tc>
      </w:tr>
      <w:tr>
        <w:trPr>
          <w:trHeight w:val="204"/>
        </w:trPr>
        <w:tc>
          <w:tcPr>
            <w:tcW w:w="2660" w:type="dxa"/>
            <w:vAlign w:val="bottom"/>
            <w:tcBorders>
              <w:bottom w:val="single" w:sz="8" w:color="298655"/>
            </w:tcBorders>
          </w:tcPr>
          <w:p>
            <w:pPr>
              <w:spacing w:after="0"/>
              <w:rPr>
                <w:sz w:val="17"/>
                <w:szCs w:val="17"/>
                <w:color w:val="auto"/>
              </w:rPr>
            </w:pPr>
          </w:p>
        </w:tc>
        <w:tc>
          <w:tcPr>
            <w:tcW w:w="8580" w:type="dxa"/>
            <w:vAlign w:val="bottom"/>
            <w:tcBorders>
              <w:bottom w:val="single" w:sz="8" w:color="298655"/>
            </w:tcBorders>
          </w:tcPr>
          <w:p>
            <w:pPr>
              <w:spacing w:after="0"/>
              <w:rPr>
                <w:sz w:val="17"/>
                <w:szCs w:val="17"/>
                <w:color w:val="auto"/>
              </w:rPr>
            </w:pPr>
          </w:p>
        </w:tc>
      </w:tr>
    </w:tbl>
    <w:p>
      <w:pPr>
        <w:spacing w:after="0" w:line="242"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4D4D4F"/>
        </w:rPr>
        <w:t>Additional details on these actions are provided below in the section “Changes to the 2024 Executive Compensation Program in Response to Shareholder Feedback,” beginning on page 58.</w:t>
      </w:r>
    </w:p>
    <w:p>
      <w:pPr>
        <w:spacing w:after="0" w:line="10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4D4D4F"/>
        </w:rPr>
        <w:t>We believe the responsiveness actions approved by the Compensation Committee directly address feedback conveyed to us by our shareholders. We are grateful to all shareholders who met with us and shared their candid perspectives. The Compensation Committee and the full Board look forward to continuing this important dialogue beyond the say-on-pay vote to help ensure alignment of our executive compensation program with our shareholder views.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2023 Performance Highlights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WE CONTINUED TO TRANSFORM OUR OPERATIONS IN 2023</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4D4D4F"/>
        </w:rPr>
        <w:t>In 2023, we made meaningful progress in all three of our business segments as we executed on our transformation plan to deliver a higher quality of earnings and a more predictable and synergistic services portfolio with increased availability of renewable energy and lower carbon fuels. We delivered solid core operating results and healthy profitability, with adjusted EBITDA of $386 million. We generated $271 million of operating cash flow, and our strong liquidity profile allowed us to return significant capital to shareholders, with $94 million in share buybacks and dividends in 2023. We are focused on advancing our platform through the implementation of our transformation strategy in 2024 and beyond to build sustained shareholder value.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529B"/>
        </w:rPr>
        <w:t>2023 Full-Year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114935</wp:posOffset>
            </wp:positionV>
            <wp:extent cx="59664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0" w:lineRule="exact"/>
        <w:rPr>
          <w:sz w:val="20"/>
          <w:szCs w:val="20"/>
          <w:color w:val="auto"/>
        </w:rPr>
      </w:pPr>
    </w:p>
    <w:p>
      <w:pPr>
        <w:ind w:left="1840"/>
        <w:spacing w:after="0"/>
        <w:tabs>
          <w:tab w:leader="none" w:pos="4860" w:val="left"/>
          <w:tab w:leader="none" w:pos="7660" w:val="left"/>
        </w:tabs>
        <w:rPr>
          <w:sz w:val="20"/>
          <w:szCs w:val="20"/>
          <w:color w:val="auto"/>
        </w:rPr>
      </w:pPr>
      <w:r>
        <w:rPr>
          <w:rFonts w:ascii="Arial" w:cs="Arial" w:eastAsia="Arial" w:hAnsi="Arial"/>
          <w:sz w:val="14"/>
          <w:szCs w:val="14"/>
          <w:b w:val="1"/>
          <w:bCs w:val="1"/>
          <w:color w:val="00529B"/>
        </w:rPr>
        <w:t>Adjusted EBITDA</w:t>
      </w:r>
      <w:r>
        <w:rPr>
          <w:sz w:val="20"/>
          <w:szCs w:val="20"/>
          <w:color w:val="auto"/>
        </w:rPr>
        <w:tab/>
      </w:r>
      <w:r>
        <w:rPr>
          <w:rFonts w:ascii="Arial" w:cs="Arial" w:eastAsia="Arial" w:hAnsi="Arial"/>
          <w:sz w:val="14"/>
          <w:szCs w:val="14"/>
          <w:b w:val="1"/>
          <w:bCs w:val="1"/>
          <w:color w:val="00529B"/>
        </w:rPr>
        <w:t>Operating Cash Flow</w:t>
      </w:r>
      <w:r>
        <w:rPr>
          <w:sz w:val="20"/>
          <w:szCs w:val="20"/>
          <w:color w:val="auto"/>
        </w:rPr>
        <w:tab/>
      </w:r>
      <w:r>
        <w:rPr>
          <w:rFonts w:ascii="Arial" w:cs="Arial" w:eastAsia="Arial" w:hAnsi="Arial"/>
          <w:sz w:val="14"/>
          <w:szCs w:val="14"/>
          <w:b w:val="1"/>
          <w:bCs w:val="1"/>
          <w:color w:val="00529B"/>
        </w:rPr>
        <w:t>Capital Return to Shareholders</w:t>
      </w:r>
      <w:r>
        <w:rPr>
          <w:rFonts w:ascii="Arial" w:cs="Arial" w:eastAsia="Arial" w:hAnsi="Arial"/>
          <w:sz w:val="18"/>
          <w:szCs w:val="18"/>
          <w:b w:val="1"/>
          <w:bCs w:val="1"/>
          <w:color w:val="00529B"/>
          <w:vertAlign w:val="superscript"/>
        </w:rPr>
        <w:t>(1)</w:t>
      </w:r>
    </w:p>
    <w:p>
      <w:pPr>
        <w:spacing w:after="0" w:line="25" w:lineRule="exact"/>
        <w:rPr>
          <w:sz w:val="20"/>
          <w:szCs w:val="20"/>
          <w:color w:val="auto"/>
        </w:rPr>
      </w:pPr>
    </w:p>
    <w:p>
      <w:pPr>
        <w:ind w:left="2260"/>
        <w:spacing w:after="0"/>
        <w:tabs>
          <w:tab w:leader="none" w:pos="5400" w:val="left"/>
          <w:tab w:leader="none" w:pos="8600" w:val="left"/>
        </w:tabs>
        <w:rPr>
          <w:sz w:val="20"/>
          <w:szCs w:val="20"/>
          <w:color w:val="auto"/>
        </w:rPr>
      </w:pPr>
      <w:r>
        <w:rPr>
          <w:rFonts w:ascii="Arial" w:cs="Arial" w:eastAsia="Arial" w:hAnsi="Arial"/>
          <w:sz w:val="14"/>
          <w:szCs w:val="14"/>
          <w:b w:val="1"/>
          <w:bCs w:val="1"/>
          <w:color w:val="00529B"/>
        </w:rPr>
        <w:t>$ MM</w:t>
      </w:r>
      <w:r>
        <w:rPr>
          <w:sz w:val="20"/>
          <w:szCs w:val="20"/>
          <w:color w:val="auto"/>
        </w:rPr>
        <w:tab/>
      </w:r>
      <w:r>
        <w:rPr>
          <w:rFonts w:ascii="Arial" w:cs="Arial" w:eastAsia="Arial" w:hAnsi="Arial"/>
          <w:sz w:val="14"/>
          <w:szCs w:val="14"/>
          <w:b w:val="1"/>
          <w:bCs w:val="1"/>
          <w:color w:val="00529B"/>
        </w:rPr>
        <w:t>$ MM</w:t>
      </w:r>
      <w:r>
        <w:rPr>
          <w:sz w:val="20"/>
          <w:szCs w:val="20"/>
          <w:color w:val="auto"/>
        </w:rPr>
        <w:tab/>
      </w:r>
      <w:r>
        <w:rPr>
          <w:rFonts w:ascii="Arial" w:cs="Arial" w:eastAsia="Arial" w:hAnsi="Arial"/>
          <w:sz w:val="14"/>
          <w:szCs w:val="14"/>
          <w:b w:val="1"/>
          <w:bCs w:val="1"/>
          <w:color w:val="00529B"/>
        </w:rPr>
        <w:t>$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177800</wp:posOffset>
            </wp:positionV>
            <wp:extent cx="5966460" cy="13544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96646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330"/>
        <w:spacing w:after="0"/>
        <w:tabs>
          <w:tab w:leader="none" w:pos="500" w:val="left"/>
        </w:tabs>
        <w:numPr>
          <w:ilvl w:val="0"/>
          <w:numId w:val="78"/>
        </w:numPr>
        <w:rPr>
          <w:rFonts w:ascii="Arial" w:cs="Arial" w:eastAsia="Arial" w:hAnsi="Arial"/>
          <w:sz w:val="14"/>
          <w:szCs w:val="14"/>
          <w:color w:val="4D4D4F"/>
        </w:rPr>
      </w:pPr>
      <w:r>
        <w:rPr>
          <w:rFonts w:ascii="Arial" w:cs="Arial" w:eastAsia="Arial" w:hAnsi="Arial"/>
          <w:sz w:val="14"/>
          <w:szCs w:val="14"/>
          <w:color w:val="4D4D4F"/>
        </w:rPr>
        <w:t>Consists of share buybacks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340"/>
        <w:spacing w:after="0"/>
        <w:tabs>
          <w:tab w:leader="none" w:pos="11040" w:val="left"/>
        </w:tabs>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r>
        <w:rPr>
          <w:sz w:val="20"/>
          <w:szCs w:val="20"/>
          <w:color w:val="auto"/>
        </w:rPr>
        <w:tab/>
      </w:r>
      <w:r>
        <w:rPr>
          <w:rFonts w:ascii="Arial" w:cs="Arial" w:eastAsia="Arial" w:hAnsi="Arial"/>
          <w:sz w:val="14"/>
          <w:szCs w:val="14"/>
          <w:b w:val="1"/>
          <w:bCs w:val="1"/>
          <w:color w:val="00529B"/>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52" w:name="page53"/>
    <w:bookmarkEnd w:id="52"/>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Executive Compensation Practices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4D4D4F"/>
        </w:rPr>
        <w:t>We are committed to sound executive compensation policies and practices, as highlighted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7454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343" w:lineRule="exact"/>
        <w:rPr>
          <w:sz w:val="20"/>
          <w:szCs w:val="20"/>
          <w:color w:val="auto"/>
        </w:rPr>
      </w:pPr>
    </w:p>
    <w:p>
      <w:pPr>
        <w:ind w:left="100"/>
        <w:spacing w:after="0" w:line="296" w:lineRule="auto"/>
        <w:rPr>
          <w:sz w:val="20"/>
          <w:szCs w:val="20"/>
          <w:color w:val="auto"/>
        </w:rPr>
      </w:pPr>
      <w:r>
        <w:rPr>
          <w:rFonts w:ascii="Arial" w:cs="Arial" w:eastAsia="Arial" w:hAnsi="Arial"/>
          <w:sz w:val="16"/>
          <w:szCs w:val="16"/>
          <w:b w:val="1"/>
          <w:bCs w:val="1"/>
          <w:color w:val="132440"/>
        </w:rPr>
        <w:t>Rigorous performance targets and metrics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4D4D4F"/>
        </w:rPr>
        <w:t>Both the achievement and formulaic payout calculation of adjusted EBITDA performance under our 2023 annual cash incentive award program were below target, and the formulaic payouts were reduced further by the Compensation Committee’s exercise of negative discretion to better align payouts with overall Company performance; 2021-2023 PRSUs were forfeited as adjusted EPS performance was below the threshold level.</w:t>
      </w:r>
    </w:p>
    <w:p>
      <w:pPr>
        <w:spacing w:after="0" w:line="200" w:lineRule="exact"/>
        <w:rPr>
          <w:sz w:val="20"/>
          <w:szCs w:val="20"/>
          <w:color w:val="auto"/>
        </w:rPr>
      </w:pPr>
    </w:p>
    <w:p>
      <w:pPr>
        <w:sectPr>
          <w:pgSz w:w="11900" w:h="16838" w:orient="portrait"/>
          <w:cols w:equalWidth="0" w:num="2">
            <w:col w:w="2420" w:space="580"/>
            <w:col w:w="8240"/>
          </w:cols>
          <w:pgMar w:left="320" w:top="279" w:right="339" w:bottom="1440" w:gutter="0" w:footer="0" w:header="0"/>
          <w:type w:val="continuous"/>
        </w:sectPr>
      </w:pP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2300" w:type="dxa"/>
            <w:vAlign w:val="bottom"/>
          </w:tcPr>
          <w:p>
            <w:pPr>
              <w:spacing w:after="0"/>
              <w:rPr>
                <w:sz w:val="20"/>
                <w:szCs w:val="20"/>
                <w:color w:val="auto"/>
              </w:rPr>
            </w:pPr>
            <w:r>
              <w:rPr>
                <w:rFonts w:ascii="Arial" w:cs="Arial" w:eastAsia="Arial" w:hAnsi="Arial"/>
                <w:sz w:val="16"/>
                <w:szCs w:val="16"/>
                <w:b w:val="1"/>
                <w:bCs w:val="1"/>
                <w:color w:val="132440"/>
              </w:rPr>
              <w:t>Multi-year vesting and</w:t>
            </w:r>
          </w:p>
        </w:tc>
        <w:tc>
          <w:tcPr>
            <w:tcW w:w="8200" w:type="dxa"/>
            <w:vAlign w:val="bottom"/>
          </w:tcPr>
          <w:p>
            <w:pPr>
              <w:ind w:left="600"/>
              <w:spacing w:after="0"/>
              <w:rPr>
                <w:sz w:val="20"/>
                <w:szCs w:val="20"/>
                <w:color w:val="auto"/>
              </w:rPr>
            </w:pPr>
            <w:r>
              <w:rPr>
                <w:rFonts w:ascii="Arial" w:cs="Arial" w:eastAsia="Arial" w:hAnsi="Arial"/>
                <w:sz w:val="16"/>
                <w:szCs w:val="16"/>
                <w:color w:val="4D4D4F"/>
              </w:rPr>
              <w:t>Our service-based equity awards (“RSUs”) are generally subject to multi-year vesting periods. Our PRSUs</w:t>
            </w:r>
          </w:p>
        </w:tc>
      </w:tr>
      <w:tr>
        <w:trPr>
          <w:trHeight w:val="242"/>
        </w:trPr>
        <w:tc>
          <w:tcPr>
            <w:tcW w:w="2300" w:type="dxa"/>
            <w:vAlign w:val="bottom"/>
          </w:tcPr>
          <w:p>
            <w:pPr>
              <w:spacing w:after="0"/>
              <w:rPr>
                <w:sz w:val="20"/>
                <w:szCs w:val="20"/>
                <w:color w:val="auto"/>
              </w:rPr>
            </w:pPr>
            <w:r>
              <w:rPr>
                <w:rFonts w:ascii="Arial" w:cs="Arial" w:eastAsia="Arial" w:hAnsi="Arial"/>
                <w:sz w:val="16"/>
                <w:szCs w:val="16"/>
                <w:b w:val="1"/>
                <w:bCs w:val="1"/>
                <w:color w:val="132440"/>
              </w:rPr>
              <w:t>performance periods</w:t>
            </w:r>
          </w:p>
        </w:tc>
        <w:tc>
          <w:tcPr>
            <w:tcW w:w="8200" w:type="dxa"/>
            <w:vAlign w:val="bottom"/>
          </w:tcPr>
          <w:p>
            <w:pPr>
              <w:ind w:left="600"/>
              <w:spacing w:after="0"/>
              <w:rPr>
                <w:sz w:val="20"/>
                <w:szCs w:val="20"/>
                <w:color w:val="auto"/>
              </w:rPr>
            </w:pPr>
            <w:r>
              <w:rPr>
                <w:rFonts w:ascii="Arial" w:cs="Arial" w:eastAsia="Arial" w:hAnsi="Arial"/>
                <w:sz w:val="16"/>
                <w:szCs w:val="16"/>
                <w:color w:val="4D4D4F"/>
              </w:rPr>
              <w:t>generally have three-year performance periods, with additional post-vesting holding requirements.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3689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p>
      <w:pPr>
        <w:spacing w:after="0" w:line="312" w:lineRule="exact"/>
        <w:rPr>
          <w:sz w:val="20"/>
          <w:szCs w:val="20"/>
          <w:color w:val="auto"/>
        </w:rPr>
      </w:pPr>
    </w:p>
    <w:p>
      <w:pPr>
        <w:ind w:left="100" w:right="220"/>
        <w:spacing w:after="0" w:line="296" w:lineRule="auto"/>
        <w:rPr>
          <w:sz w:val="20"/>
          <w:szCs w:val="20"/>
          <w:color w:val="auto"/>
        </w:rPr>
      </w:pPr>
      <w:r>
        <w:rPr>
          <w:rFonts w:ascii="Arial" w:cs="Arial" w:eastAsia="Arial" w:hAnsi="Arial"/>
          <w:sz w:val="16"/>
          <w:szCs w:val="16"/>
          <w:b w:val="1"/>
          <w:bCs w:val="1"/>
          <w:color w:val="132440"/>
        </w:rPr>
        <w:t>Prohibition on hedging, and short sales</w:t>
      </w:r>
    </w:p>
    <w:p>
      <w:pPr>
        <w:spacing w:after="0" w:line="127" w:lineRule="exact"/>
        <w:rPr>
          <w:sz w:val="20"/>
          <w:szCs w:val="20"/>
          <w:color w:val="auto"/>
        </w:rPr>
      </w:pPr>
    </w:p>
    <w:p>
      <w:pPr>
        <w:ind w:left="100"/>
        <w:spacing w:after="0" w:line="296" w:lineRule="auto"/>
        <w:rPr>
          <w:sz w:val="20"/>
          <w:szCs w:val="20"/>
          <w:color w:val="auto"/>
        </w:rPr>
      </w:pPr>
      <w:r>
        <w:rPr>
          <w:rFonts w:ascii="Arial" w:cs="Arial" w:eastAsia="Arial" w:hAnsi="Arial"/>
          <w:sz w:val="16"/>
          <w:szCs w:val="16"/>
          <w:b w:val="1"/>
          <w:bCs w:val="1"/>
          <w:color w:val="132440"/>
        </w:rPr>
        <w:t>Stock ownership and retention guidelines</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4D4D4F"/>
        </w:rPr>
        <w:t>We prohibit short sales and hedging of shares. Pledged shares do not count towards compliance with our stock ownership guidelines.</w:t>
      </w:r>
    </w:p>
    <w:p>
      <w:pPr>
        <w:spacing w:after="0" w:line="88"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4D4D4F"/>
        </w:rPr>
        <w:t>We have robust stock ownership guidelines for our NEOs, including a seven times annual base salary requirement for our CEO, five times annual base salary requirement for our CFO, and three times annual base salary requirement for other executive officers. In addition, our executive officers are required to retain 50% of any net shares acquired pursuant to any equity award for three years after the shares are delivered (or until the individual eases to be an executive officer, if earlier).</w:t>
      </w:r>
    </w:p>
    <w:p>
      <w:pPr>
        <w:spacing w:after="0" w:line="168" w:lineRule="exact"/>
        <w:rPr>
          <w:sz w:val="20"/>
          <w:szCs w:val="20"/>
          <w:color w:val="auto"/>
        </w:rPr>
      </w:pPr>
    </w:p>
    <w:p>
      <w:pPr>
        <w:sectPr>
          <w:pgSz w:w="11900" w:h="16838" w:orient="portrait"/>
          <w:cols w:equalWidth="0" w:num="2">
            <w:col w:w="2480" w:space="520"/>
            <w:col w:w="8240"/>
          </w:cols>
          <w:pgMar w:left="320" w:top="279" w:right="339" w:bottom="1440" w:gutter="0" w:footer="0" w:header="0"/>
          <w:type w:val="continuous"/>
        </w:sectPr>
      </w:pPr>
    </w:p>
    <w:tbl>
      <w:tblPr>
        <w:tblLayout w:type="fixed"/>
        <w:tblInd w:w="0" w:type="dxa"/>
        <w:tblCellMar>
          <w:top w:w="0" w:type="dxa"/>
          <w:left w:w="0" w:type="dxa"/>
          <w:bottom w:w="0" w:type="dxa"/>
          <w:right w:w="0" w:type="dxa"/>
        </w:tblCellMar>
      </w:tblPr>
      <w:tr>
        <w:trPr>
          <w:trHeight w:val="330"/>
        </w:trPr>
        <w:tc>
          <w:tcPr>
            <w:tcW w:w="2500" w:type="dxa"/>
            <w:vAlign w:val="bottom"/>
            <w:shd w:val="clear" w:color="auto" w:fill="EAEEF2"/>
          </w:tcPr>
          <w:p>
            <w:pPr>
              <w:ind w:left="100"/>
              <w:spacing w:after="0"/>
              <w:rPr>
                <w:sz w:val="20"/>
                <w:szCs w:val="20"/>
                <w:color w:val="auto"/>
              </w:rPr>
            </w:pPr>
            <w:r>
              <w:rPr>
                <w:rFonts w:ascii="Arial" w:cs="Arial" w:eastAsia="Arial" w:hAnsi="Arial"/>
                <w:sz w:val="16"/>
                <w:szCs w:val="16"/>
                <w:b w:val="1"/>
                <w:bCs w:val="1"/>
                <w:color w:val="132440"/>
              </w:rPr>
              <w:t>No repricing</w:t>
            </w:r>
          </w:p>
        </w:tc>
        <w:tc>
          <w:tcPr>
            <w:tcW w:w="8740" w:type="dxa"/>
            <w:vAlign w:val="bottom"/>
            <w:shd w:val="clear" w:color="auto" w:fill="EAEEF2"/>
          </w:tcPr>
          <w:p>
            <w:pPr>
              <w:ind w:left="500"/>
              <w:spacing w:after="0"/>
              <w:rPr>
                <w:sz w:val="20"/>
                <w:szCs w:val="20"/>
                <w:color w:val="auto"/>
              </w:rPr>
            </w:pPr>
            <w:r>
              <w:rPr>
                <w:rFonts w:ascii="Arial" w:cs="Arial" w:eastAsia="Arial" w:hAnsi="Arial"/>
                <w:sz w:val="16"/>
                <w:szCs w:val="16"/>
                <w:color w:val="4D4D4F"/>
              </w:rPr>
              <w:t>We do not allow repricing or buy-outs of stock options or stock appreciation rights without shareholder approval.</w:t>
            </w:r>
          </w:p>
        </w:tc>
      </w:tr>
      <w:tr>
        <w:trPr>
          <w:trHeight w:val="197"/>
        </w:trPr>
        <w:tc>
          <w:tcPr>
            <w:tcW w:w="2500" w:type="dxa"/>
            <w:vAlign w:val="bottom"/>
            <w:shd w:val="clear" w:color="auto" w:fill="EAEEF2"/>
          </w:tcPr>
          <w:p>
            <w:pPr>
              <w:spacing w:after="0"/>
              <w:rPr>
                <w:sz w:val="17"/>
                <w:szCs w:val="17"/>
                <w:color w:val="auto"/>
              </w:rPr>
            </w:pPr>
          </w:p>
        </w:tc>
        <w:tc>
          <w:tcPr>
            <w:tcW w:w="8740" w:type="dxa"/>
            <w:vAlign w:val="bottom"/>
            <w:shd w:val="clear" w:color="auto" w:fill="EAEEF2"/>
          </w:tcPr>
          <w:p>
            <w:pPr>
              <w:spacing w:after="0"/>
              <w:rPr>
                <w:sz w:val="17"/>
                <w:szCs w:val="17"/>
                <w:color w:val="auto"/>
              </w:rPr>
            </w:pPr>
          </w:p>
        </w:tc>
      </w:tr>
      <w:tr>
        <w:trPr>
          <w:trHeight w:val="323"/>
        </w:trPr>
        <w:tc>
          <w:tcPr>
            <w:tcW w:w="2500" w:type="dxa"/>
            <w:vAlign w:val="bottom"/>
          </w:tcPr>
          <w:p>
            <w:pPr>
              <w:ind w:left="100"/>
              <w:spacing w:after="0"/>
              <w:rPr>
                <w:sz w:val="20"/>
                <w:szCs w:val="20"/>
                <w:color w:val="auto"/>
              </w:rPr>
            </w:pPr>
            <w:r>
              <w:rPr>
                <w:rFonts w:ascii="Arial" w:cs="Arial" w:eastAsia="Arial" w:hAnsi="Arial"/>
                <w:sz w:val="16"/>
                <w:szCs w:val="16"/>
                <w:b w:val="1"/>
                <w:bCs w:val="1"/>
                <w:color w:val="132440"/>
              </w:rPr>
              <w:t>Clawback policy</w:t>
            </w:r>
          </w:p>
        </w:tc>
        <w:tc>
          <w:tcPr>
            <w:tcW w:w="8740" w:type="dxa"/>
            <w:vAlign w:val="bottom"/>
          </w:tcPr>
          <w:p>
            <w:pPr>
              <w:ind w:left="500"/>
              <w:spacing w:after="0"/>
              <w:rPr>
                <w:sz w:val="20"/>
                <w:szCs w:val="20"/>
                <w:color w:val="auto"/>
              </w:rPr>
            </w:pPr>
            <w:r>
              <w:rPr>
                <w:rFonts w:ascii="Arial" w:cs="Arial" w:eastAsia="Arial" w:hAnsi="Arial"/>
                <w:sz w:val="16"/>
                <w:szCs w:val="16"/>
                <w:color w:val="4D4D4F"/>
              </w:rPr>
              <w:t>We have a clawback policy that complies with new SEC rules and NYSE listing standards for our Section 16</w:t>
            </w:r>
          </w:p>
        </w:tc>
      </w:tr>
      <w:tr>
        <w:trPr>
          <w:trHeight w:val="215"/>
        </w:trPr>
        <w:tc>
          <w:tcPr>
            <w:tcW w:w="2500" w:type="dxa"/>
            <w:vAlign w:val="bottom"/>
          </w:tcPr>
          <w:p>
            <w:pPr>
              <w:spacing w:after="0"/>
              <w:rPr>
                <w:sz w:val="18"/>
                <w:szCs w:val="18"/>
                <w:color w:val="auto"/>
              </w:rPr>
            </w:pPr>
          </w:p>
        </w:tc>
        <w:tc>
          <w:tcPr>
            <w:tcW w:w="8740" w:type="dxa"/>
            <w:vAlign w:val="bottom"/>
          </w:tcPr>
          <w:p>
            <w:pPr>
              <w:ind w:left="500"/>
              <w:spacing w:after="0"/>
              <w:rPr>
                <w:sz w:val="20"/>
                <w:szCs w:val="20"/>
                <w:color w:val="auto"/>
              </w:rPr>
            </w:pPr>
            <w:r>
              <w:rPr>
                <w:rFonts w:ascii="Arial" w:cs="Arial" w:eastAsia="Arial" w:hAnsi="Arial"/>
                <w:sz w:val="16"/>
                <w:szCs w:val="16"/>
                <w:color w:val="4D4D4F"/>
              </w:rPr>
              <w:t>officers, including the NEOs, for the recovery of certain erroneously awarded performance-based incentive</w:t>
            </w:r>
          </w:p>
        </w:tc>
      </w:tr>
      <w:tr>
        <w:trPr>
          <w:trHeight w:val="216"/>
        </w:trPr>
        <w:tc>
          <w:tcPr>
            <w:tcW w:w="2500" w:type="dxa"/>
            <w:vAlign w:val="bottom"/>
          </w:tcPr>
          <w:p>
            <w:pPr>
              <w:spacing w:after="0"/>
              <w:rPr>
                <w:sz w:val="18"/>
                <w:szCs w:val="18"/>
                <w:color w:val="auto"/>
              </w:rPr>
            </w:pPr>
          </w:p>
        </w:tc>
        <w:tc>
          <w:tcPr>
            <w:tcW w:w="8740" w:type="dxa"/>
            <w:vAlign w:val="bottom"/>
          </w:tcPr>
          <w:p>
            <w:pPr>
              <w:ind w:left="500"/>
              <w:spacing w:after="0"/>
              <w:rPr>
                <w:sz w:val="20"/>
                <w:szCs w:val="20"/>
                <w:color w:val="auto"/>
              </w:rPr>
            </w:pPr>
            <w:r>
              <w:rPr>
                <w:rFonts w:ascii="Arial" w:cs="Arial" w:eastAsia="Arial" w:hAnsi="Arial"/>
                <w:sz w:val="16"/>
                <w:szCs w:val="16"/>
                <w:color w:val="4D4D4F"/>
              </w:rPr>
              <w:t>compensation.</w:t>
            </w:r>
          </w:p>
        </w:tc>
      </w:tr>
      <w:tr>
        <w:trPr>
          <w:trHeight w:val="205"/>
        </w:trPr>
        <w:tc>
          <w:tcPr>
            <w:tcW w:w="2500" w:type="dxa"/>
            <w:vAlign w:val="bottom"/>
          </w:tcPr>
          <w:p>
            <w:pPr>
              <w:spacing w:after="0"/>
              <w:rPr>
                <w:sz w:val="17"/>
                <w:szCs w:val="17"/>
                <w:color w:val="auto"/>
              </w:rPr>
            </w:pPr>
          </w:p>
        </w:tc>
        <w:tc>
          <w:tcPr>
            <w:tcW w:w="8740" w:type="dxa"/>
            <w:vAlign w:val="bottom"/>
          </w:tcPr>
          <w:p>
            <w:pPr>
              <w:spacing w:after="0"/>
              <w:rPr>
                <w:sz w:val="17"/>
                <w:szCs w:val="17"/>
                <w:color w:val="auto"/>
              </w:rPr>
            </w:pPr>
          </w:p>
        </w:tc>
      </w:tr>
      <w:tr>
        <w:trPr>
          <w:trHeight w:val="330"/>
        </w:trPr>
        <w:tc>
          <w:tcPr>
            <w:tcW w:w="2500" w:type="dxa"/>
            <w:vAlign w:val="bottom"/>
            <w:shd w:val="clear" w:color="auto" w:fill="EAEEF2"/>
          </w:tcPr>
          <w:p>
            <w:pPr>
              <w:ind w:left="100"/>
              <w:spacing w:after="0"/>
              <w:rPr>
                <w:sz w:val="20"/>
                <w:szCs w:val="20"/>
                <w:color w:val="auto"/>
              </w:rPr>
            </w:pPr>
            <w:r>
              <w:rPr>
                <w:rFonts w:ascii="Arial" w:cs="Arial" w:eastAsia="Arial" w:hAnsi="Arial"/>
                <w:sz w:val="16"/>
                <w:szCs w:val="16"/>
                <w:b w:val="1"/>
                <w:bCs w:val="1"/>
                <w:color w:val="132440"/>
              </w:rPr>
              <w:t>No extensive perquisites</w:t>
            </w:r>
          </w:p>
        </w:tc>
        <w:tc>
          <w:tcPr>
            <w:tcW w:w="8740" w:type="dxa"/>
            <w:vAlign w:val="bottom"/>
            <w:shd w:val="clear" w:color="auto" w:fill="EAEEF2"/>
          </w:tcPr>
          <w:p>
            <w:pPr>
              <w:ind w:left="500"/>
              <w:spacing w:after="0"/>
              <w:rPr>
                <w:sz w:val="20"/>
                <w:szCs w:val="20"/>
                <w:color w:val="auto"/>
              </w:rPr>
            </w:pPr>
            <w:r>
              <w:rPr>
                <w:rFonts w:ascii="Arial" w:cs="Arial" w:eastAsia="Arial" w:hAnsi="Arial"/>
                <w:sz w:val="16"/>
                <w:szCs w:val="16"/>
                <w:color w:val="4D4D4F"/>
              </w:rPr>
              <w:t>We do not provide extensive perquisites to our NEOs.</w:t>
            </w:r>
          </w:p>
        </w:tc>
      </w:tr>
      <w:tr>
        <w:trPr>
          <w:trHeight w:val="196"/>
        </w:trPr>
        <w:tc>
          <w:tcPr>
            <w:tcW w:w="2500" w:type="dxa"/>
            <w:vAlign w:val="bottom"/>
            <w:shd w:val="clear" w:color="auto" w:fill="EAEEF2"/>
          </w:tcPr>
          <w:p>
            <w:pPr>
              <w:spacing w:after="0"/>
              <w:rPr>
                <w:sz w:val="17"/>
                <w:szCs w:val="17"/>
                <w:color w:val="auto"/>
              </w:rPr>
            </w:pPr>
          </w:p>
        </w:tc>
        <w:tc>
          <w:tcPr>
            <w:tcW w:w="8740" w:type="dxa"/>
            <w:vAlign w:val="bottom"/>
            <w:shd w:val="clear" w:color="auto" w:fill="EAEEF2"/>
          </w:tcPr>
          <w:p>
            <w:pPr>
              <w:spacing w:after="0"/>
              <w:rPr>
                <w:sz w:val="17"/>
                <w:szCs w:val="17"/>
                <w:color w:val="auto"/>
              </w:rPr>
            </w:pPr>
          </w:p>
        </w:tc>
      </w:tr>
      <w:tr>
        <w:trPr>
          <w:trHeight w:val="296"/>
        </w:trPr>
        <w:tc>
          <w:tcPr>
            <w:tcW w:w="2500" w:type="dxa"/>
            <w:vAlign w:val="bottom"/>
          </w:tcPr>
          <w:p>
            <w:pPr>
              <w:ind w:left="100"/>
              <w:spacing w:after="0"/>
              <w:rPr>
                <w:sz w:val="20"/>
                <w:szCs w:val="20"/>
                <w:color w:val="auto"/>
              </w:rPr>
            </w:pPr>
            <w:r>
              <w:rPr>
                <w:rFonts w:ascii="Arial" w:cs="Arial" w:eastAsia="Arial" w:hAnsi="Arial"/>
                <w:sz w:val="16"/>
                <w:szCs w:val="16"/>
                <w:b w:val="1"/>
                <w:bCs w:val="1"/>
                <w:color w:val="132440"/>
              </w:rPr>
              <w:t>No tax gross-ups on</w:t>
            </w:r>
          </w:p>
        </w:tc>
        <w:tc>
          <w:tcPr>
            <w:tcW w:w="8740" w:type="dxa"/>
            <w:vAlign w:val="bottom"/>
          </w:tcPr>
          <w:p>
            <w:pPr>
              <w:ind w:left="500"/>
              <w:spacing w:after="0"/>
              <w:rPr>
                <w:sz w:val="20"/>
                <w:szCs w:val="20"/>
                <w:color w:val="auto"/>
              </w:rPr>
            </w:pPr>
            <w:r>
              <w:rPr>
                <w:rFonts w:ascii="Arial" w:cs="Arial" w:eastAsia="Arial" w:hAnsi="Arial"/>
                <w:sz w:val="16"/>
                <w:szCs w:val="16"/>
                <w:color w:val="4D4D4F"/>
              </w:rPr>
              <w:t>We do not provide tax gross-ups on perquisites or change of control benefits.</w:t>
            </w:r>
          </w:p>
        </w:tc>
      </w:tr>
      <w:tr>
        <w:trPr>
          <w:trHeight w:val="203"/>
        </w:trPr>
        <w:tc>
          <w:tcPr>
            <w:tcW w:w="2500" w:type="dxa"/>
            <w:vAlign w:val="bottom"/>
          </w:tcPr>
          <w:p>
            <w:pPr>
              <w:ind w:left="100"/>
              <w:spacing w:after="0"/>
              <w:rPr>
                <w:sz w:val="20"/>
                <w:szCs w:val="20"/>
                <w:color w:val="auto"/>
              </w:rPr>
            </w:pPr>
            <w:r>
              <w:rPr>
                <w:rFonts w:ascii="Arial" w:cs="Arial" w:eastAsia="Arial" w:hAnsi="Arial"/>
                <w:sz w:val="16"/>
                <w:szCs w:val="16"/>
                <w:b w:val="1"/>
                <w:bCs w:val="1"/>
                <w:color w:val="132440"/>
              </w:rPr>
              <w:t>perquisites or change of</w:t>
            </w:r>
          </w:p>
        </w:tc>
        <w:tc>
          <w:tcPr>
            <w:tcW w:w="8740" w:type="dxa"/>
            <w:vAlign w:val="bottom"/>
          </w:tcPr>
          <w:p>
            <w:pPr>
              <w:spacing w:after="0"/>
              <w:rPr>
                <w:sz w:val="17"/>
                <w:szCs w:val="17"/>
                <w:color w:val="auto"/>
              </w:rPr>
            </w:pPr>
          </w:p>
        </w:tc>
      </w:tr>
      <w:tr>
        <w:trPr>
          <w:trHeight w:val="223"/>
        </w:trPr>
        <w:tc>
          <w:tcPr>
            <w:tcW w:w="2500" w:type="dxa"/>
            <w:vAlign w:val="bottom"/>
          </w:tcPr>
          <w:p>
            <w:pPr>
              <w:ind w:left="100"/>
              <w:spacing w:after="0"/>
              <w:rPr>
                <w:sz w:val="20"/>
                <w:szCs w:val="20"/>
                <w:color w:val="auto"/>
              </w:rPr>
            </w:pPr>
            <w:r>
              <w:rPr>
                <w:rFonts w:ascii="Arial" w:cs="Arial" w:eastAsia="Arial" w:hAnsi="Arial"/>
                <w:sz w:val="16"/>
                <w:szCs w:val="16"/>
                <w:b w:val="1"/>
                <w:bCs w:val="1"/>
                <w:color w:val="132440"/>
              </w:rPr>
              <w:t>control benefits</w:t>
            </w:r>
          </w:p>
        </w:tc>
        <w:tc>
          <w:tcPr>
            <w:tcW w:w="8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6686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p>
      <w:pPr>
        <w:spacing w:after="0" w:line="250" w:lineRule="exact"/>
        <w:rPr>
          <w:sz w:val="20"/>
          <w:szCs w:val="20"/>
          <w:color w:val="auto"/>
        </w:rPr>
      </w:pPr>
    </w:p>
    <w:p>
      <w:pPr>
        <w:ind w:left="100" w:right="100"/>
        <w:spacing w:after="0" w:line="269" w:lineRule="auto"/>
        <w:rPr>
          <w:sz w:val="20"/>
          <w:szCs w:val="20"/>
          <w:color w:val="auto"/>
        </w:rPr>
      </w:pPr>
      <w:r>
        <w:rPr>
          <w:rFonts w:ascii="Arial" w:cs="Arial" w:eastAsia="Arial" w:hAnsi="Arial"/>
          <w:sz w:val="16"/>
          <w:szCs w:val="16"/>
          <w:b w:val="1"/>
          <w:bCs w:val="1"/>
          <w:color w:val="132440"/>
        </w:rPr>
        <w:t>Double-trigger change of control provisions, with no liberal change of control definitions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4D4D4F"/>
        </w:rPr>
        <w:t>We have double-trigger change of control provisions in employment arrangements and for the acceleration of equity awards. These arrangements do not contain liberal change of control definitions.</w:t>
      </w:r>
    </w:p>
    <w:p>
      <w:pPr>
        <w:spacing w:after="0" w:line="532" w:lineRule="exact"/>
        <w:rPr>
          <w:sz w:val="20"/>
          <w:szCs w:val="20"/>
          <w:color w:val="auto"/>
        </w:rPr>
      </w:pPr>
    </w:p>
    <w:p>
      <w:pPr>
        <w:sectPr>
          <w:pgSz w:w="11900" w:h="16838" w:orient="portrait"/>
          <w:cols w:equalWidth="0" w:num="2">
            <w:col w:w="2280" w:space="720"/>
            <w:col w:w="8240"/>
          </w:cols>
          <w:pgMar w:left="320" w:top="279" w:right="339" w:bottom="1440" w:gutter="0" w:footer="0" w:header="0"/>
          <w:type w:val="continuous"/>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0" w:type="dxa"/>
            <w:vAlign w:val="bottom"/>
          </w:tcPr>
          <w:p>
            <w:pPr>
              <w:ind w:left="100"/>
              <w:spacing w:after="0"/>
              <w:rPr>
                <w:sz w:val="20"/>
                <w:szCs w:val="20"/>
                <w:color w:val="auto"/>
              </w:rPr>
            </w:pPr>
            <w:r>
              <w:rPr>
                <w:rFonts w:ascii="Arial" w:cs="Arial" w:eastAsia="Arial" w:hAnsi="Arial"/>
                <w:sz w:val="16"/>
                <w:szCs w:val="16"/>
                <w:b w:val="1"/>
                <w:bCs w:val="1"/>
                <w:color w:val="132440"/>
              </w:rPr>
              <w:t>No pension or other</w:t>
            </w:r>
          </w:p>
        </w:tc>
        <w:tc>
          <w:tcPr>
            <w:tcW w:w="8640" w:type="dxa"/>
            <w:vAlign w:val="bottom"/>
          </w:tcPr>
          <w:p>
            <w:pPr>
              <w:ind w:left="400"/>
              <w:spacing w:after="0"/>
              <w:rPr>
                <w:sz w:val="20"/>
                <w:szCs w:val="20"/>
                <w:color w:val="auto"/>
              </w:rPr>
            </w:pPr>
            <w:r>
              <w:rPr>
                <w:rFonts w:ascii="Arial" w:cs="Arial" w:eastAsia="Arial" w:hAnsi="Arial"/>
                <w:sz w:val="16"/>
                <w:szCs w:val="16"/>
                <w:color w:val="4D4D4F"/>
              </w:rPr>
              <w:t>We do not provide pension or supplemental retirement plan benefits.</w:t>
            </w:r>
          </w:p>
        </w:tc>
      </w:tr>
      <w:tr>
        <w:trPr>
          <w:trHeight w:val="223"/>
        </w:trPr>
        <w:tc>
          <w:tcPr>
            <w:tcW w:w="2600" w:type="dxa"/>
            <w:vAlign w:val="bottom"/>
          </w:tcPr>
          <w:p>
            <w:pPr>
              <w:ind w:left="100"/>
              <w:spacing w:after="0"/>
              <w:rPr>
                <w:sz w:val="20"/>
                <w:szCs w:val="20"/>
                <w:color w:val="auto"/>
              </w:rPr>
            </w:pPr>
            <w:r>
              <w:rPr>
                <w:rFonts w:ascii="Arial" w:cs="Arial" w:eastAsia="Arial" w:hAnsi="Arial"/>
                <w:sz w:val="16"/>
                <w:szCs w:val="16"/>
                <w:b w:val="1"/>
                <w:bCs w:val="1"/>
                <w:color w:val="132440"/>
              </w:rPr>
              <w:t>supplemental benefits</w:t>
            </w:r>
          </w:p>
        </w:tc>
        <w:tc>
          <w:tcPr>
            <w:tcW w:w="8640" w:type="dxa"/>
            <w:vAlign w:val="bottom"/>
          </w:tcPr>
          <w:p>
            <w:pPr>
              <w:spacing w:after="0"/>
              <w:rPr>
                <w:sz w:val="19"/>
                <w:szCs w:val="19"/>
                <w:color w:val="auto"/>
              </w:rPr>
            </w:pPr>
          </w:p>
        </w:tc>
      </w:tr>
      <w:tr>
        <w:trPr>
          <w:trHeight w:val="21"/>
        </w:trPr>
        <w:tc>
          <w:tcPr>
            <w:tcW w:w="260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296"/>
        </w:trPr>
        <w:tc>
          <w:tcPr>
            <w:tcW w:w="2600" w:type="dxa"/>
            <w:vAlign w:val="bottom"/>
            <w:shd w:val="clear" w:color="auto" w:fill="EAEEF2"/>
          </w:tcPr>
          <w:p>
            <w:pPr>
              <w:ind w:left="100"/>
              <w:spacing w:after="0"/>
              <w:rPr>
                <w:sz w:val="20"/>
                <w:szCs w:val="20"/>
                <w:color w:val="auto"/>
              </w:rPr>
            </w:pPr>
            <w:r>
              <w:rPr>
                <w:rFonts w:ascii="Arial" w:cs="Arial" w:eastAsia="Arial" w:hAnsi="Arial"/>
                <w:sz w:val="16"/>
                <w:szCs w:val="16"/>
                <w:b w:val="1"/>
                <w:bCs w:val="1"/>
                <w:color w:val="132440"/>
              </w:rPr>
              <w:t>Annual compensation risk</w:t>
            </w:r>
          </w:p>
        </w:tc>
        <w:tc>
          <w:tcPr>
            <w:tcW w:w="8640" w:type="dxa"/>
            <w:vAlign w:val="bottom"/>
            <w:shd w:val="clear" w:color="auto" w:fill="EAEEF2"/>
          </w:tcPr>
          <w:p>
            <w:pPr>
              <w:ind w:left="400"/>
              <w:spacing w:after="0"/>
              <w:rPr>
                <w:sz w:val="20"/>
                <w:szCs w:val="20"/>
                <w:color w:val="auto"/>
              </w:rPr>
            </w:pPr>
            <w:r>
              <w:rPr>
                <w:rFonts w:ascii="Arial" w:cs="Arial" w:eastAsia="Arial" w:hAnsi="Arial"/>
                <w:sz w:val="16"/>
                <w:szCs w:val="16"/>
                <w:color w:val="4D4D4F"/>
              </w:rPr>
              <w:t>The Compensation Committee oversees an annual risk assessment of our compensation program.</w:t>
            </w:r>
          </w:p>
        </w:tc>
      </w:tr>
      <w:tr>
        <w:trPr>
          <w:trHeight w:val="224"/>
        </w:trPr>
        <w:tc>
          <w:tcPr>
            <w:tcW w:w="260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6"/>
                <w:szCs w:val="16"/>
                <w:b w:val="1"/>
                <w:bCs w:val="1"/>
                <w:color w:val="132440"/>
              </w:rPr>
              <w:t>assessment</w:t>
            </w:r>
          </w:p>
        </w:tc>
        <w:tc>
          <w:tcPr>
            <w:tcW w:w="8640" w:type="dxa"/>
            <w:vAlign w:val="bottom"/>
            <w:tcBorders>
              <w:bottom w:val="single" w:sz="8" w:color="EAEEF2"/>
            </w:tcBorders>
            <w:shd w:val="clear" w:color="auto" w:fill="EAEEF2"/>
          </w:tcPr>
          <w:p>
            <w:pPr>
              <w:spacing w:after="0"/>
              <w:rPr>
                <w:sz w:val="19"/>
                <w:szCs w:val="19"/>
                <w:color w:val="auto"/>
              </w:rPr>
            </w:pPr>
          </w:p>
        </w:tc>
      </w:tr>
      <w:tr>
        <w:trPr>
          <w:trHeight w:val="296"/>
        </w:trPr>
        <w:tc>
          <w:tcPr>
            <w:tcW w:w="2600" w:type="dxa"/>
            <w:vAlign w:val="bottom"/>
          </w:tcPr>
          <w:p>
            <w:pPr>
              <w:ind w:left="100"/>
              <w:spacing w:after="0"/>
              <w:rPr>
                <w:sz w:val="20"/>
                <w:szCs w:val="20"/>
                <w:color w:val="auto"/>
              </w:rPr>
            </w:pPr>
            <w:r>
              <w:rPr>
                <w:rFonts w:ascii="Arial" w:cs="Arial" w:eastAsia="Arial" w:hAnsi="Arial"/>
                <w:sz w:val="16"/>
                <w:szCs w:val="16"/>
                <w:b w:val="1"/>
                <w:bCs w:val="1"/>
                <w:color w:val="132440"/>
              </w:rPr>
              <w:t>Independent compensation</w:t>
            </w:r>
          </w:p>
        </w:tc>
        <w:tc>
          <w:tcPr>
            <w:tcW w:w="8640" w:type="dxa"/>
            <w:vAlign w:val="bottom"/>
          </w:tcPr>
          <w:p>
            <w:pPr>
              <w:ind w:left="400"/>
              <w:spacing w:after="0"/>
              <w:rPr>
                <w:sz w:val="20"/>
                <w:szCs w:val="20"/>
                <w:color w:val="auto"/>
              </w:rPr>
            </w:pPr>
            <w:r>
              <w:rPr>
                <w:rFonts w:ascii="Arial" w:cs="Arial" w:eastAsia="Arial" w:hAnsi="Arial"/>
                <w:sz w:val="16"/>
                <w:szCs w:val="16"/>
                <w:color w:val="4D4D4F"/>
              </w:rPr>
              <w:t>The Compensation Committee directly retains an independent compensation consultant that reports directly to</w:t>
            </w:r>
          </w:p>
        </w:tc>
      </w:tr>
      <w:tr>
        <w:trPr>
          <w:trHeight w:val="242"/>
        </w:trPr>
        <w:tc>
          <w:tcPr>
            <w:tcW w:w="2600" w:type="dxa"/>
            <w:vAlign w:val="bottom"/>
          </w:tcPr>
          <w:p>
            <w:pPr>
              <w:ind w:left="100"/>
              <w:spacing w:after="0"/>
              <w:rPr>
                <w:sz w:val="20"/>
                <w:szCs w:val="20"/>
                <w:color w:val="auto"/>
              </w:rPr>
            </w:pPr>
            <w:r>
              <w:rPr>
                <w:rFonts w:ascii="Arial" w:cs="Arial" w:eastAsia="Arial" w:hAnsi="Arial"/>
                <w:sz w:val="16"/>
                <w:szCs w:val="16"/>
                <w:b w:val="1"/>
                <w:bCs w:val="1"/>
                <w:color w:val="132440"/>
              </w:rPr>
              <w:t>consultant</w:t>
            </w:r>
          </w:p>
        </w:tc>
        <w:tc>
          <w:tcPr>
            <w:tcW w:w="8640" w:type="dxa"/>
            <w:vAlign w:val="bottom"/>
          </w:tcPr>
          <w:p>
            <w:pPr>
              <w:ind w:left="400"/>
              <w:spacing w:after="0"/>
              <w:rPr>
                <w:sz w:val="20"/>
                <w:szCs w:val="20"/>
                <w:color w:val="auto"/>
              </w:rPr>
            </w:pPr>
            <w:r>
              <w:rPr>
                <w:rFonts w:ascii="Arial" w:cs="Arial" w:eastAsia="Arial" w:hAnsi="Arial"/>
                <w:sz w:val="16"/>
                <w:szCs w:val="16"/>
                <w:color w:val="4D4D4F"/>
              </w:rPr>
              <w:t>the Compensation Committee.</w:t>
            </w:r>
          </w:p>
        </w:tc>
      </w:tr>
      <w:tr>
        <w:trPr>
          <w:trHeight w:val="43"/>
        </w:trPr>
        <w:tc>
          <w:tcPr>
            <w:tcW w:w="2600" w:type="dxa"/>
            <w:vAlign w:val="bottom"/>
            <w:tcBorders>
              <w:bottom w:val="single" w:sz="8" w:color="298655"/>
            </w:tcBorders>
          </w:tcPr>
          <w:p>
            <w:pPr>
              <w:spacing w:after="0"/>
              <w:rPr>
                <w:sz w:val="3"/>
                <w:szCs w:val="3"/>
                <w:color w:val="auto"/>
              </w:rPr>
            </w:pPr>
          </w:p>
        </w:tc>
        <w:tc>
          <w:tcPr>
            <w:tcW w:w="8640" w:type="dxa"/>
            <w:vAlign w:val="bottom"/>
            <w:tcBorders>
              <w:bottom w:val="single" w:sz="8" w:color="298655"/>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0" w:hanging="534"/>
        <w:spacing w:after="0"/>
        <w:tabs>
          <w:tab w:leader="none" w:pos="560" w:val="left"/>
        </w:tabs>
        <w:numPr>
          <w:ilvl w:val="0"/>
          <w:numId w:val="79"/>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53" w:name="page54"/>
    <w:bookmarkEnd w:id="53"/>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Overview of the 2023 Executive Compensation Program</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Compensation Philosophy</w:t>
      </w:r>
    </w:p>
    <w:p>
      <w:pPr>
        <w:spacing w:after="0" w:line="144"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4D4D4F"/>
        </w:rPr>
        <w:t>Our executive compensation programs are designed to: (i) attract, motivate and retain the exceptional management talent required to achieve above average growth and profitability; (ii) focus on rewarding the types of performance that increase shareholder value; (iii) link executive compensation to our long-term strategic objectives and (iv) align executives’ interests with those of our shareholders.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Elements of Compensation</w:t>
      </w:r>
    </w:p>
    <w:p>
      <w:pPr>
        <w:spacing w:after="0" w:line="1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4D4D4F"/>
        </w:rPr>
        <w:t>Our Compensation Committee uses a variety of compensation elements to establish individual compensation programs for each of our NEOs. As we discussed in our 2023 Proxy Statement, in 2022 the Compensation Committee reduced the percentage of total target compensation that was payable in cash and allocated a larger portion of incentive opportunity to long-term equity awards to foster stronger alignment with long-term value creation. As a result, 60% of long-term incentives vest based on the achievement of pre-established performance conditions and 40% vest based on service requirements. For 2023, the Compensation Committee maintained the same shareholder-aligned approach. The table below provides an overview of our 2023 compensation program elements, along with the purpose and material terms of each of these elements.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4D4D4F"/>
              </w:rPr>
              <w:t>Form of</w:t>
            </w:r>
          </w:p>
        </w:tc>
        <w:tc>
          <w:tcPr>
            <w:tcW w:w="3560" w:type="dxa"/>
            <w:vAlign w:val="bottom"/>
          </w:tcPr>
          <w:p>
            <w:pPr>
              <w:spacing w:after="0"/>
              <w:rPr>
                <w:sz w:val="15"/>
                <w:szCs w:val="15"/>
                <w:color w:val="auto"/>
              </w:rPr>
            </w:pPr>
          </w:p>
        </w:tc>
      </w:tr>
      <w:tr>
        <w:trPr>
          <w:trHeight w:val="204"/>
        </w:trPr>
        <w:tc>
          <w:tcPr>
            <w:tcW w:w="1700" w:type="dxa"/>
            <w:vAlign w:val="bottom"/>
          </w:tcPr>
          <w:p>
            <w:pPr>
              <w:ind w:left="100"/>
              <w:spacing w:after="0"/>
              <w:rPr>
                <w:sz w:val="20"/>
                <w:szCs w:val="20"/>
                <w:color w:val="auto"/>
              </w:rPr>
            </w:pPr>
            <w:r>
              <w:rPr>
                <w:rFonts w:ascii="Arial" w:cs="Arial" w:eastAsia="Arial" w:hAnsi="Arial"/>
                <w:sz w:val="14"/>
                <w:szCs w:val="14"/>
                <w:b w:val="1"/>
                <w:bCs w:val="1"/>
                <w:color w:val="4D4D4F"/>
              </w:rPr>
              <w:t>Element</w:t>
            </w: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920" w:type="dxa"/>
            <w:vAlign w:val="bottom"/>
          </w:tcPr>
          <w:p>
            <w:pPr>
              <w:ind w:left="580"/>
              <w:spacing w:after="0"/>
              <w:rPr>
                <w:sz w:val="20"/>
                <w:szCs w:val="20"/>
                <w:color w:val="auto"/>
              </w:rPr>
            </w:pPr>
            <w:r>
              <w:rPr>
                <w:rFonts w:ascii="Arial" w:cs="Arial" w:eastAsia="Arial" w:hAnsi="Arial"/>
                <w:sz w:val="14"/>
                <w:szCs w:val="14"/>
                <w:b w:val="1"/>
                <w:bCs w:val="1"/>
                <w:color w:val="4D4D4F"/>
              </w:rPr>
              <w:t>Purpose</w:t>
            </w:r>
          </w:p>
        </w:tc>
        <w:tc>
          <w:tcPr>
            <w:tcW w:w="1000" w:type="dxa"/>
            <w:vAlign w:val="bottom"/>
          </w:tcPr>
          <w:p>
            <w:pPr>
              <w:ind w:left="160"/>
              <w:spacing w:after="0"/>
              <w:rPr>
                <w:sz w:val="20"/>
                <w:szCs w:val="20"/>
                <w:color w:val="auto"/>
              </w:rPr>
            </w:pPr>
            <w:r>
              <w:rPr>
                <w:rFonts w:ascii="Arial" w:cs="Arial" w:eastAsia="Arial" w:hAnsi="Arial"/>
                <w:sz w:val="14"/>
                <w:szCs w:val="14"/>
                <w:b w:val="1"/>
                <w:bCs w:val="1"/>
                <w:color w:val="4D4D4F"/>
              </w:rPr>
              <w:t>Payout</w:t>
            </w:r>
          </w:p>
        </w:tc>
        <w:tc>
          <w:tcPr>
            <w:tcW w:w="3560" w:type="dxa"/>
            <w:vAlign w:val="bottom"/>
          </w:tcPr>
          <w:p>
            <w:pPr>
              <w:ind w:left="20"/>
              <w:spacing w:after="0"/>
              <w:rPr>
                <w:sz w:val="20"/>
                <w:szCs w:val="20"/>
                <w:color w:val="auto"/>
              </w:rPr>
            </w:pPr>
            <w:r>
              <w:rPr>
                <w:rFonts w:ascii="Arial" w:cs="Arial" w:eastAsia="Arial" w:hAnsi="Arial"/>
                <w:sz w:val="14"/>
                <w:szCs w:val="14"/>
                <w:b w:val="1"/>
                <w:bCs w:val="1"/>
                <w:color w:val="4D4D4F"/>
              </w:rPr>
              <w:t>Material Terms</w:t>
            </w:r>
          </w:p>
        </w:tc>
      </w:tr>
      <w:tr>
        <w:trPr>
          <w:trHeight w:val="296"/>
        </w:trPr>
        <w:tc>
          <w:tcPr>
            <w:tcW w:w="1700" w:type="dxa"/>
            <w:vAlign w:val="bottom"/>
            <w:shd w:val="clear" w:color="auto" w:fill="5B6770"/>
          </w:tcPr>
          <w:p>
            <w:pPr>
              <w:ind w:left="100"/>
              <w:spacing w:after="0"/>
              <w:rPr>
                <w:sz w:val="20"/>
                <w:szCs w:val="20"/>
                <w:color w:val="auto"/>
              </w:rPr>
            </w:pPr>
            <w:r>
              <w:rPr>
                <w:rFonts w:ascii="Arial" w:cs="Arial" w:eastAsia="Arial" w:hAnsi="Arial"/>
                <w:sz w:val="14"/>
                <w:szCs w:val="14"/>
                <w:b w:val="1"/>
                <w:bCs w:val="1"/>
                <w:color w:val="FFFFFF"/>
              </w:rPr>
              <w:t>Fixed</w:t>
            </w:r>
          </w:p>
        </w:tc>
        <w:tc>
          <w:tcPr>
            <w:tcW w:w="140" w:type="dxa"/>
            <w:vAlign w:val="bottom"/>
            <w:shd w:val="clear" w:color="auto" w:fill="E7E8EA"/>
          </w:tcPr>
          <w:p>
            <w:pPr>
              <w:spacing w:after="0"/>
              <w:rPr>
                <w:sz w:val="24"/>
                <w:szCs w:val="24"/>
                <w:color w:val="auto"/>
              </w:rPr>
            </w:pPr>
          </w:p>
        </w:tc>
        <w:tc>
          <w:tcPr>
            <w:tcW w:w="1920" w:type="dxa"/>
            <w:vAlign w:val="bottom"/>
            <w:shd w:val="clear" w:color="auto" w:fill="E7E8EA"/>
          </w:tcPr>
          <w:p>
            <w:pPr>
              <w:ind w:left="20"/>
              <w:spacing w:after="0"/>
              <w:rPr>
                <w:sz w:val="20"/>
                <w:szCs w:val="20"/>
                <w:color w:val="auto"/>
              </w:rPr>
            </w:pPr>
            <w:r>
              <w:rPr>
                <w:rFonts w:ascii="Arial" w:cs="Arial" w:eastAsia="Arial" w:hAnsi="Arial"/>
                <w:sz w:val="14"/>
                <w:szCs w:val="14"/>
                <w:color w:val="4D4D4F"/>
              </w:rPr>
              <w:t>Annual Base Salary</w:t>
            </w:r>
          </w:p>
        </w:tc>
        <w:tc>
          <w:tcPr>
            <w:tcW w:w="2920" w:type="dxa"/>
            <w:vAlign w:val="bottom"/>
            <w:shd w:val="clear" w:color="auto" w:fill="E7E8EA"/>
          </w:tcPr>
          <w:p>
            <w:pPr>
              <w:ind w:left="580"/>
              <w:spacing w:after="0"/>
              <w:rPr>
                <w:sz w:val="20"/>
                <w:szCs w:val="20"/>
                <w:color w:val="auto"/>
              </w:rPr>
            </w:pPr>
            <w:r>
              <w:rPr>
                <w:rFonts w:ascii="Arial" w:cs="Arial" w:eastAsia="Arial" w:hAnsi="Arial"/>
                <w:sz w:val="14"/>
                <w:szCs w:val="14"/>
                <w:color w:val="4D4D4F"/>
              </w:rPr>
              <w:t>Provide a competitive level of fixed</w:t>
            </w:r>
          </w:p>
        </w:tc>
        <w:tc>
          <w:tcPr>
            <w:tcW w:w="1000" w:type="dxa"/>
            <w:vAlign w:val="bottom"/>
            <w:shd w:val="clear" w:color="auto" w:fill="E7E8EA"/>
          </w:tcPr>
          <w:p>
            <w:pPr>
              <w:ind w:left="160"/>
              <w:spacing w:after="0"/>
              <w:rPr>
                <w:sz w:val="20"/>
                <w:szCs w:val="20"/>
                <w:color w:val="auto"/>
              </w:rPr>
            </w:pPr>
            <w:r>
              <w:rPr>
                <w:rFonts w:ascii="Arial" w:cs="Arial" w:eastAsia="Arial" w:hAnsi="Arial"/>
                <w:sz w:val="14"/>
                <w:szCs w:val="14"/>
                <w:color w:val="4D4D4F"/>
              </w:rPr>
              <w:t>Cash</w:t>
            </w:r>
          </w:p>
        </w:tc>
        <w:tc>
          <w:tcPr>
            <w:tcW w:w="3560" w:type="dxa"/>
            <w:vAlign w:val="bottom"/>
            <w:shd w:val="clear" w:color="auto" w:fill="E7E8EA"/>
          </w:tcPr>
          <w:p>
            <w:pPr>
              <w:ind w:left="20"/>
              <w:spacing w:after="0"/>
              <w:rPr>
                <w:sz w:val="20"/>
                <w:szCs w:val="20"/>
                <w:color w:val="auto"/>
              </w:rPr>
            </w:pPr>
            <w:r>
              <w:rPr>
                <w:rFonts w:ascii="Arial" w:cs="Arial" w:eastAsia="Arial" w:hAnsi="Arial"/>
                <w:sz w:val="14"/>
                <w:szCs w:val="14"/>
                <w:color w:val="4D4D4F"/>
              </w:rPr>
              <w:t>Reflects internal pay equity considerations and may</w:t>
            </w:r>
          </w:p>
        </w:tc>
      </w:tr>
      <w:tr>
        <w:trPr>
          <w:trHeight w:val="189"/>
        </w:trPr>
        <w:tc>
          <w:tcPr>
            <w:tcW w:w="1700" w:type="dxa"/>
            <w:vAlign w:val="bottom"/>
            <w:shd w:val="clear" w:color="auto" w:fill="5B6770"/>
          </w:tcPr>
          <w:p>
            <w:pPr>
              <w:spacing w:after="0"/>
              <w:rPr>
                <w:sz w:val="16"/>
                <w:szCs w:val="16"/>
                <w:color w:val="auto"/>
              </w:rPr>
            </w:pPr>
          </w:p>
        </w:tc>
        <w:tc>
          <w:tcPr>
            <w:tcW w:w="140" w:type="dxa"/>
            <w:vAlign w:val="bottom"/>
            <w:shd w:val="clear" w:color="auto" w:fill="E7E8EA"/>
          </w:tcPr>
          <w:p>
            <w:pPr>
              <w:spacing w:after="0"/>
              <w:rPr>
                <w:sz w:val="16"/>
                <w:szCs w:val="16"/>
                <w:color w:val="auto"/>
              </w:rPr>
            </w:pPr>
          </w:p>
        </w:tc>
        <w:tc>
          <w:tcPr>
            <w:tcW w:w="1920" w:type="dxa"/>
            <w:vAlign w:val="bottom"/>
            <w:shd w:val="clear" w:color="auto" w:fill="E7E8EA"/>
          </w:tcPr>
          <w:p>
            <w:pPr>
              <w:spacing w:after="0"/>
              <w:rPr>
                <w:sz w:val="16"/>
                <w:szCs w:val="16"/>
                <w:color w:val="auto"/>
              </w:rPr>
            </w:pPr>
          </w:p>
        </w:tc>
        <w:tc>
          <w:tcPr>
            <w:tcW w:w="2920" w:type="dxa"/>
            <w:vAlign w:val="bottom"/>
            <w:shd w:val="clear" w:color="auto" w:fill="E7E8EA"/>
          </w:tcPr>
          <w:p>
            <w:pPr>
              <w:ind w:left="580"/>
              <w:spacing w:after="0"/>
              <w:rPr>
                <w:sz w:val="20"/>
                <w:szCs w:val="20"/>
                <w:color w:val="auto"/>
              </w:rPr>
            </w:pPr>
            <w:r>
              <w:rPr>
                <w:rFonts w:ascii="Arial" w:cs="Arial" w:eastAsia="Arial" w:hAnsi="Arial"/>
                <w:sz w:val="14"/>
                <w:szCs w:val="14"/>
                <w:color w:val="4D4D4F"/>
              </w:rPr>
              <w:t>compensation.</w:t>
            </w:r>
          </w:p>
        </w:tc>
        <w:tc>
          <w:tcPr>
            <w:tcW w:w="1000" w:type="dxa"/>
            <w:vAlign w:val="bottom"/>
            <w:shd w:val="clear" w:color="auto" w:fill="E7E8EA"/>
          </w:tcPr>
          <w:p>
            <w:pPr>
              <w:spacing w:after="0"/>
              <w:rPr>
                <w:sz w:val="16"/>
                <w:szCs w:val="16"/>
                <w:color w:val="auto"/>
              </w:rPr>
            </w:pPr>
          </w:p>
        </w:tc>
        <w:tc>
          <w:tcPr>
            <w:tcW w:w="3560" w:type="dxa"/>
            <w:vAlign w:val="bottom"/>
            <w:shd w:val="clear" w:color="auto" w:fill="E7E8EA"/>
          </w:tcPr>
          <w:p>
            <w:pPr>
              <w:ind w:left="20"/>
              <w:spacing w:after="0"/>
              <w:rPr>
                <w:sz w:val="20"/>
                <w:szCs w:val="20"/>
                <w:color w:val="auto"/>
              </w:rPr>
            </w:pPr>
            <w:r>
              <w:rPr>
                <w:rFonts w:ascii="Arial" w:cs="Arial" w:eastAsia="Arial" w:hAnsi="Arial"/>
                <w:sz w:val="14"/>
                <w:szCs w:val="14"/>
                <w:color w:val="4D4D4F"/>
              </w:rPr>
              <w:t>be increased periodically based on factors such as</w:t>
            </w:r>
          </w:p>
        </w:tc>
      </w:tr>
      <w:tr>
        <w:trPr>
          <w:trHeight w:val="175"/>
        </w:trPr>
        <w:tc>
          <w:tcPr>
            <w:tcW w:w="1700" w:type="dxa"/>
            <w:vAlign w:val="bottom"/>
            <w:shd w:val="clear" w:color="auto" w:fill="5B6770"/>
          </w:tcPr>
          <w:p>
            <w:pPr>
              <w:spacing w:after="0"/>
              <w:rPr>
                <w:sz w:val="15"/>
                <w:szCs w:val="15"/>
                <w:color w:val="auto"/>
              </w:rPr>
            </w:pPr>
          </w:p>
        </w:tc>
        <w:tc>
          <w:tcPr>
            <w:tcW w:w="140" w:type="dxa"/>
            <w:vAlign w:val="bottom"/>
            <w:shd w:val="clear" w:color="auto" w:fill="E7E8EA"/>
          </w:tcPr>
          <w:p>
            <w:pPr>
              <w:spacing w:after="0"/>
              <w:rPr>
                <w:sz w:val="15"/>
                <w:szCs w:val="15"/>
                <w:color w:val="auto"/>
              </w:rPr>
            </w:pPr>
          </w:p>
        </w:tc>
        <w:tc>
          <w:tcPr>
            <w:tcW w:w="1920" w:type="dxa"/>
            <w:vAlign w:val="bottom"/>
            <w:shd w:val="clear" w:color="auto" w:fill="E7E8EA"/>
          </w:tcPr>
          <w:p>
            <w:pPr>
              <w:spacing w:after="0"/>
              <w:rPr>
                <w:sz w:val="15"/>
                <w:szCs w:val="15"/>
                <w:color w:val="auto"/>
              </w:rPr>
            </w:pPr>
          </w:p>
        </w:tc>
        <w:tc>
          <w:tcPr>
            <w:tcW w:w="2920" w:type="dxa"/>
            <w:vAlign w:val="bottom"/>
            <w:shd w:val="clear" w:color="auto" w:fill="E7E8EA"/>
          </w:tcPr>
          <w:p>
            <w:pPr>
              <w:spacing w:after="0"/>
              <w:rPr>
                <w:sz w:val="15"/>
                <w:szCs w:val="15"/>
                <w:color w:val="auto"/>
              </w:rPr>
            </w:pPr>
          </w:p>
        </w:tc>
        <w:tc>
          <w:tcPr>
            <w:tcW w:w="1000" w:type="dxa"/>
            <w:vAlign w:val="bottom"/>
            <w:shd w:val="clear" w:color="auto" w:fill="E7E8EA"/>
          </w:tcPr>
          <w:p>
            <w:pPr>
              <w:spacing w:after="0"/>
              <w:rPr>
                <w:sz w:val="15"/>
                <w:szCs w:val="15"/>
                <w:color w:val="auto"/>
              </w:rPr>
            </w:pPr>
          </w:p>
        </w:tc>
        <w:tc>
          <w:tcPr>
            <w:tcW w:w="3560" w:type="dxa"/>
            <w:vAlign w:val="bottom"/>
            <w:shd w:val="clear" w:color="auto" w:fill="E7E8EA"/>
          </w:tcPr>
          <w:p>
            <w:pPr>
              <w:ind w:left="20"/>
              <w:spacing w:after="0"/>
              <w:rPr>
                <w:sz w:val="20"/>
                <w:szCs w:val="20"/>
                <w:color w:val="auto"/>
              </w:rPr>
            </w:pPr>
            <w:r>
              <w:rPr>
                <w:rFonts w:ascii="Arial" w:cs="Arial" w:eastAsia="Arial" w:hAnsi="Arial"/>
                <w:sz w:val="14"/>
                <w:szCs w:val="14"/>
                <w:color w:val="4D4D4F"/>
              </w:rPr>
              <w:t>market conditions, changes in roles or expansion of</w:t>
            </w:r>
          </w:p>
        </w:tc>
      </w:tr>
      <w:tr>
        <w:trPr>
          <w:trHeight w:val="190"/>
        </w:trPr>
        <w:tc>
          <w:tcPr>
            <w:tcW w:w="1700" w:type="dxa"/>
            <w:vAlign w:val="bottom"/>
            <w:shd w:val="clear" w:color="auto" w:fill="5B6770"/>
          </w:tcPr>
          <w:p>
            <w:pPr>
              <w:spacing w:after="0"/>
              <w:rPr>
                <w:sz w:val="16"/>
                <w:szCs w:val="16"/>
                <w:color w:val="auto"/>
              </w:rPr>
            </w:pPr>
          </w:p>
        </w:tc>
        <w:tc>
          <w:tcPr>
            <w:tcW w:w="140" w:type="dxa"/>
            <w:vAlign w:val="bottom"/>
            <w:shd w:val="clear" w:color="auto" w:fill="E7E8EA"/>
          </w:tcPr>
          <w:p>
            <w:pPr>
              <w:spacing w:after="0"/>
              <w:rPr>
                <w:sz w:val="16"/>
                <w:szCs w:val="16"/>
                <w:color w:val="auto"/>
              </w:rPr>
            </w:pPr>
          </w:p>
        </w:tc>
        <w:tc>
          <w:tcPr>
            <w:tcW w:w="1920" w:type="dxa"/>
            <w:vAlign w:val="bottom"/>
            <w:shd w:val="clear" w:color="auto" w:fill="E7E8EA"/>
          </w:tcPr>
          <w:p>
            <w:pPr>
              <w:spacing w:after="0"/>
              <w:rPr>
                <w:sz w:val="16"/>
                <w:szCs w:val="16"/>
                <w:color w:val="auto"/>
              </w:rPr>
            </w:pPr>
          </w:p>
        </w:tc>
        <w:tc>
          <w:tcPr>
            <w:tcW w:w="2920" w:type="dxa"/>
            <w:vAlign w:val="bottom"/>
            <w:shd w:val="clear" w:color="auto" w:fill="E7E8EA"/>
          </w:tcPr>
          <w:p>
            <w:pPr>
              <w:spacing w:after="0"/>
              <w:rPr>
                <w:sz w:val="16"/>
                <w:szCs w:val="16"/>
                <w:color w:val="auto"/>
              </w:rPr>
            </w:pPr>
          </w:p>
        </w:tc>
        <w:tc>
          <w:tcPr>
            <w:tcW w:w="1000" w:type="dxa"/>
            <w:vAlign w:val="bottom"/>
            <w:shd w:val="clear" w:color="auto" w:fill="E7E8EA"/>
          </w:tcPr>
          <w:p>
            <w:pPr>
              <w:spacing w:after="0"/>
              <w:rPr>
                <w:sz w:val="16"/>
                <w:szCs w:val="16"/>
                <w:color w:val="auto"/>
              </w:rPr>
            </w:pPr>
          </w:p>
        </w:tc>
        <w:tc>
          <w:tcPr>
            <w:tcW w:w="3560" w:type="dxa"/>
            <w:vAlign w:val="bottom"/>
            <w:shd w:val="clear" w:color="auto" w:fill="E7E8EA"/>
          </w:tcPr>
          <w:p>
            <w:pPr>
              <w:ind w:left="20"/>
              <w:spacing w:after="0"/>
              <w:rPr>
                <w:sz w:val="20"/>
                <w:szCs w:val="20"/>
                <w:color w:val="auto"/>
              </w:rPr>
            </w:pPr>
            <w:r>
              <w:rPr>
                <w:rFonts w:ascii="Arial" w:cs="Arial" w:eastAsia="Arial" w:hAnsi="Arial"/>
                <w:sz w:val="14"/>
                <w:szCs w:val="14"/>
                <w:color w:val="4D4D4F"/>
              </w:rPr>
              <w:t>duties.</w:t>
            </w:r>
          </w:p>
        </w:tc>
      </w:tr>
      <w:tr>
        <w:trPr>
          <w:trHeight w:val="926"/>
        </w:trPr>
        <w:tc>
          <w:tcPr>
            <w:tcW w:w="1700" w:type="dxa"/>
            <w:vAlign w:val="bottom"/>
            <w:shd w:val="clear" w:color="auto" w:fill="5B6770"/>
          </w:tcPr>
          <w:p>
            <w:pPr>
              <w:spacing w:after="0"/>
              <w:rPr>
                <w:sz w:val="24"/>
                <w:szCs w:val="24"/>
                <w:color w:val="auto"/>
              </w:rPr>
            </w:pPr>
          </w:p>
        </w:tc>
        <w:tc>
          <w:tcPr>
            <w:tcW w:w="140" w:type="dxa"/>
            <w:vAlign w:val="bottom"/>
            <w:shd w:val="clear" w:color="auto" w:fill="E7E8EA"/>
          </w:tcPr>
          <w:p>
            <w:pPr>
              <w:spacing w:after="0"/>
              <w:rPr>
                <w:sz w:val="24"/>
                <w:szCs w:val="24"/>
                <w:color w:val="auto"/>
              </w:rPr>
            </w:pPr>
          </w:p>
        </w:tc>
        <w:tc>
          <w:tcPr>
            <w:tcW w:w="1920" w:type="dxa"/>
            <w:vAlign w:val="bottom"/>
            <w:shd w:val="clear" w:color="auto" w:fill="E7E8EA"/>
          </w:tcPr>
          <w:p>
            <w:pPr>
              <w:spacing w:after="0"/>
              <w:rPr>
                <w:sz w:val="24"/>
                <w:szCs w:val="24"/>
                <w:color w:val="auto"/>
              </w:rPr>
            </w:pPr>
          </w:p>
        </w:tc>
        <w:tc>
          <w:tcPr>
            <w:tcW w:w="2920" w:type="dxa"/>
            <w:vAlign w:val="bottom"/>
            <w:shd w:val="clear" w:color="auto" w:fill="E7E8EA"/>
          </w:tcPr>
          <w:p>
            <w:pPr>
              <w:spacing w:after="0"/>
              <w:rPr>
                <w:sz w:val="24"/>
                <w:szCs w:val="24"/>
                <w:color w:val="auto"/>
              </w:rPr>
            </w:pPr>
          </w:p>
        </w:tc>
        <w:tc>
          <w:tcPr>
            <w:tcW w:w="1000" w:type="dxa"/>
            <w:vAlign w:val="bottom"/>
            <w:shd w:val="clear" w:color="auto" w:fill="E7E8EA"/>
          </w:tcPr>
          <w:p>
            <w:pPr>
              <w:spacing w:after="0"/>
              <w:rPr>
                <w:sz w:val="24"/>
                <w:szCs w:val="24"/>
                <w:color w:val="auto"/>
              </w:rPr>
            </w:pPr>
          </w:p>
        </w:tc>
        <w:tc>
          <w:tcPr>
            <w:tcW w:w="3560" w:type="dxa"/>
            <w:vAlign w:val="bottom"/>
            <w:shd w:val="clear" w:color="auto" w:fill="E7E8EA"/>
          </w:tcPr>
          <w:p>
            <w:pPr>
              <w:spacing w:after="0"/>
              <w:rPr>
                <w:sz w:val="24"/>
                <w:szCs w:val="24"/>
                <w:color w:val="auto"/>
              </w:rPr>
            </w:pPr>
          </w:p>
        </w:tc>
      </w:tr>
      <w:tr>
        <w:trPr>
          <w:trHeight w:val="95"/>
        </w:trPr>
        <w:tc>
          <w:tcPr>
            <w:tcW w:w="1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20" w:type="dxa"/>
            <w:vAlign w:val="bottom"/>
            <w:shd w:val="clear" w:color="auto" w:fill="EAEEF2"/>
          </w:tcPr>
          <w:p>
            <w:pPr>
              <w:spacing w:after="0"/>
              <w:rPr>
                <w:sz w:val="8"/>
                <w:szCs w:val="8"/>
                <w:color w:val="auto"/>
              </w:rPr>
            </w:pPr>
          </w:p>
        </w:tc>
        <w:tc>
          <w:tcPr>
            <w:tcW w:w="2920" w:type="dxa"/>
            <w:vAlign w:val="bottom"/>
            <w:shd w:val="clear" w:color="auto" w:fill="EAEEF2"/>
          </w:tcPr>
          <w:p>
            <w:pPr>
              <w:spacing w:after="0"/>
              <w:rPr>
                <w:sz w:val="8"/>
                <w:szCs w:val="8"/>
                <w:color w:val="auto"/>
              </w:rPr>
            </w:pPr>
          </w:p>
        </w:tc>
        <w:tc>
          <w:tcPr>
            <w:tcW w:w="1000" w:type="dxa"/>
            <w:vAlign w:val="bottom"/>
            <w:shd w:val="clear" w:color="auto" w:fill="EAEEF2"/>
          </w:tcPr>
          <w:p>
            <w:pPr>
              <w:spacing w:after="0"/>
              <w:rPr>
                <w:sz w:val="8"/>
                <w:szCs w:val="8"/>
                <w:color w:val="auto"/>
              </w:rPr>
            </w:pPr>
          </w:p>
        </w:tc>
        <w:tc>
          <w:tcPr>
            <w:tcW w:w="3560" w:type="dxa"/>
            <w:vAlign w:val="bottom"/>
            <w:shd w:val="clear" w:color="auto" w:fill="EAEEF2"/>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48266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482663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73"/>
        </w:trPr>
        <w:tc>
          <w:tcPr>
            <w:tcW w:w="820" w:type="dxa"/>
            <w:vAlign w:val="bottom"/>
            <w:shd w:val="clear" w:color="auto" w:fill="132440"/>
          </w:tcPr>
          <w:p>
            <w:pPr>
              <w:ind w:left="20"/>
              <w:spacing w:after="0"/>
              <w:rPr>
                <w:sz w:val="20"/>
                <w:szCs w:val="20"/>
                <w:color w:val="auto"/>
              </w:rPr>
            </w:pPr>
            <w:r>
              <w:rPr>
                <w:rFonts w:ascii="Arial" w:cs="Arial" w:eastAsia="Arial" w:hAnsi="Arial"/>
                <w:sz w:val="14"/>
                <w:szCs w:val="14"/>
                <w:b w:val="1"/>
                <w:bCs w:val="1"/>
                <w:color w:val="FFFFFF"/>
              </w:rPr>
              <w:t>Variable</w:t>
            </w:r>
          </w:p>
        </w:tc>
        <w:tc>
          <w:tcPr>
            <w:tcW w:w="100" w:type="dxa"/>
            <w:vAlign w:val="bottom"/>
          </w:tcPr>
          <w:p>
            <w:pPr>
              <w:spacing w:after="0"/>
              <w:rPr>
                <w:sz w:val="15"/>
                <w:szCs w:val="15"/>
                <w:color w:val="auto"/>
              </w:rPr>
            </w:pPr>
          </w:p>
        </w:tc>
        <w:tc>
          <w:tcPr>
            <w:tcW w:w="700" w:type="dxa"/>
            <w:vAlign w:val="bottom"/>
            <w:shd w:val="clear" w:color="auto" w:fill="578EB1"/>
          </w:tcPr>
          <w:p>
            <w:pPr>
              <w:ind w:left="20"/>
              <w:spacing w:after="0"/>
              <w:rPr>
                <w:sz w:val="20"/>
                <w:szCs w:val="20"/>
                <w:color w:val="auto"/>
              </w:rPr>
            </w:pPr>
            <w:r>
              <w:rPr>
                <w:rFonts w:ascii="Arial" w:cs="Arial" w:eastAsia="Arial" w:hAnsi="Arial"/>
                <w:sz w:val="14"/>
                <w:szCs w:val="14"/>
                <w:b w:val="1"/>
                <w:bCs w:val="1"/>
                <w:color w:val="FFFFFF"/>
              </w:rPr>
              <w:t>Short-</w:t>
            </w:r>
          </w:p>
        </w:tc>
        <w:tc>
          <w:tcPr>
            <w:tcW w:w="140" w:type="dxa"/>
            <w:vAlign w:val="bottom"/>
          </w:tcPr>
          <w:p>
            <w:pPr>
              <w:spacing w:after="0"/>
              <w:rPr>
                <w:sz w:val="15"/>
                <w:szCs w:val="15"/>
                <w:color w:val="auto"/>
              </w:rPr>
            </w:pPr>
          </w:p>
        </w:tc>
        <w:tc>
          <w:tcPr>
            <w:tcW w:w="1360" w:type="dxa"/>
            <w:vAlign w:val="bottom"/>
            <w:shd w:val="clear" w:color="auto" w:fill="EAEEF2"/>
          </w:tcPr>
          <w:p>
            <w:pPr>
              <w:ind w:left="20"/>
              <w:spacing w:after="0"/>
              <w:rPr>
                <w:sz w:val="20"/>
                <w:szCs w:val="20"/>
                <w:color w:val="auto"/>
              </w:rPr>
            </w:pPr>
            <w:r>
              <w:rPr>
                <w:rFonts w:ascii="Arial" w:cs="Arial" w:eastAsia="Arial" w:hAnsi="Arial"/>
                <w:sz w:val="14"/>
                <w:szCs w:val="14"/>
                <w:color w:val="4D4D4F"/>
              </w:rPr>
              <w:t>Annual Incentive</w:t>
            </w:r>
          </w:p>
        </w:tc>
        <w:tc>
          <w:tcPr>
            <w:tcW w:w="112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Profitability</w:t>
            </w:r>
          </w:p>
        </w:tc>
        <w:tc>
          <w:tcPr>
            <w:tcW w:w="2380" w:type="dxa"/>
            <w:vAlign w:val="bottom"/>
            <w:shd w:val="clear" w:color="auto" w:fill="EAEEF2"/>
          </w:tcPr>
          <w:p>
            <w:pPr>
              <w:ind w:left="20"/>
              <w:spacing w:after="0"/>
              <w:rPr>
                <w:sz w:val="20"/>
                <w:szCs w:val="20"/>
                <w:color w:val="auto"/>
              </w:rPr>
            </w:pPr>
            <w:r>
              <w:rPr>
                <w:rFonts w:ascii="Arial" w:cs="Arial" w:eastAsia="Arial" w:hAnsi="Arial"/>
                <w:sz w:val="14"/>
                <w:szCs w:val="14"/>
                <w:color w:val="4D4D4F"/>
              </w:rPr>
              <w:t>Motivate executives to achieve</w:t>
            </w:r>
          </w:p>
        </w:tc>
        <w:tc>
          <w:tcPr>
            <w:tcW w:w="120" w:type="dxa"/>
            <w:vAlign w:val="bottom"/>
            <w:shd w:val="clear" w:color="auto" w:fill="EAEEF2"/>
          </w:tcPr>
          <w:p>
            <w:pPr>
              <w:spacing w:after="0"/>
              <w:rPr>
                <w:sz w:val="15"/>
                <w:szCs w:val="15"/>
                <w:color w:val="auto"/>
              </w:rPr>
            </w:pPr>
          </w:p>
        </w:tc>
        <w:tc>
          <w:tcPr>
            <w:tcW w:w="760" w:type="dxa"/>
            <w:vAlign w:val="bottom"/>
            <w:shd w:val="clear" w:color="auto" w:fill="EAEEF2"/>
          </w:tcPr>
          <w:p>
            <w:pPr>
              <w:ind w:left="20"/>
              <w:spacing w:after="0"/>
              <w:rPr>
                <w:sz w:val="20"/>
                <w:szCs w:val="20"/>
                <w:color w:val="auto"/>
              </w:rPr>
            </w:pPr>
            <w:r>
              <w:rPr>
                <w:rFonts w:ascii="Arial" w:cs="Arial" w:eastAsia="Arial" w:hAnsi="Arial"/>
                <w:sz w:val="14"/>
                <w:szCs w:val="14"/>
                <w:color w:val="4D4D4F"/>
              </w:rPr>
              <w:t>Cash</w:t>
            </w:r>
          </w:p>
        </w:tc>
        <w:tc>
          <w:tcPr>
            <w:tcW w:w="100" w:type="dxa"/>
            <w:vAlign w:val="bottom"/>
            <w:shd w:val="clear" w:color="auto" w:fill="EAEEF2"/>
          </w:tcPr>
          <w:p>
            <w:pPr>
              <w:spacing w:after="0"/>
              <w:rPr>
                <w:sz w:val="15"/>
                <w:szCs w:val="15"/>
                <w:color w:val="auto"/>
              </w:rPr>
            </w:pPr>
          </w:p>
        </w:tc>
        <w:tc>
          <w:tcPr>
            <w:tcW w:w="3560" w:type="dxa"/>
            <w:vAlign w:val="bottom"/>
            <w:gridSpan w:val="2"/>
            <w:shd w:val="clear" w:color="auto" w:fill="EAEEF2"/>
          </w:tcPr>
          <w:p>
            <w:pPr>
              <w:ind w:left="20"/>
              <w:spacing w:after="0"/>
              <w:rPr>
                <w:sz w:val="20"/>
                <w:szCs w:val="20"/>
                <w:color w:val="auto"/>
              </w:rPr>
            </w:pPr>
            <w:r>
              <w:rPr>
                <w:rFonts w:ascii="Arial" w:cs="Arial" w:eastAsia="Arial" w:hAnsi="Arial"/>
                <w:sz w:val="14"/>
                <w:szCs w:val="14"/>
                <w:color w:val="4D4D4F"/>
              </w:rPr>
              <w:t>Represents 60% of AIP</w:t>
            </w:r>
          </w:p>
        </w:tc>
        <w:tc>
          <w:tcPr>
            <w:tcW w:w="0" w:type="dxa"/>
            <w:vAlign w:val="bottom"/>
          </w:tcPr>
          <w:p>
            <w:pPr>
              <w:spacing w:after="0"/>
              <w:rPr>
                <w:sz w:val="1"/>
                <w:szCs w:val="1"/>
                <w:color w:val="auto"/>
              </w:rPr>
            </w:pPr>
          </w:p>
        </w:tc>
      </w:tr>
      <w:tr>
        <w:trPr>
          <w:trHeight w:val="77"/>
        </w:trPr>
        <w:tc>
          <w:tcPr>
            <w:tcW w:w="820" w:type="dxa"/>
            <w:vAlign w:val="bottom"/>
            <w:tcBorders>
              <w:bottom w:val="single" w:sz="8" w:color="132440"/>
            </w:tcBorders>
            <w:shd w:val="clear" w:color="auto" w:fill="132440"/>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578EB1"/>
            </w:tcBorders>
            <w:vMerge w:val="restart"/>
            <w:shd w:val="clear" w:color="auto" w:fill="578EB1"/>
          </w:tcPr>
          <w:p>
            <w:pPr>
              <w:ind w:left="20"/>
              <w:spacing w:after="0"/>
              <w:rPr>
                <w:sz w:val="20"/>
                <w:szCs w:val="20"/>
                <w:color w:val="auto"/>
              </w:rPr>
            </w:pPr>
            <w:r>
              <w:rPr>
                <w:rFonts w:ascii="Arial" w:cs="Arial" w:eastAsia="Arial" w:hAnsi="Arial"/>
                <w:sz w:val="14"/>
                <w:szCs w:val="14"/>
                <w:b w:val="1"/>
                <w:bCs w:val="1"/>
                <w:color w:val="FFFFFF"/>
              </w:rPr>
              <w:t>Term</w:t>
            </w:r>
          </w:p>
        </w:tc>
        <w:tc>
          <w:tcPr>
            <w:tcW w:w="140" w:type="dxa"/>
            <w:vAlign w:val="bottom"/>
          </w:tcPr>
          <w:p>
            <w:pPr>
              <w:spacing w:after="0"/>
              <w:rPr>
                <w:sz w:val="6"/>
                <w:szCs w:val="6"/>
                <w:color w:val="auto"/>
              </w:rPr>
            </w:pPr>
          </w:p>
        </w:tc>
        <w:tc>
          <w:tcPr>
            <w:tcW w:w="1360" w:type="dxa"/>
            <w:vAlign w:val="bottom"/>
            <w:tcBorders>
              <w:bottom w:val="single" w:sz="8" w:color="EAEEF2"/>
            </w:tcBorders>
            <w:vMerge w:val="restart"/>
            <w:shd w:val="clear" w:color="auto" w:fill="EAEEF2"/>
          </w:tcPr>
          <w:p>
            <w:pPr>
              <w:ind w:left="20"/>
              <w:spacing w:after="0"/>
              <w:rPr>
                <w:sz w:val="20"/>
                <w:szCs w:val="20"/>
                <w:color w:val="auto"/>
              </w:rPr>
            </w:pPr>
            <w:r>
              <w:rPr>
                <w:rFonts w:ascii="Arial" w:cs="Arial" w:eastAsia="Arial" w:hAnsi="Arial"/>
                <w:sz w:val="14"/>
                <w:szCs w:val="14"/>
                <w:color w:val="4D4D4F"/>
              </w:rPr>
              <w:t>Program (AIP)</w:t>
            </w:r>
          </w:p>
        </w:tc>
        <w:tc>
          <w:tcPr>
            <w:tcW w:w="1120" w:type="dxa"/>
            <w:vAlign w:val="bottom"/>
            <w:tcBorders>
              <w:bottom w:val="single" w:sz="8" w:color="EAEEF2"/>
            </w:tcBorders>
            <w:vMerge w:val="restart"/>
            <w:shd w:val="clear" w:color="auto" w:fill="EAEEF2"/>
          </w:tcPr>
          <w:p>
            <w:pPr>
              <w:ind w:left="100"/>
              <w:spacing w:after="0"/>
              <w:rPr>
                <w:sz w:val="20"/>
                <w:szCs w:val="20"/>
                <w:color w:val="auto"/>
              </w:rPr>
            </w:pPr>
            <w:r>
              <w:rPr>
                <w:rFonts w:ascii="Arial" w:cs="Arial" w:eastAsia="Arial" w:hAnsi="Arial"/>
                <w:sz w:val="14"/>
                <w:szCs w:val="14"/>
                <w:color w:val="4D4D4F"/>
              </w:rPr>
              <w:t>Metric</w:t>
            </w:r>
          </w:p>
        </w:tc>
        <w:tc>
          <w:tcPr>
            <w:tcW w:w="2380" w:type="dxa"/>
            <w:vAlign w:val="bottom"/>
            <w:tcBorders>
              <w:bottom w:val="single" w:sz="8" w:color="EAEEF2"/>
            </w:tcBorders>
            <w:vMerge w:val="restart"/>
            <w:shd w:val="clear" w:color="auto" w:fill="EAEEF2"/>
          </w:tcPr>
          <w:p>
            <w:pPr>
              <w:ind w:left="20"/>
              <w:spacing w:after="0"/>
              <w:rPr>
                <w:sz w:val="20"/>
                <w:szCs w:val="20"/>
                <w:color w:val="auto"/>
              </w:rPr>
            </w:pPr>
            <w:r>
              <w:rPr>
                <w:rFonts w:ascii="Arial" w:cs="Arial" w:eastAsia="Arial" w:hAnsi="Arial"/>
                <w:sz w:val="14"/>
                <w:szCs w:val="14"/>
                <w:color w:val="4D4D4F"/>
              </w:rPr>
              <w:t>superior financial performance over</w:t>
            </w:r>
          </w:p>
        </w:tc>
        <w:tc>
          <w:tcPr>
            <w:tcW w:w="120" w:type="dxa"/>
            <w:vAlign w:val="bottom"/>
            <w:tcBorders>
              <w:bottom w:val="single" w:sz="8" w:color="EAEEF2"/>
            </w:tcBorders>
            <w:shd w:val="clear" w:color="auto" w:fill="EAEEF2"/>
          </w:tcPr>
          <w:p>
            <w:pPr>
              <w:spacing w:after="0"/>
              <w:rPr>
                <w:sz w:val="6"/>
                <w:szCs w:val="6"/>
                <w:color w:val="auto"/>
              </w:rPr>
            </w:pPr>
          </w:p>
        </w:tc>
        <w:tc>
          <w:tcPr>
            <w:tcW w:w="760" w:type="dxa"/>
            <w:vAlign w:val="bottom"/>
            <w:tcBorders>
              <w:bottom w:val="single" w:sz="8" w:color="EAEEF2"/>
            </w:tcBorders>
            <w:shd w:val="clear" w:color="auto" w:fill="EAEEF2"/>
          </w:tcPr>
          <w:p>
            <w:pPr>
              <w:spacing w:after="0"/>
              <w:rPr>
                <w:sz w:val="6"/>
                <w:szCs w:val="6"/>
                <w:color w:val="auto"/>
              </w:rPr>
            </w:pPr>
          </w:p>
        </w:tc>
        <w:tc>
          <w:tcPr>
            <w:tcW w:w="100" w:type="dxa"/>
            <w:vAlign w:val="bottom"/>
            <w:tcBorders>
              <w:bottom w:val="single" w:sz="8" w:color="EAEEF2"/>
            </w:tcBorders>
            <w:shd w:val="clear" w:color="auto" w:fill="EAEEF2"/>
          </w:tcPr>
          <w:p>
            <w:pPr>
              <w:spacing w:after="0"/>
              <w:rPr>
                <w:sz w:val="6"/>
                <w:szCs w:val="6"/>
                <w:color w:val="auto"/>
              </w:rPr>
            </w:pPr>
          </w:p>
        </w:tc>
        <w:tc>
          <w:tcPr>
            <w:tcW w:w="3460" w:type="dxa"/>
            <w:vAlign w:val="bottom"/>
            <w:tcBorders>
              <w:bottom w:val="single" w:sz="8" w:color="132440"/>
            </w:tcBorders>
            <w:shd w:val="clear" w:color="auto" w:fill="EAEEF2"/>
          </w:tcPr>
          <w:p>
            <w:pPr>
              <w:spacing w:after="0"/>
              <w:rPr>
                <w:sz w:val="6"/>
                <w:szCs w:val="6"/>
                <w:color w:val="auto"/>
              </w:rPr>
            </w:pPr>
          </w:p>
        </w:tc>
        <w:tc>
          <w:tcPr>
            <w:tcW w:w="100" w:type="dxa"/>
            <w:vAlign w:val="bottom"/>
            <w:tcBorders>
              <w:bottom w:val="single" w:sz="8" w:color="132440"/>
            </w:tcBorders>
            <w:shd w:val="clear" w:color="auto" w:fill="EAEEF2"/>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820" w:type="dxa"/>
            <w:vAlign w:val="bottom"/>
            <w:shd w:val="clear" w:color="auto" w:fill="132440"/>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shd w:val="clear" w:color="auto" w:fill="578EB1"/>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vMerge w:val="continue"/>
            <w:shd w:val="clear" w:color="auto" w:fill="EAEEF2"/>
          </w:tcPr>
          <w:p>
            <w:pPr>
              <w:spacing w:after="0"/>
              <w:rPr>
                <w:sz w:val="8"/>
                <w:szCs w:val="8"/>
                <w:color w:val="auto"/>
              </w:rPr>
            </w:pPr>
          </w:p>
        </w:tc>
        <w:tc>
          <w:tcPr>
            <w:tcW w:w="1120" w:type="dxa"/>
            <w:vAlign w:val="bottom"/>
            <w:vMerge w:val="continue"/>
            <w:shd w:val="clear" w:color="auto" w:fill="EAEEF2"/>
          </w:tcPr>
          <w:p>
            <w:pPr>
              <w:spacing w:after="0"/>
              <w:rPr>
                <w:sz w:val="8"/>
                <w:szCs w:val="8"/>
                <w:color w:val="auto"/>
              </w:rPr>
            </w:pPr>
          </w:p>
        </w:tc>
        <w:tc>
          <w:tcPr>
            <w:tcW w:w="2380" w:type="dxa"/>
            <w:vAlign w:val="bottom"/>
            <w:vMerge w:val="continue"/>
            <w:shd w:val="clear" w:color="auto" w:fill="EAEEF2"/>
          </w:tcPr>
          <w:p>
            <w:pPr>
              <w:spacing w:after="0"/>
              <w:rPr>
                <w:sz w:val="8"/>
                <w:szCs w:val="8"/>
                <w:color w:val="auto"/>
              </w:rPr>
            </w:pPr>
          </w:p>
        </w:tc>
        <w:tc>
          <w:tcPr>
            <w:tcW w:w="120" w:type="dxa"/>
            <w:vAlign w:val="bottom"/>
            <w:shd w:val="clear" w:color="auto" w:fill="EAEEF2"/>
          </w:tcPr>
          <w:p>
            <w:pPr>
              <w:spacing w:after="0"/>
              <w:rPr>
                <w:sz w:val="8"/>
                <w:szCs w:val="8"/>
                <w:color w:val="auto"/>
              </w:rPr>
            </w:pPr>
          </w:p>
        </w:tc>
        <w:tc>
          <w:tcPr>
            <w:tcW w:w="760" w:type="dxa"/>
            <w:vAlign w:val="bottom"/>
            <w:shd w:val="clear" w:color="auto" w:fill="EAEEF2"/>
          </w:tcPr>
          <w:p>
            <w:pPr>
              <w:spacing w:after="0"/>
              <w:rPr>
                <w:sz w:val="8"/>
                <w:szCs w:val="8"/>
                <w:color w:val="auto"/>
              </w:rPr>
            </w:pPr>
          </w:p>
        </w:tc>
        <w:tc>
          <w:tcPr>
            <w:tcW w:w="100" w:type="dxa"/>
            <w:vAlign w:val="bottom"/>
            <w:shd w:val="clear" w:color="auto" w:fill="EAEEF2"/>
          </w:tcPr>
          <w:p>
            <w:pPr>
              <w:spacing w:after="0"/>
              <w:rPr>
                <w:sz w:val="8"/>
                <w:szCs w:val="8"/>
                <w:color w:val="auto"/>
              </w:rPr>
            </w:pPr>
          </w:p>
        </w:tc>
        <w:tc>
          <w:tcPr>
            <w:tcW w:w="3460" w:type="dxa"/>
            <w:vAlign w:val="bottom"/>
            <w:vMerge w:val="restart"/>
            <w:shd w:val="clear" w:color="auto" w:fill="EAEEF2"/>
          </w:tcPr>
          <w:p>
            <w:pPr>
              <w:ind w:left="20"/>
              <w:spacing w:after="0"/>
              <w:rPr>
                <w:sz w:val="20"/>
                <w:szCs w:val="20"/>
                <w:color w:val="auto"/>
              </w:rPr>
            </w:pPr>
            <w:r>
              <w:rPr>
                <w:rFonts w:ascii="Arial" w:cs="Arial" w:eastAsia="Arial" w:hAnsi="Arial"/>
                <w:sz w:val="14"/>
                <w:szCs w:val="14"/>
                <w:color w:val="4D4D4F"/>
              </w:rPr>
              <w:t>Earned based on achievement of adjusted EBITDA</w:t>
            </w:r>
          </w:p>
        </w:tc>
        <w:tc>
          <w:tcPr>
            <w:tcW w:w="100" w:type="dxa"/>
            <w:vAlign w:val="bottom"/>
            <w:shd w:val="clear" w:color="auto" w:fill="EAEEF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132440"/>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shd w:val="clear" w:color="auto" w:fill="578EB1"/>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shd w:val="clear" w:color="auto" w:fill="EAEEF2"/>
          </w:tcPr>
          <w:p>
            <w:pPr>
              <w:spacing w:after="0"/>
              <w:rPr>
                <w:sz w:val="16"/>
                <w:szCs w:val="16"/>
                <w:color w:val="auto"/>
              </w:rPr>
            </w:pPr>
          </w:p>
        </w:tc>
        <w:tc>
          <w:tcPr>
            <w:tcW w:w="1120" w:type="dxa"/>
            <w:vAlign w:val="bottom"/>
            <w:shd w:val="clear" w:color="auto" w:fill="EAEEF2"/>
          </w:tcPr>
          <w:p>
            <w:pPr>
              <w:spacing w:after="0"/>
              <w:rPr>
                <w:sz w:val="16"/>
                <w:szCs w:val="16"/>
                <w:color w:val="auto"/>
              </w:rPr>
            </w:pPr>
          </w:p>
        </w:tc>
        <w:tc>
          <w:tcPr>
            <w:tcW w:w="2380" w:type="dxa"/>
            <w:vAlign w:val="bottom"/>
            <w:shd w:val="clear" w:color="auto" w:fill="EAEEF2"/>
          </w:tcPr>
          <w:p>
            <w:pPr>
              <w:ind w:left="20"/>
              <w:spacing w:after="0"/>
              <w:rPr>
                <w:sz w:val="20"/>
                <w:szCs w:val="20"/>
                <w:color w:val="auto"/>
              </w:rPr>
            </w:pPr>
            <w:r>
              <w:rPr>
                <w:rFonts w:ascii="Arial" w:cs="Arial" w:eastAsia="Arial" w:hAnsi="Arial"/>
                <w:sz w:val="14"/>
                <w:szCs w:val="14"/>
                <w:color w:val="4D4D4F"/>
              </w:rPr>
              <w:t>a one-year period.</w:t>
            </w:r>
          </w:p>
        </w:tc>
        <w:tc>
          <w:tcPr>
            <w:tcW w:w="120" w:type="dxa"/>
            <w:vAlign w:val="bottom"/>
            <w:shd w:val="clear" w:color="auto" w:fill="EAEEF2"/>
          </w:tcPr>
          <w:p>
            <w:pPr>
              <w:spacing w:after="0"/>
              <w:rPr>
                <w:sz w:val="16"/>
                <w:szCs w:val="16"/>
                <w:color w:val="auto"/>
              </w:rPr>
            </w:pPr>
          </w:p>
        </w:tc>
        <w:tc>
          <w:tcPr>
            <w:tcW w:w="760" w:type="dxa"/>
            <w:vAlign w:val="bottom"/>
            <w:shd w:val="clear" w:color="auto" w:fill="EAEEF2"/>
          </w:tcPr>
          <w:p>
            <w:pPr>
              <w:spacing w:after="0"/>
              <w:rPr>
                <w:sz w:val="16"/>
                <w:szCs w:val="16"/>
                <w:color w:val="auto"/>
              </w:rPr>
            </w:pPr>
          </w:p>
        </w:tc>
        <w:tc>
          <w:tcPr>
            <w:tcW w:w="100" w:type="dxa"/>
            <w:vAlign w:val="bottom"/>
            <w:shd w:val="clear" w:color="auto" w:fill="EAEEF2"/>
          </w:tcPr>
          <w:p>
            <w:pPr>
              <w:spacing w:after="0"/>
              <w:rPr>
                <w:sz w:val="16"/>
                <w:szCs w:val="16"/>
                <w:color w:val="auto"/>
              </w:rPr>
            </w:pPr>
          </w:p>
        </w:tc>
        <w:tc>
          <w:tcPr>
            <w:tcW w:w="3460" w:type="dxa"/>
            <w:vAlign w:val="bottom"/>
            <w:vMerge w:val="continue"/>
            <w:shd w:val="clear" w:color="auto" w:fill="EAEEF2"/>
          </w:tcPr>
          <w:p>
            <w:pPr>
              <w:spacing w:after="0"/>
              <w:rPr>
                <w:sz w:val="16"/>
                <w:szCs w:val="16"/>
                <w:color w:val="auto"/>
              </w:rPr>
            </w:pPr>
          </w:p>
        </w:tc>
        <w:tc>
          <w:tcPr>
            <w:tcW w:w="100" w:type="dxa"/>
            <w:vAlign w:val="bottom"/>
            <w:shd w:val="clear" w:color="auto" w:fill="EAEEF2"/>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20" w:type="dxa"/>
            <w:vAlign w:val="bottom"/>
            <w:tcBorders>
              <w:bottom w:val="single" w:sz="8" w:color="132440"/>
            </w:tcBorders>
            <w:shd w:val="clear" w:color="auto" w:fill="132440"/>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578EB1"/>
            </w:tcBorders>
            <w:shd w:val="clear" w:color="auto" w:fill="578EB1"/>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Borders>
              <w:bottom w:val="single" w:sz="8" w:color="EAEEF2"/>
            </w:tcBorders>
            <w:shd w:val="clear" w:color="auto" w:fill="EAEEF2"/>
          </w:tcPr>
          <w:p>
            <w:pPr>
              <w:spacing w:after="0"/>
              <w:rPr>
                <w:sz w:val="11"/>
                <w:szCs w:val="11"/>
                <w:color w:val="auto"/>
              </w:rPr>
            </w:pPr>
          </w:p>
        </w:tc>
        <w:tc>
          <w:tcPr>
            <w:tcW w:w="1120" w:type="dxa"/>
            <w:vAlign w:val="bottom"/>
            <w:tcBorders>
              <w:bottom w:val="single" w:sz="8" w:color="EAEEF2"/>
            </w:tcBorders>
            <w:shd w:val="clear" w:color="auto" w:fill="EAEEF2"/>
          </w:tcPr>
          <w:p>
            <w:pPr>
              <w:spacing w:after="0"/>
              <w:rPr>
                <w:sz w:val="11"/>
                <w:szCs w:val="11"/>
                <w:color w:val="auto"/>
              </w:rPr>
            </w:pPr>
          </w:p>
        </w:tc>
        <w:tc>
          <w:tcPr>
            <w:tcW w:w="2380" w:type="dxa"/>
            <w:vAlign w:val="bottom"/>
            <w:tcBorders>
              <w:bottom w:val="single" w:sz="8" w:color="EAEEF2"/>
            </w:tcBorders>
            <w:shd w:val="clear" w:color="auto" w:fill="EAEEF2"/>
          </w:tcPr>
          <w:p>
            <w:pPr>
              <w:spacing w:after="0"/>
              <w:rPr>
                <w:sz w:val="11"/>
                <w:szCs w:val="11"/>
                <w:color w:val="auto"/>
              </w:rPr>
            </w:pPr>
          </w:p>
        </w:tc>
        <w:tc>
          <w:tcPr>
            <w:tcW w:w="120" w:type="dxa"/>
            <w:vAlign w:val="bottom"/>
            <w:tcBorders>
              <w:bottom w:val="single" w:sz="8" w:color="EAEEF2"/>
            </w:tcBorders>
            <w:shd w:val="clear" w:color="auto" w:fill="EAEEF2"/>
          </w:tcPr>
          <w:p>
            <w:pPr>
              <w:spacing w:after="0"/>
              <w:rPr>
                <w:sz w:val="11"/>
                <w:szCs w:val="11"/>
                <w:color w:val="auto"/>
              </w:rPr>
            </w:pPr>
          </w:p>
        </w:tc>
        <w:tc>
          <w:tcPr>
            <w:tcW w:w="760" w:type="dxa"/>
            <w:vAlign w:val="bottom"/>
            <w:tcBorders>
              <w:bottom w:val="single" w:sz="8" w:color="EAEEF2"/>
            </w:tcBorders>
            <w:shd w:val="clear" w:color="auto" w:fill="EAEEF2"/>
          </w:tcPr>
          <w:p>
            <w:pPr>
              <w:spacing w:after="0"/>
              <w:rPr>
                <w:sz w:val="11"/>
                <w:szCs w:val="11"/>
                <w:color w:val="auto"/>
              </w:rPr>
            </w:pPr>
          </w:p>
        </w:tc>
        <w:tc>
          <w:tcPr>
            <w:tcW w:w="100" w:type="dxa"/>
            <w:vAlign w:val="bottom"/>
            <w:tcBorders>
              <w:bottom w:val="single" w:sz="8" w:color="EAEEF2"/>
            </w:tcBorders>
            <w:shd w:val="clear" w:color="auto" w:fill="EAEEF2"/>
          </w:tcPr>
          <w:p>
            <w:pPr>
              <w:spacing w:after="0"/>
              <w:rPr>
                <w:sz w:val="11"/>
                <w:szCs w:val="11"/>
                <w:color w:val="auto"/>
              </w:rPr>
            </w:pPr>
          </w:p>
        </w:tc>
        <w:tc>
          <w:tcPr>
            <w:tcW w:w="3460" w:type="dxa"/>
            <w:vAlign w:val="bottom"/>
            <w:tcBorders>
              <w:bottom w:val="single" w:sz="8" w:color="132440"/>
            </w:tcBorders>
            <w:shd w:val="clear" w:color="auto" w:fill="EAEEF2"/>
          </w:tcPr>
          <w:p>
            <w:pPr>
              <w:spacing w:after="0"/>
              <w:rPr>
                <w:sz w:val="11"/>
                <w:szCs w:val="11"/>
                <w:color w:val="auto"/>
              </w:rPr>
            </w:pPr>
          </w:p>
        </w:tc>
        <w:tc>
          <w:tcPr>
            <w:tcW w:w="100" w:type="dxa"/>
            <w:vAlign w:val="bottom"/>
            <w:tcBorders>
              <w:bottom w:val="single" w:sz="8" w:color="132440"/>
            </w:tcBorders>
            <w:shd w:val="clear" w:color="auto" w:fill="EAEEF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820" w:type="dxa"/>
            <w:vAlign w:val="bottom"/>
            <w:shd w:val="clear" w:color="auto" w:fill="132440"/>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shd w:val="clear" w:color="auto" w:fill="578EB1"/>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shd w:val="clear" w:color="auto" w:fill="EAEEF2"/>
          </w:tcPr>
          <w:p>
            <w:pPr>
              <w:spacing w:after="0"/>
              <w:rPr>
                <w:sz w:val="16"/>
                <w:szCs w:val="16"/>
                <w:color w:val="auto"/>
              </w:rPr>
            </w:pPr>
          </w:p>
        </w:tc>
        <w:tc>
          <w:tcPr>
            <w:tcW w:w="1120" w:type="dxa"/>
            <w:vAlign w:val="bottom"/>
            <w:shd w:val="clear" w:color="auto" w:fill="EAEEF2"/>
          </w:tcPr>
          <w:p>
            <w:pPr>
              <w:spacing w:after="0"/>
              <w:rPr>
                <w:sz w:val="16"/>
                <w:szCs w:val="16"/>
                <w:color w:val="auto"/>
              </w:rPr>
            </w:pPr>
          </w:p>
        </w:tc>
        <w:tc>
          <w:tcPr>
            <w:tcW w:w="2380" w:type="dxa"/>
            <w:vAlign w:val="bottom"/>
            <w:shd w:val="clear" w:color="auto" w:fill="EAEEF2"/>
          </w:tcPr>
          <w:p>
            <w:pPr>
              <w:spacing w:after="0"/>
              <w:rPr>
                <w:sz w:val="16"/>
                <w:szCs w:val="16"/>
                <w:color w:val="auto"/>
              </w:rPr>
            </w:pPr>
          </w:p>
        </w:tc>
        <w:tc>
          <w:tcPr>
            <w:tcW w:w="120" w:type="dxa"/>
            <w:vAlign w:val="bottom"/>
            <w:shd w:val="clear" w:color="auto" w:fill="EAEEF2"/>
          </w:tcPr>
          <w:p>
            <w:pPr>
              <w:spacing w:after="0"/>
              <w:rPr>
                <w:sz w:val="16"/>
                <w:szCs w:val="16"/>
                <w:color w:val="auto"/>
              </w:rPr>
            </w:pPr>
          </w:p>
        </w:tc>
        <w:tc>
          <w:tcPr>
            <w:tcW w:w="760" w:type="dxa"/>
            <w:vAlign w:val="bottom"/>
            <w:shd w:val="clear" w:color="auto" w:fill="EAEEF2"/>
          </w:tcPr>
          <w:p>
            <w:pPr>
              <w:spacing w:after="0"/>
              <w:rPr>
                <w:sz w:val="16"/>
                <w:szCs w:val="16"/>
                <w:color w:val="auto"/>
              </w:rPr>
            </w:pPr>
          </w:p>
        </w:tc>
        <w:tc>
          <w:tcPr>
            <w:tcW w:w="100" w:type="dxa"/>
            <w:vAlign w:val="bottom"/>
            <w:shd w:val="clear" w:color="auto" w:fill="EAEEF2"/>
          </w:tcPr>
          <w:p>
            <w:pPr>
              <w:spacing w:after="0"/>
              <w:rPr>
                <w:sz w:val="16"/>
                <w:szCs w:val="16"/>
                <w:color w:val="auto"/>
              </w:rPr>
            </w:pPr>
          </w:p>
        </w:tc>
        <w:tc>
          <w:tcPr>
            <w:tcW w:w="3460" w:type="dxa"/>
            <w:vAlign w:val="bottom"/>
            <w:shd w:val="clear" w:color="auto" w:fill="EAEEF2"/>
          </w:tcPr>
          <w:p>
            <w:pPr>
              <w:ind w:left="20"/>
              <w:spacing w:after="0"/>
              <w:rPr>
                <w:sz w:val="20"/>
                <w:szCs w:val="20"/>
                <w:color w:val="auto"/>
              </w:rPr>
            </w:pPr>
            <w:r>
              <w:rPr>
                <w:rFonts w:ascii="Arial" w:cs="Arial" w:eastAsia="Arial" w:hAnsi="Arial"/>
                <w:sz w:val="14"/>
                <w:szCs w:val="14"/>
                <w:color w:val="4D4D4F"/>
              </w:rPr>
              <w:t>Payouts range from 35% at threshold to 200% at</w:t>
            </w:r>
          </w:p>
        </w:tc>
        <w:tc>
          <w:tcPr>
            <w:tcW w:w="100" w:type="dxa"/>
            <w:vAlign w:val="bottom"/>
            <w:shd w:val="clear" w:color="auto" w:fill="EAEEF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132440"/>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shd w:val="clear" w:color="auto" w:fill="578EB1"/>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shd w:val="clear" w:color="auto" w:fill="EAEEF2"/>
          </w:tcPr>
          <w:p>
            <w:pPr>
              <w:spacing w:after="0"/>
              <w:rPr>
                <w:sz w:val="16"/>
                <w:szCs w:val="16"/>
                <w:color w:val="auto"/>
              </w:rPr>
            </w:pPr>
          </w:p>
        </w:tc>
        <w:tc>
          <w:tcPr>
            <w:tcW w:w="1120" w:type="dxa"/>
            <w:vAlign w:val="bottom"/>
            <w:shd w:val="clear" w:color="auto" w:fill="EAEEF2"/>
          </w:tcPr>
          <w:p>
            <w:pPr>
              <w:spacing w:after="0"/>
              <w:rPr>
                <w:sz w:val="16"/>
                <w:szCs w:val="16"/>
                <w:color w:val="auto"/>
              </w:rPr>
            </w:pPr>
          </w:p>
        </w:tc>
        <w:tc>
          <w:tcPr>
            <w:tcW w:w="2380" w:type="dxa"/>
            <w:vAlign w:val="bottom"/>
            <w:shd w:val="clear" w:color="auto" w:fill="EAEEF2"/>
          </w:tcPr>
          <w:p>
            <w:pPr>
              <w:spacing w:after="0"/>
              <w:rPr>
                <w:sz w:val="16"/>
                <w:szCs w:val="16"/>
                <w:color w:val="auto"/>
              </w:rPr>
            </w:pPr>
          </w:p>
        </w:tc>
        <w:tc>
          <w:tcPr>
            <w:tcW w:w="120" w:type="dxa"/>
            <w:vAlign w:val="bottom"/>
            <w:shd w:val="clear" w:color="auto" w:fill="EAEEF2"/>
          </w:tcPr>
          <w:p>
            <w:pPr>
              <w:spacing w:after="0"/>
              <w:rPr>
                <w:sz w:val="16"/>
                <w:szCs w:val="16"/>
                <w:color w:val="auto"/>
              </w:rPr>
            </w:pPr>
          </w:p>
        </w:tc>
        <w:tc>
          <w:tcPr>
            <w:tcW w:w="760" w:type="dxa"/>
            <w:vAlign w:val="bottom"/>
            <w:shd w:val="clear" w:color="auto" w:fill="EAEEF2"/>
          </w:tcPr>
          <w:p>
            <w:pPr>
              <w:spacing w:after="0"/>
              <w:rPr>
                <w:sz w:val="16"/>
                <w:szCs w:val="16"/>
                <w:color w:val="auto"/>
              </w:rPr>
            </w:pPr>
          </w:p>
        </w:tc>
        <w:tc>
          <w:tcPr>
            <w:tcW w:w="100" w:type="dxa"/>
            <w:vAlign w:val="bottom"/>
            <w:shd w:val="clear" w:color="auto" w:fill="EAEEF2"/>
          </w:tcPr>
          <w:p>
            <w:pPr>
              <w:spacing w:after="0"/>
              <w:rPr>
                <w:sz w:val="16"/>
                <w:szCs w:val="16"/>
                <w:color w:val="auto"/>
              </w:rPr>
            </w:pPr>
          </w:p>
        </w:tc>
        <w:tc>
          <w:tcPr>
            <w:tcW w:w="3460" w:type="dxa"/>
            <w:vAlign w:val="bottom"/>
            <w:shd w:val="clear" w:color="auto" w:fill="EAEEF2"/>
          </w:tcPr>
          <w:p>
            <w:pPr>
              <w:ind w:left="20"/>
              <w:spacing w:after="0"/>
              <w:rPr>
                <w:sz w:val="20"/>
                <w:szCs w:val="20"/>
                <w:color w:val="auto"/>
              </w:rPr>
            </w:pPr>
            <w:r>
              <w:rPr>
                <w:rFonts w:ascii="Arial" w:cs="Arial" w:eastAsia="Arial" w:hAnsi="Arial"/>
                <w:sz w:val="14"/>
                <w:szCs w:val="14"/>
                <w:color w:val="4D4D4F"/>
              </w:rPr>
              <w:t>maximum</w:t>
            </w:r>
          </w:p>
        </w:tc>
        <w:tc>
          <w:tcPr>
            <w:tcW w:w="100" w:type="dxa"/>
            <w:vAlign w:val="bottom"/>
            <w:shd w:val="clear" w:color="auto" w:fill="EAEEF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0" w:type="dxa"/>
            <w:vAlign w:val="bottom"/>
            <w:tcBorders>
              <w:bottom w:val="single" w:sz="8" w:color="132440"/>
            </w:tcBorders>
            <w:shd w:val="clear" w:color="auto" w:fill="132440"/>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578EB1"/>
            </w:tcBorders>
            <w:shd w:val="clear" w:color="auto" w:fill="578EB1"/>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bottom w:val="single" w:sz="8" w:color="EAEEF2"/>
            </w:tcBorders>
            <w:shd w:val="clear" w:color="auto" w:fill="EAEEF2"/>
          </w:tcPr>
          <w:p>
            <w:pPr>
              <w:spacing w:after="0"/>
              <w:rPr>
                <w:sz w:val="15"/>
                <w:szCs w:val="15"/>
                <w:color w:val="auto"/>
              </w:rPr>
            </w:pPr>
          </w:p>
        </w:tc>
        <w:tc>
          <w:tcPr>
            <w:tcW w:w="1120" w:type="dxa"/>
            <w:vAlign w:val="bottom"/>
            <w:tcBorders>
              <w:bottom w:val="single" w:sz="8" w:color="132440"/>
            </w:tcBorders>
            <w:shd w:val="clear" w:color="auto" w:fill="EAEEF2"/>
          </w:tcPr>
          <w:p>
            <w:pPr>
              <w:spacing w:after="0"/>
              <w:rPr>
                <w:sz w:val="15"/>
                <w:szCs w:val="15"/>
                <w:color w:val="auto"/>
              </w:rPr>
            </w:pPr>
          </w:p>
        </w:tc>
        <w:tc>
          <w:tcPr>
            <w:tcW w:w="2380" w:type="dxa"/>
            <w:vAlign w:val="bottom"/>
            <w:tcBorders>
              <w:bottom w:val="single" w:sz="8" w:color="132440"/>
            </w:tcBorders>
            <w:shd w:val="clear" w:color="auto" w:fill="EAEEF2"/>
          </w:tcPr>
          <w:p>
            <w:pPr>
              <w:spacing w:after="0"/>
              <w:rPr>
                <w:sz w:val="15"/>
                <w:szCs w:val="15"/>
                <w:color w:val="auto"/>
              </w:rPr>
            </w:pPr>
          </w:p>
        </w:tc>
        <w:tc>
          <w:tcPr>
            <w:tcW w:w="120" w:type="dxa"/>
            <w:vAlign w:val="bottom"/>
            <w:tcBorders>
              <w:bottom w:val="single" w:sz="8" w:color="132440"/>
            </w:tcBorders>
            <w:shd w:val="clear" w:color="auto" w:fill="EAEEF2"/>
          </w:tcPr>
          <w:p>
            <w:pPr>
              <w:spacing w:after="0"/>
              <w:rPr>
                <w:sz w:val="15"/>
                <w:szCs w:val="15"/>
                <w:color w:val="auto"/>
              </w:rPr>
            </w:pPr>
          </w:p>
        </w:tc>
        <w:tc>
          <w:tcPr>
            <w:tcW w:w="760" w:type="dxa"/>
            <w:vAlign w:val="bottom"/>
            <w:tcBorders>
              <w:bottom w:val="single" w:sz="8" w:color="132440"/>
            </w:tcBorders>
            <w:shd w:val="clear" w:color="auto" w:fill="EAEEF2"/>
          </w:tcPr>
          <w:p>
            <w:pPr>
              <w:spacing w:after="0"/>
              <w:rPr>
                <w:sz w:val="15"/>
                <w:szCs w:val="15"/>
                <w:color w:val="auto"/>
              </w:rPr>
            </w:pPr>
          </w:p>
        </w:tc>
        <w:tc>
          <w:tcPr>
            <w:tcW w:w="100" w:type="dxa"/>
            <w:vAlign w:val="bottom"/>
            <w:tcBorders>
              <w:bottom w:val="single" w:sz="8" w:color="132440"/>
            </w:tcBorders>
            <w:shd w:val="clear" w:color="auto" w:fill="EAEEF2"/>
          </w:tcPr>
          <w:p>
            <w:pPr>
              <w:spacing w:after="0"/>
              <w:rPr>
                <w:sz w:val="15"/>
                <w:szCs w:val="15"/>
                <w:color w:val="auto"/>
              </w:rPr>
            </w:pPr>
          </w:p>
        </w:tc>
        <w:tc>
          <w:tcPr>
            <w:tcW w:w="3460" w:type="dxa"/>
            <w:vAlign w:val="bottom"/>
            <w:tcBorders>
              <w:bottom w:val="single" w:sz="8" w:color="132440"/>
            </w:tcBorders>
            <w:shd w:val="clear" w:color="auto" w:fill="EAEEF2"/>
          </w:tcPr>
          <w:p>
            <w:pPr>
              <w:spacing w:after="0"/>
              <w:rPr>
                <w:sz w:val="15"/>
                <w:szCs w:val="15"/>
                <w:color w:val="auto"/>
              </w:rPr>
            </w:pPr>
          </w:p>
        </w:tc>
        <w:tc>
          <w:tcPr>
            <w:tcW w:w="100" w:type="dxa"/>
            <w:vAlign w:val="bottom"/>
            <w:tcBorders>
              <w:bottom w:val="single" w:sz="8" w:color="132440"/>
            </w:tcBorders>
            <w:shd w:val="clear" w:color="auto" w:fill="EAEEF2"/>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820" w:type="dxa"/>
            <w:vAlign w:val="bottom"/>
            <w:shd w:val="clear" w:color="auto" w:fill="132440"/>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shd w:val="clear" w:color="auto" w:fill="578EB1"/>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shd w:val="clear" w:color="auto" w:fill="EAEEF2"/>
          </w:tcPr>
          <w:p>
            <w:pPr>
              <w:spacing w:after="0"/>
              <w:rPr>
                <w:sz w:val="23"/>
                <w:szCs w:val="23"/>
                <w:color w:val="auto"/>
              </w:rPr>
            </w:pPr>
          </w:p>
        </w:tc>
        <w:tc>
          <w:tcPr>
            <w:tcW w:w="112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Strategic</w:t>
            </w:r>
          </w:p>
        </w:tc>
        <w:tc>
          <w:tcPr>
            <w:tcW w:w="2380" w:type="dxa"/>
            <w:vAlign w:val="bottom"/>
            <w:shd w:val="clear" w:color="auto" w:fill="EAEEF2"/>
          </w:tcPr>
          <w:p>
            <w:pPr>
              <w:ind w:left="20"/>
              <w:spacing w:after="0"/>
              <w:rPr>
                <w:sz w:val="20"/>
                <w:szCs w:val="20"/>
                <w:color w:val="auto"/>
              </w:rPr>
            </w:pPr>
            <w:r>
              <w:rPr>
                <w:rFonts w:ascii="Arial" w:cs="Arial" w:eastAsia="Arial" w:hAnsi="Arial"/>
                <w:sz w:val="14"/>
                <w:szCs w:val="14"/>
                <w:color w:val="4D4D4F"/>
              </w:rPr>
              <w:t>Motivate and reward achievement of</w:t>
            </w:r>
          </w:p>
        </w:tc>
        <w:tc>
          <w:tcPr>
            <w:tcW w:w="120" w:type="dxa"/>
            <w:vAlign w:val="bottom"/>
            <w:shd w:val="clear" w:color="auto" w:fill="EAEEF2"/>
          </w:tcPr>
          <w:p>
            <w:pPr>
              <w:spacing w:after="0"/>
              <w:rPr>
                <w:sz w:val="23"/>
                <w:szCs w:val="23"/>
                <w:color w:val="auto"/>
              </w:rPr>
            </w:pPr>
          </w:p>
        </w:tc>
        <w:tc>
          <w:tcPr>
            <w:tcW w:w="760" w:type="dxa"/>
            <w:vAlign w:val="bottom"/>
            <w:shd w:val="clear" w:color="auto" w:fill="EAEEF2"/>
          </w:tcPr>
          <w:p>
            <w:pPr>
              <w:ind w:left="20"/>
              <w:spacing w:after="0"/>
              <w:rPr>
                <w:sz w:val="20"/>
                <w:szCs w:val="20"/>
                <w:color w:val="auto"/>
              </w:rPr>
            </w:pPr>
            <w:r>
              <w:rPr>
                <w:rFonts w:ascii="Arial" w:cs="Arial" w:eastAsia="Arial" w:hAnsi="Arial"/>
                <w:sz w:val="14"/>
                <w:szCs w:val="14"/>
                <w:color w:val="4D4D4F"/>
              </w:rPr>
              <w:t>Cash</w:t>
            </w:r>
          </w:p>
        </w:tc>
        <w:tc>
          <w:tcPr>
            <w:tcW w:w="100" w:type="dxa"/>
            <w:vAlign w:val="bottom"/>
            <w:shd w:val="clear" w:color="auto" w:fill="EAEEF2"/>
          </w:tcPr>
          <w:p>
            <w:pPr>
              <w:spacing w:after="0"/>
              <w:rPr>
                <w:sz w:val="23"/>
                <w:szCs w:val="23"/>
                <w:color w:val="auto"/>
              </w:rPr>
            </w:pPr>
          </w:p>
        </w:tc>
        <w:tc>
          <w:tcPr>
            <w:tcW w:w="3460" w:type="dxa"/>
            <w:vAlign w:val="bottom"/>
            <w:shd w:val="clear" w:color="auto" w:fill="EAEEF2"/>
          </w:tcPr>
          <w:p>
            <w:pPr>
              <w:ind w:left="20"/>
              <w:spacing w:after="0"/>
              <w:rPr>
                <w:sz w:val="20"/>
                <w:szCs w:val="20"/>
                <w:color w:val="auto"/>
              </w:rPr>
            </w:pPr>
            <w:r>
              <w:rPr>
                <w:rFonts w:ascii="Arial" w:cs="Arial" w:eastAsia="Arial" w:hAnsi="Arial"/>
                <w:sz w:val="14"/>
                <w:szCs w:val="14"/>
                <w:color w:val="4D4D4F"/>
              </w:rPr>
              <w:t>Represents 40% of AIP</w:t>
            </w:r>
          </w:p>
        </w:tc>
        <w:tc>
          <w:tcPr>
            <w:tcW w:w="100" w:type="dxa"/>
            <w:vAlign w:val="bottom"/>
            <w:shd w:val="clear" w:color="auto" w:fill="EAEEF2"/>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820" w:type="dxa"/>
            <w:vAlign w:val="bottom"/>
            <w:tcBorders>
              <w:bottom w:val="single" w:sz="8" w:color="132440"/>
            </w:tcBorders>
            <w:shd w:val="clear" w:color="auto" w:fill="132440"/>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bottom w:val="single" w:sz="8" w:color="578EB1"/>
            </w:tcBorders>
            <w:shd w:val="clear" w:color="auto" w:fill="578EB1"/>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Borders>
              <w:bottom w:val="single" w:sz="8" w:color="EAEEF2"/>
            </w:tcBorders>
            <w:shd w:val="clear" w:color="auto" w:fill="EAEEF2"/>
          </w:tcPr>
          <w:p>
            <w:pPr>
              <w:spacing w:after="0"/>
              <w:rPr>
                <w:sz w:val="7"/>
                <w:szCs w:val="7"/>
                <w:color w:val="auto"/>
              </w:rPr>
            </w:pPr>
          </w:p>
        </w:tc>
        <w:tc>
          <w:tcPr>
            <w:tcW w:w="1120" w:type="dxa"/>
            <w:vAlign w:val="bottom"/>
            <w:tcBorders>
              <w:bottom w:val="single" w:sz="8" w:color="EAEEF2"/>
            </w:tcBorders>
            <w:vMerge w:val="restart"/>
            <w:shd w:val="clear" w:color="auto" w:fill="EAEEF2"/>
          </w:tcPr>
          <w:p>
            <w:pPr>
              <w:ind w:left="100"/>
              <w:spacing w:after="0"/>
              <w:rPr>
                <w:sz w:val="20"/>
                <w:szCs w:val="20"/>
                <w:color w:val="auto"/>
              </w:rPr>
            </w:pPr>
            <w:r>
              <w:rPr>
                <w:rFonts w:ascii="Arial" w:cs="Arial" w:eastAsia="Arial" w:hAnsi="Arial"/>
                <w:sz w:val="14"/>
                <w:szCs w:val="14"/>
                <w:color w:val="4D4D4F"/>
              </w:rPr>
              <w:t>Objectives</w:t>
            </w:r>
          </w:p>
        </w:tc>
        <w:tc>
          <w:tcPr>
            <w:tcW w:w="2380" w:type="dxa"/>
            <w:vAlign w:val="bottom"/>
            <w:tcBorders>
              <w:bottom w:val="single" w:sz="8" w:color="EAEEF2"/>
            </w:tcBorders>
            <w:vMerge w:val="restart"/>
            <w:shd w:val="clear" w:color="auto" w:fill="EAEEF2"/>
          </w:tcPr>
          <w:p>
            <w:pPr>
              <w:ind w:left="20"/>
              <w:spacing w:after="0"/>
              <w:rPr>
                <w:sz w:val="20"/>
                <w:szCs w:val="20"/>
                <w:color w:val="auto"/>
              </w:rPr>
            </w:pPr>
            <w:r>
              <w:rPr>
                <w:rFonts w:ascii="Arial" w:cs="Arial" w:eastAsia="Arial" w:hAnsi="Arial"/>
                <w:sz w:val="14"/>
                <w:szCs w:val="14"/>
                <w:color w:val="4D4D4F"/>
              </w:rPr>
              <w:t>strategic goals that contribute to our</w:t>
            </w:r>
          </w:p>
        </w:tc>
        <w:tc>
          <w:tcPr>
            <w:tcW w:w="120" w:type="dxa"/>
            <w:vAlign w:val="bottom"/>
            <w:tcBorders>
              <w:bottom w:val="single" w:sz="8" w:color="EAEEF2"/>
            </w:tcBorders>
            <w:shd w:val="clear" w:color="auto" w:fill="EAEEF2"/>
          </w:tcPr>
          <w:p>
            <w:pPr>
              <w:spacing w:after="0"/>
              <w:rPr>
                <w:sz w:val="7"/>
                <w:szCs w:val="7"/>
                <w:color w:val="auto"/>
              </w:rPr>
            </w:pPr>
          </w:p>
        </w:tc>
        <w:tc>
          <w:tcPr>
            <w:tcW w:w="760" w:type="dxa"/>
            <w:vAlign w:val="bottom"/>
            <w:tcBorders>
              <w:bottom w:val="single" w:sz="8" w:color="EAEEF2"/>
            </w:tcBorders>
            <w:shd w:val="clear" w:color="auto" w:fill="EAEEF2"/>
          </w:tcPr>
          <w:p>
            <w:pPr>
              <w:spacing w:after="0"/>
              <w:rPr>
                <w:sz w:val="7"/>
                <w:szCs w:val="7"/>
                <w:color w:val="auto"/>
              </w:rPr>
            </w:pPr>
          </w:p>
        </w:tc>
        <w:tc>
          <w:tcPr>
            <w:tcW w:w="100" w:type="dxa"/>
            <w:vAlign w:val="bottom"/>
            <w:tcBorders>
              <w:bottom w:val="single" w:sz="8" w:color="EAEEF2"/>
            </w:tcBorders>
            <w:shd w:val="clear" w:color="auto" w:fill="EAEEF2"/>
          </w:tcPr>
          <w:p>
            <w:pPr>
              <w:spacing w:after="0"/>
              <w:rPr>
                <w:sz w:val="7"/>
                <w:szCs w:val="7"/>
                <w:color w:val="auto"/>
              </w:rPr>
            </w:pPr>
          </w:p>
        </w:tc>
        <w:tc>
          <w:tcPr>
            <w:tcW w:w="3460" w:type="dxa"/>
            <w:vAlign w:val="bottom"/>
            <w:tcBorders>
              <w:bottom w:val="single" w:sz="8" w:color="132440"/>
            </w:tcBorders>
            <w:shd w:val="clear" w:color="auto" w:fill="EAEEF2"/>
          </w:tcPr>
          <w:p>
            <w:pPr>
              <w:spacing w:after="0"/>
              <w:rPr>
                <w:sz w:val="7"/>
                <w:szCs w:val="7"/>
                <w:color w:val="auto"/>
              </w:rPr>
            </w:pPr>
          </w:p>
        </w:tc>
        <w:tc>
          <w:tcPr>
            <w:tcW w:w="100" w:type="dxa"/>
            <w:vAlign w:val="bottom"/>
            <w:tcBorders>
              <w:bottom w:val="single" w:sz="8" w:color="132440"/>
            </w:tcBorders>
            <w:shd w:val="clear" w:color="auto" w:fill="EAEEF2"/>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820" w:type="dxa"/>
            <w:vAlign w:val="bottom"/>
            <w:shd w:val="clear" w:color="auto" w:fill="132440"/>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shd w:val="clear" w:color="auto" w:fill="578EB1"/>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shd w:val="clear" w:color="auto" w:fill="EAEEF2"/>
          </w:tcPr>
          <w:p>
            <w:pPr>
              <w:spacing w:after="0"/>
              <w:rPr>
                <w:sz w:val="6"/>
                <w:szCs w:val="6"/>
                <w:color w:val="auto"/>
              </w:rPr>
            </w:pPr>
          </w:p>
        </w:tc>
        <w:tc>
          <w:tcPr>
            <w:tcW w:w="1120" w:type="dxa"/>
            <w:vAlign w:val="bottom"/>
            <w:vMerge w:val="continue"/>
            <w:shd w:val="clear" w:color="auto" w:fill="EAEEF2"/>
          </w:tcPr>
          <w:p>
            <w:pPr>
              <w:spacing w:after="0"/>
              <w:rPr>
                <w:sz w:val="6"/>
                <w:szCs w:val="6"/>
                <w:color w:val="auto"/>
              </w:rPr>
            </w:pPr>
          </w:p>
        </w:tc>
        <w:tc>
          <w:tcPr>
            <w:tcW w:w="2380" w:type="dxa"/>
            <w:vAlign w:val="bottom"/>
            <w:vMerge w:val="continue"/>
            <w:shd w:val="clear" w:color="auto" w:fill="EAEEF2"/>
          </w:tcPr>
          <w:p>
            <w:pPr>
              <w:spacing w:after="0"/>
              <w:rPr>
                <w:sz w:val="6"/>
                <w:szCs w:val="6"/>
                <w:color w:val="auto"/>
              </w:rPr>
            </w:pPr>
          </w:p>
        </w:tc>
        <w:tc>
          <w:tcPr>
            <w:tcW w:w="120" w:type="dxa"/>
            <w:vAlign w:val="bottom"/>
            <w:shd w:val="clear" w:color="auto" w:fill="EAEEF2"/>
          </w:tcPr>
          <w:p>
            <w:pPr>
              <w:spacing w:after="0"/>
              <w:rPr>
                <w:sz w:val="6"/>
                <w:szCs w:val="6"/>
                <w:color w:val="auto"/>
              </w:rPr>
            </w:pPr>
          </w:p>
        </w:tc>
        <w:tc>
          <w:tcPr>
            <w:tcW w:w="760" w:type="dxa"/>
            <w:vAlign w:val="bottom"/>
            <w:shd w:val="clear" w:color="auto" w:fill="EAEEF2"/>
          </w:tcPr>
          <w:p>
            <w:pPr>
              <w:spacing w:after="0"/>
              <w:rPr>
                <w:sz w:val="6"/>
                <w:szCs w:val="6"/>
                <w:color w:val="auto"/>
              </w:rPr>
            </w:pPr>
          </w:p>
        </w:tc>
        <w:tc>
          <w:tcPr>
            <w:tcW w:w="100" w:type="dxa"/>
            <w:vAlign w:val="bottom"/>
            <w:shd w:val="clear" w:color="auto" w:fill="EAEEF2"/>
          </w:tcPr>
          <w:p>
            <w:pPr>
              <w:spacing w:after="0"/>
              <w:rPr>
                <w:sz w:val="6"/>
                <w:szCs w:val="6"/>
                <w:color w:val="auto"/>
              </w:rPr>
            </w:pPr>
          </w:p>
        </w:tc>
        <w:tc>
          <w:tcPr>
            <w:tcW w:w="3460" w:type="dxa"/>
            <w:vAlign w:val="bottom"/>
            <w:vMerge w:val="restart"/>
            <w:shd w:val="clear" w:color="auto" w:fill="EAEEF2"/>
          </w:tcPr>
          <w:p>
            <w:pPr>
              <w:ind w:left="20"/>
              <w:spacing w:after="0"/>
              <w:rPr>
                <w:sz w:val="20"/>
                <w:szCs w:val="20"/>
                <w:color w:val="auto"/>
              </w:rPr>
            </w:pPr>
            <w:r>
              <w:rPr>
                <w:rFonts w:ascii="Arial" w:cs="Arial" w:eastAsia="Arial" w:hAnsi="Arial"/>
                <w:sz w:val="14"/>
                <w:szCs w:val="14"/>
                <w:color w:val="4D4D4F"/>
              </w:rPr>
              <w:t>Earned based on pre-established and approved</w:t>
            </w:r>
          </w:p>
        </w:tc>
        <w:tc>
          <w:tcPr>
            <w:tcW w:w="100" w:type="dxa"/>
            <w:vAlign w:val="bottom"/>
            <w:shd w:val="clear" w:color="auto" w:fill="EAEEF2"/>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820" w:type="dxa"/>
            <w:vAlign w:val="bottom"/>
            <w:shd w:val="clear" w:color="auto" w:fill="132440"/>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shd w:val="clear" w:color="auto" w:fill="578EB1"/>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shd w:val="clear" w:color="auto" w:fill="EAEEF2"/>
          </w:tcPr>
          <w:p>
            <w:pPr>
              <w:spacing w:after="0"/>
              <w:rPr>
                <w:sz w:val="9"/>
                <w:szCs w:val="9"/>
                <w:color w:val="auto"/>
              </w:rPr>
            </w:pPr>
          </w:p>
        </w:tc>
        <w:tc>
          <w:tcPr>
            <w:tcW w:w="1120" w:type="dxa"/>
            <w:vAlign w:val="bottom"/>
            <w:shd w:val="clear" w:color="auto" w:fill="EAEEF2"/>
          </w:tcPr>
          <w:p>
            <w:pPr>
              <w:spacing w:after="0"/>
              <w:rPr>
                <w:sz w:val="9"/>
                <w:szCs w:val="9"/>
                <w:color w:val="auto"/>
              </w:rPr>
            </w:pPr>
          </w:p>
        </w:tc>
        <w:tc>
          <w:tcPr>
            <w:tcW w:w="2380" w:type="dxa"/>
            <w:vAlign w:val="bottom"/>
            <w:vMerge w:val="restart"/>
            <w:shd w:val="clear" w:color="auto" w:fill="EAEEF2"/>
          </w:tcPr>
          <w:p>
            <w:pPr>
              <w:ind w:left="20"/>
              <w:spacing w:after="0"/>
              <w:rPr>
                <w:sz w:val="20"/>
                <w:szCs w:val="20"/>
                <w:color w:val="auto"/>
              </w:rPr>
            </w:pPr>
            <w:r>
              <w:rPr>
                <w:rFonts w:ascii="Arial" w:cs="Arial" w:eastAsia="Arial" w:hAnsi="Arial"/>
                <w:sz w:val="14"/>
                <w:szCs w:val="14"/>
                <w:color w:val="4D4D4F"/>
              </w:rPr>
              <w:t>long-term growth and operational</w:t>
            </w:r>
          </w:p>
        </w:tc>
        <w:tc>
          <w:tcPr>
            <w:tcW w:w="120" w:type="dxa"/>
            <w:vAlign w:val="bottom"/>
            <w:shd w:val="clear" w:color="auto" w:fill="EAEEF2"/>
          </w:tcPr>
          <w:p>
            <w:pPr>
              <w:spacing w:after="0"/>
              <w:rPr>
                <w:sz w:val="9"/>
                <w:szCs w:val="9"/>
                <w:color w:val="auto"/>
              </w:rPr>
            </w:pPr>
          </w:p>
        </w:tc>
        <w:tc>
          <w:tcPr>
            <w:tcW w:w="760" w:type="dxa"/>
            <w:vAlign w:val="bottom"/>
            <w:shd w:val="clear" w:color="auto" w:fill="EAEEF2"/>
          </w:tcPr>
          <w:p>
            <w:pPr>
              <w:spacing w:after="0"/>
              <w:rPr>
                <w:sz w:val="9"/>
                <w:szCs w:val="9"/>
                <w:color w:val="auto"/>
              </w:rPr>
            </w:pPr>
          </w:p>
        </w:tc>
        <w:tc>
          <w:tcPr>
            <w:tcW w:w="100" w:type="dxa"/>
            <w:vAlign w:val="bottom"/>
            <w:shd w:val="clear" w:color="auto" w:fill="EAEEF2"/>
          </w:tcPr>
          <w:p>
            <w:pPr>
              <w:spacing w:after="0"/>
              <w:rPr>
                <w:sz w:val="9"/>
                <w:szCs w:val="9"/>
                <w:color w:val="auto"/>
              </w:rPr>
            </w:pPr>
          </w:p>
        </w:tc>
        <w:tc>
          <w:tcPr>
            <w:tcW w:w="3460" w:type="dxa"/>
            <w:vAlign w:val="bottom"/>
            <w:vMerge w:val="continue"/>
            <w:shd w:val="clear" w:color="auto" w:fill="EAEEF2"/>
          </w:tcPr>
          <w:p>
            <w:pPr>
              <w:spacing w:after="0"/>
              <w:rPr>
                <w:sz w:val="9"/>
                <w:szCs w:val="9"/>
                <w:color w:val="auto"/>
              </w:rPr>
            </w:pPr>
          </w:p>
        </w:tc>
        <w:tc>
          <w:tcPr>
            <w:tcW w:w="100" w:type="dxa"/>
            <w:vAlign w:val="bottom"/>
            <w:shd w:val="clear" w:color="auto" w:fill="EAEEF2"/>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820" w:type="dxa"/>
            <w:vAlign w:val="bottom"/>
            <w:shd w:val="clear" w:color="auto" w:fill="132440"/>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shd w:val="clear" w:color="auto" w:fill="578EB1"/>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shd w:val="clear" w:color="auto" w:fill="EAEEF2"/>
          </w:tcPr>
          <w:p>
            <w:pPr>
              <w:spacing w:after="0"/>
              <w:rPr>
                <w:sz w:val="5"/>
                <w:szCs w:val="5"/>
                <w:color w:val="auto"/>
              </w:rPr>
            </w:pPr>
          </w:p>
        </w:tc>
        <w:tc>
          <w:tcPr>
            <w:tcW w:w="1120" w:type="dxa"/>
            <w:vAlign w:val="bottom"/>
            <w:shd w:val="clear" w:color="auto" w:fill="EAEEF2"/>
          </w:tcPr>
          <w:p>
            <w:pPr>
              <w:spacing w:after="0"/>
              <w:rPr>
                <w:sz w:val="5"/>
                <w:szCs w:val="5"/>
                <w:color w:val="auto"/>
              </w:rPr>
            </w:pPr>
          </w:p>
        </w:tc>
        <w:tc>
          <w:tcPr>
            <w:tcW w:w="2380" w:type="dxa"/>
            <w:vAlign w:val="bottom"/>
            <w:vMerge w:val="continue"/>
            <w:shd w:val="clear" w:color="auto" w:fill="EAEEF2"/>
          </w:tcPr>
          <w:p>
            <w:pPr>
              <w:spacing w:after="0"/>
              <w:rPr>
                <w:sz w:val="5"/>
                <w:szCs w:val="5"/>
                <w:color w:val="auto"/>
              </w:rPr>
            </w:pPr>
          </w:p>
        </w:tc>
        <w:tc>
          <w:tcPr>
            <w:tcW w:w="120" w:type="dxa"/>
            <w:vAlign w:val="bottom"/>
            <w:shd w:val="clear" w:color="auto" w:fill="EAEEF2"/>
          </w:tcPr>
          <w:p>
            <w:pPr>
              <w:spacing w:after="0"/>
              <w:rPr>
                <w:sz w:val="5"/>
                <w:szCs w:val="5"/>
                <w:color w:val="auto"/>
              </w:rPr>
            </w:pPr>
          </w:p>
        </w:tc>
        <w:tc>
          <w:tcPr>
            <w:tcW w:w="760" w:type="dxa"/>
            <w:vAlign w:val="bottom"/>
            <w:shd w:val="clear" w:color="auto" w:fill="EAEEF2"/>
          </w:tcPr>
          <w:p>
            <w:pPr>
              <w:spacing w:after="0"/>
              <w:rPr>
                <w:sz w:val="5"/>
                <w:szCs w:val="5"/>
                <w:color w:val="auto"/>
              </w:rPr>
            </w:pPr>
          </w:p>
        </w:tc>
        <w:tc>
          <w:tcPr>
            <w:tcW w:w="100" w:type="dxa"/>
            <w:vAlign w:val="bottom"/>
            <w:shd w:val="clear" w:color="auto" w:fill="EAEEF2"/>
          </w:tcPr>
          <w:p>
            <w:pPr>
              <w:spacing w:after="0"/>
              <w:rPr>
                <w:sz w:val="5"/>
                <w:szCs w:val="5"/>
                <w:color w:val="auto"/>
              </w:rPr>
            </w:pPr>
          </w:p>
        </w:tc>
        <w:tc>
          <w:tcPr>
            <w:tcW w:w="3460" w:type="dxa"/>
            <w:vAlign w:val="bottom"/>
            <w:vMerge w:val="restart"/>
            <w:shd w:val="clear" w:color="auto" w:fill="EAEEF2"/>
          </w:tcPr>
          <w:p>
            <w:pPr>
              <w:ind w:left="20"/>
              <w:spacing w:after="0"/>
              <w:rPr>
                <w:sz w:val="20"/>
                <w:szCs w:val="20"/>
                <w:color w:val="auto"/>
              </w:rPr>
            </w:pPr>
            <w:r>
              <w:rPr>
                <w:rFonts w:ascii="Arial" w:cs="Arial" w:eastAsia="Arial" w:hAnsi="Arial"/>
                <w:sz w:val="14"/>
                <w:szCs w:val="14"/>
                <w:color w:val="4D4D4F"/>
              </w:rPr>
              <w:t>Strategic Objectives</w:t>
            </w:r>
          </w:p>
        </w:tc>
        <w:tc>
          <w:tcPr>
            <w:tcW w:w="100" w:type="dxa"/>
            <w:vAlign w:val="bottom"/>
            <w:shd w:val="clear" w:color="auto" w:fill="EAEEF2"/>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820" w:type="dxa"/>
            <w:vAlign w:val="bottom"/>
            <w:shd w:val="clear" w:color="auto" w:fill="132440"/>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shd w:val="clear" w:color="auto" w:fill="578EB1"/>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shd w:val="clear" w:color="auto" w:fill="EAEEF2"/>
          </w:tcPr>
          <w:p>
            <w:pPr>
              <w:spacing w:after="0"/>
              <w:rPr>
                <w:sz w:val="10"/>
                <w:szCs w:val="10"/>
                <w:color w:val="auto"/>
              </w:rPr>
            </w:pPr>
          </w:p>
        </w:tc>
        <w:tc>
          <w:tcPr>
            <w:tcW w:w="1120" w:type="dxa"/>
            <w:vAlign w:val="bottom"/>
            <w:shd w:val="clear" w:color="auto" w:fill="EAEEF2"/>
          </w:tcPr>
          <w:p>
            <w:pPr>
              <w:spacing w:after="0"/>
              <w:rPr>
                <w:sz w:val="10"/>
                <w:szCs w:val="10"/>
                <w:color w:val="auto"/>
              </w:rPr>
            </w:pPr>
          </w:p>
        </w:tc>
        <w:tc>
          <w:tcPr>
            <w:tcW w:w="2380" w:type="dxa"/>
            <w:vAlign w:val="bottom"/>
            <w:vMerge w:val="restart"/>
            <w:shd w:val="clear" w:color="auto" w:fill="EAEEF2"/>
          </w:tcPr>
          <w:p>
            <w:pPr>
              <w:ind w:left="20"/>
              <w:spacing w:after="0"/>
              <w:rPr>
                <w:sz w:val="20"/>
                <w:szCs w:val="20"/>
                <w:color w:val="auto"/>
              </w:rPr>
            </w:pPr>
            <w:r>
              <w:rPr>
                <w:rFonts w:ascii="Arial" w:cs="Arial" w:eastAsia="Arial" w:hAnsi="Arial"/>
                <w:sz w:val="14"/>
                <w:szCs w:val="14"/>
                <w:color w:val="4D4D4F"/>
              </w:rPr>
              <w:t>excellence.</w:t>
            </w:r>
          </w:p>
        </w:tc>
        <w:tc>
          <w:tcPr>
            <w:tcW w:w="120" w:type="dxa"/>
            <w:vAlign w:val="bottom"/>
            <w:shd w:val="clear" w:color="auto" w:fill="EAEEF2"/>
          </w:tcPr>
          <w:p>
            <w:pPr>
              <w:spacing w:after="0"/>
              <w:rPr>
                <w:sz w:val="10"/>
                <w:szCs w:val="10"/>
                <w:color w:val="auto"/>
              </w:rPr>
            </w:pPr>
          </w:p>
        </w:tc>
        <w:tc>
          <w:tcPr>
            <w:tcW w:w="760" w:type="dxa"/>
            <w:vAlign w:val="bottom"/>
            <w:shd w:val="clear" w:color="auto" w:fill="EAEEF2"/>
          </w:tcPr>
          <w:p>
            <w:pPr>
              <w:spacing w:after="0"/>
              <w:rPr>
                <w:sz w:val="10"/>
                <w:szCs w:val="10"/>
                <w:color w:val="auto"/>
              </w:rPr>
            </w:pPr>
          </w:p>
        </w:tc>
        <w:tc>
          <w:tcPr>
            <w:tcW w:w="100" w:type="dxa"/>
            <w:vAlign w:val="bottom"/>
            <w:shd w:val="clear" w:color="auto" w:fill="EAEEF2"/>
          </w:tcPr>
          <w:p>
            <w:pPr>
              <w:spacing w:after="0"/>
              <w:rPr>
                <w:sz w:val="10"/>
                <w:szCs w:val="10"/>
                <w:color w:val="auto"/>
              </w:rPr>
            </w:pPr>
          </w:p>
        </w:tc>
        <w:tc>
          <w:tcPr>
            <w:tcW w:w="3460" w:type="dxa"/>
            <w:vAlign w:val="bottom"/>
            <w:vMerge w:val="continue"/>
            <w:shd w:val="clear" w:color="auto" w:fill="EAEEF2"/>
          </w:tcPr>
          <w:p>
            <w:pPr>
              <w:spacing w:after="0"/>
              <w:rPr>
                <w:sz w:val="10"/>
                <w:szCs w:val="10"/>
                <w:color w:val="auto"/>
              </w:rPr>
            </w:pPr>
          </w:p>
        </w:tc>
        <w:tc>
          <w:tcPr>
            <w:tcW w:w="100" w:type="dxa"/>
            <w:vAlign w:val="bottom"/>
            <w:shd w:val="clear" w:color="auto" w:fill="EAEEF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820" w:type="dxa"/>
            <w:vAlign w:val="bottom"/>
            <w:tcBorders>
              <w:bottom w:val="single" w:sz="8" w:color="132440"/>
            </w:tcBorders>
            <w:shd w:val="clear" w:color="auto" w:fill="132440"/>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bottom w:val="single" w:sz="8" w:color="578EB1"/>
            </w:tcBorders>
            <w:shd w:val="clear" w:color="auto" w:fill="578EB1"/>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Borders>
              <w:bottom w:val="single" w:sz="8" w:color="EAEEF2"/>
            </w:tcBorders>
            <w:shd w:val="clear" w:color="auto" w:fill="EAEEF2"/>
          </w:tcPr>
          <w:p>
            <w:pPr>
              <w:spacing w:after="0"/>
              <w:rPr>
                <w:sz w:val="7"/>
                <w:szCs w:val="7"/>
                <w:color w:val="auto"/>
              </w:rPr>
            </w:pPr>
          </w:p>
        </w:tc>
        <w:tc>
          <w:tcPr>
            <w:tcW w:w="1120" w:type="dxa"/>
            <w:vAlign w:val="bottom"/>
            <w:tcBorders>
              <w:bottom w:val="single" w:sz="8" w:color="EAEEF2"/>
            </w:tcBorders>
            <w:shd w:val="clear" w:color="auto" w:fill="EAEEF2"/>
          </w:tcPr>
          <w:p>
            <w:pPr>
              <w:spacing w:after="0"/>
              <w:rPr>
                <w:sz w:val="7"/>
                <w:szCs w:val="7"/>
                <w:color w:val="auto"/>
              </w:rPr>
            </w:pPr>
          </w:p>
        </w:tc>
        <w:tc>
          <w:tcPr>
            <w:tcW w:w="2380" w:type="dxa"/>
            <w:vAlign w:val="bottom"/>
            <w:tcBorders>
              <w:bottom w:val="single" w:sz="8" w:color="EAEEF2"/>
            </w:tcBorders>
            <w:vMerge w:val="continue"/>
            <w:shd w:val="clear" w:color="auto" w:fill="EAEEF2"/>
          </w:tcPr>
          <w:p>
            <w:pPr>
              <w:spacing w:after="0"/>
              <w:rPr>
                <w:sz w:val="7"/>
                <w:szCs w:val="7"/>
                <w:color w:val="auto"/>
              </w:rPr>
            </w:pPr>
          </w:p>
        </w:tc>
        <w:tc>
          <w:tcPr>
            <w:tcW w:w="120" w:type="dxa"/>
            <w:vAlign w:val="bottom"/>
            <w:tcBorders>
              <w:bottom w:val="single" w:sz="8" w:color="EAEEF2"/>
            </w:tcBorders>
            <w:shd w:val="clear" w:color="auto" w:fill="EAEEF2"/>
          </w:tcPr>
          <w:p>
            <w:pPr>
              <w:spacing w:after="0"/>
              <w:rPr>
                <w:sz w:val="7"/>
                <w:szCs w:val="7"/>
                <w:color w:val="auto"/>
              </w:rPr>
            </w:pPr>
          </w:p>
        </w:tc>
        <w:tc>
          <w:tcPr>
            <w:tcW w:w="760" w:type="dxa"/>
            <w:vAlign w:val="bottom"/>
            <w:tcBorders>
              <w:bottom w:val="single" w:sz="8" w:color="EAEEF2"/>
            </w:tcBorders>
            <w:shd w:val="clear" w:color="auto" w:fill="EAEEF2"/>
          </w:tcPr>
          <w:p>
            <w:pPr>
              <w:spacing w:after="0"/>
              <w:rPr>
                <w:sz w:val="7"/>
                <w:szCs w:val="7"/>
                <w:color w:val="auto"/>
              </w:rPr>
            </w:pPr>
          </w:p>
        </w:tc>
        <w:tc>
          <w:tcPr>
            <w:tcW w:w="100" w:type="dxa"/>
            <w:vAlign w:val="bottom"/>
            <w:tcBorders>
              <w:bottom w:val="single" w:sz="8" w:color="EAEEF2"/>
            </w:tcBorders>
            <w:shd w:val="clear" w:color="auto" w:fill="EAEEF2"/>
          </w:tcPr>
          <w:p>
            <w:pPr>
              <w:spacing w:after="0"/>
              <w:rPr>
                <w:sz w:val="7"/>
                <w:szCs w:val="7"/>
                <w:color w:val="auto"/>
              </w:rPr>
            </w:pPr>
          </w:p>
        </w:tc>
        <w:tc>
          <w:tcPr>
            <w:tcW w:w="3460" w:type="dxa"/>
            <w:vAlign w:val="bottom"/>
            <w:tcBorders>
              <w:bottom w:val="single" w:sz="8" w:color="EAEEF2"/>
            </w:tcBorders>
            <w:shd w:val="clear" w:color="auto" w:fill="EAEEF2"/>
          </w:tcPr>
          <w:p>
            <w:pPr>
              <w:spacing w:after="0"/>
              <w:rPr>
                <w:sz w:val="7"/>
                <w:szCs w:val="7"/>
                <w:color w:val="auto"/>
              </w:rPr>
            </w:pPr>
          </w:p>
        </w:tc>
        <w:tc>
          <w:tcPr>
            <w:tcW w:w="100" w:type="dxa"/>
            <w:vAlign w:val="bottom"/>
            <w:tcBorders>
              <w:bottom w:val="single" w:sz="8" w:color="EAEEF2"/>
            </w:tcBorders>
            <w:shd w:val="clear" w:color="auto" w:fill="EAEEF2"/>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820" w:type="dxa"/>
            <w:vAlign w:val="bottom"/>
            <w:tcBorders>
              <w:top w:val="single" w:sz="8" w:color="132440"/>
            </w:tcBorders>
            <w:shd w:val="clear" w:color="auto" w:fill="132440"/>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578EB1"/>
            </w:tcBorders>
            <w:shd w:val="clear" w:color="auto" w:fill="578EB1"/>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top w:val="single" w:sz="8" w:color="EAEEF2"/>
            </w:tcBorders>
            <w:shd w:val="clear" w:color="auto" w:fill="EAEEF2"/>
          </w:tcPr>
          <w:p>
            <w:pPr>
              <w:spacing w:after="0"/>
              <w:rPr>
                <w:sz w:val="17"/>
                <w:szCs w:val="17"/>
                <w:color w:val="auto"/>
              </w:rPr>
            </w:pPr>
          </w:p>
        </w:tc>
        <w:tc>
          <w:tcPr>
            <w:tcW w:w="1120" w:type="dxa"/>
            <w:vAlign w:val="bottom"/>
            <w:tcBorders>
              <w:top w:val="single" w:sz="8" w:color="EAEEF2"/>
            </w:tcBorders>
            <w:shd w:val="clear" w:color="auto" w:fill="EAEEF2"/>
          </w:tcPr>
          <w:p>
            <w:pPr>
              <w:spacing w:after="0"/>
              <w:rPr>
                <w:sz w:val="17"/>
                <w:szCs w:val="17"/>
                <w:color w:val="auto"/>
              </w:rPr>
            </w:pPr>
          </w:p>
        </w:tc>
        <w:tc>
          <w:tcPr>
            <w:tcW w:w="2380" w:type="dxa"/>
            <w:vAlign w:val="bottom"/>
            <w:tcBorders>
              <w:top w:val="single" w:sz="8" w:color="EAEEF2"/>
            </w:tcBorders>
            <w:shd w:val="clear" w:color="auto" w:fill="EAEEF2"/>
          </w:tcPr>
          <w:p>
            <w:pPr>
              <w:spacing w:after="0"/>
              <w:rPr>
                <w:sz w:val="17"/>
                <w:szCs w:val="17"/>
                <w:color w:val="auto"/>
              </w:rPr>
            </w:pPr>
          </w:p>
        </w:tc>
        <w:tc>
          <w:tcPr>
            <w:tcW w:w="120" w:type="dxa"/>
            <w:vAlign w:val="bottom"/>
            <w:tcBorders>
              <w:top w:val="single" w:sz="8" w:color="EAEEF2"/>
            </w:tcBorders>
            <w:shd w:val="clear" w:color="auto" w:fill="EAEEF2"/>
          </w:tcPr>
          <w:p>
            <w:pPr>
              <w:spacing w:after="0"/>
              <w:rPr>
                <w:sz w:val="17"/>
                <w:szCs w:val="17"/>
                <w:color w:val="auto"/>
              </w:rPr>
            </w:pPr>
          </w:p>
        </w:tc>
        <w:tc>
          <w:tcPr>
            <w:tcW w:w="760" w:type="dxa"/>
            <w:vAlign w:val="bottom"/>
            <w:tcBorders>
              <w:top w:val="single" w:sz="8" w:color="EAEEF2"/>
            </w:tcBorders>
            <w:shd w:val="clear" w:color="auto" w:fill="EAEEF2"/>
          </w:tcPr>
          <w:p>
            <w:pPr>
              <w:spacing w:after="0"/>
              <w:rPr>
                <w:sz w:val="17"/>
                <w:szCs w:val="17"/>
                <w:color w:val="auto"/>
              </w:rPr>
            </w:pPr>
          </w:p>
        </w:tc>
        <w:tc>
          <w:tcPr>
            <w:tcW w:w="100" w:type="dxa"/>
            <w:vAlign w:val="bottom"/>
            <w:tcBorders>
              <w:top w:val="single" w:sz="8" w:color="EAEEF2"/>
            </w:tcBorders>
            <w:shd w:val="clear" w:color="auto" w:fill="EAEEF2"/>
          </w:tcPr>
          <w:p>
            <w:pPr>
              <w:spacing w:after="0"/>
              <w:rPr>
                <w:sz w:val="17"/>
                <w:szCs w:val="17"/>
                <w:color w:val="auto"/>
              </w:rPr>
            </w:pPr>
          </w:p>
        </w:tc>
        <w:tc>
          <w:tcPr>
            <w:tcW w:w="3460" w:type="dxa"/>
            <w:vAlign w:val="bottom"/>
            <w:tcBorders>
              <w:top w:val="single" w:sz="8" w:color="132440"/>
            </w:tcBorders>
            <w:shd w:val="clear" w:color="auto" w:fill="EAEEF2"/>
          </w:tcPr>
          <w:p>
            <w:pPr>
              <w:ind w:left="20"/>
              <w:spacing w:after="0"/>
              <w:rPr>
                <w:sz w:val="20"/>
                <w:szCs w:val="20"/>
                <w:color w:val="auto"/>
              </w:rPr>
            </w:pPr>
            <w:r>
              <w:rPr>
                <w:rFonts w:ascii="Arial" w:cs="Arial" w:eastAsia="Arial" w:hAnsi="Arial"/>
                <w:sz w:val="14"/>
                <w:szCs w:val="14"/>
                <w:color w:val="4D4D4F"/>
              </w:rPr>
              <w:t>Payouts capped at 100%</w:t>
            </w:r>
          </w:p>
        </w:tc>
        <w:tc>
          <w:tcPr>
            <w:tcW w:w="100" w:type="dxa"/>
            <w:vAlign w:val="bottom"/>
            <w:tcBorders>
              <w:top w:val="single" w:sz="8" w:color="132440"/>
            </w:tcBorders>
            <w:shd w:val="clear" w:color="auto" w:fill="EAEEF2"/>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20" w:type="dxa"/>
            <w:vAlign w:val="bottom"/>
            <w:shd w:val="clear" w:color="auto" w:fill="132440"/>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shd w:val="clear" w:color="auto" w:fill="578EB1"/>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shd w:val="clear" w:color="auto" w:fill="EAEEF2"/>
          </w:tcPr>
          <w:p>
            <w:pPr>
              <w:spacing w:after="0"/>
              <w:rPr>
                <w:sz w:val="14"/>
                <w:szCs w:val="14"/>
                <w:color w:val="auto"/>
              </w:rPr>
            </w:pPr>
          </w:p>
        </w:tc>
        <w:tc>
          <w:tcPr>
            <w:tcW w:w="1120" w:type="dxa"/>
            <w:vAlign w:val="bottom"/>
            <w:shd w:val="clear" w:color="auto" w:fill="EAEEF2"/>
          </w:tcPr>
          <w:p>
            <w:pPr>
              <w:spacing w:after="0"/>
              <w:rPr>
                <w:sz w:val="14"/>
                <w:szCs w:val="14"/>
                <w:color w:val="auto"/>
              </w:rPr>
            </w:pPr>
          </w:p>
        </w:tc>
        <w:tc>
          <w:tcPr>
            <w:tcW w:w="2380" w:type="dxa"/>
            <w:vAlign w:val="bottom"/>
            <w:shd w:val="clear" w:color="auto" w:fill="EAEEF2"/>
          </w:tcPr>
          <w:p>
            <w:pPr>
              <w:spacing w:after="0"/>
              <w:rPr>
                <w:sz w:val="14"/>
                <w:szCs w:val="14"/>
                <w:color w:val="auto"/>
              </w:rPr>
            </w:pPr>
          </w:p>
        </w:tc>
        <w:tc>
          <w:tcPr>
            <w:tcW w:w="120" w:type="dxa"/>
            <w:vAlign w:val="bottom"/>
            <w:shd w:val="clear" w:color="auto" w:fill="EAEEF2"/>
          </w:tcPr>
          <w:p>
            <w:pPr>
              <w:spacing w:after="0"/>
              <w:rPr>
                <w:sz w:val="14"/>
                <w:szCs w:val="14"/>
                <w:color w:val="auto"/>
              </w:rPr>
            </w:pPr>
          </w:p>
        </w:tc>
        <w:tc>
          <w:tcPr>
            <w:tcW w:w="760" w:type="dxa"/>
            <w:vAlign w:val="bottom"/>
            <w:shd w:val="clear" w:color="auto" w:fill="EAEEF2"/>
          </w:tcPr>
          <w:p>
            <w:pPr>
              <w:spacing w:after="0"/>
              <w:rPr>
                <w:sz w:val="14"/>
                <w:szCs w:val="14"/>
                <w:color w:val="auto"/>
              </w:rPr>
            </w:pPr>
          </w:p>
        </w:tc>
        <w:tc>
          <w:tcPr>
            <w:tcW w:w="100" w:type="dxa"/>
            <w:vAlign w:val="bottom"/>
            <w:shd w:val="clear" w:color="auto" w:fill="EAEEF2"/>
          </w:tcPr>
          <w:p>
            <w:pPr>
              <w:spacing w:after="0"/>
              <w:rPr>
                <w:sz w:val="14"/>
                <w:szCs w:val="14"/>
                <w:color w:val="auto"/>
              </w:rPr>
            </w:pPr>
          </w:p>
        </w:tc>
        <w:tc>
          <w:tcPr>
            <w:tcW w:w="3460" w:type="dxa"/>
            <w:vAlign w:val="bottom"/>
            <w:shd w:val="clear" w:color="auto" w:fill="EAEEF2"/>
          </w:tcPr>
          <w:p>
            <w:pPr>
              <w:spacing w:after="0"/>
              <w:rPr>
                <w:sz w:val="14"/>
                <w:szCs w:val="14"/>
                <w:color w:val="auto"/>
              </w:rPr>
            </w:pPr>
          </w:p>
        </w:tc>
        <w:tc>
          <w:tcPr>
            <w:tcW w:w="100" w:type="dxa"/>
            <w:vAlign w:val="bottom"/>
            <w:shd w:val="clear" w:color="auto" w:fill="EAEEF2"/>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820" w:type="dxa"/>
            <w:vAlign w:val="bottom"/>
            <w:shd w:val="clear" w:color="auto" w:fill="132440"/>
          </w:tcPr>
          <w:p>
            <w:pPr>
              <w:spacing w:after="0"/>
              <w:rPr>
                <w:sz w:val="24"/>
                <w:szCs w:val="24"/>
                <w:color w:val="auto"/>
              </w:rPr>
            </w:pPr>
          </w:p>
        </w:tc>
        <w:tc>
          <w:tcPr>
            <w:tcW w:w="100" w:type="dxa"/>
            <w:vAlign w:val="bottom"/>
            <w:shd w:val="clear" w:color="auto" w:fill="298655"/>
          </w:tcPr>
          <w:p>
            <w:pPr>
              <w:spacing w:after="0"/>
              <w:rPr>
                <w:sz w:val="24"/>
                <w:szCs w:val="24"/>
                <w:color w:val="auto"/>
              </w:rPr>
            </w:pPr>
          </w:p>
        </w:tc>
        <w:tc>
          <w:tcPr>
            <w:tcW w:w="700" w:type="dxa"/>
            <w:vAlign w:val="bottom"/>
            <w:shd w:val="clear" w:color="auto" w:fill="298655"/>
          </w:tcPr>
          <w:p>
            <w:pPr>
              <w:ind w:left="20"/>
              <w:spacing w:after="0"/>
              <w:rPr>
                <w:sz w:val="20"/>
                <w:szCs w:val="20"/>
                <w:color w:val="auto"/>
              </w:rPr>
            </w:pPr>
            <w:r>
              <w:rPr>
                <w:rFonts w:ascii="Arial" w:cs="Arial" w:eastAsia="Arial" w:hAnsi="Arial"/>
                <w:sz w:val="14"/>
                <w:szCs w:val="14"/>
                <w:b w:val="1"/>
                <w:bCs w:val="1"/>
                <w:color w:val="FFFFFF"/>
              </w:rPr>
              <w:t>Long-</w:t>
            </w:r>
          </w:p>
        </w:tc>
        <w:tc>
          <w:tcPr>
            <w:tcW w:w="140" w:type="dxa"/>
            <w:vAlign w:val="bottom"/>
            <w:shd w:val="clear" w:color="auto" w:fill="DFEDE5"/>
          </w:tcPr>
          <w:p>
            <w:pPr>
              <w:spacing w:after="0"/>
              <w:rPr>
                <w:sz w:val="24"/>
                <w:szCs w:val="24"/>
                <w:color w:val="auto"/>
              </w:rPr>
            </w:pPr>
          </w:p>
        </w:tc>
        <w:tc>
          <w:tcPr>
            <w:tcW w:w="1360" w:type="dxa"/>
            <w:vAlign w:val="bottom"/>
            <w:shd w:val="clear" w:color="auto" w:fill="DFEDE5"/>
          </w:tcPr>
          <w:p>
            <w:pPr>
              <w:ind w:left="20"/>
              <w:spacing w:after="0"/>
              <w:rPr>
                <w:sz w:val="20"/>
                <w:szCs w:val="20"/>
                <w:color w:val="auto"/>
              </w:rPr>
            </w:pPr>
            <w:r>
              <w:rPr>
                <w:rFonts w:ascii="Arial" w:cs="Arial" w:eastAsia="Arial" w:hAnsi="Arial"/>
                <w:sz w:val="14"/>
                <w:szCs w:val="14"/>
                <w:color w:val="4D4D4F"/>
              </w:rPr>
              <w:t>Annual Long-Term</w:t>
            </w:r>
          </w:p>
        </w:tc>
        <w:tc>
          <w:tcPr>
            <w:tcW w:w="1120" w:type="dxa"/>
            <w:vAlign w:val="bottom"/>
            <w:shd w:val="clear" w:color="auto" w:fill="DFEDE5"/>
          </w:tcPr>
          <w:p>
            <w:pPr>
              <w:ind w:left="100"/>
              <w:spacing w:after="0"/>
              <w:rPr>
                <w:sz w:val="20"/>
                <w:szCs w:val="20"/>
                <w:color w:val="auto"/>
              </w:rPr>
            </w:pPr>
            <w:r>
              <w:rPr>
                <w:rFonts w:ascii="Arial" w:cs="Arial" w:eastAsia="Arial" w:hAnsi="Arial"/>
                <w:sz w:val="14"/>
                <w:szCs w:val="14"/>
                <w:color w:val="4D4D4F"/>
              </w:rPr>
              <w:t>PRSUs</w:t>
            </w:r>
          </w:p>
        </w:tc>
        <w:tc>
          <w:tcPr>
            <w:tcW w:w="2380" w:type="dxa"/>
            <w:vAlign w:val="bottom"/>
            <w:shd w:val="clear" w:color="auto" w:fill="DFEDE5"/>
          </w:tcPr>
          <w:p>
            <w:pPr>
              <w:ind w:left="20"/>
              <w:spacing w:after="0"/>
              <w:rPr>
                <w:sz w:val="20"/>
                <w:szCs w:val="20"/>
                <w:color w:val="auto"/>
              </w:rPr>
            </w:pPr>
            <w:r>
              <w:rPr>
                <w:rFonts w:ascii="Arial" w:cs="Arial" w:eastAsia="Arial" w:hAnsi="Arial"/>
                <w:sz w:val="14"/>
                <w:szCs w:val="14"/>
                <w:color w:val="4D4D4F"/>
              </w:rPr>
              <w:t>Incentivize executives to sustain</w:t>
            </w:r>
          </w:p>
        </w:tc>
        <w:tc>
          <w:tcPr>
            <w:tcW w:w="120" w:type="dxa"/>
            <w:vAlign w:val="bottom"/>
            <w:shd w:val="clear" w:color="auto" w:fill="DFEDE5"/>
          </w:tcPr>
          <w:p>
            <w:pPr>
              <w:spacing w:after="0"/>
              <w:rPr>
                <w:sz w:val="24"/>
                <w:szCs w:val="24"/>
                <w:color w:val="auto"/>
              </w:rPr>
            </w:pPr>
          </w:p>
        </w:tc>
        <w:tc>
          <w:tcPr>
            <w:tcW w:w="760" w:type="dxa"/>
            <w:vAlign w:val="bottom"/>
            <w:shd w:val="clear" w:color="auto" w:fill="DFEDE5"/>
          </w:tcPr>
          <w:p>
            <w:pPr>
              <w:ind w:left="20"/>
              <w:spacing w:after="0"/>
              <w:rPr>
                <w:sz w:val="20"/>
                <w:szCs w:val="20"/>
                <w:color w:val="auto"/>
              </w:rPr>
            </w:pPr>
            <w:r>
              <w:rPr>
                <w:rFonts w:ascii="Arial" w:cs="Arial" w:eastAsia="Arial" w:hAnsi="Arial"/>
                <w:sz w:val="14"/>
                <w:szCs w:val="14"/>
                <w:color w:val="4D4D4F"/>
              </w:rPr>
              <w:t>Equity-</w:t>
            </w:r>
          </w:p>
        </w:tc>
        <w:tc>
          <w:tcPr>
            <w:tcW w:w="100" w:type="dxa"/>
            <w:vAlign w:val="bottom"/>
            <w:shd w:val="clear" w:color="auto" w:fill="DFEDE5"/>
          </w:tcPr>
          <w:p>
            <w:pPr>
              <w:spacing w:after="0"/>
              <w:rPr>
                <w:sz w:val="24"/>
                <w:szCs w:val="24"/>
                <w:color w:val="auto"/>
              </w:rPr>
            </w:pPr>
          </w:p>
        </w:tc>
        <w:tc>
          <w:tcPr>
            <w:tcW w:w="3560" w:type="dxa"/>
            <w:vAlign w:val="bottom"/>
            <w:gridSpan w:val="2"/>
            <w:shd w:val="clear" w:color="auto" w:fill="DFEDE5"/>
          </w:tcPr>
          <w:p>
            <w:pPr>
              <w:ind w:left="20"/>
              <w:spacing w:after="0"/>
              <w:rPr>
                <w:sz w:val="20"/>
                <w:szCs w:val="20"/>
                <w:color w:val="auto"/>
              </w:rPr>
            </w:pPr>
            <w:r>
              <w:rPr>
                <w:rFonts w:ascii="Arial" w:cs="Arial" w:eastAsia="Arial" w:hAnsi="Arial"/>
                <w:sz w:val="14"/>
                <w:szCs w:val="14"/>
                <w:color w:val="4D4D4F"/>
              </w:rPr>
              <w:t>Represents 60% of annual LTIP award</w:t>
            </w:r>
          </w:p>
        </w:tc>
        <w:tc>
          <w:tcPr>
            <w:tcW w:w="0" w:type="dxa"/>
            <w:vAlign w:val="bottom"/>
          </w:tcPr>
          <w:p>
            <w:pPr>
              <w:spacing w:after="0"/>
              <w:rPr>
                <w:sz w:val="1"/>
                <w:szCs w:val="1"/>
                <w:color w:val="auto"/>
              </w:rPr>
            </w:pPr>
          </w:p>
        </w:tc>
      </w:tr>
      <w:tr>
        <w:trPr>
          <w:trHeight w:val="77"/>
        </w:trPr>
        <w:tc>
          <w:tcPr>
            <w:tcW w:w="820" w:type="dxa"/>
            <w:vAlign w:val="bottom"/>
            <w:tcBorders>
              <w:bottom w:val="single" w:sz="8" w:color="132440"/>
            </w:tcBorders>
            <w:shd w:val="clear" w:color="auto" w:fill="132440"/>
          </w:tcPr>
          <w:p>
            <w:pPr>
              <w:spacing w:after="0"/>
              <w:rPr>
                <w:sz w:val="6"/>
                <w:szCs w:val="6"/>
                <w:color w:val="auto"/>
              </w:rPr>
            </w:pPr>
          </w:p>
        </w:tc>
        <w:tc>
          <w:tcPr>
            <w:tcW w:w="100" w:type="dxa"/>
            <w:vAlign w:val="bottom"/>
            <w:tcBorders>
              <w:bottom w:val="single" w:sz="8" w:color="298655"/>
            </w:tcBorders>
            <w:shd w:val="clear" w:color="auto" w:fill="298655"/>
          </w:tcPr>
          <w:p>
            <w:pPr>
              <w:spacing w:after="0"/>
              <w:rPr>
                <w:sz w:val="6"/>
                <w:szCs w:val="6"/>
                <w:color w:val="auto"/>
              </w:rPr>
            </w:pPr>
          </w:p>
        </w:tc>
        <w:tc>
          <w:tcPr>
            <w:tcW w:w="700" w:type="dxa"/>
            <w:vAlign w:val="bottom"/>
            <w:tcBorders>
              <w:bottom w:val="single" w:sz="8" w:color="298655"/>
            </w:tcBorders>
            <w:vMerge w:val="restart"/>
            <w:shd w:val="clear" w:color="auto" w:fill="298655"/>
          </w:tcPr>
          <w:p>
            <w:pPr>
              <w:ind w:left="20"/>
              <w:spacing w:after="0"/>
              <w:rPr>
                <w:sz w:val="20"/>
                <w:szCs w:val="20"/>
                <w:color w:val="auto"/>
              </w:rPr>
            </w:pPr>
            <w:r>
              <w:rPr>
                <w:rFonts w:ascii="Arial" w:cs="Arial" w:eastAsia="Arial" w:hAnsi="Arial"/>
                <w:sz w:val="14"/>
                <w:szCs w:val="14"/>
                <w:b w:val="1"/>
                <w:bCs w:val="1"/>
                <w:color w:val="FFFFFF"/>
              </w:rPr>
              <w:t>Term</w:t>
            </w:r>
          </w:p>
        </w:tc>
        <w:tc>
          <w:tcPr>
            <w:tcW w:w="140" w:type="dxa"/>
            <w:vAlign w:val="bottom"/>
            <w:tcBorders>
              <w:bottom w:val="single" w:sz="8" w:color="DFEDE5"/>
            </w:tcBorders>
            <w:shd w:val="clear" w:color="auto" w:fill="DFEDE5"/>
          </w:tcPr>
          <w:p>
            <w:pPr>
              <w:spacing w:after="0"/>
              <w:rPr>
                <w:sz w:val="6"/>
                <w:szCs w:val="6"/>
                <w:color w:val="auto"/>
              </w:rPr>
            </w:pPr>
          </w:p>
        </w:tc>
        <w:tc>
          <w:tcPr>
            <w:tcW w:w="1360" w:type="dxa"/>
            <w:vAlign w:val="bottom"/>
            <w:tcBorders>
              <w:bottom w:val="single" w:sz="8" w:color="DFEDE5"/>
            </w:tcBorders>
            <w:vMerge w:val="restart"/>
            <w:shd w:val="clear" w:color="auto" w:fill="DFEDE5"/>
          </w:tcPr>
          <w:p>
            <w:pPr>
              <w:ind w:left="20"/>
              <w:spacing w:after="0"/>
              <w:rPr>
                <w:sz w:val="20"/>
                <w:szCs w:val="20"/>
                <w:color w:val="auto"/>
              </w:rPr>
            </w:pPr>
            <w:r>
              <w:rPr>
                <w:rFonts w:ascii="Arial" w:cs="Arial" w:eastAsia="Arial" w:hAnsi="Arial"/>
                <w:sz w:val="14"/>
                <w:szCs w:val="14"/>
                <w:color w:val="4D4D4F"/>
              </w:rPr>
              <w:t>Incentive Program</w:t>
            </w:r>
          </w:p>
        </w:tc>
        <w:tc>
          <w:tcPr>
            <w:tcW w:w="1120" w:type="dxa"/>
            <w:vAlign w:val="bottom"/>
            <w:tcBorders>
              <w:bottom w:val="single" w:sz="8" w:color="DFEDE5"/>
            </w:tcBorders>
            <w:shd w:val="clear" w:color="auto" w:fill="DFEDE5"/>
          </w:tcPr>
          <w:p>
            <w:pPr>
              <w:spacing w:after="0"/>
              <w:rPr>
                <w:sz w:val="6"/>
                <w:szCs w:val="6"/>
                <w:color w:val="auto"/>
              </w:rPr>
            </w:pPr>
          </w:p>
        </w:tc>
        <w:tc>
          <w:tcPr>
            <w:tcW w:w="2380" w:type="dxa"/>
            <w:vAlign w:val="bottom"/>
            <w:tcBorders>
              <w:bottom w:val="single" w:sz="8" w:color="DFEDE5"/>
            </w:tcBorders>
            <w:vMerge w:val="restart"/>
            <w:shd w:val="clear" w:color="auto" w:fill="DFEDE5"/>
          </w:tcPr>
          <w:p>
            <w:pPr>
              <w:ind w:left="20"/>
              <w:spacing w:after="0"/>
              <w:rPr>
                <w:sz w:val="20"/>
                <w:szCs w:val="20"/>
                <w:color w:val="auto"/>
              </w:rPr>
            </w:pPr>
            <w:r>
              <w:rPr>
                <w:rFonts w:ascii="Arial" w:cs="Arial" w:eastAsia="Arial" w:hAnsi="Arial"/>
                <w:sz w:val="14"/>
                <w:szCs w:val="14"/>
                <w:color w:val="4D4D4F"/>
              </w:rPr>
              <w:t>long-term performance.</w:t>
            </w:r>
          </w:p>
        </w:tc>
        <w:tc>
          <w:tcPr>
            <w:tcW w:w="120" w:type="dxa"/>
            <w:vAlign w:val="bottom"/>
            <w:tcBorders>
              <w:bottom w:val="single" w:sz="8" w:color="DFEDE5"/>
            </w:tcBorders>
            <w:shd w:val="clear" w:color="auto" w:fill="DFEDE5"/>
          </w:tcPr>
          <w:p>
            <w:pPr>
              <w:spacing w:after="0"/>
              <w:rPr>
                <w:sz w:val="6"/>
                <w:szCs w:val="6"/>
                <w:color w:val="auto"/>
              </w:rPr>
            </w:pPr>
          </w:p>
        </w:tc>
        <w:tc>
          <w:tcPr>
            <w:tcW w:w="760" w:type="dxa"/>
            <w:vAlign w:val="bottom"/>
            <w:tcBorders>
              <w:bottom w:val="single" w:sz="8" w:color="DFEDE5"/>
            </w:tcBorders>
            <w:vMerge w:val="restart"/>
            <w:shd w:val="clear" w:color="auto" w:fill="DFEDE5"/>
          </w:tcPr>
          <w:p>
            <w:pPr>
              <w:ind w:left="20"/>
              <w:spacing w:after="0"/>
              <w:rPr>
                <w:sz w:val="20"/>
                <w:szCs w:val="20"/>
                <w:color w:val="auto"/>
              </w:rPr>
            </w:pPr>
            <w:r>
              <w:rPr>
                <w:rFonts w:ascii="Arial" w:cs="Arial" w:eastAsia="Arial" w:hAnsi="Arial"/>
                <w:sz w:val="14"/>
                <w:szCs w:val="14"/>
                <w:color w:val="4D4D4F"/>
              </w:rPr>
              <w:t>based</w:t>
            </w:r>
          </w:p>
        </w:tc>
        <w:tc>
          <w:tcPr>
            <w:tcW w:w="100" w:type="dxa"/>
            <w:vAlign w:val="bottom"/>
            <w:tcBorders>
              <w:bottom w:val="single" w:sz="8" w:color="DFEDE5"/>
            </w:tcBorders>
            <w:shd w:val="clear" w:color="auto" w:fill="DFEDE5"/>
          </w:tcPr>
          <w:p>
            <w:pPr>
              <w:spacing w:after="0"/>
              <w:rPr>
                <w:sz w:val="6"/>
                <w:szCs w:val="6"/>
                <w:color w:val="auto"/>
              </w:rPr>
            </w:pPr>
          </w:p>
        </w:tc>
        <w:tc>
          <w:tcPr>
            <w:tcW w:w="3460" w:type="dxa"/>
            <w:vAlign w:val="bottom"/>
            <w:tcBorders>
              <w:bottom w:val="single" w:sz="8" w:color="298655"/>
            </w:tcBorders>
            <w:shd w:val="clear" w:color="auto" w:fill="DFEDE5"/>
          </w:tcPr>
          <w:p>
            <w:pPr>
              <w:spacing w:after="0"/>
              <w:rPr>
                <w:sz w:val="6"/>
                <w:szCs w:val="6"/>
                <w:color w:val="auto"/>
              </w:rPr>
            </w:pPr>
          </w:p>
        </w:tc>
        <w:tc>
          <w:tcPr>
            <w:tcW w:w="100" w:type="dxa"/>
            <w:vAlign w:val="bottom"/>
            <w:tcBorders>
              <w:bottom w:val="single" w:sz="8" w:color="298655"/>
            </w:tcBorders>
            <w:shd w:val="clear" w:color="auto" w:fill="DFEDE5"/>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820" w:type="dxa"/>
            <w:vAlign w:val="bottom"/>
            <w:shd w:val="clear" w:color="auto" w:fill="132440"/>
          </w:tcPr>
          <w:p>
            <w:pPr>
              <w:spacing w:after="0"/>
              <w:rPr>
                <w:sz w:val="8"/>
                <w:szCs w:val="8"/>
                <w:color w:val="auto"/>
              </w:rPr>
            </w:pPr>
          </w:p>
        </w:tc>
        <w:tc>
          <w:tcPr>
            <w:tcW w:w="100" w:type="dxa"/>
            <w:vAlign w:val="bottom"/>
            <w:shd w:val="clear" w:color="auto" w:fill="298655"/>
          </w:tcPr>
          <w:p>
            <w:pPr>
              <w:spacing w:after="0"/>
              <w:rPr>
                <w:sz w:val="8"/>
                <w:szCs w:val="8"/>
                <w:color w:val="auto"/>
              </w:rPr>
            </w:pPr>
          </w:p>
        </w:tc>
        <w:tc>
          <w:tcPr>
            <w:tcW w:w="700" w:type="dxa"/>
            <w:vAlign w:val="bottom"/>
            <w:vMerge w:val="continue"/>
            <w:shd w:val="clear" w:color="auto" w:fill="298655"/>
          </w:tcPr>
          <w:p>
            <w:pPr>
              <w:spacing w:after="0"/>
              <w:rPr>
                <w:sz w:val="8"/>
                <w:szCs w:val="8"/>
                <w:color w:val="auto"/>
              </w:rPr>
            </w:pPr>
          </w:p>
        </w:tc>
        <w:tc>
          <w:tcPr>
            <w:tcW w:w="140" w:type="dxa"/>
            <w:vAlign w:val="bottom"/>
            <w:shd w:val="clear" w:color="auto" w:fill="DFEDE5"/>
          </w:tcPr>
          <w:p>
            <w:pPr>
              <w:spacing w:after="0"/>
              <w:rPr>
                <w:sz w:val="8"/>
                <w:szCs w:val="8"/>
                <w:color w:val="auto"/>
              </w:rPr>
            </w:pPr>
          </w:p>
        </w:tc>
        <w:tc>
          <w:tcPr>
            <w:tcW w:w="1360" w:type="dxa"/>
            <w:vAlign w:val="bottom"/>
            <w:vMerge w:val="continue"/>
            <w:shd w:val="clear" w:color="auto" w:fill="DFEDE5"/>
          </w:tcPr>
          <w:p>
            <w:pPr>
              <w:spacing w:after="0"/>
              <w:rPr>
                <w:sz w:val="8"/>
                <w:szCs w:val="8"/>
                <w:color w:val="auto"/>
              </w:rPr>
            </w:pPr>
          </w:p>
        </w:tc>
        <w:tc>
          <w:tcPr>
            <w:tcW w:w="1120" w:type="dxa"/>
            <w:vAlign w:val="bottom"/>
            <w:shd w:val="clear" w:color="auto" w:fill="DFEDE5"/>
          </w:tcPr>
          <w:p>
            <w:pPr>
              <w:spacing w:after="0"/>
              <w:rPr>
                <w:sz w:val="8"/>
                <w:szCs w:val="8"/>
                <w:color w:val="auto"/>
              </w:rPr>
            </w:pPr>
          </w:p>
        </w:tc>
        <w:tc>
          <w:tcPr>
            <w:tcW w:w="2380" w:type="dxa"/>
            <w:vAlign w:val="bottom"/>
            <w:vMerge w:val="continue"/>
            <w:shd w:val="clear" w:color="auto" w:fill="DFEDE5"/>
          </w:tcPr>
          <w:p>
            <w:pPr>
              <w:spacing w:after="0"/>
              <w:rPr>
                <w:sz w:val="8"/>
                <w:szCs w:val="8"/>
                <w:color w:val="auto"/>
              </w:rPr>
            </w:pPr>
          </w:p>
        </w:tc>
        <w:tc>
          <w:tcPr>
            <w:tcW w:w="120" w:type="dxa"/>
            <w:vAlign w:val="bottom"/>
            <w:shd w:val="clear" w:color="auto" w:fill="DFEDE5"/>
          </w:tcPr>
          <w:p>
            <w:pPr>
              <w:spacing w:after="0"/>
              <w:rPr>
                <w:sz w:val="8"/>
                <w:szCs w:val="8"/>
                <w:color w:val="auto"/>
              </w:rPr>
            </w:pPr>
          </w:p>
        </w:tc>
        <w:tc>
          <w:tcPr>
            <w:tcW w:w="760" w:type="dxa"/>
            <w:vAlign w:val="bottom"/>
            <w:vMerge w:val="continue"/>
            <w:shd w:val="clear" w:color="auto" w:fill="DFEDE5"/>
          </w:tcPr>
          <w:p>
            <w:pPr>
              <w:spacing w:after="0"/>
              <w:rPr>
                <w:sz w:val="8"/>
                <w:szCs w:val="8"/>
                <w:color w:val="auto"/>
              </w:rPr>
            </w:pPr>
          </w:p>
        </w:tc>
        <w:tc>
          <w:tcPr>
            <w:tcW w:w="100" w:type="dxa"/>
            <w:vAlign w:val="bottom"/>
            <w:shd w:val="clear" w:color="auto" w:fill="DFEDE5"/>
          </w:tcPr>
          <w:p>
            <w:pPr>
              <w:spacing w:after="0"/>
              <w:rPr>
                <w:sz w:val="8"/>
                <w:szCs w:val="8"/>
                <w:color w:val="auto"/>
              </w:rPr>
            </w:pPr>
          </w:p>
        </w:tc>
        <w:tc>
          <w:tcPr>
            <w:tcW w:w="3460" w:type="dxa"/>
            <w:vAlign w:val="bottom"/>
            <w:vMerge w:val="restart"/>
            <w:shd w:val="clear" w:color="auto" w:fill="DFEDE5"/>
          </w:tcPr>
          <w:p>
            <w:pPr>
              <w:ind w:left="20"/>
              <w:spacing w:after="0"/>
              <w:rPr>
                <w:sz w:val="20"/>
                <w:szCs w:val="20"/>
                <w:color w:val="auto"/>
              </w:rPr>
            </w:pPr>
            <w:r>
              <w:rPr>
                <w:rFonts w:ascii="Arial" w:cs="Arial" w:eastAsia="Arial" w:hAnsi="Arial"/>
                <w:sz w:val="14"/>
                <w:szCs w:val="14"/>
                <w:color w:val="4D4D4F"/>
              </w:rPr>
              <w:t>Vests after a 3-year performance period</w:t>
            </w:r>
          </w:p>
        </w:tc>
        <w:tc>
          <w:tcPr>
            <w:tcW w:w="100" w:type="dxa"/>
            <w:vAlign w:val="bottom"/>
            <w:shd w:val="clear" w:color="auto" w:fill="DFEDE5"/>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820" w:type="dxa"/>
            <w:vAlign w:val="bottom"/>
            <w:shd w:val="clear" w:color="auto" w:fill="132440"/>
          </w:tcPr>
          <w:p>
            <w:pPr>
              <w:spacing w:after="0"/>
              <w:rPr>
                <w:sz w:val="9"/>
                <w:szCs w:val="9"/>
                <w:color w:val="auto"/>
              </w:rPr>
            </w:pPr>
          </w:p>
        </w:tc>
        <w:tc>
          <w:tcPr>
            <w:tcW w:w="100" w:type="dxa"/>
            <w:vAlign w:val="bottom"/>
            <w:shd w:val="clear" w:color="auto" w:fill="298655"/>
          </w:tcPr>
          <w:p>
            <w:pPr>
              <w:spacing w:after="0"/>
              <w:rPr>
                <w:sz w:val="9"/>
                <w:szCs w:val="9"/>
                <w:color w:val="auto"/>
              </w:rPr>
            </w:pPr>
          </w:p>
        </w:tc>
        <w:tc>
          <w:tcPr>
            <w:tcW w:w="700" w:type="dxa"/>
            <w:vAlign w:val="bottom"/>
            <w:shd w:val="clear" w:color="auto" w:fill="298655"/>
          </w:tcPr>
          <w:p>
            <w:pPr>
              <w:spacing w:after="0"/>
              <w:rPr>
                <w:sz w:val="9"/>
                <w:szCs w:val="9"/>
                <w:color w:val="auto"/>
              </w:rPr>
            </w:pPr>
          </w:p>
        </w:tc>
        <w:tc>
          <w:tcPr>
            <w:tcW w:w="140" w:type="dxa"/>
            <w:vAlign w:val="bottom"/>
            <w:shd w:val="clear" w:color="auto" w:fill="DFEDE5"/>
          </w:tcPr>
          <w:p>
            <w:pPr>
              <w:spacing w:after="0"/>
              <w:rPr>
                <w:sz w:val="9"/>
                <w:szCs w:val="9"/>
                <w:color w:val="auto"/>
              </w:rPr>
            </w:pPr>
          </w:p>
        </w:tc>
        <w:tc>
          <w:tcPr>
            <w:tcW w:w="1360" w:type="dxa"/>
            <w:vAlign w:val="bottom"/>
            <w:vMerge w:val="restart"/>
            <w:shd w:val="clear" w:color="auto" w:fill="DFEDE5"/>
          </w:tcPr>
          <w:p>
            <w:pPr>
              <w:ind w:left="20"/>
              <w:spacing w:after="0"/>
              <w:rPr>
                <w:sz w:val="20"/>
                <w:szCs w:val="20"/>
                <w:color w:val="auto"/>
              </w:rPr>
            </w:pPr>
            <w:r>
              <w:rPr>
                <w:rFonts w:ascii="Arial" w:cs="Arial" w:eastAsia="Arial" w:hAnsi="Arial"/>
                <w:sz w:val="14"/>
                <w:szCs w:val="14"/>
                <w:color w:val="4D4D4F"/>
              </w:rPr>
              <w:t>(LTIP)</w:t>
            </w:r>
          </w:p>
        </w:tc>
        <w:tc>
          <w:tcPr>
            <w:tcW w:w="1120" w:type="dxa"/>
            <w:vAlign w:val="bottom"/>
            <w:shd w:val="clear" w:color="auto" w:fill="DFEDE5"/>
          </w:tcPr>
          <w:p>
            <w:pPr>
              <w:spacing w:after="0"/>
              <w:rPr>
                <w:sz w:val="9"/>
                <w:szCs w:val="9"/>
                <w:color w:val="auto"/>
              </w:rPr>
            </w:pPr>
          </w:p>
        </w:tc>
        <w:tc>
          <w:tcPr>
            <w:tcW w:w="2380" w:type="dxa"/>
            <w:vAlign w:val="bottom"/>
            <w:shd w:val="clear" w:color="auto" w:fill="DFEDE5"/>
          </w:tcPr>
          <w:p>
            <w:pPr>
              <w:spacing w:after="0"/>
              <w:rPr>
                <w:sz w:val="9"/>
                <w:szCs w:val="9"/>
                <w:color w:val="auto"/>
              </w:rPr>
            </w:pPr>
          </w:p>
        </w:tc>
        <w:tc>
          <w:tcPr>
            <w:tcW w:w="120" w:type="dxa"/>
            <w:vAlign w:val="bottom"/>
            <w:shd w:val="clear" w:color="auto" w:fill="DFEDE5"/>
          </w:tcPr>
          <w:p>
            <w:pPr>
              <w:spacing w:after="0"/>
              <w:rPr>
                <w:sz w:val="9"/>
                <w:szCs w:val="9"/>
                <w:color w:val="auto"/>
              </w:rPr>
            </w:pPr>
          </w:p>
        </w:tc>
        <w:tc>
          <w:tcPr>
            <w:tcW w:w="760" w:type="dxa"/>
            <w:vAlign w:val="bottom"/>
            <w:shd w:val="clear" w:color="auto" w:fill="DFEDE5"/>
          </w:tcPr>
          <w:p>
            <w:pPr>
              <w:spacing w:after="0"/>
              <w:rPr>
                <w:sz w:val="9"/>
                <w:szCs w:val="9"/>
                <w:color w:val="auto"/>
              </w:rPr>
            </w:pPr>
          </w:p>
        </w:tc>
        <w:tc>
          <w:tcPr>
            <w:tcW w:w="100" w:type="dxa"/>
            <w:vAlign w:val="bottom"/>
            <w:shd w:val="clear" w:color="auto" w:fill="DFEDE5"/>
          </w:tcPr>
          <w:p>
            <w:pPr>
              <w:spacing w:after="0"/>
              <w:rPr>
                <w:sz w:val="9"/>
                <w:szCs w:val="9"/>
                <w:color w:val="auto"/>
              </w:rPr>
            </w:pPr>
          </w:p>
        </w:tc>
        <w:tc>
          <w:tcPr>
            <w:tcW w:w="3460" w:type="dxa"/>
            <w:vAlign w:val="bottom"/>
            <w:vMerge w:val="continue"/>
            <w:shd w:val="clear" w:color="auto" w:fill="DFEDE5"/>
          </w:tcPr>
          <w:p>
            <w:pPr>
              <w:spacing w:after="0"/>
              <w:rPr>
                <w:sz w:val="9"/>
                <w:szCs w:val="9"/>
                <w:color w:val="auto"/>
              </w:rPr>
            </w:pPr>
          </w:p>
        </w:tc>
        <w:tc>
          <w:tcPr>
            <w:tcW w:w="100" w:type="dxa"/>
            <w:vAlign w:val="bottom"/>
            <w:shd w:val="clear" w:color="auto" w:fill="DFEDE5"/>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20" w:type="dxa"/>
            <w:vAlign w:val="bottom"/>
            <w:tcBorders>
              <w:bottom w:val="single" w:sz="8" w:color="132440"/>
            </w:tcBorders>
            <w:shd w:val="clear" w:color="auto" w:fill="132440"/>
          </w:tcPr>
          <w:p>
            <w:pPr>
              <w:spacing w:after="0"/>
              <w:rPr>
                <w:sz w:val="6"/>
                <w:szCs w:val="6"/>
                <w:color w:val="auto"/>
              </w:rPr>
            </w:pPr>
          </w:p>
        </w:tc>
        <w:tc>
          <w:tcPr>
            <w:tcW w:w="100" w:type="dxa"/>
            <w:vAlign w:val="bottom"/>
            <w:tcBorders>
              <w:bottom w:val="single" w:sz="8" w:color="298655"/>
            </w:tcBorders>
            <w:shd w:val="clear" w:color="auto" w:fill="298655"/>
          </w:tcPr>
          <w:p>
            <w:pPr>
              <w:spacing w:after="0"/>
              <w:rPr>
                <w:sz w:val="6"/>
                <w:szCs w:val="6"/>
                <w:color w:val="auto"/>
              </w:rPr>
            </w:pPr>
          </w:p>
        </w:tc>
        <w:tc>
          <w:tcPr>
            <w:tcW w:w="700" w:type="dxa"/>
            <w:vAlign w:val="bottom"/>
            <w:tcBorders>
              <w:bottom w:val="single" w:sz="8" w:color="298655"/>
            </w:tcBorders>
            <w:shd w:val="clear" w:color="auto" w:fill="298655"/>
          </w:tcPr>
          <w:p>
            <w:pPr>
              <w:spacing w:after="0"/>
              <w:rPr>
                <w:sz w:val="6"/>
                <w:szCs w:val="6"/>
                <w:color w:val="auto"/>
              </w:rPr>
            </w:pPr>
          </w:p>
        </w:tc>
        <w:tc>
          <w:tcPr>
            <w:tcW w:w="140" w:type="dxa"/>
            <w:vAlign w:val="bottom"/>
            <w:tcBorders>
              <w:bottom w:val="single" w:sz="8" w:color="DFEDE5"/>
            </w:tcBorders>
            <w:shd w:val="clear" w:color="auto" w:fill="DFEDE5"/>
          </w:tcPr>
          <w:p>
            <w:pPr>
              <w:spacing w:after="0"/>
              <w:rPr>
                <w:sz w:val="6"/>
                <w:szCs w:val="6"/>
                <w:color w:val="auto"/>
              </w:rPr>
            </w:pPr>
          </w:p>
        </w:tc>
        <w:tc>
          <w:tcPr>
            <w:tcW w:w="1360" w:type="dxa"/>
            <w:vAlign w:val="bottom"/>
            <w:tcBorders>
              <w:bottom w:val="single" w:sz="8" w:color="DFEDE5"/>
            </w:tcBorders>
            <w:vMerge w:val="continue"/>
            <w:shd w:val="clear" w:color="auto" w:fill="DFEDE5"/>
          </w:tcPr>
          <w:p>
            <w:pPr>
              <w:spacing w:after="0"/>
              <w:rPr>
                <w:sz w:val="6"/>
                <w:szCs w:val="6"/>
                <w:color w:val="auto"/>
              </w:rPr>
            </w:pPr>
          </w:p>
        </w:tc>
        <w:tc>
          <w:tcPr>
            <w:tcW w:w="1120" w:type="dxa"/>
            <w:vAlign w:val="bottom"/>
            <w:tcBorders>
              <w:bottom w:val="single" w:sz="8" w:color="DFEDE5"/>
            </w:tcBorders>
            <w:shd w:val="clear" w:color="auto" w:fill="DFEDE5"/>
          </w:tcPr>
          <w:p>
            <w:pPr>
              <w:spacing w:after="0"/>
              <w:rPr>
                <w:sz w:val="6"/>
                <w:szCs w:val="6"/>
                <w:color w:val="auto"/>
              </w:rPr>
            </w:pPr>
          </w:p>
        </w:tc>
        <w:tc>
          <w:tcPr>
            <w:tcW w:w="2380" w:type="dxa"/>
            <w:vAlign w:val="bottom"/>
            <w:tcBorders>
              <w:bottom w:val="single" w:sz="8" w:color="DFEDE5"/>
            </w:tcBorders>
            <w:shd w:val="clear" w:color="auto" w:fill="DFEDE5"/>
          </w:tcPr>
          <w:p>
            <w:pPr>
              <w:spacing w:after="0"/>
              <w:rPr>
                <w:sz w:val="6"/>
                <w:szCs w:val="6"/>
                <w:color w:val="auto"/>
              </w:rPr>
            </w:pPr>
          </w:p>
        </w:tc>
        <w:tc>
          <w:tcPr>
            <w:tcW w:w="120" w:type="dxa"/>
            <w:vAlign w:val="bottom"/>
            <w:tcBorders>
              <w:bottom w:val="single" w:sz="8" w:color="DFEDE5"/>
            </w:tcBorders>
            <w:shd w:val="clear" w:color="auto" w:fill="DFEDE5"/>
          </w:tcPr>
          <w:p>
            <w:pPr>
              <w:spacing w:after="0"/>
              <w:rPr>
                <w:sz w:val="6"/>
                <w:szCs w:val="6"/>
                <w:color w:val="auto"/>
              </w:rPr>
            </w:pPr>
          </w:p>
        </w:tc>
        <w:tc>
          <w:tcPr>
            <w:tcW w:w="760" w:type="dxa"/>
            <w:vAlign w:val="bottom"/>
            <w:tcBorders>
              <w:bottom w:val="single" w:sz="8" w:color="DFEDE5"/>
            </w:tcBorders>
            <w:shd w:val="clear" w:color="auto" w:fill="DFEDE5"/>
          </w:tcPr>
          <w:p>
            <w:pPr>
              <w:spacing w:after="0"/>
              <w:rPr>
                <w:sz w:val="6"/>
                <w:szCs w:val="6"/>
                <w:color w:val="auto"/>
              </w:rPr>
            </w:pPr>
          </w:p>
        </w:tc>
        <w:tc>
          <w:tcPr>
            <w:tcW w:w="100" w:type="dxa"/>
            <w:vAlign w:val="bottom"/>
            <w:tcBorders>
              <w:bottom w:val="single" w:sz="8" w:color="DFEDE5"/>
            </w:tcBorders>
            <w:shd w:val="clear" w:color="auto" w:fill="DFEDE5"/>
          </w:tcPr>
          <w:p>
            <w:pPr>
              <w:spacing w:after="0"/>
              <w:rPr>
                <w:sz w:val="6"/>
                <w:szCs w:val="6"/>
                <w:color w:val="auto"/>
              </w:rPr>
            </w:pPr>
          </w:p>
        </w:tc>
        <w:tc>
          <w:tcPr>
            <w:tcW w:w="3460" w:type="dxa"/>
            <w:vAlign w:val="bottom"/>
            <w:tcBorders>
              <w:bottom w:val="single" w:sz="8" w:color="298655"/>
            </w:tcBorders>
            <w:shd w:val="clear" w:color="auto" w:fill="DFEDE5"/>
          </w:tcPr>
          <w:p>
            <w:pPr>
              <w:spacing w:after="0"/>
              <w:rPr>
                <w:sz w:val="6"/>
                <w:szCs w:val="6"/>
                <w:color w:val="auto"/>
              </w:rPr>
            </w:pPr>
          </w:p>
        </w:tc>
        <w:tc>
          <w:tcPr>
            <w:tcW w:w="100" w:type="dxa"/>
            <w:vAlign w:val="bottom"/>
            <w:tcBorders>
              <w:bottom w:val="single" w:sz="8" w:color="298655"/>
            </w:tcBorders>
            <w:shd w:val="clear" w:color="auto" w:fill="DFEDE5"/>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20" w:type="dxa"/>
            <w:vAlign w:val="bottom"/>
            <w:shd w:val="clear" w:color="auto" w:fill="132440"/>
          </w:tcPr>
          <w:p>
            <w:pPr>
              <w:spacing w:after="0"/>
              <w:rPr>
                <w:sz w:val="16"/>
                <w:szCs w:val="16"/>
                <w:color w:val="auto"/>
              </w:rPr>
            </w:pPr>
          </w:p>
        </w:tc>
        <w:tc>
          <w:tcPr>
            <w:tcW w:w="100" w:type="dxa"/>
            <w:vAlign w:val="bottom"/>
            <w:shd w:val="clear" w:color="auto" w:fill="298655"/>
          </w:tcPr>
          <w:p>
            <w:pPr>
              <w:spacing w:after="0"/>
              <w:rPr>
                <w:sz w:val="16"/>
                <w:szCs w:val="16"/>
                <w:color w:val="auto"/>
              </w:rPr>
            </w:pPr>
          </w:p>
        </w:tc>
        <w:tc>
          <w:tcPr>
            <w:tcW w:w="700" w:type="dxa"/>
            <w:vAlign w:val="bottom"/>
            <w:shd w:val="clear" w:color="auto" w:fill="298655"/>
          </w:tcPr>
          <w:p>
            <w:pPr>
              <w:spacing w:after="0"/>
              <w:rPr>
                <w:sz w:val="16"/>
                <w:szCs w:val="16"/>
                <w:color w:val="auto"/>
              </w:rPr>
            </w:pPr>
          </w:p>
        </w:tc>
        <w:tc>
          <w:tcPr>
            <w:tcW w:w="140" w:type="dxa"/>
            <w:vAlign w:val="bottom"/>
            <w:shd w:val="clear" w:color="auto" w:fill="DFEDE5"/>
          </w:tcPr>
          <w:p>
            <w:pPr>
              <w:spacing w:after="0"/>
              <w:rPr>
                <w:sz w:val="16"/>
                <w:szCs w:val="16"/>
                <w:color w:val="auto"/>
              </w:rPr>
            </w:pPr>
          </w:p>
        </w:tc>
        <w:tc>
          <w:tcPr>
            <w:tcW w:w="1360" w:type="dxa"/>
            <w:vAlign w:val="bottom"/>
            <w:shd w:val="clear" w:color="auto" w:fill="DFEDE5"/>
          </w:tcPr>
          <w:p>
            <w:pPr>
              <w:spacing w:after="0"/>
              <w:rPr>
                <w:sz w:val="16"/>
                <w:szCs w:val="16"/>
                <w:color w:val="auto"/>
              </w:rPr>
            </w:pPr>
          </w:p>
        </w:tc>
        <w:tc>
          <w:tcPr>
            <w:tcW w:w="1120" w:type="dxa"/>
            <w:vAlign w:val="bottom"/>
            <w:shd w:val="clear" w:color="auto" w:fill="DFEDE5"/>
          </w:tcPr>
          <w:p>
            <w:pPr>
              <w:spacing w:after="0"/>
              <w:rPr>
                <w:sz w:val="16"/>
                <w:szCs w:val="16"/>
                <w:color w:val="auto"/>
              </w:rPr>
            </w:pPr>
          </w:p>
        </w:tc>
        <w:tc>
          <w:tcPr>
            <w:tcW w:w="2380" w:type="dxa"/>
            <w:vAlign w:val="bottom"/>
            <w:shd w:val="clear" w:color="auto" w:fill="DFEDE5"/>
          </w:tcPr>
          <w:p>
            <w:pPr>
              <w:spacing w:after="0"/>
              <w:rPr>
                <w:sz w:val="16"/>
                <w:szCs w:val="16"/>
                <w:color w:val="auto"/>
              </w:rPr>
            </w:pPr>
          </w:p>
        </w:tc>
        <w:tc>
          <w:tcPr>
            <w:tcW w:w="120" w:type="dxa"/>
            <w:vAlign w:val="bottom"/>
            <w:shd w:val="clear" w:color="auto" w:fill="DFEDE5"/>
          </w:tcPr>
          <w:p>
            <w:pPr>
              <w:spacing w:after="0"/>
              <w:rPr>
                <w:sz w:val="16"/>
                <w:szCs w:val="16"/>
                <w:color w:val="auto"/>
              </w:rPr>
            </w:pPr>
          </w:p>
        </w:tc>
        <w:tc>
          <w:tcPr>
            <w:tcW w:w="760" w:type="dxa"/>
            <w:vAlign w:val="bottom"/>
            <w:shd w:val="clear" w:color="auto" w:fill="DFEDE5"/>
          </w:tcPr>
          <w:p>
            <w:pPr>
              <w:spacing w:after="0"/>
              <w:rPr>
                <w:sz w:val="16"/>
                <w:szCs w:val="16"/>
                <w:color w:val="auto"/>
              </w:rPr>
            </w:pPr>
          </w:p>
        </w:tc>
        <w:tc>
          <w:tcPr>
            <w:tcW w:w="100" w:type="dxa"/>
            <w:vAlign w:val="bottom"/>
            <w:shd w:val="clear" w:color="auto" w:fill="DFEDE5"/>
          </w:tcPr>
          <w:p>
            <w:pPr>
              <w:spacing w:after="0"/>
              <w:rPr>
                <w:sz w:val="16"/>
                <w:szCs w:val="16"/>
                <w:color w:val="auto"/>
              </w:rPr>
            </w:pPr>
          </w:p>
        </w:tc>
        <w:tc>
          <w:tcPr>
            <w:tcW w:w="3460" w:type="dxa"/>
            <w:vAlign w:val="bottom"/>
            <w:shd w:val="clear" w:color="auto" w:fill="DFEDE5"/>
          </w:tcPr>
          <w:p>
            <w:pPr>
              <w:ind w:left="20"/>
              <w:spacing w:after="0"/>
              <w:rPr>
                <w:sz w:val="20"/>
                <w:szCs w:val="20"/>
                <w:color w:val="auto"/>
              </w:rPr>
            </w:pPr>
            <w:r>
              <w:rPr>
                <w:rFonts w:ascii="Arial" w:cs="Arial" w:eastAsia="Arial" w:hAnsi="Arial"/>
                <w:sz w:val="14"/>
                <w:szCs w:val="14"/>
                <w:color w:val="4D4D4F"/>
              </w:rPr>
              <w:t>Earned based on adjusted EPS, with a modifier</w:t>
            </w:r>
          </w:p>
        </w:tc>
        <w:tc>
          <w:tcPr>
            <w:tcW w:w="100" w:type="dxa"/>
            <w:vAlign w:val="bottom"/>
            <w:shd w:val="clear" w:color="auto" w:fill="DFEDE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132440"/>
          </w:tcPr>
          <w:p>
            <w:pPr>
              <w:spacing w:after="0"/>
              <w:rPr>
                <w:sz w:val="16"/>
                <w:szCs w:val="16"/>
                <w:color w:val="auto"/>
              </w:rPr>
            </w:pPr>
          </w:p>
        </w:tc>
        <w:tc>
          <w:tcPr>
            <w:tcW w:w="100" w:type="dxa"/>
            <w:vAlign w:val="bottom"/>
            <w:shd w:val="clear" w:color="auto" w:fill="298655"/>
          </w:tcPr>
          <w:p>
            <w:pPr>
              <w:spacing w:after="0"/>
              <w:rPr>
                <w:sz w:val="16"/>
                <w:szCs w:val="16"/>
                <w:color w:val="auto"/>
              </w:rPr>
            </w:pPr>
          </w:p>
        </w:tc>
        <w:tc>
          <w:tcPr>
            <w:tcW w:w="700" w:type="dxa"/>
            <w:vAlign w:val="bottom"/>
            <w:shd w:val="clear" w:color="auto" w:fill="298655"/>
          </w:tcPr>
          <w:p>
            <w:pPr>
              <w:spacing w:after="0"/>
              <w:rPr>
                <w:sz w:val="16"/>
                <w:szCs w:val="16"/>
                <w:color w:val="auto"/>
              </w:rPr>
            </w:pPr>
          </w:p>
        </w:tc>
        <w:tc>
          <w:tcPr>
            <w:tcW w:w="140" w:type="dxa"/>
            <w:vAlign w:val="bottom"/>
            <w:shd w:val="clear" w:color="auto" w:fill="DFEDE5"/>
          </w:tcPr>
          <w:p>
            <w:pPr>
              <w:spacing w:after="0"/>
              <w:rPr>
                <w:sz w:val="16"/>
                <w:szCs w:val="16"/>
                <w:color w:val="auto"/>
              </w:rPr>
            </w:pPr>
          </w:p>
        </w:tc>
        <w:tc>
          <w:tcPr>
            <w:tcW w:w="1360" w:type="dxa"/>
            <w:vAlign w:val="bottom"/>
            <w:shd w:val="clear" w:color="auto" w:fill="DFEDE5"/>
          </w:tcPr>
          <w:p>
            <w:pPr>
              <w:spacing w:after="0"/>
              <w:rPr>
                <w:sz w:val="16"/>
                <w:szCs w:val="16"/>
                <w:color w:val="auto"/>
              </w:rPr>
            </w:pPr>
          </w:p>
        </w:tc>
        <w:tc>
          <w:tcPr>
            <w:tcW w:w="1120" w:type="dxa"/>
            <w:vAlign w:val="bottom"/>
            <w:shd w:val="clear" w:color="auto" w:fill="DFEDE5"/>
          </w:tcPr>
          <w:p>
            <w:pPr>
              <w:spacing w:after="0"/>
              <w:rPr>
                <w:sz w:val="16"/>
                <w:szCs w:val="16"/>
                <w:color w:val="auto"/>
              </w:rPr>
            </w:pPr>
          </w:p>
        </w:tc>
        <w:tc>
          <w:tcPr>
            <w:tcW w:w="2380" w:type="dxa"/>
            <w:vAlign w:val="bottom"/>
            <w:shd w:val="clear" w:color="auto" w:fill="DFEDE5"/>
          </w:tcPr>
          <w:p>
            <w:pPr>
              <w:spacing w:after="0"/>
              <w:rPr>
                <w:sz w:val="16"/>
                <w:szCs w:val="16"/>
                <w:color w:val="auto"/>
              </w:rPr>
            </w:pPr>
          </w:p>
        </w:tc>
        <w:tc>
          <w:tcPr>
            <w:tcW w:w="120" w:type="dxa"/>
            <w:vAlign w:val="bottom"/>
            <w:shd w:val="clear" w:color="auto" w:fill="DFEDE5"/>
          </w:tcPr>
          <w:p>
            <w:pPr>
              <w:spacing w:after="0"/>
              <w:rPr>
                <w:sz w:val="16"/>
                <w:szCs w:val="16"/>
                <w:color w:val="auto"/>
              </w:rPr>
            </w:pPr>
          </w:p>
        </w:tc>
        <w:tc>
          <w:tcPr>
            <w:tcW w:w="760" w:type="dxa"/>
            <w:vAlign w:val="bottom"/>
            <w:shd w:val="clear" w:color="auto" w:fill="DFEDE5"/>
          </w:tcPr>
          <w:p>
            <w:pPr>
              <w:spacing w:after="0"/>
              <w:rPr>
                <w:sz w:val="16"/>
                <w:szCs w:val="16"/>
                <w:color w:val="auto"/>
              </w:rPr>
            </w:pPr>
          </w:p>
        </w:tc>
        <w:tc>
          <w:tcPr>
            <w:tcW w:w="100" w:type="dxa"/>
            <w:vAlign w:val="bottom"/>
            <w:shd w:val="clear" w:color="auto" w:fill="DFEDE5"/>
          </w:tcPr>
          <w:p>
            <w:pPr>
              <w:spacing w:after="0"/>
              <w:rPr>
                <w:sz w:val="16"/>
                <w:szCs w:val="16"/>
                <w:color w:val="auto"/>
              </w:rPr>
            </w:pPr>
          </w:p>
        </w:tc>
        <w:tc>
          <w:tcPr>
            <w:tcW w:w="3460" w:type="dxa"/>
            <w:vAlign w:val="bottom"/>
            <w:shd w:val="clear" w:color="auto" w:fill="DFEDE5"/>
          </w:tcPr>
          <w:p>
            <w:pPr>
              <w:ind w:left="20"/>
              <w:spacing w:after="0"/>
              <w:rPr>
                <w:sz w:val="20"/>
                <w:szCs w:val="20"/>
                <w:color w:val="auto"/>
              </w:rPr>
            </w:pPr>
            <w:r>
              <w:rPr>
                <w:rFonts w:ascii="Arial" w:cs="Arial" w:eastAsia="Arial" w:hAnsi="Arial"/>
                <w:sz w:val="14"/>
                <w:szCs w:val="14"/>
                <w:color w:val="4D4D4F"/>
              </w:rPr>
              <w:t>based on adjusted ROIC</w:t>
            </w:r>
          </w:p>
        </w:tc>
        <w:tc>
          <w:tcPr>
            <w:tcW w:w="100" w:type="dxa"/>
            <w:vAlign w:val="bottom"/>
            <w:shd w:val="clear" w:color="auto" w:fill="DFEDE5"/>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820" w:type="dxa"/>
            <w:vAlign w:val="bottom"/>
            <w:tcBorders>
              <w:bottom w:val="single" w:sz="8" w:color="132440"/>
            </w:tcBorders>
            <w:shd w:val="clear" w:color="auto" w:fill="132440"/>
          </w:tcPr>
          <w:p>
            <w:pPr>
              <w:spacing w:after="0"/>
              <w:rPr>
                <w:sz w:val="7"/>
                <w:szCs w:val="7"/>
                <w:color w:val="auto"/>
              </w:rPr>
            </w:pPr>
          </w:p>
        </w:tc>
        <w:tc>
          <w:tcPr>
            <w:tcW w:w="100" w:type="dxa"/>
            <w:vAlign w:val="bottom"/>
            <w:tcBorders>
              <w:bottom w:val="single" w:sz="8" w:color="298655"/>
            </w:tcBorders>
            <w:shd w:val="clear" w:color="auto" w:fill="298655"/>
          </w:tcPr>
          <w:p>
            <w:pPr>
              <w:spacing w:after="0"/>
              <w:rPr>
                <w:sz w:val="7"/>
                <w:szCs w:val="7"/>
                <w:color w:val="auto"/>
              </w:rPr>
            </w:pPr>
          </w:p>
        </w:tc>
        <w:tc>
          <w:tcPr>
            <w:tcW w:w="700" w:type="dxa"/>
            <w:vAlign w:val="bottom"/>
            <w:tcBorders>
              <w:bottom w:val="single" w:sz="8" w:color="298655"/>
            </w:tcBorders>
            <w:shd w:val="clear" w:color="auto" w:fill="298655"/>
          </w:tcPr>
          <w:p>
            <w:pPr>
              <w:spacing w:after="0"/>
              <w:rPr>
                <w:sz w:val="7"/>
                <w:szCs w:val="7"/>
                <w:color w:val="auto"/>
              </w:rPr>
            </w:pPr>
          </w:p>
        </w:tc>
        <w:tc>
          <w:tcPr>
            <w:tcW w:w="140" w:type="dxa"/>
            <w:vAlign w:val="bottom"/>
            <w:tcBorders>
              <w:bottom w:val="single" w:sz="8" w:color="DFEDE5"/>
            </w:tcBorders>
            <w:shd w:val="clear" w:color="auto" w:fill="DFEDE5"/>
          </w:tcPr>
          <w:p>
            <w:pPr>
              <w:spacing w:after="0"/>
              <w:rPr>
                <w:sz w:val="7"/>
                <w:szCs w:val="7"/>
                <w:color w:val="auto"/>
              </w:rPr>
            </w:pPr>
          </w:p>
        </w:tc>
        <w:tc>
          <w:tcPr>
            <w:tcW w:w="1360" w:type="dxa"/>
            <w:vAlign w:val="bottom"/>
            <w:tcBorders>
              <w:bottom w:val="single" w:sz="8" w:color="DFEDE5"/>
            </w:tcBorders>
            <w:shd w:val="clear" w:color="auto" w:fill="DFEDE5"/>
          </w:tcPr>
          <w:p>
            <w:pPr>
              <w:spacing w:after="0"/>
              <w:rPr>
                <w:sz w:val="7"/>
                <w:szCs w:val="7"/>
                <w:color w:val="auto"/>
              </w:rPr>
            </w:pPr>
          </w:p>
        </w:tc>
        <w:tc>
          <w:tcPr>
            <w:tcW w:w="1120" w:type="dxa"/>
            <w:vAlign w:val="bottom"/>
            <w:tcBorders>
              <w:bottom w:val="single" w:sz="8" w:color="DFEDE5"/>
            </w:tcBorders>
            <w:shd w:val="clear" w:color="auto" w:fill="DFEDE5"/>
          </w:tcPr>
          <w:p>
            <w:pPr>
              <w:spacing w:after="0"/>
              <w:rPr>
                <w:sz w:val="7"/>
                <w:szCs w:val="7"/>
                <w:color w:val="auto"/>
              </w:rPr>
            </w:pPr>
          </w:p>
        </w:tc>
        <w:tc>
          <w:tcPr>
            <w:tcW w:w="2380" w:type="dxa"/>
            <w:vAlign w:val="bottom"/>
            <w:tcBorders>
              <w:bottom w:val="single" w:sz="8" w:color="DFEDE5"/>
            </w:tcBorders>
            <w:shd w:val="clear" w:color="auto" w:fill="DFEDE5"/>
          </w:tcPr>
          <w:p>
            <w:pPr>
              <w:spacing w:after="0"/>
              <w:rPr>
                <w:sz w:val="7"/>
                <w:szCs w:val="7"/>
                <w:color w:val="auto"/>
              </w:rPr>
            </w:pPr>
          </w:p>
        </w:tc>
        <w:tc>
          <w:tcPr>
            <w:tcW w:w="120" w:type="dxa"/>
            <w:vAlign w:val="bottom"/>
            <w:tcBorders>
              <w:bottom w:val="single" w:sz="8" w:color="DFEDE5"/>
            </w:tcBorders>
            <w:shd w:val="clear" w:color="auto" w:fill="DFEDE5"/>
          </w:tcPr>
          <w:p>
            <w:pPr>
              <w:spacing w:after="0"/>
              <w:rPr>
                <w:sz w:val="7"/>
                <w:szCs w:val="7"/>
                <w:color w:val="auto"/>
              </w:rPr>
            </w:pPr>
          </w:p>
        </w:tc>
        <w:tc>
          <w:tcPr>
            <w:tcW w:w="760" w:type="dxa"/>
            <w:vAlign w:val="bottom"/>
            <w:tcBorders>
              <w:bottom w:val="single" w:sz="8" w:color="DFEDE5"/>
            </w:tcBorders>
            <w:shd w:val="clear" w:color="auto" w:fill="DFEDE5"/>
          </w:tcPr>
          <w:p>
            <w:pPr>
              <w:spacing w:after="0"/>
              <w:rPr>
                <w:sz w:val="7"/>
                <w:szCs w:val="7"/>
                <w:color w:val="auto"/>
              </w:rPr>
            </w:pPr>
          </w:p>
        </w:tc>
        <w:tc>
          <w:tcPr>
            <w:tcW w:w="100" w:type="dxa"/>
            <w:vAlign w:val="bottom"/>
            <w:tcBorders>
              <w:bottom w:val="single" w:sz="8" w:color="DFEDE5"/>
            </w:tcBorders>
            <w:shd w:val="clear" w:color="auto" w:fill="DFEDE5"/>
          </w:tcPr>
          <w:p>
            <w:pPr>
              <w:spacing w:after="0"/>
              <w:rPr>
                <w:sz w:val="7"/>
                <w:szCs w:val="7"/>
                <w:color w:val="auto"/>
              </w:rPr>
            </w:pPr>
          </w:p>
        </w:tc>
        <w:tc>
          <w:tcPr>
            <w:tcW w:w="3460" w:type="dxa"/>
            <w:vAlign w:val="bottom"/>
            <w:tcBorders>
              <w:bottom w:val="single" w:sz="8" w:color="298655"/>
            </w:tcBorders>
            <w:shd w:val="clear" w:color="auto" w:fill="DFEDE5"/>
          </w:tcPr>
          <w:p>
            <w:pPr>
              <w:spacing w:after="0"/>
              <w:rPr>
                <w:sz w:val="7"/>
                <w:szCs w:val="7"/>
                <w:color w:val="auto"/>
              </w:rPr>
            </w:pPr>
          </w:p>
        </w:tc>
        <w:tc>
          <w:tcPr>
            <w:tcW w:w="100" w:type="dxa"/>
            <w:vAlign w:val="bottom"/>
            <w:tcBorders>
              <w:bottom w:val="single" w:sz="8" w:color="298655"/>
            </w:tcBorders>
            <w:shd w:val="clear" w:color="auto" w:fill="DFEDE5"/>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820" w:type="dxa"/>
            <w:vAlign w:val="bottom"/>
            <w:shd w:val="clear" w:color="auto" w:fill="132440"/>
          </w:tcPr>
          <w:p>
            <w:pPr>
              <w:spacing w:after="0"/>
              <w:rPr>
                <w:sz w:val="16"/>
                <w:szCs w:val="16"/>
                <w:color w:val="auto"/>
              </w:rPr>
            </w:pPr>
          </w:p>
        </w:tc>
        <w:tc>
          <w:tcPr>
            <w:tcW w:w="100" w:type="dxa"/>
            <w:vAlign w:val="bottom"/>
            <w:shd w:val="clear" w:color="auto" w:fill="298655"/>
          </w:tcPr>
          <w:p>
            <w:pPr>
              <w:spacing w:after="0"/>
              <w:rPr>
                <w:sz w:val="16"/>
                <w:szCs w:val="16"/>
                <w:color w:val="auto"/>
              </w:rPr>
            </w:pPr>
          </w:p>
        </w:tc>
        <w:tc>
          <w:tcPr>
            <w:tcW w:w="700" w:type="dxa"/>
            <w:vAlign w:val="bottom"/>
            <w:shd w:val="clear" w:color="auto" w:fill="298655"/>
          </w:tcPr>
          <w:p>
            <w:pPr>
              <w:spacing w:after="0"/>
              <w:rPr>
                <w:sz w:val="16"/>
                <w:szCs w:val="16"/>
                <w:color w:val="auto"/>
              </w:rPr>
            </w:pPr>
          </w:p>
        </w:tc>
        <w:tc>
          <w:tcPr>
            <w:tcW w:w="140" w:type="dxa"/>
            <w:vAlign w:val="bottom"/>
            <w:shd w:val="clear" w:color="auto" w:fill="DFEDE5"/>
          </w:tcPr>
          <w:p>
            <w:pPr>
              <w:spacing w:after="0"/>
              <w:rPr>
                <w:sz w:val="16"/>
                <w:szCs w:val="16"/>
                <w:color w:val="auto"/>
              </w:rPr>
            </w:pPr>
          </w:p>
        </w:tc>
        <w:tc>
          <w:tcPr>
            <w:tcW w:w="1360" w:type="dxa"/>
            <w:vAlign w:val="bottom"/>
            <w:shd w:val="clear" w:color="auto" w:fill="DFEDE5"/>
          </w:tcPr>
          <w:p>
            <w:pPr>
              <w:spacing w:after="0"/>
              <w:rPr>
                <w:sz w:val="16"/>
                <w:szCs w:val="16"/>
                <w:color w:val="auto"/>
              </w:rPr>
            </w:pPr>
          </w:p>
        </w:tc>
        <w:tc>
          <w:tcPr>
            <w:tcW w:w="1120" w:type="dxa"/>
            <w:vAlign w:val="bottom"/>
            <w:shd w:val="clear" w:color="auto" w:fill="DFEDE5"/>
          </w:tcPr>
          <w:p>
            <w:pPr>
              <w:spacing w:after="0"/>
              <w:rPr>
                <w:sz w:val="16"/>
                <w:szCs w:val="16"/>
                <w:color w:val="auto"/>
              </w:rPr>
            </w:pPr>
          </w:p>
        </w:tc>
        <w:tc>
          <w:tcPr>
            <w:tcW w:w="2380" w:type="dxa"/>
            <w:vAlign w:val="bottom"/>
            <w:shd w:val="clear" w:color="auto" w:fill="DFEDE5"/>
          </w:tcPr>
          <w:p>
            <w:pPr>
              <w:spacing w:after="0"/>
              <w:rPr>
                <w:sz w:val="16"/>
                <w:szCs w:val="16"/>
                <w:color w:val="auto"/>
              </w:rPr>
            </w:pPr>
          </w:p>
        </w:tc>
        <w:tc>
          <w:tcPr>
            <w:tcW w:w="120" w:type="dxa"/>
            <w:vAlign w:val="bottom"/>
            <w:shd w:val="clear" w:color="auto" w:fill="DFEDE5"/>
          </w:tcPr>
          <w:p>
            <w:pPr>
              <w:spacing w:after="0"/>
              <w:rPr>
                <w:sz w:val="16"/>
                <w:szCs w:val="16"/>
                <w:color w:val="auto"/>
              </w:rPr>
            </w:pPr>
          </w:p>
        </w:tc>
        <w:tc>
          <w:tcPr>
            <w:tcW w:w="760" w:type="dxa"/>
            <w:vAlign w:val="bottom"/>
            <w:shd w:val="clear" w:color="auto" w:fill="DFEDE5"/>
          </w:tcPr>
          <w:p>
            <w:pPr>
              <w:spacing w:after="0"/>
              <w:rPr>
                <w:sz w:val="16"/>
                <w:szCs w:val="16"/>
                <w:color w:val="auto"/>
              </w:rPr>
            </w:pPr>
          </w:p>
        </w:tc>
        <w:tc>
          <w:tcPr>
            <w:tcW w:w="100" w:type="dxa"/>
            <w:vAlign w:val="bottom"/>
            <w:shd w:val="clear" w:color="auto" w:fill="DFEDE5"/>
          </w:tcPr>
          <w:p>
            <w:pPr>
              <w:spacing w:after="0"/>
              <w:rPr>
                <w:sz w:val="16"/>
                <w:szCs w:val="16"/>
                <w:color w:val="auto"/>
              </w:rPr>
            </w:pPr>
          </w:p>
        </w:tc>
        <w:tc>
          <w:tcPr>
            <w:tcW w:w="3460" w:type="dxa"/>
            <w:vAlign w:val="bottom"/>
            <w:shd w:val="clear" w:color="auto" w:fill="DFEDE5"/>
          </w:tcPr>
          <w:p>
            <w:pPr>
              <w:ind w:left="20"/>
              <w:spacing w:after="0"/>
              <w:rPr>
                <w:sz w:val="20"/>
                <w:szCs w:val="20"/>
                <w:color w:val="auto"/>
              </w:rPr>
            </w:pPr>
            <w:r>
              <w:rPr>
                <w:rFonts w:ascii="Arial" w:cs="Arial" w:eastAsia="Arial" w:hAnsi="Arial"/>
                <w:sz w:val="14"/>
                <w:szCs w:val="14"/>
                <w:color w:val="4D4D4F"/>
              </w:rPr>
              <w:t>Payouts range from 30% at threshold to 200% at</w:t>
            </w:r>
          </w:p>
        </w:tc>
        <w:tc>
          <w:tcPr>
            <w:tcW w:w="100" w:type="dxa"/>
            <w:vAlign w:val="bottom"/>
            <w:shd w:val="clear" w:color="auto" w:fill="DFEDE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132440"/>
          </w:tcPr>
          <w:p>
            <w:pPr>
              <w:spacing w:after="0"/>
              <w:rPr>
                <w:sz w:val="16"/>
                <w:szCs w:val="16"/>
                <w:color w:val="auto"/>
              </w:rPr>
            </w:pPr>
          </w:p>
        </w:tc>
        <w:tc>
          <w:tcPr>
            <w:tcW w:w="100" w:type="dxa"/>
            <w:vAlign w:val="bottom"/>
            <w:shd w:val="clear" w:color="auto" w:fill="298655"/>
          </w:tcPr>
          <w:p>
            <w:pPr>
              <w:spacing w:after="0"/>
              <w:rPr>
                <w:sz w:val="16"/>
                <w:szCs w:val="16"/>
                <w:color w:val="auto"/>
              </w:rPr>
            </w:pPr>
          </w:p>
        </w:tc>
        <w:tc>
          <w:tcPr>
            <w:tcW w:w="700" w:type="dxa"/>
            <w:vAlign w:val="bottom"/>
            <w:shd w:val="clear" w:color="auto" w:fill="298655"/>
          </w:tcPr>
          <w:p>
            <w:pPr>
              <w:spacing w:after="0"/>
              <w:rPr>
                <w:sz w:val="16"/>
                <w:szCs w:val="16"/>
                <w:color w:val="auto"/>
              </w:rPr>
            </w:pPr>
          </w:p>
        </w:tc>
        <w:tc>
          <w:tcPr>
            <w:tcW w:w="140" w:type="dxa"/>
            <w:vAlign w:val="bottom"/>
            <w:shd w:val="clear" w:color="auto" w:fill="DFEDE5"/>
          </w:tcPr>
          <w:p>
            <w:pPr>
              <w:spacing w:after="0"/>
              <w:rPr>
                <w:sz w:val="16"/>
                <w:szCs w:val="16"/>
                <w:color w:val="auto"/>
              </w:rPr>
            </w:pPr>
          </w:p>
        </w:tc>
        <w:tc>
          <w:tcPr>
            <w:tcW w:w="1360" w:type="dxa"/>
            <w:vAlign w:val="bottom"/>
            <w:shd w:val="clear" w:color="auto" w:fill="DFEDE5"/>
          </w:tcPr>
          <w:p>
            <w:pPr>
              <w:spacing w:after="0"/>
              <w:rPr>
                <w:sz w:val="16"/>
                <w:szCs w:val="16"/>
                <w:color w:val="auto"/>
              </w:rPr>
            </w:pPr>
          </w:p>
        </w:tc>
        <w:tc>
          <w:tcPr>
            <w:tcW w:w="1120" w:type="dxa"/>
            <w:vAlign w:val="bottom"/>
            <w:shd w:val="clear" w:color="auto" w:fill="DFEDE5"/>
          </w:tcPr>
          <w:p>
            <w:pPr>
              <w:spacing w:after="0"/>
              <w:rPr>
                <w:sz w:val="16"/>
                <w:szCs w:val="16"/>
                <w:color w:val="auto"/>
              </w:rPr>
            </w:pPr>
          </w:p>
        </w:tc>
        <w:tc>
          <w:tcPr>
            <w:tcW w:w="2380" w:type="dxa"/>
            <w:vAlign w:val="bottom"/>
            <w:shd w:val="clear" w:color="auto" w:fill="DFEDE5"/>
          </w:tcPr>
          <w:p>
            <w:pPr>
              <w:spacing w:after="0"/>
              <w:rPr>
                <w:sz w:val="16"/>
                <w:szCs w:val="16"/>
                <w:color w:val="auto"/>
              </w:rPr>
            </w:pPr>
          </w:p>
        </w:tc>
        <w:tc>
          <w:tcPr>
            <w:tcW w:w="120" w:type="dxa"/>
            <w:vAlign w:val="bottom"/>
            <w:shd w:val="clear" w:color="auto" w:fill="DFEDE5"/>
          </w:tcPr>
          <w:p>
            <w:pPr>
              <w:spacing w:after="0"/>
              <w:rPr>
                <w:sz w:val="16"/>
                <w:szCs w:val="16"/>
                <w:color w:val="auto"/>
              </w:rPr>
            </w:pPr>
          </w:p>
        </w:tc>
        <w:tc>
          <w:tcPr>
            <w:tcW w:w="760" w:type="dxa"/>
            <w:vAlign w:val="bottom"/>
            <w:shd w:val="clear" w:color="auto" w:fill="DFEDE5"/>
          </w:tcPr>
          <w:p>
            <w:pPr>
              <w:spacing w:after="0"/>
              <w:rPr>
                <w:sz w:val="16"/>
                <w:szCs w:val="16"/>
                <w:color w:val="auto"/>
              </w:rPr>
            </w:pPr>
          </w:p>
        </w:tc>
        <w:tc>
          <w:tcPr>
            <w:tcW w:w="100" w:type="dxa"/>
            <w:vAlign w:val="bottom"/>
            <w:shd w:val="clear" w:color="auto" w:fill="DFEDE5"/>
          </w:tcPr>
          <w:p>
            <w:pPr>
              <w:spacing w:after="0"/>
              <w:rPr>
                <w:sz w:val="16"/>
                <w:szCs w:val="16"/>
                <w:color w:val="auto"/>
              </w:rPr>
            </w:pPr>
          </w:p>
        </w:tc>
        <w:tc>
          <w:tcPr>
            <w:tcW w:w="3460" w:type="dxa"/>
            <w:vAlign w:val="bottom"/>
            <w:shd w:val="clear" w:color="auto" w:fill="DFEDE5"/>
          </w:tcPr>
          <w:p>
            <w:pPr>
              <w:ind w:left="20"/>
              <w:spacing w:after="0"/>
              <w:rPr>
                <w:sz w:val="20"/>
                <w:szCs w:val="20"/>
                <w:color w:val="auto"/>
              </w:rPr>
            </w:pPr>
            <w:r>
              <w:rPr>
                <w:rFonts w:ascii="Arial" w:cs="Arial" w:eastAsia="Arial" w:hAnsi="Arial"/>
                <w:sz w:val="14"/>
                <w:szCs w:val="14"/>
                <w:color w:val="4D4D4F"/>
              </w:rPr>
              <w:t>maximum</w:t>
            </w:r>
          </w:p>
        </w:tc>
        <w:tc>
          <w:tcPr>
            <w:tcW w:w="100" w:type="dxa"/>
            <w:vAlign w:val="bottom"/>
            <w:shd w:val="clear" w:color="auto" w:fill="DFEDE5"/>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820" w:type="dxa"/>
            <w:vAlign w:val="bottom"/>
            <w:tcBorders>
              <w:bottom w:val="single" w:sz="8" w:color="132440"/>
            </w:tcBorders>
            <w:shd w:val="clear" w:color="auto" w:fill="132440"/>
          </w:tcPr>
          <w:p>
            <w:pPr>
              <w:spacing w:after="0"/>
              <w:rPr>
                <w:sz w:val="7"/>
                <w:szCs w:val="7"/>
                <w:color w:val="auto"/>
              </w:rPr>
            </w:pPr>
          </w:p>
        </w:tc>
        <w:tc>
          <w:tcPr>
            <w:tcW w:w="100" w:type="dxa"/>
            <w:vAlign w:val="bottom"/>
            <w:tcBorders>
              <w:bottom w:val="single" w:sz="8" w:color="298655"/>
            </w:tcBorders>
            <w:shd w:val="clear" w:color="auto" w:fill="298655"/>
          </w:tcPr>
          <w:p>
            <w:pPr>
              <w:spacing w:after="0"/>
              <w:rPr>
                <w:sz w:val="7"/>
                <w:szCs w:val="7"/>
                <w:color w:val="auto"/>
              </w:rPr>
            </w:pPr>
          </w:p>
        </w:tc>
        <w:tc>
          <w:tcPr>
            <w:tcW w:w="700" w:type="dxa"/>
            <w:vAlign w:val="bottom"/>
            <w:tcBorders>
              <w:bottom w:val="single" w:sz="8" w:color="298655"/>
            </w:tcBorders>
            <w:shd w:val="clear" w:color="auto" w:fill="298655"/>
          </w:tcPr>
          <w:p>
            <w:pPr>
              <w:spacing w:after="0"/>
              <w:rPr>
                <w:sz w:val="7"/>
                <w:szCs w:val="7"/>
                <w:color w:val="auto"/>
              </w:rPr>
            </w:pPr>
          </w:p>
        </w:tc>
        <w:tc>
          <w:tcPr>
            <w:tcW w:w="140" w:type="dxa"/>
            <w:vAlign w:val="bottom"/>
            <w:tcBorders>
              <w:bottom w:val="single" w:sz="8" w:color="DFEDE5"/>
            </w:tcBorders>
            <w:shd w:val="clear" w:color="auto" w:fill="DFEDE5"/>
          </w:tcPr>
          <w:p>
            <w:pPr>
              <w:spacing w:after="0"/>
              <w:rPr>
                <w:sz w:val="7"/>
                <w:szCs w:val="7"/>
                <w:color w:val="auto"/>
              </w:rPr>
            </w:pPr>
          </w:p>
        </w:tc>
        <w:tc>
          <w:tcPr>
            <w:tcW w:w="1360" w:type="dxa"/>
            <w:vAlign w:val="bottom"/>
            <w:tcBorders>
              <w:bottom w:val="single" w:sz="8" w:color="DFEDE5"/>
            </w:tcBorders>
            <w:shd w:val="clear" w:color="auto" w:fill="DFEDE5"/>
          </w:tcPr>
          <w:p>
            <w:pPr>
              <w:spacing w:after="0"/>
              <w:rPr>
                <w:sz w:val="7"/>
                <w:szCs w:val="7"/>
                <w:color w:val="auto"/>
              </w:rPr>
            </w:pPr>
          </w:p>
        </w:tc>
        <w:tc>
          <w:tcPr>
            <w:tcW w:w="1120" w:type="dxa"/>
            <w:vAlign w:val="bottom"/>
            <w:tcBorders>
              <w:bottom w:val="single" w:sz="8" w:color="DFEDE5"/>
            </w:tcBorders>
            <w:shd w:val="clear" w:color="auto" w:fill="DFEDE5"/>
          </w:tcPr>
          <w:p>
            <w:pPr>
              <w:spacing w:after="0"/>
              <w:rPr>
                <w:sz w:val="7"/>
                <w:szCs w:val="7"/>
                <w:color w:val="auto"/>
              </w:rPr>
            </w:pPr>
          </w:p>
        </w:tc>
        <w:tc>
          <w:tcPr>
            <w:tcW w:w="2380" w:type="dxa"/>
            <w:vAlign w:val="bottom"/>
            <w:tcBorders>
              <w:bottom w:val="single" w:sz="8" w:color="DFEDE5"/>
            </w:tcBorders>
            <w:shd w:val="clear" w:color="auto" w:fill="DFEDE5"/>
          </w:tcPr>
          <w:p>
            <w:pPr>
              <w:spacing w:after="0"/>
              <w:rPr>
                <w:sz w:val="7"/>
                <w:szCs w:val="7"/>
                <w:color w:val="auto"/>
              </w:rPr>
            </w:pPr>
          </w:p>
        </w:tc>
        <w:tc>
          <w:tcPr>
            <w:tcW w:w="120" w:type="dxa"/>
            <w:vAlign w:val="bottom"/>
            <w:tcBorders>
              <w:bottom w:val="single" w:sz="8" w:color="DFEDE5"/>
            </w:tcBorders>
            <w:shd w:val="clear" w:color="auto" w:fill="DFEDE5"/>
          </w:tcPr>
          <w:p>
            <w:pPr>
              <w:spacing w:after="0"/>
              <w:rPr>
                <w:sz w:val="7"/>
                <w:szCs w:val="7"/>
                <w:color w:val="auto"/>
              </w:rPr>
            </w:pPr>
          </w:p>
        </w:tc>
        <w:tc>
          <w:tcPr>
            <w:tcW w:w="760" w:type="dxa"/>
            <w:vAlign w:val="bottom"/>
            <w:tcBorders>
              <w:bottom w:val="single" w:sz="8" w:color="DFEDE5"/>
            </w:tcBorders>
            <w:shd w:val="clear" w:color="auto" w:fill="DFEDE5"/>
          </w:tcPr>
          <w:p>
            <w:pPr>
              <w:spacing w:after="0"/>
              <w:rPr>
                <w:sz w:val="7"/>
                <w:szCs w:val="7"/>
                <w:color w:val="auto"/>
              </w:rPr>
            </w:pPr>
          </w:p>
        </w:tc>
        <w:tc>
          <w:tcPr>
            <w:tcW w:w="100" w:type="dxa"/>
            <w:vAlign w:val="bottom"/>
            <w:tcBorders>
              <w:bottom w:val="single" w:sz="8" w:color="DFEDE5"/>
            </w:tcBorders>
            <w:shd w:val="clear" w:color="auto" w:fill="DFEDE5"/>
          </w:tcPr>
          <w:p>
            <w:pPr>
              <w:spacing w:after="0"/>
              <w:rPr>
                <w:sz w:val="7"/>
                <w:szCs w:val="7"/>
                <w:color w:val="auto"/>
              </w:rPr>
            </w:pPr>
          </w:p>
        </w:tc>
        <w:tc>
          <w:tcPr>
            <w:tcW w:w="3460" w:type="dxa"/>
            <w:vAlign w:val="bottom"/>
            <w:tcBorders>
              <w:bottom w:val="single" w:sz="8" w:color="298655"/>
            </w:tcBorders>
            <w:shd w:val="clear" w:color="auto" w:fill="DFEDE5"/>
          </w:tcPr>
          <w:p>
            <w:pPr>
              <w:spacing w:after="0"/>
              <w:rPr>
                <w:sz w:val="7"/>
                <w:szCs w:val="7"/>
                <w:color w:val="auto"/>
              </w:rPr>
            </w:pPr>
          </w:p>
        </w:tc>
        <w:tc>
          <w:tcPr>
            <w:tcW w:w="100" w:type="dxa"/>
            <w:vAlign w:val="bottom"/>
            <w:tcBorders>
              <w:bottom w:val="single" w:sz="8" w:color="298655"/>
            </w:tcBorders>
            <w:shd w:val="clear" w:color="auto" w:fill="DFEDE5"/>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820" w:type="dxa"/>
            <w:vAlign w:val="bottom"/>
            <w:shd w:val="clear" w:color="auto" w:fill="132440"/>
          </w:tcPr>
          <w:p>
            <w:pPr>
              <w:spacing w:after="0"/>
              <w:rPr>
                <w:sz w:val="16"/>
                <w:szCs w:val="16"/>
                <w:color w:val="auto"/>
              </w:rPr>
            </w:pPr>
          </w:p>
        </w:tc>
        <w:tc>
          <w:tcPr>
            <w:tcW w:w="100" w:type="dxa"/>
            <w:vAlign w:val="bottom"/>
            <w:shd w:val="clear" w:color="auto" w:fill="298655"/>
          </w:tcPr>
          <w:p>
            <w:pPr>
              <w:spacing w:after="0"/>
              <w:rPr>
                <w:sz w:val="16"/>
                <w:szCs w:val="16"/>
                <w:color w:val="auto"/>
              </w:rPr>
            </w:pPr>
          </w:p>
        </w:tc>
        <w:tc>
          <w:tcPr>
            <w:tcW w:w="700" w:type="dxa"/>
            <w:vAlign w:val="bottom"/>
            <w:shd w:val="clear" w:color="auto" w:fill="298655"/>
          </w:tcPr>
          <w:p>
            <w:pPr>
              <w:spacing w:after="0"/>
              <w:rPr>
                <w:sz w:val="16"/>
                <w:szCs w:val="16"/>
                <w:color w:val="auto"/>
              </w:rPr>
            </w:pPr>
          </w:p>
        </w:tc>
        <w:tc>
          <w:tcPr>
            <w:tcW w:w="140" w:type="dxa"/>
            <w:vAlign w:val="bottom"/>
            <w:shd w:val="clear" w:color="auto" w:fill="DFEDE5"/>
          </w:tcPr>
          <w:p>
            <w:pPr>
              <w:spacing w:after="0"/>
              <w:rPr>
                <w:sz w:val="16"/>
                <w:szCs w:val="16"/>
                <w:color w:val="auto"/>
              </w:rPr>
            </w:pPr>
          </w:p>
        </w:tc>
        <w:tc>
          <w:tcPr>
            <w:tcW w:w="1360" w:type="dxa"/>
            <w:vAlign w:val="bottom"/>
            <w:shd w:val="clear" w:color="auto" w:fill="DFEDE5"/>
          </w:tcPr>
          <w:p>
            <w:pPr>
              <w:spacing w:after="0"/>
              <w:rPr>
                <w:sz w:val="16"/>
                <w:szCs w:val="16"/>
                <w:color w:val="auto"/>
              </w:rPr>
            </w:pPr>
          </w:p>
        </w:tc>
        <w:tc>
          <w:tcPr>
            <w:tcW w:w="1120" w:type="dxa"/>
            <w:vAlign w:val="bottom"/>
            <w:shd w:val="clear" w:color="auto" w:fill="DFEDE5"/>
          </w:tcPr>
          <w:p>
            <w:pPr>
              <w:spacing w:after="0"/>
              <w:rPr>
                <w:sz w:val="16"/>
                <w:szCs w:val="16"/>
                <w:color w:val="auto"/>
              </w:rPr>
            </w:pPr>
          </w:p>
        </w:tc>
        <w:tc>
          <w:tcPr>
            <w:tcW w:w="2380" w:type="dxa"/>
            <w:vAlign w:val="bottom"/>
            <w:shd w:val="clear" w:color="auto" w:fill="DFEDE5"/>
          </w:tcPr>
          <w:p>
            <w:pPr>
              <w:spacing w:after="0"/>
              <w:rPr>
                <w:sz w:val="16"/>
                <w:szCs w:val="16"/>
                <w:color w:val="auto"/>
              </w:rPr>
            </w:pPr>
          </w:p>
        </w:tc>
        <w:tc>
          <w:tcPr>
            <w:tcW w:w="120" w:type="dxa"/>
            <w:vAlign w:val="bottom"/>
            <w:shd w:val="clear" w:color="auto" w:fill="DFEDE5"/>
          </w:tcPr>
          <w:p>
            <w:pPr>
              <w:spacing w:after="0"/>
              <w:rPr>
                <w:sz w:val="16"/>
                <w:szCs w:val="16"/>
                <w:color w:val="auto"/>
              </w:rPr>
            </w:pPr>
          </w:p>
        </w:tc>
        <w:tc>
          <w:tcPr>
            <w:tcW w:w="760" w:type="dxa"/>
            <w:vAlign w:val="bottom"/>
            <w:shd w:val="clear" w:color="auto" w:fill="DFEDE5"/>
          </w:tcPr>
          <w:p>
            <w:pPr>
              <w:spacing w:after="0"/>
              <w:rPr>
                <w:sz w:val="16"/>
                <w:szCs w:val="16"/>
                <w:color w:val="auto"/>
              </w:rPr>
            </w:pPr>
          </w:p>
        </w:tc>
        <w:tc>
          <w:tcPr>
            <w:tcW w:w="100" w:type="dxa"/>
            <w:vAlign w:val="bottom"/>
            <w:shd w:val="clear" w:color="auto" w:fill="DFEDE5"/>
          </w:tcPr>
          <w:p>
            <w:pPr>
              <w:spacing w:after="0"/>
              <w:rPr>
                <w:sz w:val="16"/>
                <w:szCs w:val="16"/>
                <w:color w:val="auto"/>
              </w:rPr>
            </w:pPr>
          </w:p>
        </w:tc>
        <w:tc>
          <w:tcPr>
            <w:tcW w:w="3460" w:type="dxa"/>
            <w:vAlign w:val="bottom"/>
            <w:shd w:val="clear" w:color="auto" w:fill="DFEDE5"/>
          </w:tcPr>
          <w:p>
            <w:pPr>
              <w:ind w:left="20"/>
              <w:spacing w:after="0"/>
              <w:rPr>
                <w:sz w:val="20"/>
                <w:szCs w:val="20"/>
                <w:color w:val="auto"/>
              </w:rPr>
            </w:pPr>
            <w:r>
              <w:rPr>
                <w:rFonts w:ascii="Arial" w:cs="Arial" w:eastAsia="Arial" w:hAnsi="Arial"/>
                <w:sz w:val="14"/>
                <w:szCs w:val="14"/>
                <w:color w:val="4D4D4F"/>
              </w:rPr>
              <w:t>Subject to retention policy, 50% of the shares</w:t>
            </w:r>
          </w:p>
        </w:tc>
        <w:tc>
          <w:tcPr>
            <w:tcW w:w="100" w:type="dxa"/>
            <w:vAlign w:val="bottom"/>
            <w:shd w:val="clear" w:color="auto" w:fill="DFED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 w:type="dxa"/>
            <w:vAlign w:val="bottom"/>
            <w:shd w:val="clear" w:color="auto" w:fill="132440"/>
          </w:tcPr>
          <w:p>
            <w:pPr>
              <w:spacing w:after="0"/>
              <w:rPr>
                <w:sz w:val="16"/>
                <w:szCs w:val="16"/>
                <w:color w:val="auto"/>
              </w:rPr>
            </w:pPr>
          </w:p>
        </w:tc>
        <w:tc>
          <w:tcPr>
            <w:tcW w:w="100" w:type="dxa"/>
            <w:vAlign w:val="bottom"/>
            <w:shd w:val="clear" w:color="auto" w:fill="298655"/>
          </w:tcPr>
          <w:p>
            <w:pPr>
              <w:spacing w:after="0"/>
              <w:rPr>
                <w:sz w:val="16"/>
                <w:szCs w:val="16"/>
                <w:color w:val="auto"/>
              </w:rPr>
            </w:pPr>
          </w:p>
        </w:tc>
        <w:tc>
          <w:tcPr>
            <w:tcW w:w="700" w:type="dxa"/>
            <w:vAlign w:val="bottom"/>
            <w:shd w:val="clear" w:color="auto" w:fill="298655"/>
          </w:tcPr>
          <w:p>
            <w:pPr>
              <w:spacing w:after="0"/>
              <w:rPr>
                <w:sz w:val="16"/>
                <w:szCs w:val="16"/>
                <w:color w:val="auto"/>
              </w:rPr>
            </w:pPr>
          </w:p>
        </w:tc>
        <w:tc>
          <w:tcPr>
            <w:tcW w:w="140" w:type="dxa"/>
            <w:vAlign w:val="bottom"/>
            <w:shd w:val="clear" w:color="auto" w:fill="DFEDE5"/>
          </w:tcPr>
          <w:p>
            <w:pPr>
              <w:spacing w:after="0"/>
              <w:rPr>
                <w:sz w:val="16"/>
                <w:szCs w:val="16"/>
                <w:color w:val="auto"/>
              </w:rPr>
            </w:pPr>
          </w:p>
        </w:tc>
        <w:tc>
          <w:tcPr>
            <w:tcW w:w="1360" w:type="dxa"/>
            <w:vAlign w:val="bottom"/>
            <w:shd w:val="clear" w:color="auto" w:fill="DFEDE5"/>
          </w:tcPr>
          <w:p>
            <w:pPr>
              <w:spacing w:after="0"/>
              <w:rPr>
                <w:sz w:val="16"/>
                <w:szCs w:val="16"/>
                <w:color w:val="auto"/>
              </w:rPr>
            </w:pPr>
          </w:p>
        </w:tc>
        <w:tc>
          <w:tcPr>
            <w:tcW w:w="1120" w:type="dxa"/>
            <w:vAlign w:val="bottom"/>
            <w:shd w:val="clear" w:color="auto" w:fill="DFEDE5"/>
          </w:tcPr>
          <w:p>
            <w:pPr>
              <w:spacing w:after="0"/>
              <w:rPr>
                <w:sz w:val="16"/>
                <w:szCs w:val="16"/>
                <w:color w:val="auto"/>
              </w:rPr>
            </w:pPr>
          </w:p>
        </w:tc>
        <w:tc>
          <w:tcPr>
            <w:tcW w:w="2380" w:type="dxa"/>
            <w:vAlign w:val="bottom"/>
            <w:shd w:val="clear" w:color="auto" w:fill="DFEDE5"/>
          </w:tcPr>
          <w:p>
            <w:pPr>
              <w:spacing w:after="0"/>
              <w:rPr>
                <w:sz w:val="16"/>
                <w:szCs w:val="16"/>
                <w:color w:val="auto"/>
              </w:rPr>
            </w:pPr>
          </w:p>
        </w:tc>
        <w:tc>
          <w:tcPr>
            <w:tcW w:w="120" w:type="dxa"/>
            <w:vAlign w:val="bottom"/>
            <w:shd w:val="clear" w:color="auto" w:fill="DFEDE5"/>
          </w:tcPr>
          <w:p>
            <w:pPr>
              <w:spacing w:after="0"/>
              <w:rPr>
                <w:sz w:val="16"/>
                <w:szCs w:val="16"/>
                <w:color w:val="auto"/>
              </w:rPr>
            </w:pPr>
          </w:p>
        </w:tc>
        <w:tc>
          <w:tcPr>
            <w:tcW w:w="760" w:type="dxa"/>
            <w:vAlign w:val="bottom"/>
            <w:shd w:val="clear" w:color="auto" w:fill="DFEDE5"/>
          </w:tcPr>
          <w:p>
            <w:pPr>
              <w:spacing w:after="0"/>
              <w:rPr>
                <w:sz w:val="16"/>
                <w:szCs w:val="16"/>
                <w:color w:val="auto"/>
              </w:rPr>
            </w:pPr>
          </w:p>
        </w:tc>
        <w:tc>
          <w:tcPr>
            <w:tcW w:w="100" w:type="dxa"/>
            <w:vAlign w:val="bottom"/>
            <w:shd w:val="clear" w:color="auto" w:fill="DFEDE5"/>
          </w:tcPr>
          <w:p>
            <w:pPr>
              <w:spacing w:after="0"/>
              <w:rPr>
                <w:sz w:val="16"/>
                <w:szCs w:val="16"/>
                <w:color w:val="auto"/>
              </w:rPr>
            </w:pPr>
          </w:p>
        </w:tc>
        <w:tc>
          <w:tcPr>
            <w:tcW w:w="3460" w:type="dxa"/>
            <w:vAlign w:val="bottom"/>
            <w:shd w:val="clear" w:color="auto" w:fill="DFEDE5"/>
          </w:tcPr>
          <w:p>
            <w:pPr>
              <w:ind w:left="20"/>
              <w:spacing w:after="0"/>
              <w:rPr>
                <w:sz w:val="20"/>
                <w:szCs w:val="20"/>
                <w:color w:val="auto"/>
              </w:rPr>
            </w:pPr>
            <w:r>
              <w:rPr>
                <w:rFonts w:ascii="Arial" w:cs="Arial" w:eastAsia="Arial" w:hAnsi="Arial"/>
                <w:sz w:val="14"/>
                <w:szCs w:val="14"/>
                <w:color w:val="4D4D4F"/>
              </w:rPr>
              <w:t>received net of taxes are required to be held for 3</w:t>
            </w:r>
          </w:p>
        </w:tc>
        <w:tc>
          <w:tcPr>
            <w:tcW w:w="100" w:type="dxa"/>
            <w:vAlign w:val="bottom"/>
            <w:shd w:val="clear" w:color="auto" w:fill="DFEDE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132440"/>
          </w:tcPr>
          <w:p>
            <w:pPr>
              <w:spacing w:after="0"/>
              <w:rPr>
                <w:sz w:val="16"/>
                <w:szCs w:val="16"/>
                <w:color w:val="auto"/>
              </w:rPr>
            </w:pPr>
          </w:p>
        </w:tc>
        <w:tc>
          <w:tcPr>
            <w:tcW w:w="100" w:type="dxa"/>
            <w:vAlign w:val="bottom"/>
            <w:shd w:val="clear" w:color="auto" w:fill="298655"/>
          </w:tcPr>
          <w:p>
            <w:pPr>
              <w:spacing w:after="0"/>
              <w:rPr>
                <w:sz w:val="16"/>
                <w:szCs w:val="16"/>
                <w:color w:val="auto"/>
              </w:rPr>
            </w:pPr>
          </w:p>
        </w:tc>
        <w:tc>
          <w:tcPr>
            <w:tcW w:w="700" w:type="dxa"/>
            <w:vAlign w:val="bottom"/>
            <w:shd w:val="clear" w:color="auto" w:fill="298655"/>
          </w:tcPr>
          <w:p>
            <w:pPr>
              <w:spacing w:after="0"/>
              <w:rPr>
                <w:sz w:val="16"/>
                <w:szCs w:val="16"/>
                <w:color w:val="auto"/>
              </w:rPr>
            </w:pPr>
          </w:p>
        </w:tc>
        <w:tc>
          <w:tcPr>
            <w:tcW w:w="140" w:type="dxa"/>
            <w:vAlign w:val="bottom"/>
            <w:shd w:val="clear" w:color="auto" w:fill="DFEDE5"/>
          </w:tcPr>
          <w:p>
            <w:pPr>
              <w:spacing w:after="0"/>
              <w:rPr>
                <w:sz w:val="16"/>
                <w:szCs w:val="16"/>
                <w:color w:val="auto"/>
              </w:rPr>
            </w:pPr>
          </w:p>
        </w:tc>
        <w:tc>
          <w:tcPr>
            <w:tcW w:w="1360" w:type="dxa"/>
            <w:vAlign w:val="bottom"/>
            <w:shd w:val="clear" w:color="auto" w:fill="DFEDE5"/>
          </w:tcPr>
          <w:p>
            <w:pPr>
              <w:spacing w:after="0"/>
              <w:rPr>
                <w:sz w:val="16"/>
                <w:szCs w:val="16"/>
                <w:color w:val="auto"/>
              </w:rPr>
            </w:pPr>
          </w:p>
        </w:tc>
        <w:tc>
          <w:tcPr>
            <w:tcW w:w="1120" w:type="dxa"/>
            <w:vAlign w:val="bottom"/>
            <w:shd w:val="clear" w:color="auto" w:fill="DFEDE5"/>
          </w:tcPr>
          <w:p>
            <w:pPr>
              <w:spacing w:after="0"/>
              <w:rPr>
                <w:sz w:val="16"/>
                <w:szCs w:val="16"/>
                <w:color w:val="auto"/>
              </w:rPr>
            </w:pPr>
          </w:p>
        </w:tc>
        <w:tc>
          <w:tcPr>
            <w:tcW w:w="2380" w:type="dxa"/>
            <w:vAlign w:val="bottom"/>
            <w:shd w:val="clear" w:color="auto" w:fill="DFEDE5"/>
          </w:tcPr>
          <w:p>
            <w:pPr>
              <w:spacing w:after="0"/>
              <w:rPr>
                <w:sz w:val="16"/>
                <w:szCs w:val="16"/>
                <w:color w:val="auto"/>
              </w:rPr>
            </w:pPr>
          </w:p>
        </w:tc>
        <w:tc>
          <w:tcPr>
            <w:tcW w:w="120" w:type="dxa"/>
            <w:vAlign w:val="bottom"/>
            <w:shd w:val="clear" w:color="auto" w:fill="DFEDE5"/>
          </w:tcPr>
          <w:p>
            <w:pPr>
              <w:spacing w:after="0"/>
              <w:rPr>
                <w:sz w:val="16"/>
                <w:szCs w:val="16"/>
                <w:color w:val="auto"/>
              </w:rPr>
            </w:pPr>
          </w:p>
        </w:tc>
        <w:tc>
          <w:tcPr>
            <w:tcW w:w="760" w:type="dxa"/>
            <w:vAlign w:val="bottom"/>
            <w:shd w:val="clear" w:color="auto" w:fill="DFEDE5"/>
          </w:tcPr>
          <w:p>
            <w:pPr>
              <w:spacing w:after="0"/>
              <w:rPr>
                <w:sz w:val="16"/>
                <w:szCs w:val="16"/>
                <w:color w:val="auto"/>
              </w:rPr>
            </w:pPr>
          </w:p>
        </w:tc>
        <w:tc>
          <w:tcPr>
            <w:tcW w:w="100" w:type="dxa"/>
            <w:vAlign w:val="bottom"/>
            <w:shd w:val="clear" w:color="auto" w:fill="DFEDE5"/>
          </w:tcPr>
          <w:p>
            <w:pPr>
              <w:spacing w:after="0"/>
              <w:rPr>
                <w:sz w:val="16"/>
                <w:szCs w:val="16"/>
                <w:color w:val="auto"/>
              </w:rPr>
            </w:pPr>
          </w:p>
        </w:tc>
        <w:tc>
          <w:tcPr>
            <w:tcW w:w="3460" w:type="dxa"/>
            <w:vAlign w:val="bottom"/>
            <w:shd w:val="clear" w:color="auto" w:fill="DFEDE5"/>
          </w:tcPr>
          <w:p>
            <w:pPr>
              <w:ind w:left="20"/>
              <w:spacing w:after="0"/>
              <w:rPr>
                <w:sz w:val="20"/>
                <w:szCs w:val="20"/>
                <w:color w:val="auto"/>
              </w:rPr>
            </w:pPr>
            <w:r>
              <w:rPr>
                <w:rFonts w:ascii="Arial" w:cs="Arial" w:eastAsia="Arial" w:hAnsi="Arial"/>
                <w:sz w:val="14"/>
                <w:szCs w:val="14"/>
                <w:color w:val="4D4D4F"/>
              </w:rPr>
              <w:t>years post-vesting</w:t>
            </w:r>
          </w:p>
        </w:tc>
        <w:tc>
          <w:tcPr>
            <w:tcW w:w="100" w:type="dxa"/>
            <w:vAlign w:val="bottom"/>
            <w:shd w:val="clear" w:color="auto" w:fill="DFEDE5"/>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820" w:type="dxa"/>
            <w:vAlign w:val="bottom"/>
            <w:tcBorders>
              <w:bottom w:val="single" w:sz="8" w:color="132440"/>
            </w:tcBorders>
            <w:shd w:val="clear" w:color="auto" w:fill="132440"/>
          </w:tcPr>
          <w:p>
            <w:pPr>
              <w:spacing w:after="0"/>
              <w:rPr>
                <w:sz w:val="10"/>
                <w:szCs w:val="10"/>
                <w:color w:val="auto"/>
              </w:rPr>
            </w:pPr>
          </w:p>
        </w:tc>
        <w:tc>
          <w:tcPr>
            <w:tcW w:w="100" w:type="dxa"/>
            <w:vAlign w:val="bottom"/>
            <w:tcBorders>
              <w:bottom w:val="single" w:sz="8" w:color="298655"/>
            </w:tcBorders>
            <w:shd w:val="clear" w:color="auto" w:fill="298655"/>
          </w:tcPr>
          <w:p>
            <w:pPr>
              <w:spacing w:after="0"/>
              <w:rPr>
                <w:sz w:val="10"/>
                <w:szCs w:val="10"/>
                <w:color w:val="auto"/>
              </w:rPr>
            </w:pPr>
          </w:p>
        </w:tc>
        <w:tc>
          <w:tcPr>
            <w:tcW w:w="700" w:type="dxa"/>
            <w:vAlign w:val="bottom"/>
            <w:tcBorders>
              <w:bottom w:val="single" w:sz="8" w:color="298655"/>
            </w:tcBorders>
            <w:shd w:val="clear" w:color="auto" w:fill="298655"/>
          </w:tcPr>
          <w:p>
            <w:pPr>
              <w:spacing w:after="0"/>
              <w:rPr>
                <w:sz w:val="10"/>
                <w:szCs w:val="10"/>
                <w:color w:val="auto"/>
              </w:rPr>
            </w:pPr>
          </w:p>
        </w:tc>
        <w:tc>
          <w:tcPr>
            <w:tcW w:w="140" w:type="dxa"/>
            <w:vAlign w:val="bottom"/>
            <w:tcBorders>
              <w:bottom w:val="single" w:sz="8" w:color="DFEDE5"/>
            </w:tcBorders>
            <w:shd w:val="clear" w:color="auto" w:fill="DFEDE5"/>
          </w:tcPr>
          <w:p>
            <w:pPr>
              <w:spacing w:after="0"/>
              <w:rPr>
                <w:sz w:val="10"/>
                <w:szCs w:val="10"/>
                <w:color w:val="auto"/>
              </w:rPr>
            </w:pPr>
          </w:p>
        </w:tc>
        <w:tc>
          <w:tcPr>
            <w:tcW w:w="1360" w:type="dxa"/>
            <w:vAlign w:val="bottom"/>
            <w:tcBorders>
              <w:bottom w:val="single" w:sz="8" w:color="DFEDE5"/>
            </w:tcBorders>
            <w:shd w:val="clear" w:color="auto" w:fill="DFEDE5"/>
          </w:tcPr>
          <w:p>
            <w:pPr>
              <w:spacing w:after="0"/>
              <w:rPr>
                <w:sz w:val="10"/>
                <w:szCs w:val="10"/>
                <w:color w:val="auto"/>
              </w:rPr>
            </w:pPr>
          </w:p>
        </w:tc>
        <w:tc>
          <w:tcPr>
            <w:tcW w:w="1120" w:type="dxa"/>
            <w:vAlign w:val="bottom"/>
            <w:tcBorders>
              <w:bottom w:val="single" w:sz="8" w:color="298655"/>
            </w:tcBorders>
            <w:shd w:val="clear" w:color="auto" w:fill="DFEDE5"/>
          </w:tcPr>
          <w:p>
            <w:pPr>
              <w:spacing w:after="0"/>
              <w:rPr>
                <w:sz w:val="10"/>
                <w:szCs w:val="10"/>
                <w:color w:val="auto"/>
              </w:rPr>
            </w:pPr>
          </w:p>
        </w:tc>
        <w:tc>
          <w:tcPr>
            <w:tcW w:w="2380" w:type="dxa"/>
            <w:vAlign w:val="bottom"/>
            <w:tcBorders>
              <w:bottom w:val="single" w:sz="8" w:color="298655"/>
            </w:tcBorders>
            <w:shd w:val="clear" w:color="auto" w:fill="DFEDE5"/>
          </w:tcPr>
          <w:p>
            <w:pPr>
              <w:spacing w:after="0"/>
              <w:rPr>
                <w:sz w:val="10"/>
                <w:szCs w:val="10"/>
                <w:color w:val="auto"/>
              </w:rPr>
            </w:pPr>
          </w:p>
        </w:tc>
        <w:tc>
          <w:tcPr>
            <w:tcW w:w="120" w:type="dxa"/>
            <w:vAlign w:val="bottom"/>
            <w:tcBorders>
              <w:bottom w:val="single" w:sz="8" w:color="298655"/>
            </w:tcBorders>
            <w:shd w:val="clear" w:color="auto" w:fill="DFEDE5"/>
          </w:tcPr>
          <w:p>
            <w:pPr>
              <w:spacing w:after="0"/>
              <w:rPr>
                <w:sz w:val="10"/>
                <w:szCs w:val="10"/>
                <w:color w:val="auto"/>
              </w:rPr>
            </w:pPr>
          </w:p>
        </w:tc>
        <w:tc>
          <w:tcPr>
            <w:tcW w:w="760" w:type="dxa"/>
            <w:vAlign w:val="bottom"/>
            <w:tcBorders>
              <w:bottom w:val="single" w:sz="8" w:color="298655"/>
            </w:tcBorders>
            <w:shd w:val="clear" w:color="auto" w:fill="DFEDE5"/>
          </w:tcPr>
          <w:p>
            <w:pPr>
              <w:spacing w:after="0"/>
              <w:rPr>
                <w:sz w:val="10"/>
                <w:szCs w:val="10"/>
                <w:color w:val="auto"/>
              </w:rPr>
            </w:pPr>
          </w:p>
        </w:tc>
        <w:tc>
          <w:tcPr>
            <w:tcW w:w="100" w:type="dxa"/>
            <w:vAlign w:val="bottom"/>
            <w:tcBorders>
              <w:bottom w:val="single" w:sz="8" w:color="298655"/>
            </w:tcBorders>
            <w:shd w:val="clear" w:color="auto" w:fill="DFEDE5"/>
          </w:tcPr>
          <w:p>
            <w:pPr>
              <w:spacing w:after="0"/>
              <w:rPr>
                <w:sz w:val="10"/>
                <w:szCs w:val="10"/>
                <w:color w:val="auto"/>
              </w:rPr>
            </w:pPr>
          </w:p>
        </w:tc>
        <w:tc>
          <w:tcPr>
            <w:tcW w:w="3460" w:type="dxa"/>
            <w:vAlign w:val="bottom"/>
            <w:tcBorders>
              <w:bottom w:val="single" w:sz="8" w:color="298655"/>
            </w:tcBorders>
            <w:shd w:val="clear" w:color="auto" w:fill="DFEDE5"/>
          </w:tcPr>
          <w:p>
            <w:pPr>
              <w:spacing w:after="0"/>
              <w:rPr>
                <w:sz w:val="10"/>
                <w:szCs w:val="10"/>
                <w:color w:val="auto"/>
              </w:rPr>
            </w:pPr>
          </w:p>
        </w:tc>
        <w:tc>
          <w:tcPr>
            <w:tcW w:w="100" w:type="dxa"/>
            <w:vAlign w:val="bottom"/>
            <w:tcBorders>
              <w:bottom w:val="single" w:sz="8" w:color="298655"/>
            </w:tcBorders>
            <w:shd w:val="clear" w:color="auto" w:fill="DFEDE5"/>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820" w:type="dxa"/>
            <w:vAlign w:val="bottom"/>
            <w:shd w:val="clear" w:color="auto" w:fill="132440"/>
          </w:tcPr>
          <w:p>
            <w:pPr>
              <w:spacing w:after="0"/>
              <w:rPr>
                <w:sz w:val="23"/>
                <w:szCs w:val="23"/>
                <w:color w:val="auto"/>
              </w:rPr>
            </w:pPr>
          </w:p>
        </w:tc>
        <w:tc>
          <w:tcPr>
            <w:tcW w:w="100" w:type="dxa"/>
            <w:vAlign w:val="bottom"/>
            <w:shd w:val="clear" w:color="auto" w:fill="298655"/>
          </w:tcPr>
          <w:p>
            <w:pPr>
              <w:spacing w:after="0"/>
              <w:rPr>
                <w:sz w:val="23"/>
                <w:szCs w:val="23"/>
                <w:color w:val="auto"/>
              </w:rPr>
            </w:pPr>
          </w:p>
        </w:tc>
        <w:tc>
          <w:tcPr>
            <w:tcW w:w="700" w:type="dxa"/>
            <w:vAlign w:val="bottom"/>
            <w:shd w:val="clear" w:color="auto" w:fill="298655"/>
          </w:tcPr>
          <w:p>
            <w:pPr>
              <w:spacing w:after="0"/>
              <w:rPr>
                <w:sz w:val="23"/>
                <w:szCs w:val="23"/>
                <w:color w:val="auto"/>
              </w:rPr>
            </w:pPr>
          </w:p>
        </w:tc>
        <w:tc>
          <w:tcPr>
            <w:tcW w:w="140" w:type="dxa"/>
            <w:vAlign w:val="bottom"/>
            <w:shd w:val="clear" w:color="auto" w:fill="DFEDE5"/>
          </w:tcPr>
          <w:p>
            <w:pPr>
              <w:spacing w:after="0"/>
              <w:rPr>
                <w:sz w:val="23"/>
                <w:szCs w:val="23"/>
                <w:color w:val="auto"/>
              </w:rPr>
            </w:pPr>
          </w:p>
        </w:tc>
        <w:tc>
          <w:tcPr>
            <w:tcW w:w="1360" w:type="dxa"/>
            <w:vAlign w:val="bottom"/>
            <w:shd w:val="clear" w:color="auto" w:fill="DFEDE5"/>
          </w:tcPr>
          <w:p>
            <w:pPr>
              <w:spacing w:after="0"/>
              <w:rPr>
                <w:sz w:val="23"/>
                <w:szCs w:val="23"/>
                <w:color w:val="auto"/>
              </w:rPr>
            </w:pPr>
          </w:p>
        </w:tc>
        <w:tc>
          <w:tcPr>
            <w:tcW w:w="1120" w:type="dxa"/>
            <w:vAlign w:val="bottom"/>
            <w:shd w:val="clear" w:color="auto" w:fill="DFEDE5"/>
          </w:tcPr>
          <w:p>
            <w:pPr>
              <w:ind w:left="100"/>
              <w:spacing w:after="0"/>
              <w:rPr>
                <w:sz w:val="20"/>
                <w:szCs w:val="20"/>
                <w:color w:val="auto"/>
              </w:rPr>
            </w:pPr>
            <w:r>
              <w:rPr>
                <w:rFonts w:ascii="Arial" w:cs="Arial" w:eastAsia="Arial" w:hAnsi="Arial"/>
                <w:sz w:val="14"/>
                <w:szCs w:val="14"/>
                <w:color w:val="4D4D4F"/>
              </w:rPr>
              <w:t>RSUs</w:t>
            </w:r>
          </w:p>
        </w:tc>
        <w:tc>
          <w:tcPr>
            <w:tcW w:w="2380" w:type="dxa"/>
            <w:vAlign w:val="bottom"/>
            <w:shd w:val="clear" w:color="auto" w:fill="DFEDE5"/>
          </w:tcPr>
          <w:p>
            <w:pPr>
              <w:ind w:left="20"/>
              <w:spacing w:after="0"/>
              <w:rPr>
                <w:sz w:val="20"/>
                <w:szCs w:val="20"/>
                <w:color w:val="auto"/>
              </w:rPr>
            </w:pPr>
            <w:r>
              <w:rPr>
                <w:rFonts w:ascii="Arial" w:cs="Arial" w:eastAsia="Arial" w:hAnsi="Arial"/>
                <w:sz w:val="14"/>
                <w:szCs w:val="14"/>
                <w:color w:val="4D4D4F"/>
              </w:rPr>
              <w:t>Provide a retention incentive that</w:t>
            </w:r>
          </w:p>
        </w:tc>
        <w:tc>
          <w:tcPr>
            <w:tcW w:w="120" w:type="dxa"/>
            <w:vAlign w:val="bottom"/>
            <w:shd w:val="clear" w:color="auto" w:fill="DFEDE5"/>
          </w:tcPr>
          <w:p>
            <w:pPr>
              <w:spacing w:after="0"/>
              <w:rPr>
                <w:sz w:val="23"/>
                <w:szCs w:val="23"/>
                <w:color w:val="auto"/>
              </w:rPr>
            </w:pPr>
          </w:p>
        </w:tc>
        <w:tc>
          <w:tcPr>
            <w:tcW w:w="760" w:type="dxa"/>
            <w:vAlign w:val="bottom"/>
            <w:shd w:val="clear" w:color="auto" w:fill="DFEDE5"/>
          </w:tcPr>
          <w:p>
            <w:pPr>
              <w:ind w:left="20"/>
              <w:spacing w:after="0"/>
              <w:rPr>
                <w:sz w:val="20"/>
                <w:szCs w:val="20"/>
                <w:color w:val="auto"/>
              </w:rPr>
            </w:pPr>
            <w:r>
              <w:rPr>
                <w:rFonts w:ascii="Arial" w:cs="Arial" w:eastAsia="Arial" w:hAnsi="Arial"/>
                <w:sz w:val="14"/>
                <w:szCs w:val="14"/>
                <w:color w:val="4D4D4F"/>
              </w:rPr>
              <w:t>Equity-</w:t>
            </w:r>
          </w:p>
        </w:tc>
        <w:tc>
          <w:tcPr>
            <w:tcW w:w="100" w:type="dxa"/>
            <w:vAlign w:val="bottom"/>
            <w:shd w:val="clear" w:color="auto" w:fill="DFEDE5"/>
          </w:tcPr>
          <w:p>
            <w:pPr>
              <w:spacing w:after="0"/>
              <w:rPr>
                <w:sz w:val="23"/>
                <w:szCs w:val="23"/>
                <w:color w:val="auto"/>
              </w:rPr>
            </w:pPr>
          </w:p>
        </w:tc>
        <w:tc>
          <w:tcPr>
            <w:tcW w:w="3460" w:type="dxa"/>
            <w:vAlign w:val="bottom"/>
            <w:shd w:val="clear" w:color="auto" w:fill="DFEDE5"/>
          </w:tcPr>
          <w:p>
            <w:pPr>
              <w:ind w:left="20"/>
              <w:spacing w:after="0"/>
              <w:rPr>
                <w:sz w:val="20"/>
                <w:szCs w:val="20"/>
                <w:color w:val="auto"/>
              </w:rPr>
            </w:pPr>
            <w:r>
              <w:rPr>
                <w:rFonts w:ascii="Arial" w:cs="Arial" w:eastAsia="Arial" w:hAnsi="Arial"/>
                <w:sz w:val="14"/>
                <w:szCs w:val="14"/>
                <w:color w:val="4D4D4F"/>
              </w:rPr>
              <w:t>Represents 40% of the annual LTIP award</w:t>
            </w:r>
          </w:p>
        </w:tc>
        <w:tc>
          <w:tcPr>
            <w:tcW w:w="100" w:type="dxa"/>
            <w:vAlign w:val="bottom"/>
            <w:shd w:val="clear" w:color="auto" w:fill="DFEDE5"/>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820" w:type="dxa"/>
            <w:vAlign w:val="bottom"/>
            <w:tcBorders>
              <w:bottom w:val="single" w:sz="8" w:color="132440"/>
            </w:tcBorders>
            <w:shd w:val="clear" w:color="auto" w:fill="132440"/>
          </w:tcPr>
          <w:p>
            <w:pPr>
              <w:spacing w:after="0"/>
              <w:rPr>
                <w:sz w:val="7"/>
                <w:szCs w:val="7"/>
                <w:color w:val="auto"/>
              </w:rPr>
            </w:pPr>
          </w:p>
        </w:tc>
        <w:tc>
          <w:tcPr>
            <w:tcW w:w="100" w:type="dxa"/>
            <w:vAlign w:val="bottom"/>
            <w:tcBorders>
              <w:bottom w:val="single" w:sz="8" w:color="298655"/>
            </w:tcBorders>
            <w:shd w:val="clear" w:color="auto" w:fill="298655"/>
          </w:tcPr>
          <w:p>
            <w:pPr>
              <w:spacing w:after="0"/>
              <w:rPr>
                <w:sz w:val="7"/>
                <w:szCs w:val="7"/>
                <w:color w:val="auto"/>
              </w:rPr>
            </w:pPr>
          </w:p>
        </w:tc>
        <w:tc>
          <w:tcPr>
            <w:tcW w:w="700" w:type="dxa"/>
            <w:vAlign w:val="bottom"/>
            <w:tcBorders>
              <w:bottom w:val="single" w:sz="8" w:color="298655"/>
            </w:tcBorders>
            <w:shd w:val="clear" w:color="auto" w:fill="298655"/>
          </w:tcPr>
          <w:p>
            <w:pPr>
              <w:spacing w:after="0"/>
              <w:rPr>
                <w:sz w:val="7"/>
                <w:szCs w:val="7"/>
                <w:color w:val="auto"/>
              </w:rPr>
            </w:pPr>
          </w:p>
        </w:tc>
        <w:tc>
          <w:tcPr>
            <w:tcW w:w="140" w:type="dxa"/>
            <w:vAlign w:val="bottom"/>
            <w:tcBorders>
              <w:bottom w:val="single" w:sz="8" w:color="DFEDE5"/>
            </w:tcBorders>
            <w:shd w:val="clear" w:color="auto" w:fill="DFEDE5"/>
          </w:tcPr>
          <w:p>
            <w:pPr>
              <w:spacing w:after="0"/>
              <w:rPr>
                <w:sz w:val="7"/>
                <w:szCs w:val="7"/>
                <w:color w:val="auto"/>
              </w:rPr>
            </w:pPr>
          </w:p>
        </w:tc>
        <w:tc>
          <w:tcPr>
            <w:tcW w:w="1360" w:type="dxa"/>
            <w:vAlign w:val="bottom"/>
            <w:tcBorders>
              <w:bottom w:val="single" w:sz="8" w:color="DFEDE5"/>
            </w:tcBorders>
            <w:shd w:val="clear" w:color="auto" w:fill="DFEDE5"/>
          </w:tcPr>
          <w:p>
            <w:pPr>
              <w:spacing w:after="0"/>
              <w:rPr>
                <w:sz w:val="7"/>
                <w:szCs w:val="7"/>
                <w:color w:val="auto"/>
              </w:rPr>
            </w:pPr>
          </w:p>
        </w:tc>
        <w:tc>
          <w:tcPr>
            <w:tcW w:w="1120" w:type="dxa"/>
            <w:vAlign w:val="bottom"/>
            <w:tcBorders>
              <w:bottom w:val="single" w:sz="8" w:color="DFEDE5"/>
            </w:tcBorders>
            <w:shd w:val="clear" w:color="auto" w:fill="DFEDE5"/>
          </w:tcPr>
          <w:p>
            <w:pPr>
              <w:spacing w:after="0"/>
              <w:rPr>
                <w:sz w:val="7"/>
                <w:szCs w:val="7"/>
                <w:color w:val="auto"/>
              </w:rPr>
            </w:pPr>
          </w:p>
        </w:tc>
        <w:tc>
          <w:tcPr>
            <w:tcW w:w="2380" w:type="dxa"/>
            <w:vAlign w:val="bottom"/>
            <w:tcBorders>
              <w:bottom w:val="single" w:sz="8" w:color="DFEDE5"/>
            </w:tcBorders>
            <w:vMerge w:val="restart"/>
            <w:shd w:val="clear" w:color="auto" w:fill="DFEDE5"/>
          </w:tcPr>
          <w:p>
            <w:pPr>
              <w:ind w:left="20"/>
              <w:spacing w:after="0"/>
              <w:rPr>
                <w:sz w:val="20"/>
                <w:szCs w:val="20"/>
                <w:color w:val="auto"/>
              </w:rPr>
            </w:pPr>
            <w:r>
              <w:rPr>
                <w:rFonts w:ascii="Arial" w:cs="Arial" w:eastAsia="Arial" w:hAnsi="Arial"/>
                <w:sz w:val="14"/>
                <w:szCs w:val="14"/>
                <w:color w:val="4D4D4F"/>
              </w:rPr>
              <w:t>promotes sustained stock ownership</w:t>
            </w:r>
          </w:p>
        </w:tc>
        <w:tc>
          <w:tcPr>
            <w:tcW w:w="120" w:type="dxa"/>
            <w:vAlign w:val="bottom"/>
            <w:tcBorders>
              <w:bottom w:val="single" w:sz="8" w:color="DFEDE5"/>
            </w:tcBorders>
            <w:shd w:val="clear" w:color="auto" w:fill="DFEDE5"/>
          </w:tcPr>
          <w:p>
            <w:pPr>
              <w:spacing w:after="0"/>
              <w:rPr>
                <w:sz w:val="7"/>
                <w:szCs w:val="7"/>
                <w:color w:val="auto"/>
              </w:rPr>
            </w:pPr>
          </w:p>
        </w:tc>
        <w:tc>
          <w:tcPr>
            <w:tcW w:w="760" w:type="dxa"/>
            <w:vAlign w:val="bottom"/>
            <w:tcBorders>
              <w:bottom w:val="single" w:sz="8" w:color="DFEDE5"/>
            </w:tcBorders>
            <w:vMerge w:val="restart"/>
            <w:shd w:val="clear" w:color="auto" w:fill="DFEDE5"/>
          </w:tcPr>
          <w:p>
            <w:pPr>
              <w:ind w:left="20"/>
              <w:spacing w:after="0"/>
              <w:rPr>
                <w:sz w:val="20"/>
                <w:szCs w:val="20"/>
                <w:color w:val="auto"/>
              </w:rPr>
            </w:pPr>
            <w:r>
              <w:rPr>
                <w:rFonts w:ascii="Arial" w:cs="Arial" w:eastAsia="Arial" w:hAnsi="Arial"/>
                <w:sz w:val="14"/>
                <w:szCs w:val="14"/>
                <w:color w:val="4D4D4F"/>
              </w:rPr>
              <w:t>based</w:t>
            </w:r>
          </w:p>
        </w:tc>
        <w:tc>
          <w:tcPr>
            <w:tcW w:w="100" w:type="dxa"/>
            <w:vAlign w:val="bottom"/>
            <w:tcBorders>
              <w:bottom w:val="single" w:sz="8" w:color="DFEDE5"/>
            </w:tcBorders>
            <w:shd w:val="clear" w:color="auto" w:fill="DFEDE5"/>
          </w:tcPr>
          <w:p>
            <w:pPr>
              <w:spacing w:after="0"/>
              <w:rPr>
                <w:sz w:val="7"/>
                <w:szCs w:val="7"/>
                <w:color w:val="auto"/>
              </w:rPr>
            </w:pPr>
          </w:p>
        </w:tc>
        <w:tc>
          <w:tcPr>
            <w:tcW w:w="3460" w:type="dxa"/>
            <w:vAlign w:val="bottom"/>
            <w:tcBorders>
              <w:bottom w:val="single" w:sz="8" w:color="298655"/>
            </w:tcBorders>
            <w:shd w:val="clear" w:color="auto" w:fill="DFEDE5"/>
          </w:tcPr>
          <w:p>
            <w:pPr>
              <w:spacing w:after="0"/>
              <w:rPr>
                <w:sz w:val="7"/>
                <w:szCs w:val="7"/>
                <w:color w:val="auto"/>
              </w:rPr>
            </w:pPr>
          </w:p>
        </w:tc>
        <w:tc>
          <w:tcPr>
            <w:tcW w:w="100" w:type="dxa"/>
            <w:vAlign w:val="bottom"/>
            <w:tcBorders>
              <w:bottom w:val="single" w:sz="8" w:color="298655"/>
            </w:tcBorders>
            <w:shd w:val="clear" w:color="auto" w:fill="DFEDE5"/>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820" w:type="dxa"/>
            <w:vAlign w:val="bottom"/>
            <w:shd w:val="clear" w:color="auto" w:fill="132440"/>
          </w:tcPr>
          <w:p>
            <w:pPr>
              <w:spacing w:after="0"/>
              <w:rPr>
                <w:sz w:val="6"/>
                <w:szCs w:val="6"/>
                <w:color w:val="auto"/>
              </w:rPr>
            </w:pPr>
          </w:p>
        </w:tc>
        <w:tc>
          <w:tcPr>
            <w:tcW w:w="100" w:type="dxa"/>
            <w:vAlign w:val="bottom"/>
            <w:shd w:val="clear" w:color="auto" w:fill="298655"/>
          </w:tcPr>
          <w:p>
            <w:pPr>
              <w:spacing w:after="0"/>
              <w:rPr>
                <w:sz w:val="6"/>
                <w:szCs w:val="6"/>
                <w:color w:val="auto"/>
              </w:rPr>
            </w:pPr>
          </w:p>
        </w:tc>
        <w:tc>
          <w:tcPr>
            <w:tcW w:w="700" w:type="dxa"/>
            <w:vAlign w:val="bottom"/>
            <w:shd w:val="clear" w:color="auto" w:fill="298655"/>
          </w:tcPr>
          <w:p>
            <w:pPr>
              <w:spacing w:after="0"/>
              <w:rPr>
                <w:sz w:val="6"/>
                <w:szCs w:val="6"/>
                <w:color w:val="auto"/>
              </w:rPr>
            </w:pPr>
          </w:p>
        </w:tc>
        <w:tc>
          <w:tcPr>
            <w:tcW w:w="140" w:type="dxa"/>
            <w:vAlign w:val="bottom"/>
            <w:shd w:val="clear" w:color="auto" w:fill="DFEDE5"/>
          </w:tcPr>
          <w:p>
            <w:pPr>
              <w:spacing w:after="0"/>
              <w:rPr>
                <w:sz w:val="6"/>
                <w:szCs w:val="6"/>
                <w:color w:val="auto"/>
              </w:rPr>
            </w:pPr>
          </w:p>
        </w:tc>
        <w:tc>
          <w:tcPr>
            <w:tcW w:w="1360" w:type="dxa"/>
            <w:vAlign w:val="bottom"/>
            <w:shd w:val="clear" w:color="auto" w:fill="DFEDE5"/>
          </w:tcPr>
          <w:p>
            <w:pPr>
              <w:spacing w:after="0"/>
              <w:rPr>
                <w:sz w:val="6"/>
                <w:szCs w:val="6"/>
                <w:color w:val="auto"/>
              </w:rPr>
            </w:pPr>
          </w:p>
        </w:tc>
        <w:tc>
          <w:tcPr>
            <w:tcW w:w="1120" w:type="dxa"/>
            <w:vAlign w:val="bottom"/>
            <w:shd w:val="clear" w:color="auto" w:fill="DFEDE5"/>
          </w:tcPr>
          <w:p>
            <w:pPr>
              <w:spacing w:after="0"/>
              <w:rPr>
                <w:sz w:val="6"/>
                <w:szCs w:val="6"/>
                <w:color w:val="auto"/>
              </w:rPr>
            </w:pPr>
          </w:p>
        </w:tc>
        <w:tc>
          <w:tcPr>
            <w:tcW w:w="2380" w:type="dxa"/>
            <w:vAlign w:val="bottom"/>
            <w:vMerge w:val="continue"/>
            <w:shd w:val="clear" w:color="auto" w:fill="DFEDE5"/>
          </w:tcPr>
          <w:p>
            <w:pPr>
              <w:spacing w:after="0"/>
              <w:rPr>
                <w:sz w:val="6"/>
                <w:szCs w:val="6"/>
                <w:color w:val="auto"/>
              </w:rPr>
            </w:pPr>
          </w:p>
        </w:tc>
        <w:tc>
          <w:tcPr>
            <w:tcW w:w="120" w:type="dxa"/>
            <w:vAlign w:val="bottom"/>
            <w:shd w:val="clear" w:color="auto" w:fill="DFEDE5"/>
          </w:tcPr>
          <w:p>
            <w:pPr>
              <w:spacing w:after="0"/>
              <w:rPr>
                <w:sz w:val="6"/>
                <w:szCs w:val="6"/>
                <w:color w:val="auto"/>
              </w:rPr>
            </w:pPr>
          </w:p>
        </w:tc>
        <w:tc>
          <w:tcPr>
            <w:tcW w:w="760" w:type="dxa"/>
            <w:vAlign w:val="bottom"/>
            <w:vMerge w:val="continue"/>
            <w:shd w:val="clear" w:color="auto" w:fill="DFEDE5"/>
          </w:tcPr>
          <w:p>
            <w:pPr>
              <w:spacing w:after="0"/>
              <w:rPr>
                <w:sz w:val="6"/>
                <w:szCs w:val="6"/>
                <w:color w:val="auto"/>
              </w:rPr>
            </w:pPr>
          </w:p>
        </w:tc>
        <w:tc>
          <w:tcPr>
            <w:tcW w:w="100" w:type="dxa"/>
            <w:vAlign w:val="bottom"/>
            <w:shd w:val="clear" w:color="auto" w:fill="DFEDE5"/>
          </w:tcPr>
          <w:p>
            <w:pPr>
              <w:spacing w:after="0"/>
              <w:rPr>
                <w:sz w:val="6"/>
                <w:szCs w:val="6"/>
                <w:color w:val="auto"/>
              </w:rPr>
            </w:pPr>
          </w:p>
        </w:tc>
        <w:tc>
          <w:tcPr>
            <w:tcW w:w="3460" w:type="dxa"/>
            <w:vAlign w:val="bottom"/>
            <w:vMerge w:val="restart"/>
            <w:shd w:val="clear" w:color="auto" w:fill="DFEDE5"/>
          </w:tcPr>
          <w:p>
            <w:pPr>
              <w:ind w:left="20"/>
              <w:spacing w:after="0"/>
              <w:rPr>
                <w:sz w:val="20"/>
                <w:szCs w:val="20"/>
                <w:color w:val="auto"/>
              </w:rPr>
            </w:pPr>
            <w:r>
              <w:rPr>
                <w:rFonts w:ascii="Arial" w:cs="Arial" w:eastAsia="Arial" w:hAnsi="Arial"/>
                <w:sz w:val="14"/>
                <w:szCs w:val="14"/>
                <w:color w:val="4D4D4F"/>
              </w:rPr>
              <w:t>Vest ratably over 3 years</w:t>
            </w:r>
          </w:p>
        </w:tc>
        <w:tc>
          <w:tcPr>
            <w:tcW w:w="100" w:type="dxa"/>
            <w:vAlign w:val="bottom"/>
            <w:shd w:val="clear" w:color="auto" w:fill="DFEDE5"/>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820" w:type="dxa"/>
            <w:vAlign w:val="bottom"/>
            <w:shd w:val="clear" w:color="auto" w:fill="132440"/>
          </w:tcPr>
          <w:p>
            <w:pPr>
              <w:spacing w:after="0"/>
              <w:rPr>
                <w:sz w:val="10"/>
                <w:szCs w:val="10"/>
                <w:color w:val="auto"/>
              </w:rPr>
            </w:pPr>
          </w:p>
        </w:tc>
        <w:tc>
          <w:tcPr>
            <w:tcW w:w="100" w:type="dxa"/>
            <w:vAlign w:val="bottom"/>
            <w:shd w:val="clear" w:color="auto" w:fill="298655"/>
          </w:tcPr>
          <w:p>
            <w:pPr>
              <w:spacing w:after="0"/>
              <w:rPr>
                <w:sz w:val="10"/>
                <w:szCs w:val="10"/>
                <w:color w:val="auto"/>
              </w:rPr>
            </w:pPr>
          </w:p>
        </w:tc>
        <w:tc>
          <w:tcPr>
            <w:tcW w:w="700" w:type="dxa"/>
            <w:vAlign w:val="bottom"/>
            <w:shd w:val="clear" w:color="auto" w:fill="298655"/>
          </w:tcPr>
          <w:p>
            <w:pPr>
              <w:spacing w:after="0"/>
              <w:rPr>
                <w:sz w:val="10"/>
                <w:szCs w:val="10"/>
                <w:color w:val="auto"/>
              </w:rPr>
            </w:pPr>
          </w:p>
        </w:tc>
        <w:tc>
          <w:tcPr>
            <w:tcW w:w="140" w:type="dxa"/>
            <w:vAlign w:val="bottom"/>
            <w:shd w:val="clear" w:color="auto" w:fill="DFEDE5"/>
          </w:tcPr>
          <w:p>
            <w:pPr>
              <w:spacing w:after="0"/>
              <w:rPr>
                <w:sz w:val="10"/>
                <w:szCs w:val="10"/>
                <w:color w:val="auto"/>
              </w:rPr>
            </w:pPr>
          </w:p>
        </w:tc>
        <w:tc>
          <w:tcPr>
            <w:tcW w:w="1360" w:type="dxa"/>
            <w:vAlign w:val="bottom"/>
            <w:shd w:val="clear" w:color="auto" w:fill="DFEDE5"/>
          </w:tcPr>
          <w:p>
            <w:pPr>
              <w:spacing w:after="0"/>
              <w:rPr>
                <w:sz w:val="10"/>
                <w:szCs w:val="10"/>
                <w:color w:val="auto"/>
              </w:rPr>
            </w:pPr>
          </w:p>
        </w:tc>
        <w:tc>
          <w:tcPr>
            <w:tcW w:w="1120" w:type="dxa"/>
            <w:vAlign w:val="bottom"/>
            <w:shd w:val="clear" w:color="auto" w:fill="DFEDE5"/>
          </w:tcPr>
          <w:p>
            <w:pPr>
              <w:spacing w:after="0"/>
              <w:rPr>
                <w:sz w:val="10"/>
                <w:szCs w:val="10"/>
                <w:color w:val="auto"/>
              </w:rPr>
            </w:pPr>
          </w:p>
        </w:tc>
        <w:tc>
          <w:tcPr>
            <w:tcW w:w="2380" w:type="dxa"/>
            <w:vAlign w:val="bottom"/>
            <w:vMerge w:val="restart"/>
            <w:shd w:val="clear" w:color="auto" w:fill="DFEDE5"/>
          </w:tcPr>
          <w:p>
            <w:pPr>
              <w:ind w:left="20"/>
              <w:spacing w:after="0"/>
              <w:rPr>
                <w:sz w:val="20"/>
                <w:szCs w:val="20"/>
                <w:color w:val="auto"/>
              </w:rPr>
            </w:pPr>
            <w:r>
              <w:rPr>
                <w:rFonts w:ascii="Arial" w:cs="Arial" w:eastAsia="Arial" w:hAnsi="Arial"/>
                <w:sz w:val="14"/>
                <w:szCs w:val="14"/>
                <w:color w:val="4D4D4F"/>
              </w:rPr>
              <w:t>and alignment with stock price</w:t>
            </w:r>
          </w:p>
        </w:tc>
        <w:tc>
          <w:tcPr>
            <w:tcW w:w="120" w:type="dxa"/>
            <w:vAlign w:val="bottom"/>
            <w:shd w:val="clear" w:color="auto" w:fill="DFEDE5"/>
          </w:tcPr>
          <w:p>
            <w:pPr>
              <w:spacing w:after="0"/>
              <w:rPr>
                <w:sz w:val="10"/>
                <w:szCs w:val="10"/>
                <w:color w:val="auto"/>
              </w:rPr>
            </w:pPr>
          </w:p>
        </w:tc>
        <w:tc>
          <w:tcPr>
            <w:tcW w:w="760" w:type="dxa"/>
            <w:vAlign w:val="bottom"/>
            <w:shd w:val="clear" w:color="auto" w:fill="DFEDE5"/>
          </w:tcPr>
          <w:p>
            <w:pPr>
              <w:spacing w:after="0"/>
              <w:rPr>
                <w:sz w:val="10"/>
                <w:szCs w:val="10"/>
                <w:color w:val="auto"/>
              </w:rPr>
            </w:pPr>
          </w:p>
        </w:tc>
        <w:tc>
          <w:tcPr>
            <w:tcW w:w="100" w:type="dxa"/>
            <w:vAlign w:val="bottom"/>
            <w:shd w:val="clear" w:color="auto" w:fill="DFEDE5"/>
          </w:tcPr>
          <w:p>
            <w:pPr>
              <w:spacing w:after="0"/>
              <w:rPr>
                <w:sz w:val="10"/>
                <w:szCs w:val="10"/>
                <w:color w:val="auto"/>
              </w:rPr>
            </w:pPr>
          </w:p>
        </w:tc>
        <w:tc>
          <w:tcPr>
            <w:tcW w:w="3460" w:type="dxa"/>
            <w:vAlign w:val="bottom"/>
            <w:vMerge w:val="continue"/>
            <w:shd w:val="clear" w:color="auto" w:fill="DFEDE5"/>
          </w:tcPr>
          <w:p>
            <w:pPr>
              <w:spacing w:after="0"/>
              <w:rPr>
                <w:sz w:val="10"/>
                <w:szCs w:val="10"/>
                <w:color w:val="auto"/>
              </w:rPr>
            </w:pPr>
          </w:p>
        </w:tc>
        <w:tc>
          <w:tcPr>
            <w:tcW w:w="100" w:type="dxa"/>
            <w:vAlign w:val="bottom"/>
            <w:shd w:val="clear" w:color="auto" w:fill="DFEDE5"/>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820" w:type="dxa"/>
            <w:vAlign w:val="bottom"/>
            <w:tcBorders>
              <w:bottom w:val="single" w:sz="8" w:color="132440"/>
            </w:tcBorders>
            <w:shd w:val="clear" w:color="auto" w:fill="132440"/>
          </w:tcPr>
          <w:p>
            <w:pPr>
              <w:spacing w:after="0"/>
              <w:rPr>
                <w:sz w:val="6"/>
                <w:szCs w:val="6"/>
                <w:color w:val="auto"/>
              </w:rPr>
            </w:pPr>
          </w:p>
        </w:tc>
        <w:tc>
          <w:tcPr>
            <w:tcW w:w="100" w:type="dxa"/>
            <w:vAlign w:val="bottom"/>
            <w:tcBorders>
              <w:bottom w:val="single" w:sz="8" w:color="298655"/>
            </w:tcBorders>
            <w:shd w:val="clear" w:color="auto" w:fill="298655"/>
          </w:tcPr>
          <w:p>
            <w:pPr>
              <w:spacing w:after="0"/>
              <w:rPr>
                <w:sz w:val="6"/>
                <w:szCs w:val="6"/>
                <w:color w:val="auto"/>
              </w:rPr>
            </w:pPr>
          </w:p>
        </w:tc>
        <w:tc>
          <w:tcPr>
            <w:tcW w:w="700" w:type="dxa"/>
            <w:vAlign w:val="bottom"/>
            <w:tcBorders>
              <w:bottom w:val="single" w:sz="8" w:color="298655"/>
            </w:tcBorders>
            <w:shd w:val="clear" w:color="auto" w:fill="298655"/>
          </w:tcPr>
          <w:p>
            <w:pPr>
              <w:spacing w:after="0"/>
              <w:rPr>
                <w:sz w:val="6"/>
                <w:szCs w:val="6"/>
                <w:color w:val="auto"/>
              </w:rPr>
            </w:pPr>
          </w:p>
        </w:tc>
        <w:tc>
          <w:tcPr>
            <w:tcW w:w="140" w:type="dxa"/>
            <w:vAlign w:val="bottom"/>
            <w:tcBorders>
              <w:bottom w:val="single" w:sz="8" w:color="DFEDE5"/>
            </w:tcBorders>
            <w:shd w:val="clear" w:color="auto" w:fill="DFEDE5"/>
          </w:tcPr>
          <w:p>
            <w:pPr>
              <w:spacing w:after="0"/>
              <w:rPr>
                <w:sz w:val="6"/>
                <w:szCs w:val="6"/>
                <w:color w:val="auto"/>
              </w:rPr>
            </w:pPr>
          </w:p>
        </w:tc>
        <w:tc>
          <w:tcPr>
            <w:tcW w:w="1360" w:type="dxa"/>
            <w:vAlign w:val="bottom"/>
            <w:tcBorders>
              <w:bottom w:val="single" w:sz="8" w:color="DFEDE5"/>
            </w:tcBorders>
            <w:shd w:val="clear" w:color="auto" w:fill="DFEDE5"/>
          </w:tcPr>
          <w:p>
            <w:pPr>
              <w:spacing w:after="0"/>
              <w:rPr>
                <w:sz w:val="6"/>
                <w:szCs w:val="6"/>
                <w:color w:val="auto"/>
              </w:rPr>
            </w:pPr>
          </w:p>
        </w:tc>
        <w:tc>
          <w:tcPr>
            <w:tcW w:w="1120" w:type="dxa"/>
            <w:vAlign w:val="bottom"/>
            <w:tcBorders>
              <w:bottom w:val="single" w:sz="8" w:color="DFEDE5"/>
            </w:tcBorders>
            <w:shd w:val="clear" w:color="auto" w:fill="DFEDE5"/>
          </w:tcPr>
          <w:p>
            <w:pPr>
              <w:spacing w:after="0"/>
              <w:rPr>
                <w:sz w:val="6"/>
                <w:szCs w:val="6"/>
                <w:color w:val="auto"/>
              </w:rPr>
            </w:pPr>
          </w:p>
        </w:tc>
        <w:tc>
          <w:tcPr>
            <w:tcW w:w="2380" w:type="dxa"/>
            <w:vAlign w:val="bottom"/>
            <w:tcBorders>
              <w:bottom w:val="single" w:sz="8" w:color="DFEDE5"/>
            </w:tcBorders>
            <w:vMerge w:val="continue"/>
            <w:shd w:val="clear" w:color="auto" w:fill="DFEDE5"/>
          </w:tcPr>
          <w:p>
            <w:pPr>
              <w:spacing w:after="0"/>
              <w:rPr>
                <w:sz w:val="6"/>
                <w:szCs w:val="6"/>
                <w:color w:val="auto"/>
              </w:rPr>
            </w:pPr>
          </w:p>
        </w:tc>
        <w:tc>
          <w:tcPr>
            <w:tcW w:w="120" w:type="dxa"/>
            <w:vAlign w:val="bottom"/>
            <w:tcBorders>
              <w:bottom w:val="single" w:sz="8" w:color="DFEDE5"/>
            </w:tcBorders>
            <w:shd w:val="clear" w:color="auto" w:fill="DFEDE5"/>
          </w:tcPr>
          <w:p>
            <w:pPr>
              <w:spacing w:after="0"/>
              <w:rPr>
                <w:sz w:val="6"/>
                <w:szCs w:val="6"/>
                <w:color w:val="auto"/>
              </w:rPr>
            </w:pPr>
          </w:p>
        </w:tc>
        <w:tc>
          <w:tcPr>
            <w:tcW w:w="760" w:type="dxa"/>
            <w:vAlign w:val="bottom"/>
            <w:tcBorders>
              <w:bottom w:val="single" w:sz="8" w:color="DFEDE5"/>
            </w:tcBorders>
            <w:shd w:val="clear" w:color="auto" w:fill="DFEDE5"/>
          </w:tcPr>
          <w:p>
            <w:pPr>
              <w:spacing w:after="0"/>
              <w:rPr>
                <w:sz w:val="6"/>
                <w:szCs w:val="6"/>
                <w:color w:val="auto"/>
              </w:rPr>
            </w:pPr>
          </w:p>
        </w:tc>
        <w:tc>
          <w:tcPr>
            <w:tcW w:w="100" w:type="dxa"/>
            <w:vAlign w:val="bottom"/>
            <w:tcBorders>
              <w:bottom w:val="single" w:sz="8" w:color="DFEDE5"/>
            </w:tcBorders>
            <w:shd w:val="clear" w:color="auto" w:fill="DFEDE5"/>
          </w:tcPr>
          <w:p>
            <w:pPr>
              <w:spacing w:after="0"/>
              <w:rPr>
                <w:sz w:val="6"/>
                <w:szCs w:val="6"/>
                <w:color w:val="auto"/>
              </w:rPr>
            </w:pPr>
          </w:p>
        </w:tc>
        <w:tc>
          <w:tcPr>
            <w:tcW w:w="3460" w:type="dxa"/>
            <w:vAlign w:val="bottom"/>
            <w:tcBorders>
              <w:bottom w:val="single" w:sz="8" w:color="DFEDE5"/>
            </w:tcBorders>
            <w:shd w:val="clear" w:color="auto" w:fill="DFEDE5"/>
          </w:tcPr>
          <w:p>
            <w:pPr>
              <w:spacing w:after="0"/>
              <w:rPr>
                <w:sz w:val="6"/>
                <w:szCs w:val="6"/>
                <w:color w:val="auto"/>
              </w:rPr>
            </w:pPr>
          </w:p>
        </w:tc>
        <w:tc>
          <w:tcPr>
            <w:tcW w:w="100" w:type="dxa"/>
            <w:vAlign w:val="bottom"/>
            <w:tcBorders>
              <w:bottom w:val="single" w:sz="8" w:color="DFEDE5"/>
            </w:tcBorders>
            <w:shd w:val="clear" w:color="auto" w:fill="DFEDE5"/>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820" w:type="dxa"/>
            <w:vAlign w:val="bottom"/>
            <w:tcBorders>
              <w:top w:val="single" w:sz="8" w:color="132440"/>
            </w:tcBorders>
            <w:shd w:val="clear" w:color="auto" w:fill="132440"/>
          </w:tcPr>
          <w:p>
            <w:pPr>
              <w:spacing w:after="0"/>
              <w:rPr>
                <w:sz w:val="12"/>
                <w:szCs w:val="12"/>
                <w:color w:val="auto"/>
              </w:rPr>
            </w:pPr>
          </w:p>
        </w:tc>
        <w:tc>
          <w:tcPr>
            <w:tcW w:w="100" w:type="dxa"/>
            <w:vAlign w:val="bottom"/>
            <w:tcBorders>
              <w:top w:val="single" w:sz="8" w:color="298655"/>
            </w:tcBorders>
            <w:shd w:val="clear" w:color="auto" w:fill="298655"/>
          </w:tcPr>
          <w:p>
            <w:pPr>
              <w:spacing w:after="0"/>
              <w:rPr>
                <w:sz w:val="12"/>
                <w:szCs w:val="12"/>
                <w:color w:val="auto"/>
              </w:rPr>
            </w:pPr>
          </w:p>
        </w:tc>
        <w:tc>
          <w:tcPr>
            <w:tcW w:w="700" w:type="dxa"/>
            <w:vAlign w:val="bottom"/>
            <w:tcBorders>
              <w:top w:val="single" w:sz="8" w:color="298655"/>
            </w:tcBorders>
            <w:shd w:val="clear" w:color="auto" w:fill="298655"/>
          </w:tcPr>
          <w:p>
            <w:pPr>
              <w:spacing w:after="0"/>
              <w:rPr>
                <w:sz w:val="12"/>
                <w:szCs w:val="12"/>
                <w:color w:val="auto"/>
              </w:rPr>
            </w:pPr>
          </w:p>
        </w:tc>
        <w:tc>
          <w:tcPr>
            <w:tcW w:w="140" w:type="dxa"/>
            <w:vAlign w:val="bottom"/>
            <w:tcBorders>
              <w:top w:val="single" w:sz="8" w:color="DFEDE5"/>
            </w:tcBorders>
            <w:shd w:val="clear" w:color="auto" w:fill="DFEDE5"/>
          </w:tcPr>
          <w:p>
            <w:pPr>
              <w:spacing w:after="0"/>
              <w:rPr>
                <w:sz w:val="12"/>
                <w:szCs w:val="12"/>
                <w:color w:val="auto"/>
              </w:rPr>
            </w:pPr>
          </w:p>
        </w:tc>
        <w:tc>
          <w:tcPr>
            <w:tcW w:w="1360" w:type="dxa"/>
            <w:vAlign w:val="bottom"/>
            <w:tcBorders>
              <w:top w:val="single" w:sz="8" w:color="DFEDE5"/>
            </w:tcBorders>
            <w:shd w:val="clear" w:color="auto" w:fill="DFEDE5"/>
          </w:tcPr>
          <w:p>
            <w:pPr>
              <w:spacing w:after="0"/>
              <w:rPr>
                <w:sz w:val="12"/>
                <w:szCs w:val="12"/>
                <w:color w:val="auto"/>
              </w:rPr>
            </w:pPr>
          </w:p>
        </w:tc>
        <w:tc>
          <w:tcPr>
            <w:tcW w:w="1120" w:type="dxa"/>
            <w:vAlign w:val="bottom"/>
            <w:tcBorders>
              <w:top w:val="single" w:sz="8" w:color="DFEDE5"/>
            </w:tcBorders>
            <w:shd w:val="clear" w:color="auto" w:fill="DFEDE5"/>
          </w:tcPr>
          <w:p>
            <w:pPr>
              <w:spacing w:after="0"/>
              <w:rPr>
                <w:sz w:val="12"/>
                <w:szCs w:val="12"/>
                <w:color w:val="auto"/>
              </w:rPr>
            </w:pPr>
          </w:p>
        </w:tc>
        <w:tc>
          <w:tcPr>
            <w:tcW w:w="2380" w:type="dxa"/>
            <w:vAlign w:val="bottom"/>
            <w:tcBorders>
              <w:top w:val="single" w:sz="8" w:color="DFEDE5"/>
            </w:tcBorders>
            <w:shd w:val="clear" w:color="auto" w:fill="DFEDE5"/>
          </w:tcPr>
          <w:p>
            <w:pPr>
              <w:ind w:left="20"/>
              <w:spacing w:after="0" w:line="147" w:lineRule="exact"/>
              <w:rPr>
                <w:sz w:val="20"/>
                <w:szCs w:val="20"/>
                <w:color w:val="auto"/>
              </w:rPr>
            </w:pPr>
            <w:r>
              <w:rPr>
                <w:rFonts w:ascii="Arial" w:cs="Arial" w:eastAsia="Arial" w:hAnsi="Arial"/>
                <w:sz w:val="14"/>
                <w:szCs w:val="14"/>
                <w:color w:val="4D4D4F"/>
              </w:rPr>
              <w:t>performance.</w:t>
            </w:r>
          </w:p>
        </w:tc>
        <w:tc>
          <w:tcPr>
            <w:tcW w:w="120" w:type="dxa"/>
            <w:vAlign w:val="bottom"/>
            <w:tcBorders>
              <w:top w:val="single" w:sz="8" w:color="DFEDE5"/>
            </w:tcBorders>
            <w:shd w:val="clear" w:color="auto" w:fill="DFEDE5"/>
          </w:tcPr>
          <w:p>
            <w:pPr>
              <w:spacing w:after="0"/>
              <w:rPr>
                <w:sz w:val="12"/>
                <w:szCs w:val="12"/>
                <w:color w:val="auto"/>
              </w:rPr>
            </w:pPr>
          </w:p>
        </w:tc>
        <w:tc>
          <w:tcPr>
            <w:tcW w:w="760" w:type="dxa"/>
            <w:vAlign w:val="bottom"/>
            <w:tcBorders>
              <w:top w:val="single" w:sz="8" w:color="DFEDE5"/>
            </w:tcBorders>
            <w:shd w:val="clear" w:color="auto" w:fill="DFEDE5"/>
          </w:tcPr>
          <w:p>
            <w:pPr>
              <w:spacing w:after="0"/>
              <w:rPr>
                <w:sz w:val="12"/>
                <w:szCs w:val="12"/>
                <w:color w:val="auto"/>
              </w:rPr>
            </w:pPr>
          </w:p>
        </w:tc>
        <w:tc>
          <w:tcPr>
            <w:tcW w:w="100" w:type="dxa"/>
            <w:vAlign w:val="bottom"/>
            <w:tcBorders>
              <w:top w:val="single" w:sz="8" w:color="DFEDE5"/>
            </w:tcBorders>
            <w:shd w:val="clear" w:color="auto" w:fill="DFEDE5"/>
          </w:tcPr>
          <w:p>
            <w:pPr>
              <w:spacing w:after="0"/>
              <w:rPr>
                <w:sz w:val="12"/>
                <w:szCs w:val="12"/>
                <w:color w:val="auto"/>
              </w:rPr>
            </w:pPr>
          </w:p>
        </w:tc>
        <w:tc>
          <w:tcPr>
            <w:tcW w:w="3460" w:type="dxa"/>
            <w:vAlign w:val="bottom"/>
            <w:tcBorders>
              <w:top w:val="single" w:sz="8" w:color="298655"/>
            </w:tcBorders>
            <w:vMerge w:val="restart"/>
            <w:shd w:val="clear" w:color="auto" w:fill="DFEDE5"/>
          </w:tcPr>
          <w:p>
            <w:pPr>
              <w:ind w:left="20"/>
              <w:spacing w:after="0"/>
              <w:rPr>
                <w:sz w:val="20"/>
                <w:szCs w:val="20"/>
                <w:color w:val="auto"/>
              </w:rPr>
            </w:pPr>
            <w:r>
              <w:rPr>
                <w:rFonts w:ascii="Arial" w:cs="Arial" w:eastAsia="Arial" w:hAnsi="Arial"/>
                <w:sz w:val="14"/>
                <w:szCs w:val="14"/>
                <w:color w:val="4D4D4F"/>
              </w:rPr>
              <w:t>Subject to retention policy, 50% of the shares</w:t>
            </w:r>
          </w:p>
        </w:tc>
        <w:tc>
          <w:tcPr>
            <w:tcW w:w="100" w:type="dxa"/>
            <w:vAlign w:val="bottom"/>
            <w:tcBorders>
              <w:top w:val="single" w:sz="8" w:color="298655"/>
            </w:tcBorders>
            <w:shd w:val="clear" w:color="auto" w:fill="DFEDE5"/>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20" w:type="dxa"/>
            <w:vAlign w:val="bottom"/>
            <w:shd w:val="clear" w:color="auto" w:fill="132440"/>
          </w:tcPr>
          <w:p>
            <w:pPr>
              <w:spacing w:after="0"/>
              <w:rPr>
                <w:sz w:val="3"/>
                <w:szCs w:val="3"/>
                <w:color w:val="auto"/>
              </w:rPr>
            </w:pPr>
          </w:p>
        </w:tc>
        <w:tc>
          <w:tcPr>
            <w:tcW w:w="100" w:type="dxa"/>
            <w:vAlign w:val="bottom"/>
            <w:shd w:val="clear" w:color="auto" w:fill="298655"/>
          </w:tcPr>
          <w:p>
            <w:pPr>
              <w:spacing w:after="0"/>
              <w:rPr>
                <w:sz w:val="3"/>
                <w:szCs w:val="3"/>
                <w:color w:val="auto"/>
              </w:rPr>
            </w:pPr>
          </w:p>
        </w:tc>
        <w:tc>
          <w:tcPr>
            <w:tcW w:w="700" w:type="dxa"/>
            <w:vAlign w:val="bottom"/>
            <w:shd w:val="clear" w:color="auto" w:fill="298655"/>
          </w:tcPr>
          <w:p>
            <w:pPr>
              <w:spacing w:after="0"/>
              <w:rPr>
                <w:sz w:val="3"/>
                <w:szCs w:val="3"/>
                <w:color w:val="auto"/>
              </w:rPr>
            </w:pPr>
          </w:p>
        </w:tc>
        <w:tc>
          <w:tcPr>
            <w:tcW w:w="140" w:type="dxa"/>
            <w:vAlign w:val="bottom"/>
            <w:shd w:val="clear" w:color="auto" w:fill="DFEDE5"/>
          </w:tcPr>
          <w:p>
            <w:pPr>
              <w:spacing w:after="0"/>
              <w:rPr>
                <w:sz w:val="3"/>
                <w:szCs w:val="3"/>
                <w:color w:val="auto"/>
              </w:rPr>
            </w:pPr>
          </w:p>
        </w:tc>
        <w:tc>
          <w:tcPr>
            <w:tcW w:w="1360" w:type="dxa"/>
            <w:vAlign w:val="bottom"/>
            <w:shd w:val="clear" w:color="auto" w:fill="DFEDE5"/>
          </w:tcPr>
          <w:p>
            <w:pPr>
              <w:spacing w:after="0"/>
              <w:rPr>
                <w:sz w:val="3"/>
                <w:szCs w:val="3"/>
                <w:color w:val="auto"/>
              </w:rPr>
            </w:pPr>
          </w:p>
        </w:tc>
        <w:tc>
          <w:tcPr>
            <w:tcW w:w="1120" w:type="dxa"/>
            <w:vAlign w:val="bottom"/>
            <w:shd w:val="clear" w:color="auto" w:fill="DFEDE5"/>
          </w:tcPr>
          <w:p>
            <w:pPr>
              <w:spacing w:after="0"/>
              <w:rPr>
                <w:sz w:val="3"/>
                <w:szCs w:val="3"/>
                <w:color w:val="auto"/>
              </w:rPr>
            </w:pPr>
          </w:p>
        </w:tc>
        <w:tc>
          <w:tcPr>
            <w:tcW w:w="2380" w:type="dxa"/>
            <w:vAlign w:val="bottom"/>
            <w:shd w:val="clear" w:color="auto" w:fill="DFEDE5"/>
          </w:tcPr>
          <w:p>
            <w:pPr>
              <w:spacing w:after="0"/>
              <w:rPr>
                <w:sz w:val="3"/>
                <w:szCs w:val="3"/>
                <w:color w:val="auto"/>
              </w:rPr>
            </w:pPr>
          </w:p>
        </w:tc>
        <w:tc>
          <w:tcPr>
            <w:tcW w:w="120" w:type="dxa"/>
            <w:vAlign w:val="bottom"/>
            <w:shd w:val="clear" w:color="auto" w:fill="DFEDE5"/>
          </w:tcPr>
          <w:p>
            <w:pPr>
              <w:spacing w:after="0"/>
              <w:rPr>
                <w:sz w:val="3"/>
                <w:szCs w:val="3"/>
                <w:color w:val="auto"/>
              </w:rPr>
            </w:pPr>
          </w:p>
        </w:tc>
        <w:tc>
          <w:tcPr>
            <w:tcW w:w="760" w:type="dxa"/>
            <w:vAlign w:val="bottom"/>
            <w:shd w:val="clear" w:color="auto" w:fill="DFEDE5"/>
          </w:tcPr>
          <w:p>
            <w:pPr>
              <w:spacing w:after="0"/>
              <w:rPr>
                <w:sz w:val="3"/>
                <w:szCs w:val="3"/>
                <w:color w:val="auto"/>
              </w:rPr>
            </w:pPr>
          </w:p>
        </w:tc>
        <w:tc>
          <w:tcPr>
            <w:tcW w:w="100" w:type="dxa"/>
            <w:vAlign w:val="bottom"/>
            <w:shd w:val="clear" w:color="auto" w:fill="DFEDE5"/>
          </w:tcPr>
          <w:p>
            <w:pPr>
              <w:spacing w:after="0"/>
              <w:rPr>
                <w:sz w:val="3"/>
                <w:szCs w:val="3"/>
                <w:color w:val="auto"/>
              </w:rPr>
            </w:pPr>
          </w:p>
        </w:tc>
        <w:tc>
          <w:tcPr>
            <w:tcW w:w="3460" w:type="dxa"/>
            <w:vAlign w:val="bottom"/>
            <w:vMerge w:val="continue"/>
            <w:shd w:val="clear" w:color="auto" w:fill="DFEDE5"/>
          </w:tcPr>
          <w:p>
            <w:pPr>
              <w:spacing w:after="0"/>
              <w:rPr>
                <w:sz w:val="3"/>
                <w:szCs w:val="3"/>
                <w:color w:val="auto"/>
              </w:rPr>
            </w:pPr>
          </w:p>
        </w:tc>
        <w:tc>
          <w:tcPr>
            <w:tcW w:w="100" w:type="dxa"/>
            <w:vAlign w:val="bottom"/>
            <w:shd w:val="clear" w:color="auto" w:fill="DFEDE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shd w:val="clear" w:color="auto" w:fill="132440"/>
          </w:tcPr>
          <w:p>
            <w:pPr>
              <w:spacing w:after="0"/>
              <w:rPr>
                <w:sz w:val="16"/>
                <w:szCs w:val="16"/>
                <w:color w:val="auto"/>
              </w:rPr>
            </w:pPr>
          </w:p>
        </w:tc>
        <w:tc>
          <w:tcPr>
            <w:tcW w:w="100" w:type="dxa"/>
            <w:vAlign w:val="bottom"/>
            <w:shd w:val="clear" w:color="auto" w:fill="298655"/>
          </w:tcPr>
          <w:p>
            <w:pPr>
              <w:spacing w:after="0"/>
              <w:rPr>
                <w:sz w:val="16"/>
                <w:szCs w:val="16"/>
                <w:color w:val="auto"/>
              </w:rPr>
            </w:pPr>
          </w:p>
        </w:tc>
        <w:tc>
          <w:tcPr>
            <w:tcW w:w="700" w:type="dxa"/>
            <w:vAlign w:val="bottom"/>
            <w:shd w:val="clear" w:color="auto" w:fill="298655"/>
          </w:tcPr>
          <w:p>
            <w:pPr>
              <w:spacing w:after="0"/>
              <w:rPr>
                <w:sz w:val="16"/>
                <w:szCs w:val="16"/>
                <w:color w:val="auto"/>
              </w:rPr>
            </w:pPr>
          </w:p>
        </w:tc>
        <w:tc>
          <w:tcPr>
            <w:tcW w:w="140" w:type="dxa"/>
            <w:vAlign w:val="bottom"/>
            <w:shd w:val="clear" w:color="auto" w:fill="DFEDE5"/>
          </w:tcPr>
          <w:p>
            <w:pPr>
              <w:spacing w:after="0"/>
              <w:rPr>
                <w:sz w:val="16"/>
                <w:szCs w:val="16"/>
                <w:color w:val="auto"/>
              </w:rPr>
            </w:pPr>
          </w:p>
        </w:tc>
        <w:tc>
          <w:tcPr>
            <w:tcW w:w="1360" w:type="dxa"/>
            <w:vAlign w:val="bottom"/>
            <w:shd w:val="clear" w:color="auto" w:fill="DFEDE5"/>
          </w:tcPr>
          <w:p>
            <w:pPr>
              <w:spacing w:after="0"/>
              <w:rPr>
                <w:sz w:val="16"/>
                <w:szCs w:val="16"/>
                <w:color w:val="auto"/>
              </w:rPr>
            </w:pPr>
          </w:p>
        </w:tc>
        <w:tc>
          <w:tcPr>
            <w:tcW w:w="1120" w:type="dxa"/>
            <w:vAlign w:val="bottom"/>
            <w:shd w:val="clear" w:color="auto" w:fill="DFEDE5"/>
          </w:tcPr>
          <w:p>
            <w:pPr>
              <w:spacing w:after="0"/>
              <w:rPr>
                <w:sz w:val="16"/>
                <w:szCs w:val="16"/>
                <w:color w:val="auto"/>
              </w:rPr>
            </w:pPr>
          </w:p>
        </w:tc>
        <w:tc>
          <w:tcPr>
            <w:tcW w:w="2380" w:type="dxa"/>
            <w:vAlign w:val="bottom"/>
            <w:shd w:val="clear" w:color="auto" w:fill="DFEDE5"/>
          </w:tcPr>
          <w:p>
            <w:pPr>
              <w:spacing w:after="0"/>
              <w:rPr>
                <w:sz w:val="16"/>
                <w:szCs w:val="16"/>
                <w:color w:val="auto"/>
              </w:rPr>
            </w:pPr>
          </w:p>
        </w:tc>
        <w:tc>
          <w:tcPr>
            <w:tcW w:w="120" w:type="dxa"/>
            <w:vAlign w:val="bottom"/>
            <w:shd w:val="clear" w:color="auto" w:fill="DFEDE5"/>
          </w:tcPr>
          <w:p>
            <w:pPr>
              <w:spacing w:after="0"/>
              <w:rPr>
                <w:sz w:val="16"/>
                <w:szCs w:val="16"/>
                <w:color w:val="auto"/>
              </w:rPr>
            </w:pPr>
          </w:p>
        </w:tc>
        <w:tc>
          <w:tcPr>
            <w:tcW w:w="760" w:type="dxa"/>
            <w:vAlign w:val="bottom"/>
            <w:shd w:val="clear" w:color="auto" w:fill="DFEDE5"/>
          </w:tcPr>
          <w:p>
            <w:pPr>
              <w:spacing w:after="0"/>
              <w:rPr>
                <w:sz w:val="16"/>
                <w:szCs w:val="16"/>
                <w:color w:val="auto"/>
              </w:rPr>
            </w:pPr>
          </w:p>
        </w:tc>
        <w:tc>
          <w:tcPr>
            <w:tcW w:w="100" w:type="dxa"/>
            <w:vAlign w:val="bottom"/>
            <w:shd w:val="clear" w:color="auto" w:fill="DFEDE5"/>
          </w:tcPr>
          <w:p>
            <w:pPr>
              <w:spacing w:after="0"/>
              <w:rPr>
                <w:sz w:val="16"/>
                <w:szCs w:val="16"/>
                <w:color w:val="auto"/>
              </w:rPr>
            </w:pPr>
          </w:p>
        </w:tc>
        <w:tc>
          <w:tcPr>
            <w:tcW w:w="3460" w:type="dxa"/>
            <w:vAlign w:val="bottom"/>
            <w:shd w:val="clear" w:color="auto" w:fill="DFEDE5"/>
          </w:tcPr>
          <w:p>
            <w:pPr>
              <w:ind w:left="20"/>
              <w:spacing w:after="0"/>
              <w:rPr>
                <w:sz w:val="20"/>
                <w:szCs w:val="20"/>
                <w:color w:val="auto"/>
              </w:rPr>
            </w:pPr>
            <w:r>
              <w:rPr>
                <w:rFonts w:ascii="Arial" w:cs="Arial" w:eastAsia="Arial" w:hAnsi="Arial"/>
                <w:sz w:val="14"/>
                <w:szCs w:val="14"/>
                <w:color w:val="4D4D4F"/>
              </w:rPr>
              <w:t>received net of taxes are required to be held for 3</w:t>
            </w:r>
          </w:p>
        </w:tc>
        <w:tc>
          <w:tcPr>
            <w:tcW w:w="100" w:type="dxa"/>
            <w:vAlign w:val="bottom"/>
            <w:shd w:val="clear" w:color="auto" w:fill="DFEDE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132440"/>
          </w:tcPr>
          <w:p>
            <w:pPr>
              <w:spacing w:after="0"/>
              <w:rPr>
                <w:sz w:val="16"/>
                <w:szCs w:val="16"/>
                <w:color w:val="auto"/>
              </w:rPr>
            </w:pPr>
          </w:p>
        </w:tc>
        <w:tc>
          <w:tcPr>
            <w:tcW w:w="100" w:type="dxa"/>
            <w:vAlign w:val="bottom"/>
            <w:shd w:val="clear" w:color="auto" w:fill="298655"/>
          </w:tcPr>
          <w:p>
            <w:pPr>
              <w:spacing w:after="0"/>
              <w:rPr>
                <w:sz w:val="16"/>
                <w:szCs w:val="16"/>
                <w:color w:val="auto"/>
              </w:rPr>
            </w:pPr>
          </w:p>
        </w:tc>
        <w:tc>
          <w:tcPr>
            <w:tcW w:w="700" w:type="dxa"/>
            <w:vAlign w:val="bottom"/>
            <w:shd w:val="clear" w:color="auto" w:fill="298655"/>
          </w:tcPr>
          <w:p>
            <w:pPr>
              <w:spacing w:after="0"/>
              <w:rPr>
                <w:sz w:val="16"/>
                <w:szCs w:val="16"/>
                <w:color w:val="auto"/>
              </w:rPr>
            </w:pPr>
          </w:p>
        </w:tc>
        <w:tc>
          <w:tcPr>
            <w:tcW w:w="140" w:type="dxa"/>
            <w:vAlign w:val="bottom"/>
            <w:shd w:val="clear" w:color="auto" w:fill="DFEDE5"/>
          </w:tcPr>
          <w:p>
            <w:pPr>
              <w:spacing w:after="0"/>
              <w:rPr>
                <w:sz w:val="16"/>
                <w:szCs w:val="16"/>
                <w:color w:val="auto"/>
              </w:rPr>
            </w:pPr>
          </w:p>
        </w:tc>
        <w:tc>
          <w:tcPr>
            <w:tcW w:w="1360" w:type="dxa"/>
            <w:vAlign w:val="bottom"/>
            <w:shd w:val="clear" w:color="auto" w:fill="DFEDE5"/>
          </w:tcPr>
          <w:p>
            <w:pPr>
              <w:spacing w:after="0"/>
              <w:rPr>
                <w:sz w:val="16"/>
                <w:szCs w:val="16"/>
                <w:color w:val="auto"/>
              </w:rPr>
            </w:pPr>
          </w:p>
        </w:tc>
        <w:tc>
          <w:tcPr>
            <w:tcW w:w="1120" w:type="dxa"/>
            <w:vAlign w:val="bottom"/>
            <w:shd w:val="clear" w:color="auto" w:fill="DFEDE5"/>
          </w:tcPr>
          <w:p>
            <w:pPr>
              <w:spacing w:after="0"/>
              <w:rPr>
                <w:sz w:val="16"/>
                <w:szCs w:val="16"/>
                <w:color w:val="auto"/>
              </w:rPr>
            </w:pPr>
          </w:p>
        </w:tc>
        <w:tc>
          <w:tcPr>
            <w:tcW w:w="2380" w:type="dxa"/>
            <w:vAlign w:val="bottom"/>
            <w:shd w:val="clear" w:color="auto" w:fill="DFEDE5"/>
          </w:tcPr>
          <w:p>
            <w:pPr>
              <w:spacing w:after="0"/>
              <w:rPr>
                <w:sz w:val="16"/>
                <w:szCs w:val="16"/>
                <w:color w:val="auto"/>
              </w:rPr>
            </w:pPr>
          </w:p>
        </w:tc>
        <w:tc>
          <w:tcPr>
            <w:tcW w:w="120" w:type="dxa"/>
            <w:vAlign w:val="bottom"/>
            <w:shd w:val="clear" w:color="auto" w:fill="DFEDE5"/>
          </w:tcPr>
          <w:p>
            <w:pPr>
              <w:spacing w:after="0"/>
              <w:rPr>
                <w:sz w:val="16"/>
                <w:szCs w:val="16"/>
                <w:color w:val="auto"/>
              </w:rPr>
            </w:pPr>
          </w:p>
        </w:tc>
        <w:tc>
          <w:tcPr>
            <w:tcW w:w="760" w:type="dxa"/>
            <w:vAlign w:val="bottom"/>
            <w:shd w:val="clear" w:color="auto" w:fill="DFEDE5"/>
          </w:tcPr>
          <w:p>
            <w:pPr>
              <w:spacing w:after="0"/>
              <w:rPr>
                <w:sz w:val="16"/>
                <w:szCs w:val="16"/>
                <w:color w:val="auto"/>
              </w:rPr>
            </w:pPr>
          </w:p>
        </w:tc>
        <w:tc>
          <w:tcPr>
            <w:tcW w:w="100" w:type="dxa"/>
            <w:vAlign w:val="bottom"/>
            <w:shd w:val="clear" w:color="auto" w:fill="DFEDE5"/>
          </w:tcPr>
          <w:p>
            <w:pPr>
              <w:spacing w:after="0"/>
              <w:rPr>
                <w:sz w:val="16"/>
                <w:szCs w:val="16"/>
                <w:color w:val="auto"/>
              </w:rPr>
            </w:pPr>
          </w:p>
        </w:tc>
        <w:tc>
          <w:tcPr>
            <w:tcW w:w="3460" w:type="dxa"/>
            <w:vAlign w:val="bottom"/>
            <w:shd w:val="clear" w:color="auto" w:fill="DFEDE5"/>
          </w:tcPr>
          <w:p>
            <w:pPr>
              <w:ind w:left="20"/>
              <w:spacing w:after="0"/>
              <w:rPr>
                <w:sz w:val="20"/>
                <w:szCs w:val="20"/>
                <w:color w:val="auto"/>
              </w:rPr>
            </w:pPr>
            <w:r>
              <w:rPr>
                <w:rFonts w:ascii="Arial" w:cs="Arial" w:eastAsia="Arial" w:hAnsi="Arial"/>
                <w:sz w:val="14"/>
                <w:szCs w:val="14"/>
                <w:color w:val="4D4D4F"/>
              </w:rPr>
              <w:t>years post-vesting</w:t>
            </w:r>
          </w:p>
        </w:tc>
        <w:tc>
          <w:tcPr>
            <w:tcW w:w="100" w:type="dxa"/>
            <w:vAlign w:val="bottom"/>
            <w:shd w:val="clear" w:color="auto" w:fill="DFEDE5"/>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20" w:type="dxa"/>
            <w:vAlign w:val="bottom"/>
            <w:shd w:val="clear" w:color="auto" w:fill="132440"/>
          </w:tcPr>
          <w:p>
            <w:pPr>
              <w:spacing w:after="0"/>
              <w:rPr>
                <w:sz w:val="14"/>
                <w:szCs w:val="14"/>
                <w:color w:val="auto"/>
              </w:rPr>
            </w:pPr>
          </w:p>
        </w:tc>
        <w:tc>
          <w:tcPr>
            <w:tcW w:w="100" w:type="dxa"/>
            <w:vAlign w:val="bottom"/>
            <w:shd w:val="clear" w:color="auto" w:fill="298655"/>
          </w:tcPr>
          <w:p>
            <w:pPr>
              <w:spacing w:after="0"/>
              <w:rPr>
                <w:sz w:val="14"/>
                <w:szCs w:val="14"/>
                <w:color w:val="auto"/>
              </w:rPr>
            </w:pPr>
          </w:p>
        </w:tc>
        <w:tc>
          <w:tcPr>
            <w:tcW w:w="700" w:type="dxa"/>
            <w:vAlign w:val="bottom"/>
            <w:shd w:val="clear" w:color="auto" w:fill="298655"/>
          </w:tcPr>
          <w:p>
            <w:pPr>
              <w:spacing w:after="0"/>
              <w:rPr>
                <w:sz w:val="14"/>
                <w:szCs w:val="14"/>
                <w:color w:val="auto"/>
              </w:rPr>
            </w:pPr>
          </w:p>
        </w:tc>
        <w:tc>
          <w:tcPr>
            <w:tcW w:w="140" w:type="dxa"/>
            <w:vAlign w:val="bottom"/>
            <w:shd w:val="clear" w:color="auto" w:fill="DFEDE5"/>
          </w:tcPr>
          <w:p>
            <w:pPr>
              <w:spacing w:after="0"/>
              <w:rPr>
                <w:sz w:val="14"/>
                <w:szCs w:val="14"/>
                <w:color w:val="auto"/>
              </w:rPr>
            </w:pPr>
          </w:p>
        </w:tc>
        <w:tc>
          <w:tcPr>
            <w:tcW w:w="1360" w:type="dxa"/>
            <w:vAlign w:val="bottom"/>
            <w:shd w:val="clear" w:color="auto" w:fill="DFEDE5"/>
          </w:tcPr>
          <w:p>
            <w:pPr>
              <w:spacing w:after="0"/>
              <w:rPr>
                <w:sz w:val="14"/>
                <w:szCs w:val="14"/>
                <w:color w:val="auto"/>
              </w:rPr>
            </w:pPr>
          </w:p>
        </w:tc>
        <w:tc>
          <w:tcPr>
            <w:tcW w:w="1120" w:type="dxa"/>
            <w:vAlign w:val="bottom"/>
            <w:shd w:val="clear" w:color="auto" w:fill="DFEDE5"/>
          </w:tcPr>
          <w:p>
            <w:pPr>
              <w:spacing w:after="0"/>
              <w:rPr>
                <w:sz w:val="14"/>
                <w:szCs w:val="14"/>
                <w:color w:val="auto"/>
              </w:rPr>
            </w:pPr>
          </w:p>
        </w:tc>
        <w:tc>
          <w:tcPr>
            <w:tcW w:w="2380" w:type="dxa"/>
            <w:vAlign w:val="bottom"/>
            <w:shd w:val="clear" w:color="auto" w:fill="DFEDE5"/>
          </w:tcPr>
          <w:p>
            <w:pPr>
              <w:spacing w:after="0"/>
              <w:rPr>
                <w:sz w:val="14"/>
                <w:szCs w:val="14"/>
                <w:color w:val="auto"/>
              </w:rPr>
            </w:pPr>
          </w:p>
        </w:tc>
        <w:tc>
          <w:tcPr>
            <w:tcW w:w="120" w:type="dxa"/>
            <w:vAlign w:val="bottom"/>
            <w:shd w:val="clear" w:color="auto" w:fill="DFEDE5"/>
          </w:tcPr>
          <w:p>
            <w:pPr>
              <w:spacing w:after="0"/>
              <w:rPr>
                <w:sz w:val="14"/>
                <w:szCs w:val="14"/>
                <w:color w:val="auto"/>
              </w:rPr>
            </w:pPr>
          </w:p>
        </w:tc>
        <w:tc>
          <w:tcPr>
            <w:tcW w:w="760" w:type="dxa"/>
            <w:vAlign w:val="bottom"/>
            <w:shd w:val="clear" w:color="auto" w:fill="DFEDE5"/>
          </w:tcPr>
          <w:p>
            <w:pPr>
              <w:spacing w:after="0"/>
              <w:rPr>
                <w:sz w:val="14"/>
                <w:szCs w:val="14"/>
                <w:color w:val="auto"/>
              </w:rPr>
            </w:pPr>
          </w:p>
        </w:tc>
        <w:tc>
          <w:tcPr>
            <w:tcW w:w="100" w:type="dxa"/>
            <w:vAlign w:val="bottom"/>
            <w:shd w:val="clear" w:color="auto" w:fill="DFEDE5"/>
          </w:tcPr>
          <w:p>
            <w:pPr>
              <w:spacing w:after="0"/>
              <w:rPr>
                <w:sz w:val="14"/>
                <w:szCs w:val="14"/>
                <w:color w:val="auto"/>
              </w:rPr>
            </w:pPr>
          </w:p>
        </w:tc>
        <w:tc>
          <w:tcPr>
            <w:tcW w:w="3460" w:type="dxa"/>
            <w:vAlign w:val="bottom"/>
            <w:shd w:val="clear" w:color="auto" w:fill="DFEDE5"/>
          </w:tcPr>
          <w:p>
            <w:pPr>
              <w:spacing w:after="0"/>
              <w:rPr>
                <w:sz w:val="14"/>
                <w:szCs w:val="14"/>
                <w:color w:val="auto"/>
              </w:rPr>
            </w:pPr>
          </w:p>
        </w:tc>
        <w:tc>
          <w:tcPr>
            <w:tcW w:w="100" w:type="dxa"/>
            <w:vAlign w:val="bottom"/>
            <w:shd w:val="clear" w:color="auto" w:fill="DFEDE5"/>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340"/>
        <w:spacing w:after="0"/>
        <w:tabs>
          <w:tab w:leader="none" w:pos="11040" w:val="left"/>
        </w:tabs>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r>
        <w:rPr>
          <w:sz w:val="20"/>
          <w:szCs w:val="20"/>
          <w:color w:val="auto"/>
        </w:rPr>
        <w:tab/>
      </w:r>
      <w:r>
        <w:rPr>
          <w:rFonts w:ascii="Arial" w:cs="Arial" w:eastAsia="Arial" w:hAnsi="Arial"/>
          <w:sz w:val="14"/>
          <w:szCs w:val="14"/>
          <w:b w:val="1"/>
          <w:bCs w:val="1"/>
          <w:color w:val="00529B"/>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54" w:name="page55"/>
    <w:bookmarkEnd w:id="54"/>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Annual Base Salary</w:t>
      </w:r>
    </w:p>
    <w:p>
      <w:pPr>
        <w:spacing w:after="0" w:line="14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4D4D4F"/>
        </w:rPr>
        <w:t>The Compensation Committee generally considers compensation data from the Company’s compensation comparison companies in evaluating the appropriate level of base salaries for our NEOs. Typically, when considering an adjustment to an NEO’s base salary, the Compensation Committee reviews the survey data—provided by its independent compensation consultant—and evaluates the NEO’s position relative to the market, level of responsibility, experience, internal placement and overall performance. The Compensation Committee also considers the NEO’s success in achieving business objectives, promoting our values and overall contribution to success, improving health and safety, demonstrating leadership and achieving specific individual performance goals.</w:t>
      </w:r>
    </w:p>
    <w:p>
      <w:pPr>
        <w:spacing w:after="0" w:line="129"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4D4D4F"/>
        </w:rPr>
        <w:t>The table below shows base salaries for our NEOs. While no salary changes were made during 2023, Messrs. Birns’ and Rau’s base salaries were increased in late 2022 (as reported in last year’s CD&amp;A) to reflect their additional responsibilities and to better align their respective salaries with industry levels and the compensation comparison group companies.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20" w:type="dxa"/>
            <w:vAlign w:val="bottom"/>
          </w:tcPr>
          <w:p>
            <w:pPr>
              <w:spacing w:after="0"/>
              <w:rPr>
                <w:sz w:val="19"/>
                <w:szCs w:val="19"/>
                <w:color w:val="auto"/>
              </w:rPr>
            </w:pPr>
          </w:p>
        </w:tc>
        <w:tc>
          <w:tcPr>
            <w:tcW w:w="2480" w:type="dxa"/>
            <w:vAlign w:val="bottom"/>
            <w:shd w:val="clear" w:color="auto" w:fill="578EB1"/>
          </w:tcPr>
          <w:p>
            <w:pPr>
              <w:spacing w:after="0"/>
              <w:rPr>
                <w:sz w:val="19"/>
                <w:szCs w:val="19"/>
                <w:color w:val="auto"/>
              </w:rPr>
            </w:pPr>
          </w:p>
        </w:tc>
        <w:tc>
          <w:tcPr>
            <w:tcW w:w="2760" w:type="dxa"/>
            <w:vAlign w:val="bottom"/>
            <w:shd w:val="clear" w:color="auto" w:fill="578EB1"/>
          </w:tcPr>
          <w:p>
            <w:pPr>
              <w:jc w:val="right"/>
              <w:ind w:right="1088"/>
              <w:spacing w:after="0"/>
              <w:rPr>
                <w:sz w:val="20"/>
                <w:szCs w:val="20"/>
                <w:color w:val="auto"/>
              </w:rPr>
            </w:pPr>
            <w:r>
              <w:rPr>
                <w:rFonts w:ascii="Arial" w:cs="Arial" w:eastAsia="Arial" w:hAnsi="Arial"/>
                <w:sz w:val="14"/>
                <w:szCs w:val="14"/>
                <w:b w:val="1"/>
                <w:bCs w:val="1"/>
                <w:color w:val="FFFFFF"/>
              </w:rPr>
              <w:t>Annual Base Salary</w:t>
            </w:r>
          </w:p>
        </w:tc>
        <w:tc>
          <w:tcPr>
            <w:tcW w:w="1580" w:type="dxa"/>
            <w:vAlign w:val="bottom"/>
            <w:shd w:val="clear" w:color="auto" w:fill="578EB1"/>
          </w:tcPr>
          <w:p>
            <w:pPr>
              <w:spacing w:after="0"/>
              <w:rPr>
                <w:sz w:val="19"/>
                <w:szCs w:val="19"/>
                <w:color w:val="auto"/>
              </w:rPr>
            </w:pPr>
          </w:p>
        </w:tc>
      </w:tr>
      <w:tr>
        <w:trPr>
          <w:trHeight w:val="186"/>
        </w:trPr>
        <w:tc>
          <w:tcPr>
            <w:tcW w:w="4420" w:type="dxa"/>
            <w:vAlign w:val="bottom"/>
            <w:shd w:val="clear" w:color="auto" w:fill="132440"/>
          </w:tcPr>
          <w:p>
            <w:pPr>
              <w:spacing w:after="0"/>
              <w:rPr>
                <w:sz w:val="16"/>
                <w:szCs w:val="16"/>
                <w:color w:val="auto"/>
              </w:rPr>
            </w:pPr>
          </w:p>
        </w:tc>
        <w:tc>
          <w:tcPr>
            <w:tcW w:w="2480" w:type="dxa"/>
            <w:vAlign w:val="bottom"/>
            <w:shd w:val="clear" w:color="auto" w:fill="132440"/>
          </w:tcPr>
          <w:p>
            <w:pPr>
              <w:jc w:val="right"/>
              <w:ind w:right="188"/>
              <w:spacing w:after="0"/>
              <w:rPr>
                <w:sz w:val="20"/>
                <w:szCs w:val="20"/>
                <w:color w:val="auto"/>
              </w:rPr>
            </w:pPr>
            <w:r>
              <w:rPr>
                <w:rFonts w:ascii="Arial" w:cs="Arial" w:eastAsia="Arial" w:hAnsi="Arial"/>
                <w:sz w:val="14"/>
                <w:szCs w:val="14"/>
                <w:b w:val="1"/>
                <w:bCs w:val="1"/>
                <w:color w:val="FFFFFF"/>
              </w:rPr>
              <w:t>As of December 2022</w:t>
            </w:r>
          </w:p>
        </w:tc>
        <w:tc>
          <w:tcPr>
            <w:tcW w:w="2760" w:type="dxa"/>
            <w:vAlign w:val="bottom"/>
            <w:shd w:val="clear" w:color="auto" w:fill="132440"/>
          </w:tcPr>
          <w:p>
            <w:pPr>
              <w:jc w:val="right"/>
              <w:ind w:right="708"/>
              <w:spacing w:after="0"/>
              <w:rPr>
                <w:sz w:val="20"/>
                <w:szCs w:val="20"/>
                <w:color w:val="auto"/>
              </w:rPr>
            </w:pPr>
            <w:r>
              <w:rPr>
                <w:rFonts w:ascii="Arial" w:cs="Arial" w:eastAsia="Arial" w:hAnsi="Arial"/>
                <w:sz w:val="14"/>
                <w:szCs w:val="14"/>
                <w:b w:val="1"/>
                <w:bCs w:val="1"/>
                <w:color w:val="FFFFFF"/>
              </w:rPr>
              <w:t>Year Ended 2023</w:t>
            </w:r>
          </w:p>
        </w:tc>
        <w:tc>
          <w:tcPr>
            <w:tcW w:w="158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Difference</w:t>
            </w:r>
          </w:p>
        </w:tc>
      </w:tr>
      <w:tr>
        <w:trPr>
          <w:trHeight w:val="225"/>
        </w:trPr>
        <w:tc>
          <w:tcPr>
            <w:tcW w:w="442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NEO</w:t>
            </w:r>
          </w:p>
        </w:tc>
        <w:tc>
          <w:tcPr>
            <w:tcW w:w="2480" w:type="dxa"/>
            <w:vAlign w:val="bottom"/>
            <w:shd w:val="clear" w:color="auto" w:fill="132440"/>
          </w:tcPr>
          <w:p>
            <w:pPr>
              <w:jc w:val="right"/>
              <w:ind w:right="188"/>
              <w:spacing w:after="0"/>
              <w:rPr>
                <w:sz w:val="20"/>
                <w:szCs w:val="20"/>
                <w:color w:val="auto"/>
              </w:rPr>
            </w:pPr>
            <w:r>
              <w:rPr>
                <w:rFonts w:ascii="Arial" w:cs="Arial" w:eastAsia="Arial" w:hAnsi="Arial"/>
                <w:sz w:val="14"/>
                <w:szCs w:val="14"/>
                <w:b w:val="1"/>
                <w:bCs w:val="1"/>
                <w:color w:val="FFFFFF"/>
              </w:rPr>
              <w:t>($)</w:t>
            </w:r>
          </w:p>
        </w:tc>
        <w:tc>
          <w:tcPr>
            <w:tcW w:w="2760" w:type="dxa"/>
            <w:vAlign w:val="bottom"/>
            <w:shd w:val="clear" w:color="auto" w:fill="132440"/>
          </w:tcPr>
          <w:p>
            <w:pPr>
              <w:jc w:val="right"/>
              <w:ind w:right="708"/>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263"/>
        </w:trPr>
        <w:tc>
          <w:tcPr>
            <w:tcW w:w="442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b w:val="1"/>
                <w:bCs w:val="1"/>
                <w:color w:val="4D4D4F"/>
              </w:rPr>
              <w:t>Kasbar</w:t>
            </w:r>
          </w:p>
        </w:tc>
        <w:tc>
          <w:tcPr>
            <w:tcW w:w="2480" w:type="dxa"/>
            <w:vAlign w:val="bottom"/>
            <w:tcBorders>
              <w:bottom w:val="single" w:sz="8" w:color="EAEEF2"/>
            </w:tcBorders>
            <w:shd w:val="clear" w:color="auto" w:fill="EAEEF2"/>
          </w:tcPr>
          <w:p>
            <w:pPr>
              <w:jc w:val="right"/>
              <w:ind w:right="228"/>
              <w:spacing w:after="0"/>
              <w:rPr>
                <w:sz w:val="20"/>
                <w:szCs w:val="20"/>
                <w:color w:val="auto"/>
              </w:rPr>
            </w:pPr>
            <w:r>
              <w:rPr>
                <w:rFonts w:ascii="Arial" w:cs="Arial" w:eastAsia="Arial" w:hAnsi="Arial"/>
                <w:sz w:val="14"/>
                <w:szCs w:val="14"/>
                <w:color w:val="4D4D4F"/>
              </w:rPr>
              <w:t>1,000,000</w:t>
            </w:r>
          </w:p>
        </w:tc>
        <w:tc>
          <w:tcPr>
            <w:tcW w:w="2760" w:type="dxa"/>
            <w:vAlign w:val="bottom"/>
            <w:tcBorders>
              <w:bottom w:val="single" w:sz="8" w:color="EAEEF2"/>
            </w:tcBorders>
            <w:shd w:val="clear" w:color="auto" w:fill="EAEEF2"/>
          </w:tcPr>
          <w:p>
            <w:pPr>
              <w:jc w:val="right"/>
              <w:ind w:right="748"/>
              <w:spacing w:after="0"/>
              <w:rPr>
                <w:sz w:val="20"/>
                <w:szCs w:val="20"/>
                <w:color w:val="auto"/>
              </w:rPr>
            </w:pPr>
            <w:r>
              <w:rPr>
                <w:rFonts w:ascii="Arial" w:cs="Arial" w:eastAsia="Arial" w:hAnsi="Arial"/>
                <w:sz w:val="14"/>
                <w:szCs w:val="14"/>
                <w:color w:val="4D4D4F"/>
              </w:rPr>
              <w:t>1,000,000</w:t>
            </w:r>
          </w:p>
        </w:tc>
        <w:tc>
          <w:tcPr>
            <w:tcW w:w="1580" w:type="dxa"/>
            <w:vAlign w:val="bottom"/>
            <w:tcBorders>
              <w:bottom w:val="single" w:sz="8" w:color="EAEEF2"/>
            </w:tcBorders>
            <w:shd w:val="clear" w:color="auto" w:fill="EAEEF2"/>
          </w:tcPr>
          <w:p>
            <w:pPr>
              <w:jc w:val="right"/>
              <w:ind w:right="48"/>
              <w:spacing w:after="0"/>
              <w:rPr>
                <w:sz w:val="20"/>
                <w:szCs w:val="20"/>
                <w:color w:val="auto"/>
              </w:rPr>
            </w:pPr>
            <w:r>
              <w:rPr>
                <w:rFonts w:ascii="Arial" w:cs="Arial" w:eastAsia="Arial" w:hAnsi="Arial"/>
                <w:sz w:val="14"/>
                <w:szCs w:val="14"/>
                <w:color w:val="4D4D4F"/>
              </w:rPr>
              <w:t>No change</w:t>
            </w:r>
          </w:p>
        </w:tc>
      </w:tr>
      <w:tr>
        <w:trPr>
          <w:trHeight w:val="241"/>
        </w:trPr>
        <w:tc>
          <w:tcPr>
            <w:tcW w:w="4420" w:type="dxa"/>
            <w:vAlign w:val="bottom"/>
          </w:tcPr>
          <w:p>
            <w:pPr>
              <w:ind w:left="100"/>
              <w:spacing w:after="0"/>
              <w:rPr>
                <w:sz w:val="20"/>
                <w:szCs w:val="20"/>
                <w:color w:val="auto"/>
              </w:rPr>
            </w:pPr>
            <w:r>
              <w:rPr>
                <w:rFonts w:ascii="Arial" w:cs="Arial" w:eastAsia="Arial" w:hAnsi="Arial"/>
                <w:sz w:val="14"/>
                <w:szCs w:val="14"/>
                <w:b w:val="1"/>
                <w:bCs w:val="1"/>
                <w:color w:val="4D4D4F"/>
              </w:rPr>
              <w:t>Birns</w:t>
            </w:r>
          </w:p>
        </w:tc>
        <w:tc>
          <w:tcPr>
            <w:tcW w:w="2480" w:type="dxa"/>
            <w:vAlign w:val="bottom"/>
          </w:tcPr>
          <w:p>
            <w:pPr>
              <w:jc w:val="right"/>
              <w:ind w:right="228"/>
              <w:spacing w:after="0"/>
              <w:rPr>
                <w:sz w:val="20"/>
                <w:szCs w:val="20"/>
                <w:color w:val="auto"/>
              </w:rPr>
            </w:pPr>
            <w:r>
              <w:rPr>
                <w:rFonts w:ascii="Arial" w:cs="Arial" w:eastAsia="Arial" w:hAnsi="Arial"/>
                <w:sz w:val="14"/>
                <w:szCs w:val="14"/>
                <w:color w:val="4D4D4F"/>
              </w:rPr>
              <w:t>700,000</w:t>
            </w:r>
          </w:p>
        </w:tc>
        <w:tc>
          <w:tcPr>
            <w:tcW w:w="2760" w:type="dxa"/>
            <w:vAlign w:val="bottom"/>
          </w:tcPr>
          <w:p>
            <w:pPr>
              <w:jc w:val="right"/>
              <w:ind w:right="748"/>
              <w:spacing w:after="0"/>
              <w:rPr>
                <w:sz w:val="20"/>
                <w:szCs w:val="20"/>
                <w:color w:val="auto"/>
              </w:rPr>
            </w:pPr>
            <w:r>
              <w:rPr>
                <w:rFonts w:ascii="Arial" w:cs="Arial" w:eastAsia="Arial" w:hAnsi="Arial"/>
                <w:sz w:val="14"/>
                <w:szCs w:val="14"/>
                <w:color w:val="4D4D4F"/>
              </w:rPr>
              <w:t>700,000</w:t>
            </w:r>
          </w:p>
        </w:tc>
        <w:tc>
          <w:tcPr>
            <w:tcW w:w="1580" w:type="dxa"/>
            <w:vAlign w:val="bottom"/>
          </w:tcPr>
          <w:p>
            <w:pPr>
              <w:jc w:val="right"/>
              <w:ind w:right="48"/>
              <w:spacing w:after="0"/>
              <w:rPr>
                <w:sz w:val="20"/>
                <w:szCs w:val="20"/>
                <w:color w:val="auto"/>
              </w:rPr>
            </w:pPr>
            <w:r>
              <w:rPr>
                <w:rFonts w:ascii="Arial" w:cs="Arial" w:eastAsia="Arial" w:hAnsi="Arial"/>
                <w:sz w:val="14"/>
                <w:szCs w:val="14"/>
                <w:color w:val="4D4D4F"/>
              </w:rPr>
              <w:t>No change</w:t>
            </w:r>
          </w:p>
        </w:tc>
      </w:tr>
      <w:tr>
        <w:trPr>
          <w:trHeight w:val="43"/>
        </w:trPr>
        <w:tc>
          <w:tcPr>
            <w:tcW w:w="44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64"/>
        </w:trPr>
        <w:tc>
          <w:tcPr>
            <w:tcW w:w="442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b w:val="1"/>
                <w:bCs w:val="1"/>
                <w:color w:val="4D4D4F"/>
              </w:rPr>
              <w:t>Rau</w:t>
            </w:r>
          </w:p>
        </w:tc>
        <w:tc>
          <w:tcPr>
            <w:tcW w:w="2480" w:type="dxa"/>
            <w:vAlign w:val="bottom"/>
            <w:tcBorders>
              <w:bottom w:val="single" w:sz="8" w:color="EAEEF2"/>
            </w:tcBorders>
            <w:shd w:val="clear" w:color="auto" w:fill="EAEEF2"/>
          </w:tcPr>
          <w:p>
            <w:pPr>
              <w:jc w:val="right"/>
              <w:ind w:right="228"/>
              <w:spacing w:after="0"/>
              <w:rPr>
                <w:sz w:val="20"/>
                <w:szCs w:val="20"/>
                <w:color w:val="auto"/>
              </w:rPr>
            </w:pPr>
            <w:r>
              <w:rPr>
                <w:rFonts w:ascii="Arial" w:cs="Arial" w:eastAsia="Arial" w:hAnsi="Arial"/>
                <w:sz w:val="14"/>
                <w:szCs w:val="14"/>
                <w:color w:val="4D4D4F"/>
              </w:rPr>
              <w:t>700,000</w:t>
            </w:r>
          </w:p>
        </w:tc>
        <w:tc>
          <w:tcPr>
            <w:tcW w:w="2760" w:type="dxa"/>
            <w:vAlign w:val="bottom"/>
            <w:tcBorders>
              <w:bottom w:val="single" w:sz="8" w:color="EAEEF2"/>
            </w:tcBorders>
            <w:shd w:val="clear" w:color="auto" w:fill="EAEEF2"/>
          </w:tcPr>
          <w:p>
            <w:pPr>
              <w:jc w:val="right"/>
              <w:ind w:right="748"/>
              <w:spacing w:after="0"/>
              <w:rPr>
                <w:sz w:val="20"/>
                <w:szCs w:val="20"/>
                <w:color w:val="auto"/>
              </w:rPr>
            </w:pPr>
            <w:r>
              <w:rPr>
                <w:rFonts w:ascii="Arial" w:cs="Arial" w:eastAsia="Arial" w:hAnsi="Arial"/>
                <w:sz w:val="14"/>
                <w:szCs w:val="14"/>
                <w:color w:val="4D4D4F"/>
              </w:rPr>
              <w:t>700,000</w:t>
            </w:r>
          </w:p>
        </w:tc>
        <w:tc>
          <w:tcPr>
            <w:tcW w:w="1580" w:type="dxa"/>
            <w:vAlign w:val="bottom"/>
            <w:tcBorders>
              <w:bottom w:val="single" w:sz="8" w:color="EAEEF2"/>
            </w:tcBorders>
            <w:shd w:val="clear" w:color="auto" w:fill="EAEEF2"/>
          </w:tcPr>
          <w:p>
            <w:pPr>
              <w:jc w:val="right"/>
              <w:ind w:right="48"/>
              <w:spacing w:after="0"/>
              <w:rPr>
                <w:sz w:val="20"/>
                <w:szCs w:val="20"/>
                <w:color w:val="auto"/>
              </w:rPr>
            </w:pPr>
            <w:r>
              <w:rPr>
                <w:rFonts w:ascii="Arial" w:cs="Arial" w:eastAsia="Arial" w:hAnsi="Arial"/>
                <w:sz w:val="14"/>
                <w:szCs w:val="14"/>
                <w:color w:val="4D4D4F"/>
              </w:rPr>
              <w:t>No change</w:t>
            </w:r>
          </w:p>
        </w:tc>
      </w:tr>
      <w:tr>
        <w:trPr>
          <w:trHeight w:val="20"/>
        </w:trPr>
        <w:tc>
          <w:tcPr>
            <w:tcW w:w="4420" w:type="dxa"/>
            <w:vAlign w:val="bottom"/>
            <w:shd w:val="clear" w:color="auto" w:fill="298655"/>
          </w:tcPr>
          <w:p>
            <w:pPr>
              <w:spacing w:after="0" w:line="20" w:lineRule="exact"/>
              <w:rPr>
                <w:sz w:val="1"/>
                <w:szCs w:val="1"/>
                <w:color w:val="auto"/>
              </w:rPr>
            </w:pPr>
          </w:p>
        </w:tc>
        <w:tc>
          <w:tcPr>
            <w:tcW w:w="2480" w:type="dxa"/>
            <w:vAlign w:val="bottom"/>
            <w:shd w:val="clear" w:color="auto" w:fill="298655"/>
          </w:tcPr>
          <w:p>
            <w:pPr>
              <w:spacing w:after="0" w:line="20" w:lineRule="exact"/>
              <w:rPr>
                <w:sz w:val="1"/>
                <w:szCs w:val="1"/>
                <w:color w:val="auto"/>
              </w:rPr>
            </w:pPr>
          </w:p>
        </w:tc>
        <w:tc>
          <w:tcPr>
            <w:tcW w:w="2760" w:type="dxa"/>
            <w:vAlign w:val="bottom"/>
            <w:shd w:val="clear" w:color="auto" w:fill="298655"/>
          </w:tcPr>
          <w:p>
            <w:pPr>
              <w:spacing w:after="0" w:line="20" w:lineRule="exact"/>
              <w:rPr>
                <w:sz w:val="1"/>
                <w:szCs w:val="1"/>
                <w:color w:val="auto"/>
              </w:rPr>
            </w:pPr>
          </w:p>
        </w:tc>
        <w:tc>
          <w:tcPr>
            <w:tcW w:w="1580" w:type="dxa"/>
            <w:vAlign w:val="bottom"/>
            <w:shd w:val="clear" w:color="auto" w:fill="298655"/>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Annual Incentive Program (“AIP”)</w:t>
      </w:r>
    </w:p>
    <w:p>
      <w:pPr>
        <w:spacing w:after="0" w:line="14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4D4D4F"/>
        </w:rPr>
        <w:t>We pay performance-based annual cash incentive awards to our executives to foster a results-driven, pay-for-performance culture, and to align executives’ interests with those of our shareholders. Annual cash incentive awards are earned according to the achievement of company-wide financial metric and company-wide strategic objectives. Our Compensation Committee selects performance metrics that it believes support our strategy and strike a balance between motivating our executives to increase near-term financial and operating results and driving sustainable long-term growth and value for shareholders.</w:t>
      </w:r>
    </w:p>
    <w:p>
      <w:pPr>
        <w:spacing w:after="0" w:line="12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4D4D4F"/>
        </w:rPr>
        <w:t>For the annual performance-based portion of our 2023 executive compensation program, the Compensation Committee continued to use a combination of adjusted EBITDA performance and strategic objectives that the Compensation Committee believes will contribute to sustainable growth over the long term. We define adjusted EBITDA as net income (loss), excluding the impact of interest, income taxes, and depreciation and amortization and adjusted for non-operational items as appropriate, such as those associated with acquisition-related charges and restructuring-related costs. The Compensation Committee believes that adjusted EBITDA continues to be the appropriate metric as it is a strong indicator of our business’ financial performance and is one of the key financial metrics provided to our investors as measurements of our current and future operational success. In order to foster a culture of collaboration with a shared focus and commitment, the Compensation Committee determined that it would utilize adjusted EBITDA as the performance metric for all of our NEOs’ annual incentive programs in 2023 and that the strategic objectives would be composed of a limited number of qualitative and quantitative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82550</wp:posOffset>
            </wp:positionV>
            <wp:extent cx="1808480" cy="21342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808480" cy="213423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6"/>
          <w:szCs w:val="16"/>
          <w:color w:val="4D4D4F"/>
        </w:rPr>
        <w:t>Our 2023 AIP annual cash incentive opportunity was based (1) 60% on adjusted EBITDA performance and</w:t>
      </w:r>
    </w:p>
    <w:p>
      <w:pPr>
        <w:spacing w:after="0" w:line="32" w:lineRule="exact"/>
        <w:rPr>
          <w:sz w:val="20"/>
          <w:szCs w:val="20"/>
          <w:color w:val="auto"/>
        </w:rPr>
      </w:pPr>
    </w:p>
    <w:p>
      <w:pPr>
        <w:ind w:left="20" w:right="3980" w:firstLine="6"/>
        <w:spacing w:after="0" w:line="281" w:lineRule="auto"/>
        <w:tabs>
          <w:tab w:leader="none" w:pos="263" w:val="left"/>
        </w:tabs>
        <w:numPr>
          <w:ilvl w:val="0"/>
          <w:numId w:val="80"/>
        </w:numPr>
        <w:rPr>
          <w:rFonts w:ascii="Arial" w:cs="Arial" w:eastAsia="Arial" w:hAnsi="Arial"/>
          <w:sz w:val="16"/>
          <w:szCs w:val="16"/>
          <w:color w:val="4D4D4F"/>
        </w:rPr>
      </w:pPr>
      <w:r>
        <w:rPr>
          <w:rFonts w:ascii="Arial" w:cs="Arial" w:eastAsia="Arial" w:hAnsi="Arial"/>
          <w:sz w:val="16"/>
          <w:szCs w:val="16"/>
          <w:color w:val="4D4D4F"/>
        </w:rPr>
        <w:t>40% on achievement of pre-established qualitative and quantitative strategic objectives. While the adjusted EBITDA performance is subject to a maximum payout of 200%, the strategic objectives are subject to a maximum payout of 100%, resulting in an effective combined maximum payout of 160%.</w:t>
      </w:r>
    </w:p>
    <w:p>
      <w:pPr>
        <w:spacing w:after="0" w:line="1" w:lineRule="exact"/>
        <w:rPr>
          <w:rFonts w:ascii="Arial" w:cs="Arial" w:eastAsia="Arial" w:hAnsi="Arial"/>
          <w:sz w:val="16"/>
          <w:szCs w:val="16"/>
          <w:color w:val="4D4D4F"/>
        </w:rPr>
      </w:pPr>
    </w:p>
    <w:p>
      <w:pPr>
        <w:jc w:val="both"/>
        <w:ind w:left="20" w:right="3720"/>
        <w:spacing w:after="0" w:line="321" w:lineRule="auto"/>
        <w:rPr>
          <w:rFonts w:ascii="Arial" w:cs="Arial" w:eastAsia="Arial" w:hAnsi="Arial"/>
          <w:sz w:val="16"/>
          <w:szCs w:val="16"/>
          <w:color w:val="4D4D4F"/>
        </w:rPr>
      </w:pPr>
      <w:r>
        <w:rPr>
          <w:rFonts w:ascii="Arial" w:cs="Arial" w:eastAsia="Arial" w:hAnsi="Arial"/>
          <w:sz w:val="16"/>
          <w:szCs w:val="16"/>
          <w:color w:val="4D4D4F"/>
        </w:rPr>
        <w:t>Following the end of the performance year, the Compensation Committee determines the extent to which the financial metric and strategic objectives have been met and any subsequent amounts to be paid out.</w:t>
      </w:r>
    </w:p>
    <w:p>
      <w:pPr>
        <w:spacing w:after="0" w:line="102" w:lineRule="exact"/>
        <w:rPr>
          <w:sz w:val="20"/>
          <w:szCs w:val="20"/>
          <w:color w:val="auto"/>
        </w:rPr>
      </w:pPr>
    </w:p>
    <w:p>
      <w:pPr>
        <w:ind w:left="20" w:right="3800"/>
        <w:spacing w:after="0" w:line="289" w:lineRule="auto"/>
        <w:rPr>
          <w:sz w:val="20"/>
          <w:szCs w:val="20"/>
          <w:color w:val="auto"/>
        </w:rPr>
      </w:pPr>
      <w:r>
        <w:rPr>
          <w:rFonts w:ascii="Arial" w:cs="Arial" w:eastAsia="Arial" w:hAnsi="Arial"/>
          <w:sz w:val="16"/>
          <w:szCs w:val="16"/>
          <w:color w:val="4D4D4F"/>
        </w:rPr>
        <w:t>As discussed above, for 2023, the Compensation Committee, in consultation with its independent compensation consultant, reviewed compensation targets for our compensation comparison group and determined to increase the annual cash incentive opportunity for Mr. Birns in recognition of his critical contributions to the strategic and financial performance of the Company and increase Mr. Rau’s annual cash incentive opportunity due to his significantly increased responsibilities for the commercial business following another executive’s departure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 w:hanging="534"/>
        <w:spacing w:after="0"/>
        <w:tabs>
          <w:tab w:leader="none" w:pos="560" w:val="left"/>
        </w:tabs>
        <w:numPr>
          <w:ilvl w:val="0"/>
          <w:numId w:val="81"/>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5" w:name="page56"/>
    <w:bookmarkEnd w:id="55"/>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4D4D4F"/>
        </w:rPr>
        <w:t>The table below reflects AIP target annual cash incentive opportunity amounts for our NEOs.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0" w:type="dxa"/>
            <w:vAlign w:val="bottom"/>
          </w:tcPr>
          <w:p>
            <w:pPr>
              <w:spacing w:after="0"/>
              <w:rPr>
                <w:sz w:val="19"/>
                <w:szCs w:val="19"/>
                <w:color w:val="auto"/>
              </w:rPr>
            </w:pPr>
          </w:p>
        </w:tc>
        <w:tc>
          <w:tcPr>
            <w:tcW w:w="1660" w:type="dxa"/>
            <w:vAlign w:val="bottom"/>
            <w:shd w:val="clear" w:color="auto" w:fill="9ABCD0"/>
          </w:tcPr>
          <w:p>
            <w:pPr>
              <w:spacing w:after="0"/>
              <w:rPr>
                <w:sz w:val="19"/>
                <w:szCs w:val="19"/>
                <w:color w:val="auto"/>
              </w:rPr>
            </w:pPr>
          </w:p>
        </w:tc>
        <w:tc>
          <w:tcPr>
            <w:tcW w:w="1240" w:type="dxa"/>
            <w:vAlign w:val="bottom"/>
            <w:shd w:val="clear" w:color="auto" w:fill="9ABCD0"/>
          </w:tcPr>
          <w:p>
            <w:pPr>
              <w:spacing w:after="0"/>
              <w:rPr>
                <w:sz w:val="19"/>
                <w:szCs w:val="19"/>
                <w:color w:val="auto"/>
              </w:rPr>
            </w:pPr>
          </w:p>
        </w:tc>
        <w:tc>
          <w:tcPr>
            <w:tcW w:w="2980" w:type="dxa"/>
            <w:vAlign w:val="bottom"/>
            <w:gridSpan w:val="2"/>
            <w:shd w:val="clear" w:color="auto" w:fill="9ABCD0"/>
          </w:tcPr>
          <w:p>
            <w:pPr>
              <w:jc w:val="right"/>
              <w:ind w:right="388"/>
              <w:spacing w:after="0"/>
              <w:rPr>
                <w:sz w:val="20"/>
                <w:szCs w:val="20"/>
                <w:color w:val="auto"/>
              </w:rPr>
            </w:pPr>
            <w:r>
              <w:rPr>
                <w:rFonts w:ascii="Arial" w:cs="Arial" w:eastAsia="Arial" w:hAnsi="Arial"/>
                <w:sz w:val="14"/>
                <w:szCs w:val="14"/>
                <w:b w:val="1"/>
                <w:bCs w:val="1"/>
                <w:color w:val="FFFFFF"/>
              </w:rPr>
              <w:t>Annual Cash Incentive Opportunity</w:t>
            </w:r>
          </w:p>
        </w:tc>
        <w:tc>
          <w:tcPr>
            <w:tcW w:w="1520" w:type="dxa"/>
            <w:vAlign w:val="bottom"/>
            <w:shd w:val="clear" w:color="auto" w:fill="9ABCD0"/>
          </w:tcPr>
          <w:p>
            <w:pPr>
              <w:spacing w:after="0"/>
              <w:rPr>
                <w:sz w:val="19"/>
                <w:szCs w:val="19"/>
                <w:color w:val="auto"/>
              </w:rPr>
            </w:pPr>
          </w:p>
        </w:tc>
        <w:tc>
          <w:tcPr>
            <w:tcW w:w="1040" w:type="dxa"/>
            <w:vAlign w:val="bottom"/>
            <w:shd w:val="clear" w:color="auto" w:fill="9ABCD0"/>
          </w:tcPr>
          <w:p>
            <w:pPr>
              <w:spacing w:after="0"/>
              <w:rPr>
                <w:sz w:val="19"/>
                <w:szCs w:val="19"/>
                <w:color w:val="auto"/>
              </w:rPr>
            </w:pPr>
          </w:p>
        </w:tc>
        <w:tc>
          <w:tcPr>
            <w:tcW w:w="1600" w:type="dxa"/>
            <w:vAlign w:val="bottom"/>
          </w:tcPr>
          <w:p>
            <w:pPr>
              <w:spacing w:after="0"/>
              <w:rPr>
                <w:sz w:val="19"/>
                <w:szCs w:val="19"/>
                <w:color w:val="auto"/>
              </w:rPr>
            </w:pPr>
          </w:p>
        </w:tc>
      </w:tr>
      <w:tr>
        <w:trPr>
          <w:trHeight w:val="228"/>
        </w:trPr>
        <w:tc>
          <w:tcPr>
            <w:tcW w:w="1200" w:type="dxa"/>
            <w:vAlign w:val="bottom"/>
          </w:tcPr>
          <w:p>
            <w:pPr>
              <w:spacing w:after="0"/>
              <w:rPr>
                <w:sz w:val="19"/>
                <w:szCs w:val="19"/>
                <w:color w:val="auto"/>
              </w:rPr>
            </w:pPr>
          </w:p>
        </w:tc>
        <w:tc>
          <w:tcPr>
            <w:tcW w:w="1660" w:type="dxa"/>
            <w:vAlign w:val="bottom"/>
            <w:shd w:val="clear" w:color="auto" w:fill="578EB1"/>
          </w:tcPr>
          <w:p>
            <w:pPr>
              <w:spacing w:after="0"/>
              <w:rPr>
                <w:sz w:val="19"/>
                <w:szCs w:val="19"/>
                <w:color w:val="auto"/>
              </w:rPr>
            </w:pPr>
          </w:p>
        </w:tc>
        <w:tc>
          <w:tcPr>
            <w:tcW w:w="1240" w:type="dxa"/>
            <w:vAlign w:val="bottom"/>
            <w:shd w:val="clear" w:color="auto" w:fill="578EB1"/>
          </w:tcPr>
          <w:p>
            <w:pPr>
              <w:jc w:val="right"/>
              <w:ind w:right="568"/>
              <w:spacing w:after="0"/>
              <w:rPr>
                <w:sz w:val="20"/>
                <w:szCs w:val="20"/>
                <w:color w:val="auto"/>
              </w:rPr>
            </w:pPr>
            <w:r>
              <w:rPr>
                <w:rFonts w:ascii="Arial" w:cs="Arial" w:eastAsia="Arial" w:hAnsi="Arial"/>
                <w:sz w:val="14"/>
                <w:szCs w:val="14"/>
                <w:b w:val="1"/>
                <w:bCs w:val="1"/>
                <w:color w:val="FFFFFF"/>
              </w:rPr>
              <w:t>2022</w:t>
            </w:r>
          </w:p>
        </w:tc>
        <w:tc>
          <w:tcPr>
            <w:tcW w:w="1300" w:type="dxa"/>
            <w:vAlign w:val="bottom"/>
            <w:shd w:val="clear" w:color="auto" w:fill="578EB1"/>
          </w:tcPr>
          <w:p>
            <w:pPr>
              <w:spacing w:after="0"/>
              <w:rPr>
                <w:sz w:val="19"/>
                <w:szCs w:val="19"/>
                <w:color w:val="auto"/>
              </w:rPr>
            </w:pPr>
          </w:p>
        </w:tc>
        <w:tc>
          <w:tcPr>
            <w:tcW w:w="1680" w:type="dxa"/>
            <w:vAlign w:val="bottom"/>
            <w:shd w:val="clear" w:color="auto" w:fill="59A17B"/>
          </w:tcPr>
          <w:p>
            <w:pPr>
              <w:spacing w:after="0"/>
              <w:rPr>
                <w:sz w:val="19"/>
                <w:szCs w:val="19"/>
                <w:color w:val="auto"/>
              </w:rPr>
            </w:pPr>
          </w:p>
        </w:tc>
        <w:tc>
          <w:tcPr>
            <w:tcW w:w="1520" w:type="dxa"/>
            <w:vAlign w:val="bottom"/>
            <w:shd w:val="clear" w:color="auto" w:fill="59A17B"/>
          </w:tcPr>
          <w:p>
            <w:pPr>
              <w:jc w:val="right"/>
              <w:ind w:right="848"/>
              <w:spacing w:after="0"/>
              <w:rPr>
                <w:sz w:val="20"/>
                <w:szCs w:val="20"/>
                <w:color w:val="auto"/>
              </w:rPr>
            </w:pPr>
            <w:r>
              <w:rPr>
                <w:rFonts w:ascii="Arial" w:cs="Arial" w:eastAsia="Arial" w:hAnsi="Arial"/>
                <w:sz w:val="14"/>
                <w:szCs w:val="14"/>
                <w:b w:val="1"/>
                <w:bCs w:val="1"/>
                <w:color w:val="FFFFFF"/>
              </w:rPr>
              <w:t>2023</w:t>
            </w:r>
          </w:p>
        </w:tc>
        <w:tc>
          <w:tcPr>
            <w:tcW w:w="1040" w:type="dxa"/>
            <w:vAlign w:val="bottom"/>
            <w:shd w:val="clear" w:color="auto" w:fill="59A17B"/>
          </w:tcPr>
          <w:p>
            <w:pPr>
              <w:spacing w:after="0"/>
              <w:rPr>
                <w:sz w:val="19"/>
                <w:szCs w:val="19"/>
                <w:color w:val="auto"/>
              </w:rPr>
            </w:pPr>
          </w:p>
        </w:tc>
        <w:tc>
          <w:tcPr>
            <w:tcW w:w="1600" w:type="dxa"/>
            <w:vAlign w:val="bottom"/>
          </w:tcPr>
          <w:p>
            <w:pPr>
              <w:spacing w:after="0"/>
              <w:rPr>
                <w:sz w:val="19"/>
                <w:szCs w:val="19"/>
                <w:color w:val="auto"/>
              </w:rPr>
            </w:pPr>
          </w:p>
        </w:tc>
      </w:tr>
      <w:tr>
        <w:trPr>
          <w:trHeight w:val="201"/>
        </w:trPr>
        <w:tc>
          <w:tcPr>
            <w:tcW w:w="1200" w:type="dxa"/>
            <w:vAlign w:val="bottom"/>
            <w:shd w:val="clear" w:color="auto" w:fill="132440"/>
          </w:tcPr>
          <w:p>
            <w:pPr>
              <w:spacing w:after="0"/>
              <w:rPr>
                <w:sz w:val="17"/>
                <w:szCs w:val="17"/>
                <w:color w:val="auto"/>
              </w:rPr>
            </w:pPr>
          </w:p>
        </w:tc>
        <w:tc>
          <w:tcPr>
            <w:tcW w:w="1660" w:type="dxa"/>
            <w:vAlign w:val="bottom"/>
            <w:shd w:val="clear" w:color="auto" w:fill="132440"/>
          </w:tcPr>
          <w:p>
            <w:pPr>
              <w:jc w:val="right"/>
              <w:ind w:right="208"/>
              <w:spacing w:after="0"/>
              <w:rPr>
                <w:sz w:val="20"/>
                <w:szCs w:val="20"/>
                <w:color w:val="auto"/>
              </w:rPr>
            </w:pPr>
            <w:r>
              <w:rPr>
                <w:rFonts w:ascii="Arial" w:cs="Arial" w:eastAsia="Arial" w:hAnsi="Arial"/>
                <w:sz w:val="14"/>
                <w:szCs w:val="14"/>
                <w:b w:val="1"/>
                <w:bCs w:val="1"/>
                <w:color w:val="FFFFFF"/>
              </w:rPr>
              <w:t>Adjusted</w:t>
            </w:r>
          </w:p>
        </w:tc>
        <w:tc>
          <w:tcPr>
            <w:tcW w:w="1240" w:type="dxa"/>
            <w:vAlign w:val="bottom"/>
            <w:shd w:val="clear" w:color="auto" w:fill="132440"/>
          </w:tcPr>
          <w:p>
            <w:pPr>
              <w:spacing w:after="0"/>
              <w:rPr>
                <w:sz w:val="17"/>
                <w:szCs w:val="17"/>
                <w:color w:val="auto"/>
              </w:rPr>
            </w:pPr>
          </w:p>
        </w:tc>
        <w:tc>
          <w:tcPr>
            <w:tcW w:w="1300" w:type="dxa"/>
            <w:vAlign w:val="bottom"/>
            <w:shd w:val="clear" w:color="auto" w:fill="132440"/>
          </w:tcPr>
          <w:p>
            <w:pPr>
              <w:spacing w:after="0"/>
              <w:rPr>
                <w:sz w:val="17"/>
                <w:szCs w:val="17"/>
                <w:color w:val="auto"/>
              </w:rPr>
            </w:pPr>
          </w:p>
        </w:tc>
        <w:tc>
          <w:tcPr>
            <w:tcW w:w="1680" w:type="dxa"/>
            <w:vAlign w:val="bottom"/>
            <w:shd w:val="clear" w:color="auto" w:fill="298655"/>
          </w:tcPr>
          <w:p>
            <w:pPr>
              <w:jc w:val="right"/>
              <w:ind w:right="208"/>
              <w:spacing w:after="0"/>
              <w:rPr>
                <w:sz w:val="20"/>
                <w:szCs w:val="20"/>
                <w:color w:val="auto"/>
              </w:rPr>
            </w:pPr>
            <w:r>
              <w:rPr>
                <w:rFonts w:ascii="Arial" w:cs="Arial" w:eastAsia="Arial" w:hAnsi="Arial"/>
                <w:sz w:val="14"/>
                <w:szCs w:val="14"/>
                <w:b w:val="1"/>
                <w:bCs w:val="1"/>
                <w:color w:val="FFFFFF"/>
              </w:rPr>
              <w:t>Adjusted</w:t>
            </w:r>
          </w:p>
        </w:tc>
        <w:tc>
          <w:tcPr>
            <w:tcW w:w="1520" w:type="dxa"/>
            <w:vAlign w:val="bottom"/>
            <w:shd w:val="clear" w:color="auto" w:fill="298655"/>
          </w:tcPr>
          <w:p>
            <w:pPr>
              <w:spacing w:after="0"/>
              <w:rPr>
                <w:sz w:val="17"/>
                <w:szCs w:val="17"/>
                <w:color w:val="auto"/>
              </w:rPr>
            </w:pPr>
          </w:p>
        </w:tc>
        <w:tc>
          <w:tcPr>
            <w:tcW w:w="1040" w:type="dxa"/>
            <w:vAlign w:val="bottom"/>
            <w:shd w:val="clear" w:color="auto" w:fill="298655"/>
          </w:tcPr>
          <w:p>
            <w:pPr>
              <w:spacing w:after="0"/>
              <w:rPr>
                <w:sz w:val="17"/>
                <w:szCs w:val="17"/>
                <w:color w:val="auto"/>
              </w:rPr>
            </w:pPr>
          </w:p>
        </w:tc>
        <w:tc>
          <w:tcPr>
            <w:tcW w:w="1600" w:type="dxa"/>
            <w:vAlign w:val="bottom"/>
            <w:shd w:val="clear" w:color="auto" w:fill="132440"/>
          </w:tcPr>
          <w:p>
            <w:pPr>
              <w:spacing w:after="0"/>
              <w:rPr>
                <w:sz w:val="17"/>
                <w:szCs w:val="17"/>
                <w:color w:val="auto"/>
              </w:rPr>
            </w:pPr>
          </w:p>
        </w:tc>
      </w:tr>
      <w:tr>
        <w:trPr>
          <w:trHeight w:val="175"/>
        </w:trPr>
        <w:tc>
          <w:tcPr>
            <w:tcW w:w="1200" w:type="dxa"/>
            <w:vAlign w:val="bottom"/>
            <w:shd w:val="clear" w:color="auto" w:fill="132440"/>
          </w:tcPr>
          <w:p>
            <w:pPr>
              <w:spacing w:after="0"/>
              <w:rPr>
                <w:sz w:val="15"/>
                <w:szCs w:val="15"/>
                <w:color w:val="auto"/>
              </w:rPr>
            </w:pPr>
          </w:p>
        </w:tc>
        <w:tc>
          <w:tcPr>
            <w:tcW w:w="1660" w:type="dxa"/>
            <w:vAlign w:val="bottom"/>
            <w:shd w:val="clear" w:color="auto" w:fill="132440"/>
          </w:tcPr>
          <w:p>
            <w:pPr>
              <w:jc w:val="right"/>
              <w:ind w:right="208"/>
              <w:spacing w:after="0"/>
              <w:rPr>
                <w:sz w:val="20"/>
                <w:szCs w:val="20"/>
                <w:color w:val="auto"/>
              </w:rPr>
            </w:pPr>
            <w:r>
              <w:rPr>
                <w:rFonts w:ascii="Arial" w:cs="Arial" w:eastAsia="Arial" w:hAnsi="Arial"/>
                <w:sz w:val="14"/>
                <w:szCs w:val="14"/>
                <w:b w:val="1"/>
                <w:bCs w:val="1"/>
                <w:color w:val="FFFFFF"/>
              </w:rPr>
              <w:t>EBITDA</w:t>
            </w:r>
          </w:p>
        </w:tc>
        <w:tc>
          <w:tcPr>
            <w:tcW w:w="124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Strategic</w:t>
            </w:r>
          </w:p>
        </w:tc>
        <w:tc>
          <w:tcPr>
            <w:tcW w:w="1300" w:type="dxa"/>
            <w:vAlign w:val="bottom"/>
            <w:shd w:val="clear" w:color="auto" w:fill="132440"/>
          </w:tcPr>
          <w:p>
            <w:pPr>
              <w:spacing w:after="0"/>
              <w:rPr>
                <w:sz w:val="15"/>
                <w:szCs w:val="15"/>
                <w:color w:val="auto"/>
              </w:rPr>
            </w:pPr>
          </w:p>
        </w:tc>
        <w:tc>
          <w:tcPr>
            <w:tcW w:w="1680" w:type="dxa"/>
            <w:vAlign w:val="bottom"/>
            <w:shd w:val="clear" w:color="auto" w:fill="298655"/>
          </w:tcPr>
          <w:p>
            <w:pPr>
              <w:jc w:val="right"/>
              <w:ind w:right="208"/>
              <w:spacing w:after="0"/>
              <w:rPr>
                <w:sz w:val="20"/>
                <w:szCs w:val="20"/>
                <w:color w:val="auto"/>
              </w:rPr>
            </w:pPr>
            <w:r>
              <w:rPr>
                <w:rFonts w:ascii="Arial" w:cs="Arial" w:eastAsia="Arial" w:hAnsi="Arial"/>
                <w:sz w:val="14"/>
                <w:szCs w:val="14"/>
                <w:b w:val="1"/>
                <w:bCs w:val="1"/>
                <w:color w:val="FFFFFF"/>
              </w:rPr>
              <w:t>EBITDA</w:t>
            </w:r>
          </w:p>
        </w:tc>
        <w:tc>
          <w:tcPr>
            <w:tcW w:w="1520" w:type="dxa"/>
            <w:vAlign w:val="bottom"/>
            <w:shd w:val="clear" w:color="auto" w:fill="298655"/>
          </w:tcPr>
          <w:p>
            <w:pPr>
              <w:jc w:val="right"/>
              <w:ind w:right="308"/>
              <w:spacing w:after="0"/>
              <w:rPr>
                <w:sz w:val="20"/>
                <w:szCs w:val="20"/>
                <w:color w:val="auto"/>
              </w:rPr>
            </w:pPr>
            <w:r>
              <w:rPr>
                <w:rFonts w:ascii="Arial" w:cs="Arial" w:eastAsia="Arial" w:hAnsi="Arial"/>
                <w:sz w:val="14"/>
                <w:szCs w:val="14"/>
                <w:b w:val="1"/>
                <w:bCs w:val="1"/>
                <w:color w:val="FFFFFF"/>
              </w:rPr>
              <w:t>Strategic</w:t>
            </w:r>
          </w:p>
        </w:tc>
        <w:tc>
          <w:tcPr>
            <w:tcW w:w="1040" w:type="dxa"/>
            <w:vAlign w:val="bottom"/>
            <w:shd w:val="clear" w:color="auto" w:fill="298655"/>
          </w:tcPr>
          <w:p>
            <w:pPr>
              <w:spacing w:after="0"/>
              <w:rPr>
                <w:sz w:val="15"/>
                <w:szCs w:val="15"/>
                <w:color w:val="auto"/>
              </w:rPr>
            </w:pPr>
          </w:p>
        </w:tc>
        <w:tc>
          <w:tcPr>
            <w:tcW w:w="1600" w:type="dxa"/>
            <w:vAlign w:val="bottom"/>
            <w:shd w:val="clear" w:color="auto" w:fill="132440"/>
          </w:tcPr>
          <w:p>
            <w:pPr>
              <w:spacing w:after="0"/>
              <w:rPr>
                <w:sz w:val="15"/>
                <w:szCs w:val="15"/>
                <w:color w:val="auto"/>
              </w:rPr>
            </w:pPr>
          </w:p>
        </w:tc>
      </w:tr>
      <w:tr>
        <w:trPr>
          <w:trHeight w:val="162"/>
        </w:trPr>
        <w:tc>
          <w:tcPr>
            <w:tcW w:w="1200" w:type="dxa"/>
            <w:vAlign w:val="bottom"/>
            <w:shd w:val="clear" w:color="auto" w:fill="132440"/>
          </w:tcPr>
          <w:p>
            <w:pPr>
              <w:spacing w:after="0"/>
              <w:rPr>
                <w:sz w:val="14"/>
                <w:szCs w:val="14"/>
                <w:color w:val="auto"/>
              </w:rPr>
            </w:pPr>
          </w:p>
        </w:tc>
        <w:tc>
          <w:tcPr>
            <w:tcW w:w="1660" w:type="dxa"/>
            <w:vAlign w:val="bottom"/>
            <w:shd w:val="clear" w:color="auto" w:fill="132440"/>
          </w:tcPr>
          <w:p>
            <w:pPr>
              <w:jc w:val="right"/>
              <w:ind w:right="208"/>
              <w:spacing w:after="0"/>
              <w:rPr>
                <w:sz w:val="20"/>
                <w:szCs w:val="20"/>
                <w:color w:val="auto"/>
              </w:rPr>
            </w:pPr>
            <w:r>
              <w:rPr>
                <w:rFonts w:ascii="Arial" w:cs="Arial" w:eastAsia="Arial" w:hAnsi="Arial"/>
                <w:sz w:val="14"/>
                <w:szCs w:val="14"/>
                <w:b w:val="1"/>
                <w:bCs w:val="1"/>
                <w:color w:val="FFFFFF"/>
              </w:rPr>
              <w:t>Performance</w:t>
            </w:r>
          </w:p>
        </w:tc>
        <w:tc>
          <w:tcPr>
            <w:tcW w:w="124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Objectives</w:t>
            </w:r>
          </w:p>
        </w:tc>
        <w:tc>
          <w:tcPr>
            <w:tcW w:w="1300" w:type="dxa"/>
            <w:vAlign w:val="bottom"/>
            <w:shd w:val="clear" w:color="auto" w:fill="132440"/>
          </w:tcPr>
          <w:p>
            <w:pPr>
              <w:spacing w:after="0"/>
              <w:rPr>
                <w:sz w:val="14"/>
                <w:szCs w:val="14"/>
                <w:color w:val="auto"/>
              </w:rPr>
            </w:pPr>
          </w:p>
        </w:tc>
        <w:tc>
          <w:tcPr>
            <w:tcW w:w="1680" w:type="dxa"/>
            <w:vAlign w:val="bottom"/>
            <w:shd w:val="clear" w:color="auto" w:fill="298655"/>
          </w:tcPr>
          <w:p>
            <w:pPr>
              <w:jc w:val="right"/>
              <w:ind w:right="208"/>
              <w:spacing w:after="0"/>
              <w:rPr>
                <w:sz w:val="20"/>
                <w:szCs w:val="20"/>
                <w:color w:val="auto"/>
              </w:rPr>
            </w:pPr>
            <w:r>
              <w:rPr>
                <w:rFonts w:ascii="Arial" w:cs="Arial" w:eastAsia="Arial" w:hAnsi="Arial"/>
                <w:sz w:val="14"/>
                <w:szCs w:val="14"/>
                <w:b w:val="1"/>
                <w:bCs w:val="1"/>
                <w:color w:val="FFFFFF"/>
              </w:rPr>
              <w:t>Performance</w:t>
            </w:r>
          </w:p>
        </w:tc>
        <w:tc>
          <w:tcPr>
            <w:tcW w:w="1520" w:type="dxa"/>
            <w:vAlign w:val="bottom"/>
            <w:shd w:val="clear" w:color="auto" w:fill="298655"/>
          </w:tcPr>
          <w:p>
            <w:pPr>
              <w:jc w:val="right"/>
              <w:ind w:right="308"/>
              <w:spacing w:after="0"/>
              <w:rPr>
                <w:sz w:val="20"/>
                <w:szCs w:val="20"/>
                <w:color w:val="auto"/>
              </w:rPr>
            </w:pPr>
            <w:r>
              <w:rPr>
                <w:rFonts w:ascii="Arial" w:cs="Arial" w:eastAsia="Arial" w:hAnsi="Arial"/>
                <w:sz w:val="14"/>
                <w:szCs w:val="14"/>
                <w:b w:val="1"/>
                <w:bCs w:val="1"/>
                <w:color w:val="FFFFFF"/>
              </w:rPr>
              <w:t>Objectives</w:t>
            </w:r>
          </w:p>
        </w:tc>
        <w:tc>
          <w:tcPr>
            <w:tcW w:w="1040" w:type="dxa"/>
            <w:vAlign w:val="bottom"/>
            <w:shd w:val="clear" w:color="auto" w:fill="298655"/>
          </w:tcPr>
          <w:p>
            <w:pPr>
              <w:spacing w:after="0"/>
              <w:rPr>
                <w:sz w:val="14"/>
                <w:szCs w:val="14"/>
                <w:color w:val="auto"/>
              </w:rPr>
            </w:pPr>
          </w:p>
        </w:tc>
        <w:tc>
          <w:tcPr>
            <w:tcW w:w="160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 Change</w:t>
            </w:r>
          </w:p>
        </w:tc>
      </w:tr>
      <w:tr>
        <w:trPr>
          <w:trHeight w:val="175"/>
        </w:trPr>
        <w:tc>
          <w:tcPr>
            <w:tcW w:w="1200" w:type="dxa"/>
            <w:vAlign w:val="bottom"/>
            <w:shd w:val="clear" w:color="auto" w:fill="132440"/>
          </w:tcPr>
          <w:p>
            <w:pPr>
              <w:spacing w:after="0"/>
              <w:rPr>
                <w:sz w:val="15"/>
                <w:szCs w:val="15"/>
                <w:color w:val="auto"/>
              </w:rPr>
            </w:pPr>
          </w:p>
        </w:tc>
        <w:tc>
          <w:tcPr>
            <w:tcW w:w="1660" w:type="dxa"/>
            <w:vAlign w:val="bottom"/>
            <w:shd w:val="clear" w:color="auto" w:fill="132440"/>
          </w:tcPr>
          <w:p>
            <w:pPr>
              <w:jc w:val="right"/>
              <w:ind w:right="208"/>
              <w:spacing w:after="0"/>
              <w:rPr>
                <w:sz w:val="20"/>
                <w:szCs w:val="20"/>
                <w:color w:val="auto"/>
              </w:rPr>
            </w:pPr>
            <w:r>
              <w:rPr>
                <w:rFonts w:ascii="Arial" w:cs="Arial" w:eastAsia="Arial" w:hAnsi="Arial"/>
                <w:sz w:val="14"/>
                <w:szCs w:val="14"/>
                <w:b w:val="1"/>
                <w:bCs w:val="1"/>
                <w:color w:val="FFFFFF"/>
              </w:rPr>
              <w:t>(60%)</w:t>
            </w:r>
          </w:p>
        </w:tc>
        <w:tc>
          <w:tcPr>
            <w:tcW w:w="124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(40%)</w:t>
            </w:r>
          </w:p>
        </w:tc>
        <w:tc>
          <w:tcPr>
            <w:tcW w:w="130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Total</w:t>
            </w:r>
          </w:p>
        </w:tc>
        <w:tc>
          <w:tcPr>
            <w:tcW w:w="1680" w:type="dxa"/>
            <w:vAlign w:val="bottom"/>
            <w:shd w:val="clear" w:color="auto" w:fill="298655"/>
          </w:tcPr>
          <w:p>
            <w:pPr>
              <w:jc w:val="right"/>
              <w:ind w:right="208"/>
              <w:spacing w:after="0"/>
              <w:rPr>
                <w:sz w:val="20"/>
                <w:szCs w:val="20"/>
                <w:color w:val="auto"/>
              </w:rPr>
            </w:pPr>
            <w:r>
              <w:rPr>
                <w:rFonts w:ascii="Arial" w:cs="Arial" w:eastAsia="Arial" w:hAnsi="Arial"/>
                <w:sz w:val="14"/>
                <w:szCs w:val="14"/>
                <w:b w:val="1"/>
                <w:bCs w:val="1"/>
                <w:color w:val="FFFFFF"/>
              </w:rPr>
              <w:t>(60%)</w:t>
            </w:r>
          </w:p>
        </w:tc>
        <w:tc>
          <w:tcPr>
            <w:tcW w:w="1520" w:type="dxa"/>
            <w:vAlign w:val="bottom"/>
            <w:shd w:val="clear" w:color="auto" w:fill="298655"/>
          </w:tcPr>
          <w:p>
            <w:pPr>
              <w:jc w:val="right"/>
              <w:ind w:right="308"/>
              <w:spacing w:after="0"/>
              <w:rPr>
                <w:sz w:val="20"/>
                <w:szCs w:val="20"/>
                <w:color w:val="auto"/>
              </w:rPr>
            </w:pPr>
            <w:r>
              <w:rPr>
                <w:rFonts w:ascii="Arial" w:cs="Arial" w:eastAsia="Arial" w:hAnsi="Arial"/>
                <w:sz w:val="14"/>
                <w:szCs w:val="14"/>
                <w:b w:val="1"/>
                <w:bCs w:val="1"/>
                <w:color w:val="FFFFFF"/>
              </w:rPr>
              <w:t>(40%)</w:t>
            </w:r>
          </w:p>
        </w:tc>
        <w:tc>
          <w:tcPr>
            <w:tcW w:w="1040" w:type="dxa"/>
            <w:vAlign w:val="bottom"/>
            <w:shd w:val="clear" w:color="auto" w:fill="298655"/>
          </w:tcPr>
          <w:p>
            <w:pPr>
              <w:jc w:val="right"/>
              <w:spacing w:after="0"/>
              <w:rPr>
                <w:sz w:val="20"/>
                <w:szCs w:val="20"/>
                <w:color w:val="auto"/>
              </w:rPr>
            </w:pPr>
            <w:r>
              <w:rPr>
                <w:rFonts w:ascii="Arial" w:cs="Arial" w:eastAsia="Arial" w:hAnsi="Arial"/>
                <w:sz w:val="14"/>
                <w:szCs w:val="14"/>
                <w:b w:val="1"/>
                <w:bCs w:val="1"/>
                <w:color w:val="FFFFFF"/>
              </w:rPr>
              <w:t>Total</w:t>
            </w:r>
          </w:p>
        </w:tc>
        <w:tc>
          <w:tcPr>
            <w:tcW w:w="160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from</w:t>
            </w:r>
          </w:p>
        </w:tc>
      </w:tr>
      <w:tr>
        <w:trPr>
          <w:trHeight w:val="212"/>
        </w:trPr>
        <w:tc>
          <w:tcPr>
            <w:tcW w:w="120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NEO</w:t>
            </w:r>
          </w:p>
        </w:tc>
        <w:tc>
          <w:tcPr>
            <w:tcW w:w="1660" w:type="dxa"/>
            <w:vAlign w:val="bottom"/>
            <w:shd w:val="clear" w:color="auto" w:fill="132440"/>
          </w:tcPr>
          <w:p>
            <w:pPr>
              <w:jc w:val="right"/>
              <w:ind w:right="208"/>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298655"/>
          </w:tcPr>
          <w:p>
            <w:pPr>
              <w:jc w:val="right"/>
              <w:ind w:right="208"/>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298655"/>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298655"/>
          </w:tcPr>
          <w:p>
            <w:pPr>
              <w:jc w:val="right"/>
              <w:spacing w:after="0"/>
              <w:rPr>
                <w:sz w:val="20"/>
                <w:szCs w:val="20"/>
                <w:color w:val="auto"/>
              </w:rPr>
            </w:pPr>
            <w:r>
              <w:rPr>
                <w:rFonts w:ascii="Arial" w:cs="Arial" w:eastAsia="Arial" w:hAnsi="Arial"/>
                <w:sz w:val="14"/>
                <w:szCs w:val="14"/>
                <w:b w:val="1"/>
                <w:bCs w:val="1"/>
                <w:color w:val="FFFFFF"/>
              </w:rPr>
              <w:t>($)</w:t>
            </w:r>
          </w:p>
        </w:tc>
        <w:tc>
          <w:tcPr>
            <w:tcW w:w="160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2022 to 2023</w:t>
            </w:r>
          </w:p>
        </w:tc>
      </w:tr>
      <w:tr>
        <w:trPr>
          <w:trHeight w:val="263"/>
        </w:trPr>
        <w:tc>
          <w:tcPr>
            <w:tcW w:w="120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b w:val="1"/>
                <w:bCs w:val="1"/>
                <w:color w:val="4D4D4F"/>
              </w:rPr>
              <w:t>Kasbar</w:t>
            </w:r>
          </w:p>
        </w:tc>
        <w:tc>
          <w:tcPr>
            <w:tcW w:w="1660" w:type="dxa"/>
            <w:vAlign w:val="bottom"/>
            <w:tcBorders>
              <w:bottom w:val="single" w:sz="8" w:color="EAEEF2"/>
            </w:tcBorders>
            <w:shd w:val="clear" w:color="auto" w:fill="EAEEF2"/>
          </w:tcPr>
          <w:p>
            <w:pPr>
              <w:jc w:val="right"/>
              <w:ind w:right="248"/>
              <w:spacing w:after="0"/>
              <w:rPr>
                <w:sz w:val="20"/>
                <w:szCs w:val="20"/>
                <w:color w:val="auto"/>
              </w:rPr>
            </w:pPr>
            <w:r>
              <w:rPr>
                <w:rFonts w:ascii="Arial" w:cs="Arial" w:eastAsia="Arial" w:hAnsi="Arial"/>
                <w:sz w:val="14"/>
                <w:szCs w:val="14"/>
                <w:color w:val="4D4D4F"/>
              </w:rPr>
              <w:t>1,050,000</w:t>
            </w:r>
          </w:p>
        </w:tc>
        <w:tc>
          <w:tcPr>
            <w:tcW w:w="1240" w:type="dxa"/>
            <w:vAlign w:val="bottom"/>
            <w:tcBorders>
              <w:bottom w:val="single" w:sz="8" w:color="EAEEF2"/>
            </w:tcBorders>
            <w:shd w:val="clear" w:color="auto" w:fill="EAEEF2"/>
          </w:tcPr>
          <w:p>
            <w:pPr>
              <w:jc w:val="right"/>
              <w:ind w:right="88"/>
              <w:spacing w:after="0"/>
              <w:rPr>
                <w:sz w:val="20"/>
                <w:szCs w:val="20"/>
                <w:color w:val="auto"/>
              </w:rPr>
            </w:pPr>
            <w:r>
              <w:rPr>
                <w:rFonts w:ascii="Arial" w:cs="Arial" w:eastAsia="Arial" w:hAnsi="Arial"/>
                <w:sz w:val="14"/>
                <w:szCs w:val="14"/>
                <w:color w:val="4D4D4F"/>
              </w:rPr>
              <w:t>700,000</w:t>
            </w:r>
          </w:p>
        </w:tc>
        <w:tc>
          <w:tcPr>
            <w:tcW w:w="1300" w:type="dxa"/>
            <w:vAlign w:val="bottom"/>
            <w:tcBorders>
              <w:bottom w:val="single" w:sz="8" w:color="EAEEF2"/>
            </w:tcBorders>
            <w:shd w:val="clear" w:color="auto" w:fill="EAEEF2"/>
          </w:tcPr>
          <w:p>
            <w:pPr>
              <w:jc w:val="right"/>
              <w:spacing w:after="0"/>
              <w:rPr>
                <w:sz w:val="20"/>
                <w:szCs w:val="20"/>
                <w:color w:val="auto"/>
              </w:rPr>
            </w:pPr>
            <w:r>
              <w:rPr>
                <w:rFonts w:ascii="Arial" w:cs="Arial" w:eastAsia="Arial" w:hAnsi="Arial"/>
                <w:sz w:val="14"/>
                <w:szCs w:val="14"/>
                <w:color w:val="4D4D4F"/>
              </w:rPr>
              <w:t>1,750,000</w:t>
            </w:r>
          </w:p>
        </w:tc>
        <w:tc>
          <w:tcPr>
            <w:tcW w:w="1680" w:type="dxa"/>
            <w:vAlign w:val="bottom"/>
            <w:tcBorders>
              <w:bottom w:val="single" w:sz="8" w:color="DFEDE5"/>
            </w:tcBorders>
            <w:shd w:val="clear" w:color="auto" w:fill="DFEDE5"/>
          </w:tcPr>
          <w:p>
            <w:pPr>
              <w:jc w:val="right"/>
              <w:ind w:right="208"/>
              <w:spacing w:after="0"/>
              <w:rPr>
                <w:sz w:val="20"/>
                <w:szCs w:val="20"/>
                <w:color w:val="auto"/>
              </w:rPr>
            </w:pPr>
            <w:r>
              <w:rPr>
                <w:rFonts w:ascii="Arial" w:cs="Arial" w:eastAsia="Arial" w:hAnsi="Arial"/>
                <w:sz w:val="14"/>
                <w:szCs w:val="14"/>
                <w:color w:val="4D4D4F"/>
              </w:rPr>
              <w:t>1,050,000</w:t>
            </w:r>
          </w:p>
        </w:tc>
        <w:tc>
          <w:tcPr>
            <w:tcW w:w="1520" w:type="dxa"/>
            <w:vAlign w:val="bottom"/>
            <w:tcBorders>
              <w:bottom w:val="single" w:sz="8" w:color="DFEDE5"/>
            </w:tcBorders>
            <w:shd w:val="clear" w:color="auto" w:fill="DFEDE5"/>
          </w:tcPr>
          <w:p>
            <w:pPr>
              <w:jc w:val="right"/>
              <w:ind w:right="308"/>
              <w:spacing w:after="0"/>
              <w:rPr>
                <w:sz w:val="20"/>
                <w:szCs w:val="20"/>
                <w:color w:val="auto"/>
              </w:rPr>
            </w:pPr>
            <w:r>
              <w:rPr>
                <w:rFonts w:ascii="Arial" w:cs="Arial" w:eastAsia="Arial" w:hAnsi="Arial"/>
                <w:sz w:val="14"/>
                <w:szCs w:val="14"/>
                <w:color w:val="4D4D4F"/>
              </w:rPr>
              <w:t>700,000</w:t>
            </w:r>
          </w:p>
        </w:tc>
        <w:tc>
          <w:tcPr>
            <w:tcW w:w="1040" w:type="dxa"/>
            <w:vAlign w:val="bottom"/>
            <w:tcBorders>
              <w:bottom w:val="single" w:sz="8" w:color="DFEDE5"/>
            </w:tcBorders>
            <w:shd w:val="clear" w:color="auto" w:fill="DFEDE5"/>
          </w:tcPr>
          <w:p>
            <w:pPr>
              <w:jc w:val="right"/>
              <w:spacing w:after="0"/>
              <w:rPr>
                <w:sz w:val="20"/>
                <w:szCs w:val="20"/>
                <w:color w:val="auto"/>
              </w:rPr>
            </w:pPr>
            <w:r>
              <w:rPr>
                <w:rFonts w:ascii="Arial" w:cs="Arial" w:eastAsia="Arial" w:hAnsi="Arial"/>
                <w:sz w:val="14"/>
                <w:szCs w:val="14"/>
                <w:color w:val="4D4D4F"/>
              </w:rPr>
              <w:t>1,750,000</w:t>
            </w:r>
          </w:p>
        </w:tc>
        <w:tc>
          <w:tcPr>
            <w:tcW w:w="1600" w:type="dxa"/>
            <w:vAlign w:val="bottom"/>
            <w:tcBorders>
              <w:bottom w:val="single" w:sz="8" w:color="EAEEF2"/>
            </w:tcBorders>
            <w:shd w:val="clear" w:color="auto" w:fill="EAEEF2"/>
          </w:tcPr>
          <w:p>
            <w:pPr>
              <w:jc w:val="right"/>
              <w:ind w:right="48"/>
              <w:spacing w:after="0"/>
              <w:rPr>
                <w:sz w:val="20"/>
                <w:szCs w:val="20"/>
                <w:color w:val="auto"/>
              </w:rPr>
            </w:pPr>
            <w:r>
              <w:rPr>
                <w:rFonts w:ascii="Arial" w:cs="Arial" w:eastAsia="Arial" w:hAnsi="Arial"/>
                <w:sz w:val="14"/>
                <w:szCs w:val="14"/>
                <w:color w:val="4D4D4F"/>
              </w:rPr>
              <w:t>No change</w:t>
            </w:r>
          </w:p>
        </w:tc>
      </w:tr>
      <w:tr>
        <w:trPr>
          <w:trHeight w:val="222"/>
        </w:trPr>
        <w:tc>
          <w:tcPr>
            <w:tcW w:w="1200" w:type="dxa"/>
            <w:vAlign w:val="bottom"/>
          </w:tcPr>
          <w:p>
            <w:pPr>
              <w:ind w:left="100"/>
              <w:spacing w:after="0"/>
              <w:rPr>
                <w:sz w:val="20"/>
                <w:szCs w:val="20"/>
                <w:color w:val="auto"/>
              </w:rPr>
            </w:pPr>
            <w:r>
              <w:rPr>
                <w:rFonts w:ascii="Arial" w:cs="Arial" w:eastAsia="Arial" w:hAnsi="Arial"/>
                <w:sz w:val="14"/>
                <w:szCs w:val="14"/>
                <w:b w:val="1"/>
                <w:bCs w:val="1"/>
                <w:color w:val="4D4D4F"/>
              </w:rPr>
              <w:t>Birns</w:t>
            </w:r>
          </w:p>
        </w:tc>
        <w:tc>
          <w:tcPr>
            <w:tcW w:w="1660" w:type="dxa"/>
            <w:vAlign w:val="bottom"/>
          </w:tcPr>
          <w:p>
            <w:pPr>
              <w:jc w:val="right"/>
              <w:ind w:right="248"/>
              <w:spacing w:after="0"/>
              <w:rPr>
                <w:sz w:val="20"/>
                <w:szCs w:val="20"/>
                <w:color w:val="auto"/>
              </w:rPr>
            </w:pPr>
            <w:r>
              <w:rPr>
                <w:rFonts w:ascii="Arial" w:cs="Arial" w:eastAsia="Arial" w:hAnsi="Arial"/>
                <w:sz w:val="14"/>
                <w:szCs w:val="14"/>
                <w:color w:val="4D4D4F"/>
              </w:rPr>
              <w:t>405,000</w:t>
            </w:r>
          </w:p>
        </w:tc>
        <w:tc>
          <w:tcPr>
            <w:tcW w:w="1240" w:type="dxa"/>
            <w:vAlign w:val="bottom"/>
          </w:tcPr>
          <w:p>
            <w:pPr>
              <w:jc w:val="right"/>
              <w:ind w:right="88"/>
              <w:spacing w:after="0"/>
              <w:rPr>
                <w:sz w:val="20"/>
                <w:szCs w:val="20"/>
                <w:color w:val="auto"/>
              </w:rPr>
            </w:pPr>
            <w:r>
              <w:rPr>
                <w:rFonts w:ascii="Arial" w:cs="Arial" w:eastAsia="Arial" w:hAnsi="Arial"/>
                <w:sz w:val="14"/>
                <w:szCs w:val="14"/>
                <w:color w:val="4D4D4F"/>
              </w:rPr>
              <w:t>270,000</w:t>
            </w:r>
          </w:p>
        </w:tc>
        <w:tc>
          <w:tcPr>
            <w:tcW w:w="1300" w:type="dxa"/>
            <w:vAlign w:val="bottom"/>
          </w:tcPr>
          <w:p>
            <w:pPr>
              <w:jc w:val="right"/>
              <w:spacing w:after="0"/>
              <w:rPr>
                <w:sz w:val="20"/>
                <w:szCs w:val="20"/>
                <w:color w:val="auto"/>
              </w:rPr>
            </w:pPr>
            <w:r>
              <w:rPr>
                <w:rFonts w:ascii="Arial" w:cs="Arial" w:eastAsia="Arial" w:hAnsi="Arial"/>
                <w:sz w:val="14"/>
                <w:szCs w:val="14"/>
                <w:color w:val="4D4D4F"/>
              </w:rPr>
              <w:t>675,000</w:t>
            </w:r>
          </w:p>
        </w:tc>
        <w:tc>
          <w:tcPr>
            <w:tcW w:w="1680" w:type="dxa"/>
            <w:vAlign w:val="bottom"/>
          </w:tcPr>
          <w:p>
            <w:pPr>
              <w:jc w:val="right"/>
              <w:ind w:right="208"/>
              <w:spacing w:after="0"/>
              <w:rPr>
                <w:sz w:val="20"/>
                <w:szCs w:val="20"/>
                <w:color w:val="auto"/>
              </w:rPr>
            </w:pPr>
            <w:r>
              <w:rPr>
                <w:rFonts w:ascii="Arial" w:cs="Arial" w:eastAsia="Arial" w:hAnsi="Arial"/>
                <w:sz w:val="14"/>
                <w:szCs w:val="14"/>
                <w:color w:val="4D4D4F"/>
              </w:rPr>
              <w:t>450,000</w:t>
            </w:r>
          </w:p>
        </w:tc>
        <w:tc>
          <w:tcPr>
            <w:tcW w:w="1520" w:type="dxa"/>
            <w:vAlign w:val="bottom"/>
          </w:tcPr>
          <w:p>
            <w:pPr>
              <w:jc w:val="right"/>
              <w:ind w:right="308"/>
              <w:spacing w:after="0"/>
              <w:rPr>
                <w:sz w:val="20"/>
                <w:szCs w:val="20"/>
                <w:color w:val="auto"/>
              </w:rPr>
            </w:pPr>
            <w:r>
              <w:rPr>
                <w:rFonts w:ascii="Arial" w:cs="Arial" w:eastAsia="Arial" w:hAnsi="Arial"/>
                <w:sz w:val="14"/>
                <w:szCs w:val="14"/>
                <w:color w:val="4D4D4F"/>
              </w:rPr>
              <w:t>300,000</w:t>
            </w:r>
          </w:p>
        </w:tc>
        <w:tc>
          <w:tcPr>
            <w:tcW w:w="1040" w:type="dxa"/>
            <w:vAlign w:val="bottom"/>
          </w:tcPr>
          <w:p>
            <w:pPr>
              <w:jc w:val="right"/>
              <w:spacing w:after="0"/>
              <w:rPr>
                <w:sz w:val="20"/>
                <w:szCs w:val="20"/>
                <w:color w:val="auto"/>
              </w:rPr>
            </w:pPr>
            <w:r>
              <w:rPr>
                <w:rFonts w:ascii="Arial" w:cs="Arial" w:eastAsia="Arial" w:hAnsi="Arial"/>
                <w:sz w:val="14"/>
                <w:szCs w:val="14"/>
                <w:color w:val="4D4D4F"/>
              </w:rPr>
              <w:t>750,000</w:t>
            </w:r>
          </w:p>
        </w:tc>
        <w:tc>
          <w:tcPr>
            <w:tcW w:w="1600" w:type="dxa"/>
            <w:vAlign w:val="bottom"/>
          </w:tcPr>
          <w:p>
            <w:pPr>
              <w:jc w:val="right"/>
              <w:ind w:right="48"/>
              <w:spacing w:after="0"/>
              <w:rPr>
                <w:sz w:val="20"/>
                <w:szCs w:val="20"/>
                <w:color w:val="auto"/>
              </w:rPr>
            </w:pPr>
            <w:r>
              <w:rPr>
                <w:rFonts w:ascii="Arial" w:cs="Arial" w:eastAsia="Arial" w:hAnsi="Arial"/>
                <w:sz w:val="14"/>
                <w:szCs w:val="14"/>
                <w:color w:val="4D4D4F"/>
              </w:rPr>
              <w:t>11 %</w:t>
            </w:r>
          </w:p>
        </w:tc>
      </w:tr>
      <w:tr>
        <w:trPr>
          <w:trHeight w:val="231"/>
        </w:trPr>
        <w:tc>
          <w:tcPr>
            <w:tcW w:w="1200" w:type="dxa"/>
            <w:vAlign w:val="bottom"/>
            <w:tcBorders>
              <w:bottom w:val="single" w:sz="8" w:color="298655"/>
            </w:tcBorders>
            <w:shd w:val="clear" w:color="auto" w:fill="EAEEF2"/>
          </w:tcPr>
          <w:p>
            <w:pPr>
              <w:ind w:left="100"/>
              <w:spacing w:after="0"/>
              <w:rPr>
                <w:sz w:val="20"/>
                <w:szCs w:val="20"/>
                <w:color w:val="auto"/>
              </w:rPr>
            </w:pPr>
            <w:r>
              <w:rPr>
                <w:rFonts w:ascii="Arial" w:cs="Arial" w:eastAsia="Arial" w:hAnsi="Arial"/>
                <w:sz w:val="14"/>
                <w:szCs w:val="14"/>
                <w:b w:val="1"/>
                <w:bCs w:val="1"/>
                <w:color w:val="4D4D4F"/>
              </w:rPr>
              <w:t>Rau</w:t>
            </w:r>
          </w:p>
        </w:tc>
        <w:tc>
          <w:tcPr>
            <w:tcW w:w="1660" w:type="dxa"/>
            <w:vAlign w:val="bottom"/>
            <w:tcBorders>
              <w:bottom w:val="single" w:sz="8" w:color="298655"/>
            </w:tcBorders>
            <w:shd w:val="clear" w:color="auto" w:fill="EAEEF2"/>
          </w:tcPr>
          <w:p>
            <w:pPr>
              <w:jc w:val="right"/>
              <w:ind w:right="248"/>
              <w:spacing w:after="0"/>
              <w:rPr>
                <w:sz w:val="20"/>
                <w:szCs w:val="20"/>
                <w:color w:val="auto"/>
              </w:rPr>
            </w:pPr>
            <w:r>
              <w:rPr>
                <w:rFonts w:ascii="Arial" w:cs="Arial" w:eastAsia="Arial" w:hAnsi="Arial"/>
                <w:sz w:val="14"/>
                <w:szCs w:val="14"/>
                <w:color w:val="4D4D4F"/>
              </w:rPr>
              <w:t>390,000</w:t>
            </w:r>
          </w:p>
        </w:tc>
        <w:tc>
          <w:tcPr>
            <w:tcW w:w="1240" w:type="dxa"/>
            <w:vAlign w:val="bottom"/>
            <w:tcBorders>
              <w:bottom w:val="single" w:sz="8" w:color="298655"/>
            </w:tcBorders>
            <w:shd w:val="clear" w:color="auto" w:fill="EAEEF2"/>
          </w:tcPr>
          <w:p>
            <w:pPr>
              <w:jc w:val="right"/>
              <w:ind w:right="88"/>
              <w:spacing w:after="0"/>
              <w:rPr>
                <w:sz w:val="20"/>
                <w:szCs w:val="20"/>
                <w:color w:val="auto"/>
              </w:rPr>
            </w:pPr>
            <w:r>
              <w:rPr>
                <w:rFonts w:ascii="Arial" w:cs="Arial" w:eastAsia="Arial" w:hAnsi="Arial"/>
                <w:sz w:val="14"/>
                <w:szCs w:val="14"/>
                <w:color w:val="4D4D4F"/>
              </w:rPr>
              <w:t>260,000</w:t>
            </w:r>
          </w:p>
        </w:tc>
        <w:tc>
          <w:tcPr>
            <w:tcW w:w="1300" w:type="dxa"/>
            <w:vAlign w:val="bottom"/>
            <w:tcBorders>
              <w:bottom w:val="single" w:sz="8" w:color="298655"/>
            </w:tcBorders>
            <w:shd w:val="clear" w:color="auto" w:fill="EAEEF2"/>
          </w:tcPr>
          <w:p>
            <w:pPr>
              <w:jc w:val="right"/>
              <w:spacing w:after="0"/>
              <w:rPr>
                <w:sz w:val="20"/>
                <w:szCs w:val="20"/>
                <w:color w:val="auto"/>
              </w:rPr>
            </w:pPr>
            <w:r>
              <w:rPr>
                <w:rFonts w:ascii="Arial" w:cs="Arial" w:eastAsia="Arial" w:hAnsi="Arial"/>
                <w:sz w:val="14"/>
                <w:szCs w:val="14"/>
                <w:color w:val="4D4D4F"/>
              </w:rPr>
              <w:t>650,000</w:t>
            </w:r>
          </w:p>
        </w:tc>
        <w:tc>
          <w:tcPr>
            <w:tcW w:w="1680" w:type="dxa"/>
            <w:vAlign w:val="bottom"/>
            <w:tcBorders>
              <w:bottom w:val="single" w:sz="8" w:color="298655"/>
            </w:tcBorders>
            <w:shd w:val="clear" w:color="auto" w:fill="DFEDE5"/>
          </w:tcPr>
          <w:p>
            <w:pPr>
              <w:jc w:val="right"/>
              <w:ind w:right="208"/>
              <w:spacing w:after="0"/>
              <w:rPr>
                <w:sz w:val="20"/>
                <w:szCs w:val="20"/>
                <w:color w:val="auto"/>
              </w:rPr>
            </w:pPr>
            <w:r>
              <w:rPr>
                <w:rFonts w:ascii="Arial" w:cs="Arial" w:eastAsia="Arial" w:hAnsi="Arial"/>
                <w:sz w:val="14"/>
                <w:szCs w:val="14"/>
                <w:color w:val="4D4D4F"/>
              </w:rPr>
              <w:t>450,000</w:t>
            </w:r>
          </w:p>
        </w:tc>
        <w:tc>
          <w:tcPr>
            <w:tcW w:w="1520" w:type="dxa"/>
            <w:vAlign w:val="bottom"/>
            <w:tcBorders>
              <w:bottom w:val="single" w:sz="8" w:color="298655"/>
            </w:tcBorders>
            <w:shd w:val="clear" w:color="auto" w:fill="DFEDE5"/>
          </w:tcPr>
          <w:p>
            <w:pPr>
              <w:jc w:val="right"/>
              <w:ind w:right="308"/>
              <w:spacing w:after="0"/>
              <w:rPr>
                <w:sz w:val="20"/>
                <w:szCs w:val="20"/>
                <w:color w:val="auto"/>
              </w:rPr>
            </w:pPr>
            <w:r>
              <w:rPr>
                <w:rFonts w:ascii="Arial" w:cs="Arial" w:eastAsia="Arial" w:hAnsi="Arial"/>
                <w:sz w:val="14"/>
                <w:szCs w:val="14"/>
                <w:color w:val="4D4D4F"/>
              </w:rPr>
              <w:t>300,000</w:t>
            </w:r>
          </w:p>
        </w:tc>
        <w:tc>
          <w:tcPr>
            <w:tcW w:w="1040" w:type="dxa"/>
            <w:vAlign w:val="bottom"/>
            <w:tcBorders>
              <w:bottom w:val="single" w:sz="8" w:color="298655"/>
            </w:tcBorders>
            <w:shd w:val="clear" w:color="auto" w:fill="DFEDE5"/>
          </w:tcPr>
          <w:p>
            <w:pPr>
              <w:jc w:val="right"/>
              <w:spacing w:after="0"/>
              <w:rPr>
                <w:sz w:val="20"/>
                <w:szCs w:val="20"/>
                <w:color w:val="auto"/>
              </w:rPr>
            </w:pPr>
            <w:r>
              <w:rPr>
                <w:rFonts w:ascii="Arial" w:cs="Arial" w:eastAsia="Arial" w:hAnsi="Arial"/>
                <w:sz w:val="14"/>
                <w:szCs w:val="14"/>
                <w:color w:val="4D4D4F"/>
              </w:rPr>
              <w:t>750,000</w:t>
            </w:r>
          </w:p>
        </w:tc>
        <w:tc>
          <w:tcPr>
            <w:tcW w:w="1600" w:type="dxa"/>
            <w:vAlign w:val="bottom"/>
            <w:tcBorders>
              <w:bottom w:val="single" w:sz="8" w:color="298655"/>
            </w:tcBorders>
            <w:shd w:val="clear" w:color="auto" w:fill="EAEEF2"/>
          </w:tcPr>
          <w:p>
            <w:pPr>
              <w:jc w:val="right"/>
              <w:ind w:right="48"/>
              <w:spacing w:after="0"/>
              <w:rPr>
                <w:sz w:val="20"/>
                <w:szCs w:val="20"/>
                <w:color w:val="auto"/>
              </w:rPr>
            </w:pPr>
            <w:r>
              <w:rPr>
                <w:rFonts w:ascii="Arial" w:cs="Arial" w:eastAsia="Arial" w:hAnsi="Arial"/>
                <w:sz w:val="14"/>
                <w:szCs w:val="14"/>
                <w:color w:val="4D4D4F"/>
              </w:rPr>
              <w:t>15 %</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2023 AIP Performance Determinations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Adjusted EBITDA Performance Assessment</w:t>
      </w:r>
    </w:p>
    <w:p>
      <w:pPr>
        <w:spacing w:after="0" w:line="127" w:lineRule="exact"/>
        <w:rPr>
          <w:sz w:val="20"/>
          <w:szCs w:val="20"/>
          <w:color w:val="auto"/>
        </w:rPr>
      </w:pPr>
    </w:p>
    <w:p>
      <w:pPr>
        <w:spacing w:after="0" w:line="295" w:lineRule="auto"/>
        <w:rPr>
          <w:sz w:val="20"/>
          <w:szCs w:val="20"/>
          <w:color w:val="auto"/>
        </w:rPr>
      </w:pPr>
      <w:r>
        <w:rPr>
          <w:rFonts w:ascii="Arial" w:cs="Arial" w:eastAsia="Arial" w:hAnsi="Arial"/>
          <w:sz w:val="16"/>
          <w:szCs w:val="16"/>
          <w:color w:val="4D4D4F"/>
        </w:rPr>
        <w:t>The process used to set annual adjusted EBITDA targets starts with a review of our plans and projections following bottom-up planning from the field. Adjusted EBITDA targets may increase or decrease year-over-year, taking into account, among other things, industry conditions in the markets we serve, our expectations about commodity prices and other costs related to the products and services we offer, our cash requirements and activity growth potential, as well as assumptions relating to our acquisition and divestiture activities.</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4D4D4F"/>
        </w:rPr>
        <w:t>For 2023, the target performance level was set at $390 million, with threshold level of performance set at 85% of target and maximum at 120%. A curvilinear approach was used to determine payouts between performance levels. Actual adjusted EBITDA for 2023 was determined to be $386.4 million (99% of target), resulting in an initial payout of approximately 91% of target for the adjusted EBITDA performance portion of the AIP.</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00" w:type="dxa"/>
            <w:vAlign w:val="bottom"/>
            <w:shd w:val="clear" w:color="auto" w:fill="132440"/>
          </w:tcPr>
          <w:p>
            <w:pPr>
              <w:ind w:left="120"/>
              <w:spacing w:after="0"/>
              <w:rPr>
                <w:sz w:val="20"/>
                <w:szCs w:val="20"/>
                <w:color w:val="auto"/>
              </w:rPr>
            </w:pPr>
            <w:r>
              <w:rPr>
                <w:rFonts w:ascii="Arial" w:cs="Arial" w:eastAsia="Arial" w:hAnsi="Arial"/>
                <w:sz w:val="14"/>
                <w:szCs w:val="14"/>
                <w:b w:val="1"/>
                <w:bCs w:val="1"/>
                <w:color w:val="FFFFFF"/>
              </w:rPr>
              <w:t>Performance Level</w:t>
            </w:r>
          </w:p>
        </w:tc>
        <w:tc>
          <w:tcPr>
            <w:tcW w:w="1940" w:type="dxa"/>
            <w:vAlign w:val="bottom"/>
            <w:shd w:val="clear" w:color="auto" w:fill="132440"/>
          </w:tcPr>
          <w:p>
            <w:pPr>
              <w:jc w:val="right"/>
              <w:ind w:right="368"/>
              <w:spacing w:after="0"/>
              <w:rPr>
                <w:sz w:val="20"/>
                <w:szCs w:val="20"/>
                <w:color w:val="auto"/>
              </w:rPr>
            </w:pPr>
            <w:r>
              <w:rPr>
                <w:rFonts w:ascii="Arial" w:cs="Arial" w:eastAsia="Arial" w:hAnsi="Arial"/>
                <w:sz w:val="14"/>
                <w:szCs w:val="14"/>
                <w:b w:val="1"/>
                <w:bCs w:val="1"/>
                <w:color w:val="FFFFFF"/>
              </w:rPr>
              <w:t>Threshold</w:t>
            </w:r>
          </w:p>
        </w:tc>
        <w:tc>
          <w:tcPr>
            <w:tcW w:w="1400" w:type="dxa"/>
            <w:vAlign w:val="bottom"/>
            <w:shd w:val="clear" w:color="auto" w:fill="132440"/>
          </w:tcPr>
          <w:p>
            <w:pPr>
              <w:jc w:val="right"/>
              <w:ind w:right="328"/>
              <w:spacing w:after="0"/>
              <w:rPr>
                <w:sz w:val="20"/>
                <w:szCs w:val="20"/>
                <w:color w:val="auto"/>
              </w:rPr>
            </w:pPr>
            <w:r>
              <w:rPr>
                <w:rFonts w:ascii="Arial" w:cs="Arial" w:eastAsia="Arial" w:hAnsi="Arial"/>
                <w:sz w:val="14"/>
                <w:szCs w:val="14"/>
                <w:b w:val="1"/>
                <w:bCs w:val="1"/>
                <w:color w:val="FFFFFF"/>
              </w:rPr>
              <w:t>Target</w:t>
            </w:r>
          </w:p>
        </w:tc>
        <w:tc>
          <w:tcPr>
            <w:tcW w:w="106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Maximum</w:t>
            </w:r>
          </w:p>
        </w:tc>
        <w:tc>
          <w:tcPr>
            <w:tcW w:w="1700" w:type="dxa"/>
            <w:vAlign w:val="bottom"/>
            <w:vMerge w:val="restart"/>
            <w:shd w:val="clear" w:color="auto" w:fill="298655"/>
          </w:tcPr>
          <w:p>
            <w:pPr>
              <w:jc w:val="right"/>
              <w:ind w:right="188"/>
              <w:spacing w:after="0"/>
              <w:rPr>
                <w:sz w:val="20"/>
                <w:szCs w:val="20"/>
                <w:color w:val="auto"/>
              </w:rPr>
            </w:pPr>
            <w:r>
              <w:rPr>
                <w:rFonts w:ascii="Arial" w:cs="Arial" w:eastAsia="Arial" w:hAnsi="Arial"/>
                <w:sz w:val="14"/>
                <w:szCs w:val="14"/>
                <w:b w:val="1"/>
                <w:bCs w:val="1"/>
                <w:color w:val="FFFFFF"/>
              </w:rPr>
              <w:t xml:space="preserve">Actual </w:t>
            </w:r>
            <w:r>
              <w:rPr>
                <w:rFonts w:ascii="Arial" w:cs="Arial" w:eastAsia="Arial" w:hAnsi="Arial"/>
                <w:sz w:val="18"/>
                <w:szCs w:val="18"/>
                <w:b w:val="1"/>
                <w:bCs w:val="1"/>
                <w:color w:val="FFFFFF"/>
                <w:vertAlign w:val="superscript"/>
              </w:rPr>
              <w:t>(1)</w:t>
            </w:r>
          </w:p>
        </w:tc>
        <w:tc>
          <w:tcPr>
            <w:tcW w:w="1840" w:type="dxa"/>
            <w:vAlign w:val="bottom"/>
            <w:shd w:val="clear" w:color="auto" w:fill="298655"/>
          </w:tcPr>
          <w:p>
            <w:pPr>
              <w:jc w:val="right"/>
              <w:ind w:right="448"/>
              <w:spacing w:after="0"/>
              <w:rPr>
                <w:sz w:val="20"/>
                <w:szCs w:val="20"/>
                <w:color w:val="auto"/>
              </w:rPr>
            </w:pPr>
            <w:r>
              <w:rPr>
                <w:rFonts w:ascii="Arial" w:cs="Arial" w:eastAsia="Arial" w:hAnsi="Arial"/>
                <w:sz w:val="14"/>
                <w:szCs w:val="14"/>
                <w:b w:val="1"/>
                <w:bCs w:val="1"/>
                <w:color w:val="FFFFFF"/>
              </w:rPr>
              <w:t>Achievement %</w:t>
            </w:r>
          </w:p>
        </w:tc>
        <w:tc>
          <w:tcPr>
            <w:tcW w:w="1100" w:type="dxa"/>
            <w:vAlign w:val="bottom"/>
            <w:shd w:val="clear" w:color="auto" w:fill="298655"/>
          </w:tcPr>
          <w:p>
            <w:pPr>
              <w:jc w:val="right"/>
              <w:ind w:right="48"/>
              <w:spacing w:after="0"/>
              <w:rPr>
                <w:sz w:val="20"/>
                <w:szCs w:val="20"/>
                <w:color w:val="auto"/>
              </w:rPr>
            </w:pPr>
            <w:r>
              <w:rPr>
                <w:rFonts w:ascii="Arial" w:cs="Arial" w:eastAsia="Arial" w:hAnsi="Arial"/>
                <w:sz w:val="14"/>
                <w:szCs w:val="14"/>
                <w:b w:val="1"/>
                <w:bCs w:val="1"/>
                <w:color w:val="FFFFFF"/>
              </w:rPr>
              <w:t>Payout</w:t>
            </w:r>
          </w:p>
        </w:tc>
        <w:tc>
          <w:tcPr>
            <w:tcW w:w="0" w:type="dxa"/>
            <w:vAlign w:val="bottom"/>
          </w:tcPr>
          <w:p>
            <w:pPr>
              <w:spacing w:after="0"/>
              <w:rPr>
                <w:sz w:val="1"/>
                <w:szCs w:val="1"/>
                <w:color w:val="auto"/>
              </w:rPr>
            </w:pPr>
          </w:p>
        </w:tc>
      </w:tr>
      <w:tr>
        <w:trPr>
          <w:trHeight w:val="212"/>
        </w:trPr>
        <w:tc>
          <w:tcPr>
            <w:tcW w:w="2200" w:type="dxa"/>
            <w:vAlign w:val="bottom"/>
            <w:shd w:val="clear" w:color="auto" w:fill="132440"/>
          </w:tcPr>
          <w:p>
            <w:pPr>
              <w:ind w:left="120"/>
              <w:spacing w:after="0"/>
              <w:rPr>
                <w:sz w:val="20"/>
                <w:szCs w:val="20"/>
                <w:color w:val="auto"/>
              </w:rPr>
            </w:pPr>
            <w:r>
              <w:rPr>
                <w:rFonts w:ascii="Arial" w:cs="Arial" w:eastAsia="Arial" w:hAnsi="Arial"/>
                <w:sz w:val="14"/>
                <w:szCs w:val="14"/>
                <w:b w:val="1"/>
                <w:bCs w:val="1"/>
                <w:color w:val="FFFFFF"/>
              </w:rPr>
              <w:t>(Payout %)</w:t>
            </w:r>
          </w:p>
        </w:tc>
        <w:tc>
          <w:tcPr>
            <w:tcW w:w="1940" w:type="dxa"/>
            <w:vAlign w:val="bottom"/>
            <w:shd w:val="clear" w:color="auto" w:fill="132440"/>
          </w:tcPr>
          <w:p>
            <w:pPr>
              <w:jc w:val="right"/>
              <w:ind w:right="368"/>
              <w:spacing w:after="0"/>
              <w:rPr>
                <w:sz w:val="20"/>
                <w:szCs w:val="20"/>
                <w:color w:val="auto"/>
              </w:rPr>
            </w:pPr>
            <w:r>
              <w:rPr>
                <w:rFonts w:ascii="Arial" w:cs="Arial" w:eastAsia="Arial" w:hAnsi="Arial"/>
                <w:sz w:val="14"/>
                <w:szCs w:val="14"/>
                <w:b w:val="1"/>
                <w:bCs w:val="1"/>
                <w:color w:val="FFFFFF"/>
              </w:rPr>
              <w:t>(35%)</w:t>
            </w:r>
          </w:p>
        </w:tc>
        <w:tc>
          <w:tcPr>
            <w:tcW w:w="1400" w:type="dxa"/>
            <w:vAlign w:val="bottom"/>
            <w:shd w:val="clear" w:color="auto" w:fill="132440"/>
          </w:tcPr>
          <w:p>
            <w:pPr>
              <w:jc w:val="right"/>
              <w:ind w:right="328"/>
              <w:spacing w:after="0"/>
              <w:rPr>
                <w:sz w:val="20"/>
                <w:szCs w:val="20"/>
                <w:color w:val="auto"/>
              </w:rPr>
            </w:pPr>
            <w:r>
              <w:rPr>
                <w:rFonts w:ascii="Arial" w:cs="Arial" w:eastAsia="Arial" w:hAnsi="Arial"/>
                <w:sz w:val="14"/>
                <w:szCs w:val="14"/>
                <w:b w:val="1"/>
                <w:bCs w:val="1"/>
                <w:color w:val="FFFFFF"/>
              </w:rPr>
              <w:t>(100%)</w:t>
            </w:r>
          </w:p>
        </w:tc>
        <w:tc>
          <w:tcPr>
            <w:tcW w:w="106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(200%)</w:t>
            </w:r>
          </w:p>
        </w:tc>
        <w:tc>
          <w:tcPr>
            <w:tcW w:w="1700" w:type="dxa"/>
            <w:vAlign w:val="bottom"/>
            <w:vMerge w:val="continue"/>
            <w:shd w:val="clear" w:color="auto" w:fill="298655"/>
          </w:tcPr>
          <w:p>
            <w:pPr>
              <w:spacing w:after="0"/>
              <w:rPr>
                <w:sz w:val="18"/>
                <w:szCs w:val="18"/>
                <w:color w:val="auto"/>
              </w:rPr>
            </w:pPr>
          </w:p>
        </w:tc>
        <w:tc>
          <w:tcPr>
            <w:tcW w:w="1840" w:type="dxa"/>
            <w:vAlign w:val="bottom"/>
            <w:shd w:val="clear" w:color="auto" w:fill="298655"/>
          </w:tcPr>
          <w:p>
            <w:pPr>
              <w:jc w:val="right"/>
              <w:ind w:right="448"/>
              <w:spacing w:after="0"/>
              <w:rPr>
                <w:sz w:val="20"/>
                <w:szCs w:val="20"/>
                <w:color w:val="auto"/>
              </w:rPr>
            </w:pPr>
            <w:r>
              <w:rPr>
                <w:rFonts w:ascii="Arial" w:cs="Arial" w:eastAsia="Arial" w:hAnsi="Arial"/>
                <w:sz w:val="14"/>
                <w:szCs w:val="14"/>
                <w:b w:val="1"/>
                <w:bCs w:val="1"/>
                <w:color w:val="FFFFFF"/>
              </w:rPr>
              <w:t>(vs. Target)</w:t>
            </w:r>
          </w:p>
        </w:tc>
        <w:tc>
          <w:tcPr>
            <w:tcW w:w="1100" w:type="dxa"/>
            <w:vAlign w:val="bottom"/>
            <w:shd w:val="clear" w:color="auto" w:fill="298655"/>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3"/>
        </w:trPr>
        <w:tc>
          <w:tcPr>
            <w:tcW w:w="2200" w:type="dxa"/>
            <w:vAlign w:val="bottom"/>
            <w:shd w:val="clear" w:color="auto" w:fill="EAEEF2"/>
          </w:tcPr>
          <w:p>
            <w:pPr>
              <w:ind w:left="120"/>
              <w:spacing w:after="0"/>
              <w:rPr>
                <w:sz w:val="20"/>
                <w:szCs w:val="20"/>
                <w:color w:val="auto"/>
              </w:rPr>
            </w:pPr>
            <w:r>
              <w:rPr>
                <w:rFonts w:ascii="Arial" w:cs="Arial" w:eastAsia="Arial" w:hAnsi="Arial"/>
                <w:sz w:val="14"/>
                <w:szCs w:val="14"/>
                <w:b w:val="1"/>
                <w:bCs w:val="1"/>
                <w:color w:val="4D4D4F"/>
              </w:rPr>
              <w:t>Adjusted EBITDA</w:t>
            </w:r>
          </w:p>
        </w:tc>
        <w:tc>
          <w:tcPr>
            <w:tcW w:w="1940" w:type="dxa"/>
            <w:vAlign w:val="bottom"/>
            <w:shd w:val="clear" w:color="auto" w:fill="EAEEF2"/>
          </w:tcPr>
          <w:p>
            <w:pPr>
              <w:jc w:val="right"/>
              <w:ind w:right="368"/>
              <w:spacing w:after="0"/>
              <w:rPr>
                <w:sz w:val="20"/>
                <w:szCs w:val="20"/>
                <w:color w:val="auto"/>
              </w:rPr>
            </w:pPr>
            <w:r>
              <w:rPr>
                <w:rFonts w:ascii="Arial" w:cs="Arial" w:eastAsia="Arial" w:hAnsi="Arial"/>
                <w:sz w:val="14"/>
                <w:szCs w:val="14"/>
                <w:color w:val="4D4D4F"/>
              </w:rPr>
              <w:t>$331.5M</w:t>
            </w:r>
          </w:p>
        </w:tc>
        <w:tc>
          <w:tcPr>
            <w:tcW w:w="1400" w:type="dxa"/>
            <w:vAlign w:val="bottom"/>
            <w:shd w:val="clear" w:color="auto" w:fill="EAEEF2"/>
          </w:tcPr>
          <w:p>
            <w:pPr>
              <w:jc w:val="right"/>
              <w:ind w:right="328"/>
              <w:spacing w:after="0"/>
              <w:rPr>
                <w:sz w:val="20"/>
                <w:szCs w:val="20"/>
                <w:color w:val="auto"/>
              </w:rPr>
            </w:pPr>
            <w:r>
              <w:rPr>
                <w:rFonts w:ascii="Arial" w:cs="Arial" w:eastAsia="Arial" w:hAnsi="Arial"/>
                <w:sz w:val="14"/>
                <w:szCs w:val="14"/>
                <w:color w:val="4D4D4F"/>
              </w:rPr>
              <w:t>$390.0M</w:t>
            </w:r>
          </w:p>
        </w:tc>
        <w:tc>
          <w:tcPr>
            <w:tcW w:w="1060" w:type="dxa"/>
            <w:vAlign w:val="bottom"/>
            <w:shd w:val="clear" w:color="auto" w:fill="EAEEF2"/>
          </w:tcPr>
          <w:p>
            <w:pPr>
              <w:jc w:val="right"/>
              <w:spacing w:after="0"/>
              <w:rPr>
                <w:sz w:val="20"/>
                <w:szCs w:val="20"/>
                <w:color w:val="auto"/>
              </w:rPr>
            </w:pPr>
            <w:r>
              <w:rPr>
                <w:rFonts w:ascii="Arial" w:cs="Arial" w:eastAsia="Arial" w:hAnsi="Arial"/>
                <w:sz w:val="14"/>
                <w:szCs w:val="14"/>
                <w:color w:val="4D4D4F"/>
              </w:rPr>
              <w:t>$468.0M</w:t>
            </w:r>
          </w:p>
        </w:tc>
        <w:tc>
          <w:tcPr>
            <w:tcW w:w="1700" w:type="dxa"/>
            <w:vAlign w:val="bottom"/>
            <w:vMerge w:val="restart"/>
            <w:shd w:val="clear" w:color="auto" w:fill="DFEDE5"/>
          </w:tcPr>
          <w:p>
            <w:pPr>
              <w:jc w:val="right"/>
              <w:ind w:right="188"/>
              <w:spacing w:after="0"/>
              <w:rPr>
                <w:sz w:val="20"/>
                <w:szCs w:val="20"/>
                <w:color w:val="auto"/>
              </w:rPr>
            </w:pPr>
            <w:r>
              <w:rPr>
                <w:rFonts w:ascii="Arial" w:cs="Arial" w:eastAsia="Arial" w:hAnsi="Arial"/>
                <w:sz w:val="14"/>
                <w:szCs w:val="14"/>
                <w:color w:val="4D4D4F"/>
              </w:rPr>
              <w:t>$386.4M</w:t>
            </w:r>
          </w:p>
        </w:tc>
        <w:tc>
          <w:tcPr>
            <w:tcW w:w="1840" w:type="dxa"/>
            <w:vAlign w:val="bottom"/>
            <w:vMerge w:val="restart"/>
            <w:shd w:val="clear" w:color="auto" w:fill="DFEDE5"/>
          </w:tcPr>
          <w:p>
            <w:pPr>
              <w:jc w:val="right"/>
              <w:ind w:right="448"/>
              <w:spacing w:after="0"/>
              <w:rPr>
                <w:sz w:val="20"/>
                <w:szCs w:val="20"/>
                <w:color w:val="auto"/>
              </w:rPr>
            </w:pPr>
            <w:r>
              <w:rPr>
                <w:rFonts w:ascii="Arial" w:cs="Arial" w:eastAsia="Arial" w:hAnsi="Arial"/>
                <w:sz w:val="14"/>
                <w:szCs w:val="14"/>
                <w:color w:val="4D4D4F"/>
              </w:rPr>
              <w:t>99 %</w:t>
            </w:r>
          </w:p>
        </w:tc>
        <w:tc>
          <w:tcPr>
            <w:tcW w:w="1100" w:type="dxa"/>
            <w:vAlign w:val="bottom"/>
            <w:vMerge w:val="restart"/>
            <w:shd w:val="clear" w:color="auto" w:fill="DFEDE5"/>
          </w:tcPr>
          <w:p>
            <w:pPr>
              <w:jc w:val="right"/>
              <w:ind w:right="48"/>
              <w:spacing w:after="0"/>
              <w:rPr>
                <w:sz w:val="20"/>
                <w:szCs w:val="20"/>
                <w:color w:val="auto"/>
              </w:rPr>
            </w:pPr>
            <w:r>
              <w:rPr>
                <w:rFonts w:ascii="Arial" w:cs="Arial" w:eastAsia="Arial" w:hAnsi="Arial"/>
                <w:sz w:val="14"/>
                <w:szCs w:val="14"/>
                <w:color w:val="4D4D4F"/>
              </w:rPr>
              <w:t>91 %</w:t>
            </w:r>
          </w:p>
        </w:tc>
        <w:tc>
          <w:tcPr>
            <w:tcW w:w="0" w:type="dxa"/>
            <w:vAlign w:val="bottom"/>
          </w:tcPr>
          <w:p>
            <w:pPr>
              <w:spacing w:after="0"/>
              <w:rPr>
                <w:sz w:val="1"/>
                <w:szCs w:val="1"/>
                <w:color w:val="auto"/>
              </w:rPr>
            </w:pPr>
          </w:p>
        </w:tc>
      </w:tr>
      <w:tr>
        <w:trPr>
          <w:trHeight w:val="109"/>
        </w:trPr>
        <w:tc>
          <w:tcPr>
            <w:tcW w:w="2200" w:type="dxa"/>
            <w:vAlign w:val="bottom"/>
            <w:vMerge w:val="restart"/>
            <w:shd w:val="clear" w:color="auto" w:fill="EAEEF2"/>
          </w:tcPr>
          <w:p>
            <w:pPr>
              <w:ind w:left="120"/>
              <w:spacing w:after="0"/>
              <w:rPr>
                <w:sz w:val="20"/>
                <w:szCs w:val="20"/>
                <w:color w:val="auto"/>
              </w:rPr>
            </w:pPr>
            <w:r>
              <w:rPr>
                <w:rFonts w:ascii="Arial" w:cs="Arial" w:eastAsia="Arial" w:hAnsi="Arial"/>
                <w:sz w:val="14"/>
                <w:szCs w:val="14"/>
                <w:b w:val="1"/>
                <w:bCs w:val="1"/>
                <w:color w:val="4D4D4F"/>
              </w:rPr>
              <w:t>(% of Target)</w:t>
            </w:r>
          </w:p>
        </w:tc>
        <w:tc>
          <w:tcPr>
            <w:tcW w:w="1940" w:type="dxa"/>
            <w:vAlign w:val="bottom"/>
            <w:vMerge w:val="restart"/>
            <w:shd w:val="clear" w:color="auto" w:fill="EAEEF2"/>
          </w:tcPr>
          <w:p>
            <w:pPr>
              <w:jc w:val="right"/>
              <w:ind w:right="368"/>
              <w:spacing w:after="0"/>
              <w:rPr>
                <w:sz w:val="20"/>
                <w:szCs w:val="20"/>
                <w:color w:val="auto"/>
              </w:rPr>
            </w:pPr>
            <w:r>
              <w:rPr>
                <w:rFonts w:ascii="Arial" w:cs="Arial" w:eastAsia="Arial" w:hAnsi="Arial"/>
                <w:sz w:val="14"/>
                <w:szCs w:val="14"/>
                <w:color w:val="4D4D4F"/>
              </w:rPr>
              <w:t>(80%)</w:t>
            </w:r>
          </w:p>
        </w:tc>
        <w:tc>
          <w:tcPr>
            <w:tcW w:w="1400" w:type="dxa"/>
            <w:vAlign w:val="bottom"/>
            <w:vMerge w:val="restart"/>
            <w:shd w:val="clear" w:color="auto" w:fill="EAEEF2"/>
          </w:tcPr>
          <w:p>
            <w:pPr>
              <w:jc w:val="right"/>
              <w:ind w:right="328"/>
              <w:spacing w:after="0"/>
              <w:rPr>
                <w:sz w:val="20"/>
                <w:szCs w:val="20"/>
                <w:color w:val="auto"/>
              </w:rPr>
            </w:pPr>
            <w:r>
              <w:rPr>
                <w:rFonts w:ascii="Arial" w:cs="Arial" w:eastAsia="Arial" w:hAnsi="Arial"/>
                <w:sz w:val="14"/>
                <w:szCs w:val="14"/>
                <w:color w:val="4D4D4F"/>
              </w:rPr>
              <w:t>(100%)</w:t>
            </w:r>
          </w:p>
        </w:tc>
        <w:tc>
          <w:tcPr>
            <w:tcW w:w="1060" w:type="dxa"/>
            <w:vAlign w:val="bottom"/>
            <w:vMerge w:val="restart"/>
            <w:shd w:val="clear" w:color="auto" w:fill="EAEEF2"/>
          </w:tcPr>
          <w:p>
            <w:pPr>
              <w:jc w:val="right"/>
              <w:spacing w:after="0"/>
              <w:rPr>
                <w:sz w:val="20"/>
                <w:szCs w:val="20"/>
                <w:color w:val="auto"/>
              </w:rPr>
            </w:pPr>
            <w:r>
              <w:rPr>
                <w:rFonts w:ascii="Arial" w:cs="Arial" w:eastAsia="Arial" w:hAnsi="Arial"/>
                <w:sz w:val="14"/>
                <w:szCs w:val="14"/>
                <w:color w:val="4D4D4F"/>
              </w:rPr>
              <w:t>(120%)</w:t>
            </w:r>
          </w:p>
        </w:tc>
        <w:tc>
          <w:tcPr>
            <w:tcW w:w="1700" w:type="dxa"/>
            <w:vAlign w:val="bottom"/>
            <w:vMerge w:val="continue"/>
            <w:shd w:val="clear" w:color="auto" w:fill="DFEDE5"/>
          </w:tcPr>
          <w:p>
            <w:pPr>
              <w:spacing w:after="0"/>
              <w:rPr>
                <w:sz w:val="9"/>
                <w:szCs w:val="9"/>
                <w:color w:val="auto"/>
              </w:rPr>
            </w:pPr>
          </w:p>
        </w:tc>
        <w:tc>
          <w:tcPr>
            <w:tcW w:w="1840" w:type="dxa"/>
            <w:vAlign w:val="bottom"/>
            <w:vMerge w:val="continue"/>
            <w:shd w:val="clear" w:color="auto" w:fill="DFEDE5"/>
          </w:tcPr>
          <w:p>
            <w:pPr>
              <w:spacing w:after="0"/>
              <w:rPr>
                <w:sz w:val="9"/>
                <w:szCs w:val="9"/>
                <w:color w:val="auto"/>
              </w:rPr>
            </w:pPr>
          </w:p>
        </w:tc>
        <w:tc>
          <w:tcPr>
            <w:tcW w:w="1100" w:type="dxa"/>
            <w:vAlign w:val="bottom"/>
            <w:vMerge w:val="continue"/>
            <w:shd w:val="clear" w:color="auto" w:fill="DFEDE5"/>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200" w:type="dxa"/>
            <w:vAlign w:val="bottom"/>
            <w:tcBorders>
              <w:bottom w:val="single" w:sz="8" w:color="EAEEF2"/>
            </w:tcBorders>
            <w:vMerge w:val="continue"/>
            <w:shd w:val="clear" w:color="auto" w:fill="EAEEF2"/>
          </w:tcPr>
          <w:p>
            <w:pPr>
              <w:spacing w:after="0"/>
              <w:rPr>
                <w:sz w:val="8"/>
                <w:szCs w:val="8"/>
                <w:color w:val="auto"/>
              </w:rPr>
            </w:pPr>
          </w:p>
        </w:tc>
        <w:tc>
          <w:tcPr>
            <w:tcW w:w="1940" w:type="dxa"/>
            <w:vAlign w:val="bottom"/>
            <w:tcBorders>
              <w:bottom w:val="single" w:sz="8" w:color="EAEEF2"/>
            </w:tcBorders>
            <w:vMerge w:val="continue"/>
            <w:shd w:val="clear" w:color="auto" w:fill="EAEEF2"/>
          </w:tcPr>
          <w:p>
            <w:pPr>
              <w:spacing w:after="0"/>
              <w:rPr>
                <w:sz w:val="8"/>
                <w:szCs w:val="8"/>
                <w:color w:val="auto"/>
              </w:rPr>
            </w:pPr>
          </w:p>
        </w:tc>
        <w:tc>
          <w:tcPr>
            <w:tcW w:w="1400" w:type="dxa"/>
            <w:vAlign w:val="bottom"/>
            <w:tcBorders>
              <w:bottom w:val="single" w:sz="8" w:color="EAEEF2"/>
            </w:tcBorders>
            <w:vMerge w:val="continue"/>
            <w:shd w:val="clear" w:color="auto" w:fill="EAEEF2"/>
          </w:tcPr>
          <w:p>
            <w:pPr>
              <w:spacing w:after="0"/>
              <w:rPr>
                <w:sz w:val="8"/>
                <w:szCs w:val="8"/>
                <w:color w:val="auto"/>
              </w:rPr>
            </w:pPr>
          </w:p>
        </w:tc>
        <w:tc>
          <w:tcPr>
            <w:tcW w:w="1060" w:type="dxa"/>
            <w:vAlign w:val="bottom"/>
            <w:tcBorders>
              <w:bottom w:val="single" w:sz="8" w:color="EAEEF2"/>
            </w:tcBorders>
            <w:vMerge w:val="continue"/>
            <w:shd w:val="clear" w:color="auto" w:fill="EAEEF2"/>
          </w:tcPr>
          <w:p>
            <w:pPr>
              <w:spacing w:after="0"/>
              <w:rPr>
                <w:sz w:val="8"/>
                <w:szCs w:val="8"/>
                <w:color w:val="auto"/>
              </w:rPr>
            </w:pPr>
          </w:p>
        </w:tc>
        <w:tc>
          <w:tcPr>
            <w:tcW w:w="1700" w:type="dxa"/>
            <w:vAlign w:val="bottom"/>
            <w:tcBorders>
              <w:bottom w:val="single" w:sz="8" w:color="DFEDE5"/>
            </w:tcBorders>
            <w:shd w:val="clear" w:color="auto" w:fill="DFEDE5"/>
          </w:tcPr>
          <w:p>
            <w:pPr>
              <w:spacing w:after="0"/>
              <w:rPr>
                <w:sz w:val="8"/>
                <w:szCs w:val="8"/>
                <w:color w:val="auto"/>
              </w:rPr>
            </w:pPr>
          </w:p>
        </w:tc>
        <w:tc>
          <w:tcPr>
            <w:tcW w:w="1840" w:type="dxa"/>
            <w:vAlign w:val="bottom"/>
            <w:tcBorders>
              <w:bottom w:val="single" w:sz="8" w:color="DFEDE5"/>
            </w:tcBorders>
            <w:shd w:val="clear" w:color="auto" w:fill="DFEDE5"/>
          </w:tcPr>
          <w:p>
            <w:pPr>
              <w:spacing w:after="0"/>
              <w:rPr>
                <w:sz w:val="8"/>
                <w:szCs w:val="8"/>
                <w:color w:val="auto"/>
              </w:rPr>
            </w:pPr>
          </w:p>
        </w:tc>
        <w:tc>
          <w:tcPr>
            <w:tcW w:w="1100" w:type="dxa"/>
            <w:vAlign w:val="bottom"/>
            <w:tcBorders>
              <w:bottom w:val="single" w:sz="8" w:color="DFEDE5"/>
            </w:tcBorders>
            <w:shd w:val="clear" w:color="auto" w:fill="DFEDE5"/>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00" w:type="dxa"/>
            <w:vAlign w:val="bottom"/>
            <w:shd w:val="clear" w:color="auto" w:fill="298655"/>
          </w:tcPr>
          <w:p>
            <w:pPr>
              <w:spacing w:after="0" w:line="20" w:lineRule="exact"/>
              <w:rPr>
                <w:sz w:val="1"/>
                <w:szCs w:val="1"/>
                <w:color w:val="auto"/>
              </w:rPr>
            </w:pPr>
          </w:p>
        </w:tc>
        <w:tc>
          <w:tcPr>
            <w:tcW w:w="1940" w:type="dxa"/>
            <w:vAlign w:val="bottom"/>
            <w:shd w:val="clear" w:color="auto" w:fill="298655"/>
          </w:tcPr>
          <w:p>
            <w:pPr>
              <w:spacing w:after="0" w:line="20" w:lineRule="exact"/>
              <w:rPr>
                <w:sz w:val="1"/>
                <w:szCs w:val="1"/>
                <w:color w:val="auto"/>
              </w:rPr>
            </w:pPr>
          </w:p>
        </w:tc>
        <w:tc>
          <w:tcPr>
            <w:tcW w:w="1400" w:type="dxa"/>
            <w:vAlign w:val="bottom"/>
            <w:shd w:val="clear" w:color="auto" w:fill="298655"/>
          </w:tcPr>
          <w:p>
            <w:pPr>
              <w:spacing w:after="0" w:line="20" w:lineRule="exact"/>
              <w:rPr>
                <w:sz w:val="1"/>
                <w:szCs w:val="1"/>
                <w:color w:val="auto"/>
              </w:rPr>
            </w:pPr>
          </w:p>
        </w:tc>
        <w:tc>
          <w:tcPr>
            <w:tcW w:w="1060" w:type="dxa"/>
            <w:vAlign w:val="bottom"/>
            <w:shd w:val="clear" w:color="auto" w:fill="298655"/>
          </w:tcPr>
          <w:p>
            <w:pPr>
              <w:spacing w:after="0" w:line="20" w:lineRule="exact"/>
              <w:rPr>
                <w:sz w:val="1"/>
                <w:szCs w:val="1"/>
                <w:color w:val="auto"/>
              </w:rPr>
            </w:pPr>
          </w:p>
        </w:tc>
        <w:tc>
          <w:tcPr>
            <w:tcW w:w="1700" w:type="dxa"/>
            <w:vAlign w:val="bottom"/>
            <w:shd w:val="clear" w:color="auto" w:fill="298655"/>
          </w:tcPr>
          <w:p>
            <w:pPr>
              <w:spacing w:after="0" w:line="20" w:lineRule="exact"/>
              <w:rPr>
                <w:sz w:val="1"/>
                <w:szCs w:val="1"/>
                <w:color w:val="auto"/>
              </w:rPr>
            </w:pPr>
          </w:p>
        </w:tc>
        <w:tc>
          <w:tcPr>
            <w:tcW w:w="1840" w:type="dxa"/>
            <w:vAlign w:val="bottom"/>
            <w:shd w:val="clear" w:color="auto" w:fill="298655"/>
          </w:tcPr>
          <w:p>
            <w:pPr>
              <w:spacing w:after="0" w:line="20" w:lineRule="exact"/>
              <w:rPr>
                <w:sz w:val="1"/>
                <w:szCs w:val="1"/>
                <w:color w:val="auto"/>
              </w:rPr>
            </w:pPr>
          </w:p>
        </w:tc>
        <w:tc>
          <w:tcPr>
            <w:tcW w:w="1100" w:type="dxa"/>
            <w:vAlign w:val="bottom"/>
            <w:shd w:val="clear" w:color="auto" w:fill="29865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500" w:hanging="330"/>
        <w:spacing w:after="0" w:line="267" w:lineRule="auto"/>
        <w:tabs>
          <w:tab w:leader="none" w:pos="498" w:val="left"/>
        </w:tabs>
        <w:numPr>
          <w:ilvl w:val="0"/>
          <w:numId w:val="82"/>
        </w:numPr>
        <w:rPr>
          <w:rFonts w:ascii="Arial" w:cs="Arial" w:eastAsia="Arial" w:hAnsi="Arial"/>
          <w:sz w:val="14"/>
          <w:szCs w:val="14"/>
          <w:color w:val="4D4D4F"/>
        </w:rPr>
      </w:pPr>
      <w:r>
        <w:rPr>
          <w:rFonts w:ascii="Arial" w:cs="Arial" w:eastAsia="Arial" w:hAnsi="Arial"/>
          <w:sz w:val="14"/>
          <w:szCs w:val="14"/>
          <w:color w:val="4D4D4F"/>
        </w:rPr>
        <w:t>Represents adjusted EBITDA, as reported by the Company in its earnings release for year ended December 31, 2023 which was furnished to the SEC with our Form 8-K on February 22, 2023. Please refer to such Form 8-K for the calculation of adjusted EBITDA. For 2023, adjusted EBITDA is defined as net income (loss) excluding the impact of interest, income taxes, and depreciation and amortization, in addition to acquisition and divestiture related expenses, restructuring charges, impairments, gains or losses on sale of businesses, integration costs, non-operating legal settlements and costs associated with the Finnish bid error, as described in the Company’s filings with the SEC. The Compensation Committee did not make any additional discretionary adjustments to adjusted EBITDA performance for 2023.</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Strategic Objectives Performance Assessment</w:t>
      </w:r>
    </w:p>
    <w:p>
      <w:pPr>
        <w:spacing w:after="0" w:line="12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4D4D4F"/>
        </w:rPr>
        <w:t>The Compensation Committee also rewards NEOs based on the achievement of certain pre-established qualitative and quantitative objectives that support key strategic and operational areas of focus. The cash amount payable for strategic objectives in 2023 represents up to 40% of the target AIP award for each NEO and cannot exceed that amount.</w:t>
      </w:r>
    </w:p>
    <w:p>
      <w:pPr>
        <w:spacing w:after="0" w:line="11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4D4D4F"/>
        </w:rPr>
        <w:t>For 2023, the Compensation Committee established five operational objectives and four financial objectives for the Company for the AIP, which applied to all NEOs. There were no specific weightings assigned to the strategic objectives and no single strategic objective was material to the determination of the overall level of achievement. Performance against the objectives was measured throughout the year and reported to the Compensation Committee.</w:t>
      </w:r>
    </w:p>
    <w:p>
      <w:pPr>
        <w:spacing w:after="0" w:line="11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4D4D4F"/>
        </w:rPr>
        <w:t>The Compensation Committee evaluated performance against the operational and financial objectives and, based on that evaluation, assigned an overall rating for each objective. The ratings of “Did Not Meet Expectations,” “Partially Met Expectations,” “Mostly Met Expectations” and “Met Expectations” each correspond to a payout percentage for that objective ranging from 0% to 100%, with overall payout for the strategic objectives capped at a maximum of 100%. The Compensation Committee approved a payout at 78% of target for each of the NEOs (out of a maximum of 100%), which aligned to the straight average of the objective payout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53</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6" w:name="page57"/>
    <w:bookmarkEnd w:id="56"/>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4D4D4F"/>
        </w:rPr>
        <w:t>The strategic objectives, along with achievements and Compensation Committee assessment,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454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FFFFFF"/>
        </w:rPr>
        <w:t>2023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734310" cy="4718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734310" cy="47180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2023 Objectives</w:t>
      </w:r>
    </w:p>
    <w:p>
      <w:pPr>
        <w:spacing w:after="0" w:line="163" w:lineRule="exact"/>
        <w:rPr>
          <w:sz w:val="20"/>
          <w:szCs w:val="20"/>
          <w:color w:val="auto"/>
        </w:rPr>
      </w:pPr>
    </w:p>
    <w:p>
      <w:pPr>
        <w:ind w:left="100"/>
        <w:spacing w:after="0"/>
        <w:tabs>
          <w:tab w:leader="none" w:pos="1400" w:val="left"/>
          <w:tab w:leader="none" w:pos="1720" w:val="left"/>
        </w:tabs>
        <w:rPr>
          <w:sz w:val="20"/>
          <w:szCs w:val="20"/>
          <w:color w:val="auto"/>
        </w:rPr>
      </w:pPr>
      <w:r>
        <w:rPr>
          <w:rFonts w:ascii="Arial" w:cs="Arial" w:eastAsia="Arial" w:hAnsi="Arial"/>
          <w:sz w:val="14"/>
          <w:szCs w:val="14"/>
          <w:b w:val="1"/>
          <w:bCs w:val="1"/>
          <w:color w:val="4D4D4F"/>
        </w:rPr>
        <w:t>Operational</w:t>
      </w:r>
      <w:r>
        <w:rPr>
          <w:sz w:val="20"/>
          <w:szCs w:val="20"/>
          <w:color w:val="auto"/>
        </w:rPr>
        <w:tab/>
      </w:r>
      <w:r>
        <w:rPr>
          <w:rFonts w:ascii="Arial" w:cs="Arial" w:eastAsia="Arial" w:hAnsi="Arial"/>
          <w:sz w:val="14"/>
          <w:szCs w:val="14"/>
          <w:color w:val="4D4D4F"/>
        </w:rPr>
        <w:t>1.</w:t>
        <w:tab/>
        <w:t>Completion of structured resource</w:t>
      </w:r>
    </w:p>
    <w:p>
      <w:pPr>
        <w:spacing w:after="0" w:line="29" w:lineRule="exact"/>
        <w:rPr>
          <w:sz w:val="20"/>
          <w:szCs w:val="20"/>
          <w:color w:val="auto"/>
        </w:rPr>
      </w:pPr>
    </w:p>
    <w:p>
      <w:pPr>
        <w:ind w:left="100"/>
        <w:spacing w:after="0"/>
        <w:tabs>
          <w:tab w:leader="none" w:pos="1720" w:val="left"/>
        </w:tabs>
        <w:rPr>
          <w:sz w:val="20"/>
          <w:szCs w:val="20"/>
          <w:color w:val="auto"/>
        </w:rPr>
      </w:pPr>
      <w:r>
        <w:rPr>
          <w:rFonts w:ascii="Arial" w:cs="Arial" w:eastAsia="Arial" w:hAnsi="Arial"/>
          <w:sz w:val="14"/>
          <w:szCs w:val="14"/>
          <w:b w:val="1"/>
          <w:bCs w:val="1"/>
          <w:color w:val="4D4D4F"/>
        </w:rPr>
        <w:t>Objectives</w:t>
      </w:r>
      <w:r>
        <w:rPr>
          <w:sz w:val="20"/>
          <w:szCs w:val="20"/>
          <w:color w:val="auto"/>
        </w:rPr>
        <w:tab/>
      </w:r>
      <w:r>
        <w:rPr>
          <w:rFonts w:ascii="Arial" w:cs="Arial" w:eastAsia="Arial" w:hAnsi="Arial"/>
          <w:sz w:val="14"/>
          <w:szCs w:val="14"/>
          <w:color w:val="4D4D4F"/>
        </w:rPr>
        <w:t>allocation for commercial offering</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4"/>
          <w:szCs w:val="14"/>
          <w:color w:val="4D4D4F"/>
        </w:rPr>
        <w:t>portfolio</w:t>
      </w:r>
    </w:p>
    <w:p>
      <w:pPr>
        <w:spacing w:after="0" w:line="200" w:lineRule="exact"/>
        <w:rPr>
          <w:sz w:val="20"/>
          <w:szCs w:val="20"/>
          <w:color w:val="auto"/>
        </w:rPr>
      </w:pPr>
    </w:p>
    <w:p>
      <w:pPr>
        <w:spacing w:after="0" w:line="212" w:lineRule="exact"/>
        <w:rPr>
          <w:sz w:val="20"/>
          <w:szCs w:val="20"/>
          <w:color w:val="auto"/>
        </w:rPr>
      </w:pPr>
    </w:p>
    <w:p>
      <w:pPr>
        <w:ind w:left="1740" w:right="320" w:hanging="324"/>
        <w:spacing w:after="0" w:line="305" w:lineRule="auto"/>
        <w:tabs>
          <w:tab w:leader="none" w:pos="1738" w:val="left"/>
        </w:tabs>
        <w:numPr>
          <w:ilvl w:val="0"/>
          <w:numId w:val="83"/>
        </w:numPr>
        <w:rPr>
          <w:rFonts w:ascii="Arial" w:cs="Arial" w:eastAsia="Arial" w:hAnsi="Arial"/>
          <w:sz w:val="14"/>
          <w:szCs w:val="14"/>
          <w:color w:val="4D4D4F"/>
        </w:rPr>
      </w:pPr>
      <w:r>
        <w:rPr>
          <w:rFonts w:ascii="Arial" w:cs="Arial" w:eastAsia="Arial" w:hAnsi="Arial"/>
          <w:sz w:val="14"/>
          <w:szCs w:val="14"/>
          <w:color w:val="4D4D4F"/>
        </w:rPr>
        <w:t>Completion of Land business integration</w:t>
      </w:r>
    </w:p>
    <w:p>
      <w:pPr>
        <w:spacing w:after="0" w:line="200" w:lineRule="exact"/>
        <w:rPr>
          <w:rFonts w:ascii="Arial" w:cs="Arial" w:eastAsia="Arial" w:hAnsi="Arial"/>
          <w:sz w:val="14"/>
          <w:szCs w:val="14"/>
          <w:color w:val="4D4D4F"/>
        </w:rPr>
      </w:pPr>
    </w:p>
    <w:p>
      <w:pPr>
        <w:spacing w:after="0" w:line="200" w:lineRule="exact"/>
        <w:rPr>
          <w:rFonts w:ascii="Arial" w:cs="Arial" w:eastAsia="Arial" w:hAnsi="Arial"/>
          <w:sz w:val="14"/>
          <w:szCs w:val="14"/>
          <w:color w:val="4D4D4F"/>
        </w:rPr>
      </w:pPr>
    </w:p>
    <w:p>
      <w:pPr>
        <w:spacing w:after="0" w:line="200" w:lineRule="exact"/>
        <w:rPr>
          <w:rFonts w:ascii="Arial" w:cs="Arial" w:eastAsia="Arial" w:hAnsi="Arial"/>
          <w:sz w:val="14"/>
          <w:szCs w:val="14"/>
          <w:color w:val="4D4D4F"/>
        </w:rPr>
      </w:pPr>
    </w:p>
    <w:p>
      <w:pPr>
        <w:spacing w:after="0" w:line="381" w:lineRule="exact"/>
        <w:rPr>
          <w:rFonts w:ascii="Arial" w:cs="Arial" w:eastAsia="Arial" w:hAnsi="Arial"/>
          <w:sz w:val="14"/>
          <w:szCs w:val="14"/>
          <w:color w:val="4D4D4F"/>
        </w:rPr>
      </w:pPr>
    </w:p>
    <w:p>
      <w:pPr>
        <w:ind w:left="1740" w:hanging="324"/>
        <w:spacing w:after="0" w:line="293" w:lineRule="auto"/>
        <w:tabs>
          <w:tab w:leader="none" w:pos="1738" w:val="left"/>
        </w:tabs>
        <w:numPr>
          <w:ilvl w:val="0"/>
          <w:numId w:val="83"/>
        </w:numPr>
        <w:rPr>
          <w:rFonts w:ascii="Arial" w:cs="Arial" w:eastAsia="Arial" w:hAnsi="Arial"/>
          <w:sz w:val="14"/>
          <w:szCs w:val="14"/>
          <w:color w:val="4D4D4F"/>
        </w:rPr>
      </w:pPr>
      <w:r>
        <w:rPr>
          <w:rFonts w:ascii="Arial" w:cs="Arial" w:eastAsia="Arial" w:hAnsi="Arial"/>
          <w:sz w:val="14"/>
          <w:szCs w:val="14"/>
          <w:color w:val="4D4D4F"/>
        </w:rPr>
        <w:t>Development and execution of comprehensive strategy for Kinect business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40" w:type="dxa"/>
            <w:vAlign w:val="bottom"/>
            <w:shd w:val="clear" w:color="auto" w:fill="298655"/>
          </w:tcPr>
          <w:p>
            <w:pPr>
              <w:spacing w:after="0"/>
              <w:rPr>
                <w:sz w:val="16"/>
                <w:szCs w:val="16"/>
                <w:color w:val="auto"/>
              </w:rPr>
            </w:pPr>
          </w:p>
        </w:tc>
        <w:tc>
          <w:tcPr>
            <w:tcW w:w="5300" w:type="dxa"/>
            <w:vAlign w:val="bottom"/>
            <w:shd w:val="clear" w:color="auto" w:fill="298655"/>
          </w:tcPr>
          <w:p>
            <w:pPr>
              <w:spacing w:after="0"/>
              <w:rPr>
                <w:sz w:val="16"/>
                <w:szCs w:val="16"/>
                <w:color w:val="auto"/>
              </w:rPr>
            </w:pPr>
          </w:p>
        </w:tc>
        <w:tc>
          <w:tcPr>
            <w:tcW w:w="1480" w:type="dxa"/>
            <w:vAlign w:val="bottom"/>
            <w:shd w:val="clear" w:color="auto" w:fill="59A17B"/>
          </w:tcPr>
          <w:p>
            <w:pPr>
              <w:jc w:val="center"/>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175"/>
        </w:trPr>
        <w:tc>
          <w:tcPr>
            <w:tcW w:w="140" w:type="dxa"/>
            <w:vAlign w:val="bottom"/>
            <w:shd w:val="clear" w:color="auto" w:fill="298655"/>
          </w:tcPr>
          <w:p>
            <w:pPr>
              <w:spacing w:after="0"/>
              <w:rPr>
                <w:sz w:val="15"/>
                <w:szCs w:val="15"/>
                <w:color w:val="auto"/>
              </w:rPr>
            </w:pPr>
          </w:p>
        </w:tc>
        <w:tc>
          <w:tcPr>
            <w:tcW w:w="5300" w:type="dxa"/>
            <w:vAlign w:val="bottom"/>
            <w:shd w:val="clear" w:color="auto" w:fill="298655"/>
          </w:tcPr>
          <w:p>
            <w:pPr>
              <w:spacing w:after="0"/>
              <w:rPr>
                <w:sz w:val="15"/>
                <w:szCs w:val="15"/>
                <w:color w:val="auto"/>
              </w:rPr>
            </w:pPr>
          </w:p>
        </w:tc>
        <w:tc>
          <w:tcPr>
            <w:tcW w:w="1480" w:type="dxa"/>
            <w:vAlign w:val="bottom"/>
            <w:shd w:val="clear" w:color="auto" w:fill="59A17B"/>
          </w:tcPr>
          <w:p>
            <w:pPr>
              <w:jc w:val="center"/>
              <w:spacing w:after="0"/>
              <w:rPr>
                <w:sz w:val="20"/>
                <w:szCs w:val="20"/>
                <w:color w:val="auto"/>
              </w:rPr>
            </w:pPr>
            <w:r>
              <w:rPr>
                <w:rFonts w:ascii="Arial" w:cs="Arial" w:eastAsia="Arial" w:hAnsi="Arial"/>
                <w:sz w:val="14"/>
                <w:szCs w:val="14"/>
                <w:b w:val="1"/>
                <w:bCs w:val="1"/>
                <w:color w:val="FFFFFF"/>
              </w:rPr>
              <w:t>Committee</w:t>
            </w:r>
          </w:p>
        </w:tc>
        <w:tc>
          <w:tcPr>
            <w:tcW w:w="0" w:type="dxa"/>
            <w:vAlign w:val="bottom"/>
          </w:tcPr>
          <w:p>
            <w:pPr>
              <w:spacing w:after="0"/>
              <w:rPr>
                <w:sz w:val="1"/>
                <w:szCs w:val="1"/>
                <w:color w:val="auto"/>
              </w:rPr>
            </w:pPr>
          </w:p>
        </w:tc>
      </w:tr>
      <w:tr>
        <w:trPr>
          <w:trHeight w:val="162"/>
        </w:trPr>
        <w:tc>
          <w:tcPr>
            <w:tcW w:w="140" w:type="dxa"/>
            <w:vAlign w:val="bottom"/>
            <w:shd w:val="clear" w:color="auto" w:fill="298655"/>
          </w:tcPr>
          <w:p>
            <w:pPr>
              <w:spacing w:after="0"/>
              <w:rPr>
                <w:sz w:val="14"/>
                <w:szCs w:val="14"/>
                <w:color w:val="auto"/>
              </w:rPr>
            </w:pPr>
          </w:p>
        </w:tc>
        <w:tc>
          <w:tcPr>
            <w:tcW w:w="5300" w:type="dxa"/>
            <w:vAlign w:val="bottom"/>
            <w:shd w:val="clear" w:color="auto" w:fill="298655"/>
          </w:tcPr>
          <w:p>
            <w:pPr>
              <w:spacing w:after="0"/>
              <w:rPr>
                <w:sz w:val="14"/>
                <w:szCs w:val="14"/>
                <w:color w:val="auto"/>
              </w:rPr>
            </w:pPr>
          </w:p>
        </w:tc>
        <w:tc>
          <w:tcPr>
            <w:tcW w:w="1480" w:type="dxa"/>
            <w:vAlign w:val="bottom"/>
            <w:shd w:val="clear" w:color="auto" w:fill="59A17B"/>
          </w:tcPr>
          <w:p>
            <w:pPr>
              <w:jc w:val="center"/>
              <w:spacing w:after="0"/>
              <w:rPr>
                <w:sz w:val="20"/>
                <w:szCs w:val="20"/>
                <w:color w:val="auto"/>
              </w:rPr>
            </w:pPr>
            <w:r>
              <w:rPr>
                <w:rFonts w:ascii="Arial" w:cs="Arial" w:eastAsia="Arial" w:hAnsi="Arial"/>
                <w:sz w:val="14"/>
                <w:szCs w:val="14"/>
                <w:b w:val="1"/>
                <w:bCs w:val="1"/>
                <w:color w:val="FFFFFF"/>
              </w:rPr>
              <w:t>Assessment</w:t>
            </w:r>
          </w:p>
        </w:tc>
        <w:tc>
          <w:tcPr>
            <w:tcW w:w="0" w:type="dxa"/>
            <w:vAlign w:val="bottom"/>
          </w:tcPr>
          <w:p>
            <w:pPr>
              <w:spacing w:after="0"/>
              <w:rPr>
                <w:sz w:val="1"/>
                <w:szCs w:val="1"/>
                <w:color w:val="auto"/>
              </w:rPr>
            </w:pPr>
          </w:p>
        </w:tc>
      </w:tr>
      <w:tr>
        <w:trPr>
          <w:trHeight w:val="212"/>
        </w:trPr>
        <w:tc>
          <w:tcPr>
            <w:tcW w:w="140" w:type="dxa"/>
            <w:vAlign w:val="bottom"/>
            <w:shd w:val="clear" w:color="auto" w:fill="298655"/>
          </w:tcPr>
          <w:p>
            <w:pPr>
              <w:spacing w:after="0"/>
              <w:rPr>
                <w:sz w:val="18"/>
                <w:szCs w:val="18"/>
                <w:color w:val="auto"/>
              </w:rPr>
            </w:pPr>
          </w:p>
        </w:tc>
        <w:tc>
          <w:tcPr>
            <w:tcW w:w="5300" w:type="dxa"/>
            <w:vAlign w:val="bottom"/>
            <w:shd w:val="clear" w:color="auto" w:fill="298655"/>
          </w:tcPr>
          <w:p>
            <w:pPr>
              <w:ind w:left="20"/>
              <w:spacing w:after="0"/>
              <w:rPr>
                <w:sz w:val="20"/>
                <w:szCs w:val="20"/>
                <w:color w:val="auto"/>
              </w:rPr>
            </w:pPr>
            <w:r>
              <w:rPr>
                <w:rFonts w:ascii="Arial" w:cs="Arial" w:eastAsia="Arial" w:hAnsi="Arial"/>
                <w:sz w:val="14"/>
                <w:szCs w:val="14"/>
                <w:b w:val="1"/>
                <w:bCs w:val="1"/>
                <w:color w:val="FFFFFF"/>
              </w:rPr>
              <w:t>2023 Achievements</w:t>
            </w:r>
          </w:p>
        </w:tc>
        <w:tc>
          <w:tcPr>
            <w:tcW w:w="1480" w:type="dxa"/>
            <w:vAlign w:val="bottom"/>
            <w:shd w:val="clear" w:color="auto" w:fill="59A17B"/>
          </w:tcPr>
          <w:p>
            <w:pPr>
              <w:jc w:val="center"/>
              <w:spacing w:after="0"/>
              <w:rPr>
                <w:sz w:val="20"/>
                <w:szCs w:val="20"/>
                <w:color w:val="auto"/>
              </w:rPr>
            </w:pPr>
            <w:r>
              <w:rPr>
                <w:rFonts w:ascii="Arial" w:cs="Arial" w:eastAsia="Arial" w:hAnsi="Arial"/>
                <w:sz w:val="14"/>
                <w:szCs w:val="14"/>
                <w:b w:val="1"/>
                <w:bCs w:val="1"/>
                <w:color w:val="FFFFFF"/>
              </w:rPr>
              <w:t>(Payout %)</w:t>
            </w:r>
          </w:p>
        </w:tc>
        <w:tc>
          <w:tcPr>
            <w:tcW w:w="0" w:type="dxa"/>
            <w:vAlign w:val="bottom"/>
          </w:tcPr>
          <w:p>
            <w:pPr>
              <w:spacing w:after="0"/>
              <w:rPr>
                <w:sz w:val="1"/>
                <w:szCs w:val="1"/>
                <w:color w:val="auto"/>
              </w:rPr>
            </w:pPr>
          </w:p>
        </w:tc>
      </w:tr>
      <w:tr>
        <w:trPr>
          <w:trHeight w:val="288"/>
        </w:trPr>
        <w:tc>
          <w:tcPr>
            <w:tcW w:w="140" w:type="dxa"/>
            <w:vAlign w:val="bottom"/>
          </w:tcPr>
          <w:p>
            <w:pPr>
              <w:spacing w:after="0"/>
              <w:rPr>
                <w:sz w:val="24"/>
                <w:szCs w:val="24"/>
                <w:color w:val="auto"/>
              </w:rPr>
            </w:pPr>
          </w:p>
        </w:tc>
        <w:tc>
          <w:tcPr>
            <w:tcW w:w="5300" w:type="dxa"/>
            <w:vAlign w:val="bottom"/>
            <w:shd w:val="clear" w:color="auto" w:fill="DFEDE5"/>
          </w:tcPr>
          <w:p>
            <w:pPr>
              <w:ind w:left="20"/>
              <w:spacing w:after="0"/>
              <w:rPr>
                <w:sz w:val="20"/>
                <w:szCs w:val="20"/>
                <w:color w:val="auto"/>
              </w:rPr>
            </w:pPr>
            <w:r>
              <w:rPr>
                <w:rFonts w:ascii="Arial" w:cs="Arial" w:eastAsia="Arial" w:hAnsi="Arial"/>
                <w:sz w:val="14"/>
                <w:szCs w:val="14"/>
                <w:b w:val="1"/>
                <w:bCs w:val="1"/>
                <w:color w:val="298655"/>
              </w:rPr>
              <w:t xml:space="preserve">•   </w:t>
            </w:r>
            <w:r>
              <w:rPr>
                <w:rFonts w:ascii="Arial" w:cs="Arial" w:eastAsia="Arial" w:hAnsi="Arial"/>
                <w:sz w:val="14"/>
                <w:szCs w:val="14"/>
                <w:color w:val="4D4D4F"/>
              </w:rPr>
              <w:t>Assessed strategic fit of offering portfolio, informed by review of financial</w:t>
            </w:r>
          </w:p>
        </w:tc>
        <w:tc>
          <w:tcPr>
            <w:tcW w:w="1480" w:type="dxa"/>
            <w:vAlign w:val="bottom"/>
            <w:shd w:val="clear" w:color="auto" w:fill="DFEDE5"/>
          </w:tcPr>
          <w:p>
            <w:pPr>
              <w:jc w:val="center"/>
              <w:spacing w:after="0"/>
              <w:rPr>
                <w:sz w:val="20"/>
                <w:szCs w:val="20"/>
                <w:color w:val="auto"/>
              </w:rPr>
            </w:pPr>
            <w:r>
              <w:rPr>
                <w:rFonts w:ascii="Arial" w:cs="Arial" w:eastAsia="Arial" w:hAnsi="Arial"/>
                <w:sz w:val="14"/>
                <w:szCs w:val="14"/>
                <w:color w:val="4D4D4F"/>
              </w:rPr>
              <w:t>Mostly Met</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300" w:type="dxa"/>
            <w:vAlign w:val="bottom"/>
            <w:shd w:val="clear" w:color="auto" w:fill="DFEDE5"/>
          </w:tcPr>
          <w:p>
            <w:pPr>
              <w:ind w:left="260"/>
              <w:spacing w:after="0"/>
              <w:rPr>
                <w:sz w:val="20"/>
                <w:szCs w:val="20"/>
                <w:color w:val="auto"/>
              </w:rPr>
            </w:pPr>
            <w:r>
              <w:rPr>
                <w:rFonts w:ascii="Arial" w:cs="Arial" w:eastAsia="Arial" w:hAnsi="Arial"/>
                <w:sz w:val="14"/>
                <w:szCs w:val="14"/>
                <w:color w:val="4D4D4F"/>
              </w:rPr>
              <w:t>metrics, sales characteristics and strategic orientation, with a focus on core</w:t>
            </w:r>
          </w:p>
        </w:tc>
        <w:tc>
          <w:tcPr>
            <w:tcW w:w="1480" w:type="dxa"/>
            <w:vAlign w:val="bottom"/>
            <w:shd w:val="clear" w:color="auto" w:fill="DFEDE5"/>
          </w:tcPr>
          <w:p>
            <w:pPr>
              <w:jc w:val="center"/>
              <w:spacing w:after="0"/>
              <w:rPr>
                <w:sz w:val="20"/>
                <w:szCs w:val="20"/>
                <w:color w:val="auto"/>
              </w:rPr>
            </w:pPr>
            <w:r>
              <w:rPr>
                <w:rFonts w:ascii="Arial" w:cs="Arial" w:eastAsia="Arial" w:hAnsi="Arial"/>
                <w:sz w:val="14"/>
                <w:szCs w:val="14"/>
                <w:color w:val="4D4D4F"/>
              </w:rPr>
              <w:t>Expectations</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5300" w:type="dxa"/>
            <w:vAlign w:val="bottom"/>
            <w:shd w:val="clear" w:color="auto" w:fill="DFEDE5"/>
          </w:tcPr>
          <w:p>
            <w:pPr>
              <w:ind w:left="260"/>
              <w:spacing w:after="0"/>
              <w:rPr>
                <w:sz w:val="20"/>
                <w:szCs w:val="20"/>
                <w:color w:val="auto"/>
              </w:rPr>
            </w:pPr>
            <w:r>
              <w:rPr>
                <w:rFonts w:ascii="Arial" w:cs="Arial" w:eastAsia="Arial" w:hAnsi="Arial"/>
                <w:sz w:val="14"/>
                <w:szCs w:val="14"/>
                <w:color w:val="4D4D4F"/>
              </w:rPr>
              <w:t>portfolio offerings, along with alignment of incentives and personnel</w:t>
            </w:r>
          </w:p>
        </w:tc>
        <w:tc>
          <w:tcPr>
            <w:tcW w:w="1480" w:type="dxa"/>
            <w:vAlign w:val="bottom"/>
            <w:vMerge w:val="restart"/>
            <w:shd w:val="clear" w:color="auto" w:fill="DFEDE5"/>
          </w:tcPr>
          <w:p>
            <w:pPr>
              <w:jc w:val="center"/>
              <w:spacing w:after="0"/>
              <w:rPr>
                <w:sz w:val="20"/>
                <w:szCs w:val="20"/>
                <w:color w:val="auto"/>
              </w:rPr>
            </w:pPr>
            <w:r>
              <w:rPr>
                <w:rFonts w:ascii="Arial" w:cs="Arial" w:eastAsia="Arial" w:hAnsi="Arial"/>
                <w:sz w:val="14"/>
                <w:szCs w:val="14"/>
                <w:color w:val="4D4D4F"/>
              </w:rPr>
              <w:t>(80%)</w:t>
            </w:r>
          </w:p>
        </w:tc>
        <w:tc>
          <w:tcPr>
            <w:tcW w:w="0" w:type="dxa"/>
            <w:vAlign w:val="bottom"/>
          </w:tcPr>
          <w:p>
            <w:pPr>
              <w:spacing w:after="0"/>
              <w:rPr>
                <w:sz w:val="1"/>
                <w:szCs w:val="1"/>
                <w:color w:val="auto"/>
              </w:rPr>
            </w:pPr>
          </w:p>
        </w:tc>
      </w:tr>
      <w:tr>
        <w:trPr>
          <w:trHeight w:val="54"/>
        </w:trPr>
        <w:tc>
          <w:tcPr>
            <w:tcW w:w="140" w:type="dxa"/>
            <w:vAlign w:val="bottom"/>
          </w:tcPr>
          <w:p>
            <w:pPr>
              <w:spacing w:after="0"/>
              <w:rPr>
                <w:sz w:val="4"/>
                <w:szCs w:val="4"/>
                <w:color w:val="auto"/>
              </w:rPr>
            </w:pPr>
          </w:p>
        </w:tc>
        <w:tc>
          <w:tcPr>
            <w:tcW w:w="5300" w:type="dxa"/>
            <w:vAlign w:val="bottom"/>
            <w:shd w:val="clear" w:color="auto" w:fill="DFEDE5"/>
          </w:tcPr>
          <w:p>
            <w:pPr>
              <w:spacing w:after="0"/>
              <w:rPr>
                <w:sz w:val="4"/>
                <w:szCs w:val="4"/>
                <w:color w:val="auto"/>
              </w:rPr>
            </w:pPr>
          </w:p>
        </w:tc>
        <w:tc>
          <w:tcPr>
            <w:tcW w:w="1480" w:type="dxa"/>
            <w:vAlign w:val="bottom"/>
            <w:vMerge w:val="continue"/>
            <w:shd w:val="clear" w:color="auto" w:fill="DFEDE5"/>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40" w:type="dxa"/>
            <w:vAlign w:val="bottom"/>
            <w:tcBorders>
              <w:bottom w:val="single" w:sz="8" w:color="298655"/>
            </w:tcBorders>
          </w:tcPr>
          <w:p>
            <w:pPr>
              <w:spacing w:after="0"/>
              <w:rPr>
                <w:sz w:val="19"/>
                <w:szCs w:val="19"/>
                <w:color w:val="auto"/>
              </w:rPr>
            </w:pPr>
          </w:p>
        </w:tc>
        <w:tc>
          <w:tcPr>
            <w:tcW w:w="5300" w:type="dxa"/>
            <w:vAlign w:val="bottom"/>
            <w:tcBorders>
              <w:bottom w:val="single" w:sz="8" w:color="298655"/>
            </w:tcBorders>
            <w:shd w:val="clear" w:color="auto" w:fill="DFEDE5"/>
          </w:tcPr>
          <w:p>
            <w:pPr>
              <w:spacing w:after="0"/>
              <w:rPr>
                <w:sz w:val="19"/>
                <w:szCs w:val="19"/>
                <w:color w:val="auto"/>
              </w:rPr>
            </w:pPr>
          </w:p>
        </w:tc>
        <w:tc>
          <w:tcPr>
            <w:tcW w:w="1480" w:type="dxa"/>
            <w:vAlign w:val="bottom"/>
            <w:tcBorders>
              <w:bottom w:val="single" w:sz="8" w:color="298655"/>
            </w:tcBorders>
            <w:shd w:val="clear" w:color="auto" w:fill="DFEDE5"/>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40" w:type="dxa"/>
            <w:vAlign w:val="bottom"/>
          </w:tcPr>
          <w:p>
            <w:pPr>
              <w:spacing w:after="0"/>
              <w:rPr>
                <w:sz w:val="23"/>
                <w:szCs w:val="23"/>
                <w:color w:val="auto"/>
              </w:rPr>
            </w:pPr>
          </w:p>
        </w:tc>
        <w:tc>
          <w:tcPr>
            <w:tcW w:w="5300" w:type="dxa"/>
            <w:vAlign w:val="bottom"/>
          </w:tcPr>
          <w:p>
            <w:pPr>
              <w:ind w:left="20"/>
              <w:spacing w:after="0"/>
              <w:rPr>
                <w:sz w:val="20"/>
                <w:szCs w:val="20"/>
                <w:color w:val="auto"/>
              </w:rPr>
            </w:pPr>
            <w:r>
              <w:rPr>
                <w:rFonts w:ascii="Arial" w:cs="Arial" w:eastAsia="Arial" w:hAnsi="Arial"/>
                <w:sz w:val="14"/>
                <w:szCs w:val="14"/>
                <w:b w:val="1"/>
                <w:bCs w:val="1"/>
                <w:color w:val="298655"/>
              </w:rPr>
              <w:t xml:space="preserve">•   </w:t>
            </w:r>
            <w:r>
              <w:rPr>
                <w:rFonts w:ascii="Arial" w:cs="Arial" w:eastAsia="Arial" w:hAnsi="Arial"/>
                <w:sz w:val="14"/>
                <w:szCs w:val="14"/>
                <w:color w:val="4D4D4F"/>
              </w:rPr>
              <w:t>Established global leadership team for Land business and implemented</w:t>
            </w:r>
          </w:p>
        </w:tc>
        <w:tc>
          <w:tcPr>
            <w:tcW w:w="1480" w:type="dxa"/>
            <w:vAlign w:val="bottom"/>
          </w:tcPr>
          <w:p>
            <w:pPr>
              <w:jc w:val="center"/>
              <w:spacing w:after="0"/>
              <w:rPr>
                <w:sz w:val="20"/>
                <w:szCs w:val="20"/>
                <w:color w:val="auto"/>
              </w:rPr>
            </w:pPr>
            <w:r>
              <w:rPr>
                <w:rFonts w:ascii="Arial" w:cs="Arial" w:eastAsia="Arial" w:hAnsi="Arial"/>
                <w:sz w:val="14"/>
                <w:szCs w:val="14"/>
                <w:color w:val="4D4D4F"/>
              </w:rPr>
              <w:t>Partially Met</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5300" w:type="dxa"/>
            <w:vAlign w:val="bottom"/>
          </w:tcPr>
          <w:p>
            <w:pPr>
              <w:ind w:left="260"/>
              <w:spacing w:after="0"/>
              <w:rPr>
                <w:sz w:val="20"/>
                <w:szCs w:val="20"/>
                <w:color w:val="auto"/>
              </w:rPr>
            </w:pPr>
            <w:r>
              <w:rPr>
                <w:rFonts w:ascii="Arial" w:cs="Arial" w:eastAsia="Arial" w:hAnsi="Arial"/>
                <w:sz w:val="14"/>
                <w:szCs w:val="14"/>
                <w:color w:val="4D4D4F"/>
              </w:rPr>
              <w:t>integrated common operating model and processes in North America</w:t>
            </w:r>
          </w:p>
        </w:tc>
        <w:tc>
          <w:tcPr>
            <w:tcW w:w="1480" w:type="dxa"/>
            <w:vAlign w:val="bottom"/>
          </w:tcPr>
          <w:p>
            <w:pPr>
              <w:jc w:val="center"/>
              <w:spacing w:after="0"/>
              <w:rPr>
                <w:sz w:val="20"/>
                <w:szCs w:val="20"/>
                <w:color w:val="auto"/>
              </w:rPr>
            </w:pPr>
            <w:r>
              <w:rPr>
                <w:rFonts w:ascii="Arial" w:cs="Arial" w:eastAsia="Arial" w:hAnsi="Arial"/>
                <w:sz w:val="14"/>
                <w:szCs w:val="14"/>
                <w:color w:val="4D4D4F"/>
              </w:rPr>
              <w:t>Expectations</w:t>
            </w: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4"/>
                <w:szCs w:val="14"/>
                <w:b w:val="1"/>
                <w:bCs w:val="1"/>
                <w:color w:val="298655"/>
              </w:rPr>
              <w:t xml:space="preserve">•   </w:t>
            </w:r>
            <w:r>
              <w:rPr>
                <w:rFonts w:ascii="Arial" w:cs="Arial" w:eastAsia="Arial" w:hAnsi="Arial"/>
                <w:sz w:val="14"/>
                <w:szCs w:val="14"/>
                <w:color w:val="4D4D4F"/>
              </w:rPr>
              <w:t>Transitioned substantial portion of North American market offerings to common</w:t>
            </w:r>
          </w:p>
        </w:tc>
        <w:tc>
          <w:tcPr>
            <w:tcW w:w="1480" w:type="dxa"/>
            <w:vAlign w:val="bottom"/>
          </w:tcPr>
          <w:p>
            <w:pPr>
              <w:jc w:val="center"/>
              <w:spacing w:after="0"/>
              <w:rPr>
                <w:sz w:val="20"/>
                <w:szCs w:val="20"/>
                <w:color w:val="auto"/>
              </w:rPr>
            </w:pPr>
            <w:r>
              <w:rPr>
                <w:rFonts w:ascii="Arial" w:cs="Arial" w:eastAsia="Arial" w:hAnsi="Arial"/>
                <w:sz w:val="14"/>
                <w:szCs w:val="14"/>
                <w:color w:val="4D4D4F"/>
              </w:rPr>
              <w:t>(60%)</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5300" w:type="dxa"/>
            <w:vAlign w:val="bottom"/>
          </w:tcPr>
          <w:p>
            <w:pPr>
              <w:ind w:left="260"/>
              <w:spacing w:after="0"/>
              <w:rPr>
                <w:sz w:val="20"/>
                <w:szCs w:val="20"/>
                <w:color w:val="auto"/>
              </w:rPr>
            </w:pPr>
            <w:r>
              <w:rPr>
                <w:rFonts w:ascii="Arial" w:cs="Arial" w:eastAsia="Arial" w:hAnsi="Arial"/>
                <w:sz w:val="14"/>
                <w:szCs w:val="14"/>
                <w:color w:val="4D4D4F"/>
              </w:rPr>
              <w:t>operating model</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4"/>
                <w:szCs w:val="14"/>
                <w:b w:val="1"/>
                <w:bCs w:val="1"/>
                <w:color w:val="298655"/>
              </w:rPr>
              <w:t xml:space="preserve">•   </w:t>
            </w:r>
            <w:r>
              <w:rPr>
                <w:rFonts w:ascii="Arial" w:cs="Arial" w:eastAsia="Arial" w:hAnsi="Arial"/>
                <w:sz w:val="14"/>
                <w:szCs w:val="14"/>
                <w:color w:val="4D4D4F"/>
              </w:rPr>
              <w:t>Completed sale of certain non-core Land businesses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40" w:type="dxa"/>
            <w:vAlign w:val="bottom"/>
            <w:tcBorders>
              <w:bottom w:val="single" w:sz="8" w:color="298655"/>
            </w:tcBorders>
          </w:tcPr>
          <w:p>
            <w:pPr>
              <w:spacing w:after="0"/>
              <w:rPr>
                <w:sz w:val="22"/>
                <w:szCs w:val="22"/>
                <w:color w:val="auto"/>
              </w:rPr>
            </w:pPr>
          </w:p>
        </w:tc>
        <w:tc>
          <w:tcPr>
            <w:tcW w:w="5300" w:type="dxa"/>
            <w:vAlign w:val="bottom"/>
            <w:tcBorders>
              <w:bottom w:val="single" w:sz="8" w:color="298655"/>
            </w:tcBorders>
          </w:tcPr>
          <w:p>
            <w:pPr>
              <w:spacing w:after="0"/>
              <w:rPr>
                <w:sz w:val="22"/>
                <w:szCs w:val="22"/>
                <w:color w:val="auto"/>
              </w:rPr>
            </w:pPr>
          </w:p>
        </w:tc>
        <w:tc>
          <w:tcPr>
            <w:tcW w:w="1480" w:type="dxa"/>
            <w:vAlign w:val="bottom"/>
            <w:tcBorders>
              <w:bottom w:val="single" w:sz="8" w:color="298655"/>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40" w:type="dxa"/>
            <w:vAlign w:val="bottom"/>
          </w:tcPr>
          <w:p>
            <w:pPr>
              <w:spacing w:after="0"/>
              <w:rPr>
                <w:sz w:val="23"/>
                <w:szCs w:val="23"/>
                <w:color w:val="auto"/>
              </w:rPr>
            </w:pPr>
          </w:p>
        </w:tc>
        <w:tc>
          <w:tcPr>
            <w:tcW w:w="5300" w:type="dxa"/>
            <w:vAlign w:val="bottom"/>
          </w:tcPr>
          <w:p>
            <w:pPr>
              <w:ind w:left="20"/>
              <w:spacing w:after="0"/>
              <w:rPr>
                <w:sz w:val="20"/>
                <w:szCs w:val="20"/>
                <w:color w:val="auto"/>
              </w:rPr>
            </w:pPr>
            <w:r>
              <w:rPr>
                <w:rFonts w:ascii="Arial" w:cs="Arial" w:eastAsia="Arial" w:hAnsi="Arial"/>
                <w:sz w:val="14"/>
                <w:szCs w:val="14"/>
                <w:b w:val="1"/>
                <w:bCs w:val="1"/>
                <w:color w:val="298655"/>
              </w:rPr>
              <w:t xml:space="preserve">•   </w:t>
            </w:r>
            <w:r>
              <w:rPr>
                <w:rFonts w:ascii="Arial" w:cs="Arial" w:eastAsia="Arial" w:hAnsi="Arial"/>
                <w:sz w:val="14"/>
                <w:szCs w:val="14"/>
                <w:color w:val="4D4D4F"/>
              </w:rPr>
              <w:t>Evaluated Kinect portfolio of offerings with a view to business prioritization</w:t>
            </w:r>
          </w:p>
        </w:tc>
        <w:tc>
          <w:tcPr>
            <w:tcW w:w="1480" w:type="dxa"/>
            <w:vAlign w:val="bottom"/>
          </w:tcPr>
          <w:p>
            <w:pPr>
              <w:jc w:val="center"/>
              <w:spacing w:after="0"/>
              <w:rPr>
                <w:sz w:val="20"/>
                <w:szCs w:val="20"/>
                <w:color w:val="auto"/>
              </w:rPr>
            </w:pPr>
            <w:r>
              <w:rPr>
                <w:rFonts w:ascii="Arial" w:cs="Arial" w:eastAsia="Arial" w:hAnsi="Arial"/>
                <w:sz w:val="14"/>
                <w:szCs w:val="14"/>
                <w:color w:val="4D4D4F"/>
              </w:rPr>
              <w:t>Partially Met</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298655"/>
              </w:rPr>
              <w:t xml:space="preserve">•   </w:t>
            </w:r>
            <w:r>
              <w:rPr>
                <w:rFonts w:ascii="Arial" w:cs="Arial" w:eastAsia="Arial" w:hAnsi="Arial"/>
                <w:sz w:val="14"/>
                <w:szCs w:val="14"/>
                <w:color w:val="4D4D4F"/>
              </w:rPr>
              <w:t>Strengthened sustainability organization structure and leadership team</w:t>
            </w:r>
          </w:p>
        </w:tc>
        <w:tc>
          <w:tcPr>
            <w:tcW w:w="1480" w:type="dxa"/>
            <w:vAlign w:val="bottom"/>
          </w:tcPr>
          <w:p>
            <w:pPr>
              <w:jc w:val="center"/>
              <w:spacing w:after="0"/>
              <w:rPr>
                <w:sz w:val="20"/>
                <w:szCs w:val="20"/>
                <w:color w:val="auto"/>
              </w:rPr>
            </w:pPr>
            <w:r>
              <w:rPr>
                <w:rFonts w:ascii="Arial" w:cs="Arial" w:eastAsia="Arial" w:hAnsi="Arial"/>
                <w:sz w:val="14"/>
                <w:szCs w:val="14"/>
                <w:color w:val="4D4D4F"/>
              </w:rPr>
              <w:t>Expectations</w:t>
            </w:r>
          </w:p>
        </w:tc>
        <w:tc>
          <w:tcPr>
            <w:tcW w:w="0" w:type="dxa"/>
            <w:vAlign w:val="bottom"/>
          </w:tcPr>
          <w:p>
            <w:pPr>
              <w:spacing w:after="0"/>
              <w:rPr>
                <w:sz w:val="1"/>
                <w:szCs w:val="1"/>
                <w:color w:val="auto"/>
              </w:rPr>
            </w:pPr>
          </w:p>
        </w:tc>
      </w:tr>
      <w:tr>
        <w:trPr>
          <w:trHeight w:val="60"/>
        </w:trPr>
        <w:tc>
          <w:tcPr>
            <w:tcW w:w="140" w:type="dxa"/>
            <w:vAlign w:val="bottom"/>
          </w:tcPr>
          <w:p>
            <w:pPr>
              <w:spacing w:after="0"/>
              <w:rPr>
                <w:sz w:val="5"/>
                <w:szCs w:val="5"/>
                <w:color w:val="auto"/>
              </w:rPr>
            </w:pPr>
          </w:p>
        </w:tc>
        <w:tc>
          <w:tcPr>
            <w:tcW w:w="5300" w:type="dxa"/>
            <w:vAlign w:val="bottom"/>
            <w:vMerge w:val="continue"/>
          </w:tcPr>
          <w:p>
            <w:pPr>
              <w:spacing w:after="0"/>
              <w:rPr>
                <w:sz w:val="5"/>
                <w:szCs w:val="5"/>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4D4D4F"/>
              </w:rPr>
              <w:t>(60%)</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298655"/>
              </w:rPr>
              <w:t xml:space="preserve">•   </w:t>
            </w:r>
            <w:r>
              <w:rPr>
                <w:rFonts w:ascii="Arial" w:cs="Arial" w:eastAsia="Arial" w:hAnsi="Arial"/>
                <w:sz w:val="14"/>
                <w:szCs w:val="14"/>
                <w:color w:val="4D4D4F"/>
              </w:rPr>
              <w:t>Expanded renewable energy solutions offerings in Europe, Asia and North</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40" w:type="dxa"/>
            <w:vAlign w:val="bottom"/>
          </w:tcPr>
          <w:p>
            <w:pPr>
              <w:spacing w:after="0"/>
              <w:rPr>
                <w:sz w:val="3"/>
                <w:szCs w:val="3"/>
                <w:color w:val="auto"/>
              </w:rPr>
            </w:pPr>
          </w:p>
        </w:tc>
        <w:tc>
          <w:tcPr>
            <w:tcW w:w="5300" w:type="dxa"/>
            <w:vAlign w:val="bottom"/>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5300" w:type="dxa"/>
            <w:vAlign w:val="bottom"/>
          </w:tcPr>
          <w:p>
            <w:pPr>
              <w:ind w:left="260"/>
              <w:spacing w:after="0"/>
              <w:rPr>
                <w:sz w:val="20"/>
                <w:szCs w:val="20"/>
                <w:color w:val="auto"/>
              </w:rPr>
            </w:pPr>
            <w:r>
              <w:rPr>
                <w:rFonts w:ascii="Arial" w:cs="Arial" w:eastAsia="Arial" w:hAnsi="Arial"/>
                <w:sz w:val="14"/>
                <w:szCs w:val="14"/>
                <w:color w:val="4D4D4F"/>
              </w:rPr>
              <w:t>America</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4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4"/>
                <w:szCs w:val="14"/>
                <w:b w:val="1"/>
                <w:bCs w:val="1"/>
                <w:color w:val="298655"/>
              </w:rPr>
              <w:t xml:space="preserve">•   </w:t>
            </w:r>
            <w:r>
              <w:rPr>
                <w:rFonts w:ascii="Arial" w:cs="Arial" w:eastAsia="Arial" w:hAnsi="Arial"/>
                <w:sz w:val="14"/>
                <w:szCs w:val="14"/>
                <w:color w:val="4D4D4F"/>
              </w:rPr>
              <w:t>Grew customer base and revenue for sustainability offerings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-2235200</wp:posOffset>
            </wp:positionV>
            <wp:extent cx="7132320" cy="64465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64465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400"/>
            <w:col w:w="6920"/>
          </w:cols>
          <w:pgMar w:left="320" w:top="279" w:right="339" w:bottom="1440" w:gutter="0" w:footer="0" w:header="0"/>
          <w:type w:val="continuous"/>
        </w:sectPr>
      </w:pPr>
    </w:p>
    <w:p>
      <w:pPr>
        <w:spacing w:after="0" w:line="373" w:lineRule="exact"/>
        <w:rPr>
          <w:sz w:val="20"/>
          <w:szCs w:val="20"/>
          <w:color w:val="auto"/>
        </w:rPr>
      </w:pPr>
    </w:p>
    <w:p>
      <w:pPr>
        <w:ind w:left="1740" w:right="61" w:hanging="324"/>
        <w:spacing w:after="0" w:line="305" w:lineRule="auto"/>
        <w:tabs>
          <w:tab w:leader="none" w:pos="1738" w:val="left"/>
        </w:tabs>
        <w:numPr>
          <w:ilvl w:val="0"/>
          <w:numId w:val="84"/>
        </w:numPr>
        <w:rPr>
          <w:rFonts w:ascii="Arial" w:cs="Arial" w:eastAsia="Arial" w:hAnsi="Arial"/>
          <w:sz w:val="14"/>
          <w:szCs w:val="14"/>
          <w:color w:val="4D4D4F"/>
        </w:rPr>
      </w:pPr>
      <w:r>
        <w:rPr>
          <w:rFonts w:ascii="Arial" w:cs="Arial" w:eastAsia="Arial" w:hAnsi="Arial"/>
          <w:sz w:val="14"/>
          <w:szCs w:val="14"/>
          <w:color w:val="4D4D4F"/>
        </w:rPr>
        <w:t>Improvement in company-wide operating efficiency</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239" w:hanging="239"/>
        <w:spacing w:after="0"/>
        <w:tabs>
          <w:tab w:leader="none" w:pos="239" w:val="left"/>
        </w:tabs>
        <w:numPr>
          <w:ilvl w:val="0"/>
          <w:numId w:val="85"/>
        </w:numPr>
        <w:rPr>
          <w:rFonts w:ascii="Arial" w:cs="Arial" w:eastAsia="Arial" w:hAnsi="Arial"/>
          <w:sz w:val="14"/>
          <w:szCs w:val="14"/>
          <w:b w:val="1"/>
          <w:bCs w:val="1"/>
          <w:color w:val="298655"/>
        </w:rPr>
      </w:pPr>
      <w:r>
        <w:rPr>
          <w:rFonts w:ascii="Arial" w:cs="Arial" w:eastAsia="Arial" w:hAnsi="Arial"/>
          <w:sz w:val="14"/>
          <w:szCs w:val="14"/>
          <w:color w:val="4D4D4F"/>
        </w:rPr>
        <w:t>Improved adjusted operating margin to 26%</w:t>
      </w:r>
    </w:p>
    <w:p>
      <w:pPr>
        <w:spacing w:after="0" w:line="68" w:lineRule="exact"/>
        <w:rPr>
          <w:rFonts w:ascii="Arial" w:cs="Arial" w:eastAsia="Arial" w:hAnsi="Arial"/>
          <w:sz w:val="14"/>
          <w:szCs w:val="14"/>
          <w:b w:val="1"/>
          <w:bCs w:val="1"/>
          <w:color w:val="298655"/>
        </w:rPr>
      </w:pPr>
    </w:p>
    <w:p>
      <w:pPr>
        <w:ind w:left="239" w:right="120" w:hanging="239"/>
        <w:spacing w:after="0" w:line="311" w:lineRule="auto"/>
        <w:tabs>
          <w:tab w:leader="none" w:pos="235" w:val="left"/>
        </w:tabs>
        <w:numPr>
          <w:ilvl w:val="0"/>
          <w:numId w:val="85"/>
        </w:numPr>
        <w:rPr>
          <w:rFonts w:ascii="Arial" w:cs="Arial" w:eastAsia="Arial" w:hAnsi="Arial"/>
          <w:sz w:val="14"/>
          <w:szCs w:val="14"/>
          <w:b w:val="1"/>
          <w:bCs w:val="1"/>
          <w:color w:val="298655"/>
        </w:rPr>
      </w:pPr>
      <w:r>
        <w:rPr>
          <w:rFonts w:ascii="Arial" w:cs="Arial" w:eastAsia="Arial" w:hAnsi="Arial"/>
          <w:sz w:val="14"/>
          <w:szCs w:val="14"/>
          <w:color w:val="4D4D4F"/>
        </w:rPr>
        <w:t>Improved working capital efficiency, reduced the company’s net trade cycle, diversified the capital structure and improved interest expense run-rate</w:t>
      </w:r>
    </w:p>
    <w:p>
      <w:pPr>
        <w:spacing w:after="0" w:line="1" w:lineRule="exact"/>
        <w:rPr>
          <w:rFonts w:ascii="Arial" w:cs="Arial" w:eastAsia="Arial" w:hAnsi="Arial"/>
          <w:sz w:val="14"/>
          <w:szCs w:val="14"/>
          <w:b w:val="1"/>
          <w:bCs w:val="1"/>
          <w:color w:val="298655"/>
        </w:rPr>
      </w:pPr>
    </w:p>
    <w:p>
      <w:pPr>
        <w:ind w:left="239" w:hanging="239"/>
        <w:spacing w:after="0" w:line="293" w:lineRule="auto"/>
        <w:tabs>
          <w:tab w:leader="none" w:pos="235" w:val="left"/>
        </w:tabs>
        <w:numPr>
          <w:ilvl w:val="0"/>
          <w:numId w:val="85"/>
        </w:numPr>
        <w:rPr>
          <w:rFonts w:ascii="Arial" w:cs="Arial" w:eastAsia="Arial" w:hAnsi="Arial"/>
          <w:sz w:val="14"/>
          <w:szCs w:val="14"/>
          <w:b w:val="1"/>
          <w:bCs w:val="1"/>
          <w:color w:val="298655"/>
        </w:rPr>
      </w:pPr>
      <w:r>
        <w:rPr>
          <w:rFonts w:ascii="Arial" w:cs="Arial" w:eastAsia="Arial" w:hAnsi="Arial"/>
          <w:sz w:val="14"/>
          <w:szCs w:val="14"/>
          <w:color w:val="4D4D4F"/>
        </w:rPr>
        <w:t>Continued process improvement initiatives to reduce operating costs; realigned the company’s global indirect procurement group; and implemented structural headcount reductions with significant annualized run-rate savings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4D4D4F"/>
        </w:rPr>
        <w:t>Mostly Met</w:t>
      </w:r>
    </w:p>
    <w:p>
      <w:pPr>
        <w:spacing w:after="0" w:line="29"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4D4D4F"/>
        </w:rPr>
        <w:t>Expectations</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4"/>
          <w:szCs w:val="14"/>
          <w:color w:val="4D4D4F"/>
        </w:rPr>
        <w:t>(80%)</w:t>
      </w:r>
    </w:p>
    <w:p>
      <w:pPr>
        <w:spacing w:after="0" w:line="858" w:lineRule="exact"/>
        <w:rPr>
          <w:sz w:val="20"/>
          <w:szCs w:val="20"/>
          <w:color w:val="auto"/>
        </w:rPr>
      </w:pPr>
    </w:p>
    <w:p>
      <w:pPr>
        <w:sectPr>
          <w:pgSz w:w="11900" w:h="16838" w:orient="portrait"/>
          <w:cols w:equalWidth="0" w:num="3">
            <w:col w:w="3761" w:space="720"/>
            <w:col w:w="5159" w:space="460"/>
            <w:col w:w="1140"/>
          </w:cols>
          <w:pgMar w:left="320" w:top="279" w:right="339" w:bottom="1440" w:gutter="0" w:footer="0" w:header="0"/>
          <w:type w:val="continuous"/>
        </w:sectPr>
      </w:pPr>
    </w:p>
    <w:p>
      <w:pPr>
        <w:spacing w:after="0" w:line="331" w:lineRule="exact"/>
        <w:rPr>
          <w:sz w:val="20"/>
          <w:szCs w:val="20"/>
          <w:color w:val="auto"/>
        </w:rPr>
      </w:pPr>
    </w:p>
    <w:p>
      <w:pPr>
        <w:ind w:left="1740" w:hanging="324"/>
        <w:spacing w:after="0" w:line="282" w:lineRule="auto"/>
        <w:tabs>
          <w:tab w:leader="none" w:pos="1738" w:val="left"/>
        </w:tabs>
        <w:numPr>
          <w:ilvl w:val="0"/>
          <w:numId w:val="86"/>
        </w:numPr>
        <w:rPr>
          <w:rFonts w:ascii="Arial" w:cs="Arial" w:eastAsia="Arial" w:hAnsi="Arial"/>
          <w:sz w:val="14"/>
          <w:szCs w:val="14"/>
          <w:color w:val="4D4D4F"/>
        </w:rPr>
      </w:pPr>
      <w:r>
        <w:rPr>
          <w:rFonts w:ascii="Arial" w:cs="Arial" w:eastAsia="Arial" w:hAnsi="Arial"/>
          <w:sz w:val="14"/>
          <w:szCs w:val="14"/>
          <w:color w:val="4D4D4F"/>
        </w:rPr>
        <w:t>Rationalization of current business portfolio and development and execution of strategy to support business diversification</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40" w:type="dxa"/>
            <w:vAlign w:val="bottom"/>
          </w:tcPr>
          <w:p>
            <w:pPr>
              <w:spacing w:after="0"/>
              <w:rPr>
                <w:sz w:val="20"/>
                <w:szCs w:val="20"/>
                <w:color w:val="auto"/>
              </w:rPr>
            </w:pPr>
            <w:r>
              <w:rPr>
                <w:rFonts w:ascii="Arial" w:cs="Arial" w:eastAsia="Arial" w:hAnsi="Arial"/>
                <w:sz w:val="14"/>
                <w:szCs w:val="14"/>
                <w:b w:val="1"/>
                <w:bCs w:val="1"/>
                <w:color w:val="298655"/>
              </w:rPr>
              <w:t>•</w:t>
            </w:r>
          </w:p>
        </w:tc>
        <w:tc>
          <w:tcPr>
            <w:tcW w:w="5260" w:type="dxa"/>
            <w:vAlign w:val="bottom"/>
          </w:tcPr>
          <w:p>
            <w:pPr>
              <w:ind w:left="100"/>
              <w:spacing w:after="0"/>
              <w:rPr>
                <w:sz w:val="20"/>
                <w:szCs w:val="20"/>
                <w:color w:val="auto"/>
              </w:rPr>
            </w:pPr>
            <w:r>
              <w:rPr>
                <w:rFonts w:ascii="Arial" w:cs="Arial" w:eastAsia="Arial" w:hAnsi="Arial"/>
                <w:sz w:val="14"/>
                <w:szCs w:val="14"/>
                <w:color w:val="4D4D4F"/>
              </w:rPr>
              <w:t>Enhanced Corporate Development and Investor Relations functions by</w:t>
            </w:r>
          </w:p>
        </w:tc>
        <w:tc>
          <w:tcPr>
            <w:tcW w:w="1040" w:type="dxa"/>
            <w:vAlign w:val="bottom"/>
          </w:tcPr>
          <w:p>
            <w:pPr>
              <w:jc w:val="center"/>
              <w:ind w:left="128"/>
              <w:spacing w:after="0"/>
              <w:rPr>
                <w:sz w:val="20"/>
                <w:szCs w:val="20"/>
                <w:color w:val="auto"/>
              </w:rPr>
            </w:pPr>
            <w:r>
              <w:rPr>
                <w:rFonts w:ascii="Arial" w:cs="Arial" w:eastAsia="Arial" w:hAnsi="Arial"/>
                <w:sz w:val="14"/>
                <w:szCs w:val="14"/>
                <w:color w:val="4D4D4F"/>
              </w:rPr>
              <w:t>Partially Met</w:t>
            </w:r>
          </w:p>
        </w:tc>
      </w:tr>
      <w:tr>
        <w:trPr>
          <w:trHeight w:val="190"/>
        </w:trPr>
        <w:tc>
          <w:tcPr>
            <w:tcW w:w="140" w:type="dxa"/>
            <w:vAlign w:val="bottom"/>
          </w:tcPr>
          <w:p>
            <w:pPr>
              <w:spacing w:after="0"/>
              <w:rPr>
                <w:sz w:val="16"/>
                <w:szCs w:val="16"/>
                <w:color w:val="auto"/>
              </w:rPr>
            </w:pPr>
          </w:p>
        </w:tc>
        <w:tc>
          <w:tcPr>
            <w:tcW w:w="5260" w:type="dxa"/>
            <w:vAlign w:val="bottom"/>
          </w:tcPr>
          <w:p>
            <w:pPr>
              <w:ind w:left="100"/>
              <w:spacing w:after="0"/>
              <w:rPr>
                <w:sz w:val="20"/>
                <w:szCs w:val="20"/>
                <w:color w:val="auto"/>
              </w:rPr>
            </w:pPr>
            <w:r>
              <w:rPr>
                <w:rFonts w:ascii="Arial" w:cs="Arial" w:eastAsia="Arial" w:hAnsi="Arial"/>
                <w:sz w:val="14"/>
                <w:szCs w:val="14"/>
                <w:color w:val="4D4D4F"/>
              </w:rPr>
              <w:t>recruiting and onboarding additional key personnel</w:t>
            </w:r>
          </w:p>
        </w:tc>
        <w:tc>
          <w:tcPr>
            <w:tcW w:w="1040" w:type="dxa"/>
            <w:vAlign w:val="bottom"/>
          </w:tcPr>
          <w:p>
            <w:pPr>
              <w:jc w:val="center"/>
              <w:ind w:left="148"/>
              <w:spacing w:after="0"/>
              <w:rPr>
                <w:sz w:val="20"/>
                <w:szCs w:val="20"/>
                <w:color w:val="auto"/>
              </w:rPr>
            </w:pPr>
            <w:r>
              <w:rPr>
                <w:rFonts w:ascii="Arial" w:cs="Arial" w:eastAsia="Arial" w:hAnsi="Arial"/>
                <w:sz w:val="14"/>
                <w:szCs w:val="14"/>
                <w:color w:val="4D4D4F"/>
              </w:rPr>
              <w:t>Expectations</w:t>
            </w:r>
          </w:p>
        </w:tc>
      </w:tr>
      <w:tr>
        <w:trPr>
          <w:trHeight w:val="228"/>
        </w:trPr>
        <w:tc>
          <w:tcPr>
            <w:tcW w:w="140" w:type="dxa"/>
            <w:vAlign w:val="bottom"/>
          </w:tcPr>
          <w:p>
            <w:pPr>
              <w:spacing w:after="0"/>
              <w:rPr>
                <w:sz w:val="20"/>
                <w:szCs w:val="20"/>
                <w:color w:val="auto"/>
              </w:rPr>
            </w:pPr>
            <w:r>
              <w:rPr>
                <w:rFonts w:ascii="Arial" w:cs="Arial" w:eastAsia="Arial" w:hAnsi="Arial"/>
                <w:sz w:val="14"/>
                <w:szCs w:val="14"/>
                <w:b w:val="1"/>
                <w:bCs w:val="1"/>
                <w:color w:val="298655"/>
              </w:rPr>
              <w:t>•</w:t>
            </w:r>
          </w:p>
        </w:tc>
        <w:tc>
          <w:tcPr>
            <w:tcW w:w="5260" w:type="dxa"/>
            <w:vAlign w:val="bottom"/>
          </w:tcPr>
          <w:p>
            <w:pPr>
              <w:ind w:left="100"/>
              <w:spacing w:after="0"/>
              <w:rPr>
                <w:sz w:val="20"/>
                <w:szCs w:val="20"/>
                <w:color w:val="auto"/>
              </w:rPr>
            </w:pPr>
            <w:r>
              <w:rPr>
                <w:rFonts w:ascii="Arial" w:cs="Arial" w:eastAsia="Arial" w:hAnsi="Arial"/>
                <w:sz w:val="14"/>
                <w:szCs w:val="14"/>
                <w:color w:val="4D4D4F"/>
              </w:rPr>
              <w:t>Increased analyst coverage of the company’s common stock by three, as well</w:t>
            </w:r>
          </w:p>
        </w:tc>
        <w:tc>
          <w:tcPr>
            <w:tcW w:w="1040" w:type="dxa"/>
            <w:vAlign w:val="bottom"/>
          </w:tcPr>
          <w:p>
            <w:pPr>
              <w:jc w:val="center"/>
              <w:ind w:left="148"/>
              <w:spacing w:after="0"/>
              <w:rPr>
                <w:sz w:val="20"/>
                <w:szCs w:val="20"/>
                <w:color w:val="auto"/>
              </w:rPr>
            </w:pPr>
            <w:r>
              <w:rPr>
                <w:rFonts w:ascii="Arial" w:cs="Arial" w:eastAsia="Arial" w:hAnsi="Arial"/>
                <w:sz w:val="14"/>
                <w:szCs w:val="14"/>
                <w:color w:val="4D4D4F"/>
              </w:rPr>
              <w:t>(60%)</w:t>
            </w:r>
          </w:p>
        </w:tc>
      </w:tr>
      <w:tr>
        <w:trPr>
          <w:trHeight w:val="190"/>
        </w:trPr>
        <w:tc>
          <w:tcPr>
            <w:tcW w:w="140" w:type="dxa"/>
            <w:vAlign w:val="bottom"/>
          </w:tcPr>
          <w:p>
            <w:pPr>
              <w:spacing w:after="0"/>
              <w:rPr>
                <w:sz w:val="16"/>
                <w:szCs w:val="16"/>
                <w:color w:val="auto"/>
              </w:rPr>
            </w:pPr>
          </w:p>
        </w:tc>
        <w:tc>
          <w:tcPr>
            <w:tcW w:w="5260" w:type="dxa"/>
            <w:vAlign w:val="bottom"/>
          </w:tcPr>
          <w:p>
            <w:pPr>
              <w:ind w:left="100"/>
              <w:spacing w:after="0"/>
              <w:rPr>
                <w:sz w:val="20"/>
                <w:szCs w:val="20"/>
                <w:color w:val="auto"/>
              </w:rPr>
            </w:pPr>
            <w:r>
              <w:rPr>
                <w:rFonts w:ascii="Arial" w:cs="Arial" w:eastAsia="Arial" w:hAnsi="Arial"/>
                <w:sz w:val="14"/>
                <w:szCs w:val="14"/>
                <w:color w:val="4D4D4F"/>
              </w:rPr>
              <w:t>as overall investor engagement</w:t>
            </w:r>
          </w:p>
        </w:tc>
        <w:tc>
          <w:tcPr>
            <w:tcW w:w="1040" w:type="dxa"/>
            <w:vAlign w:val="bottom"/>
          </w:tcPr>
          <w:p>
            <w:pPr>
              <w:spacing w:after="0"/>
              <w:rPr>
                <w:sz w:val="16"/>
                <w:szCs w:val="16"/>
                <w:color w:val="auto"/>
              </w:rPr>
            </w:pPr>
          </w:p>
        </w:tc>
      </w:tr>
    </w:tbl>
    <w:p>
      <w:pPr>
        <w:spacing w:after="0" w:line="39" w:lineRule="exact"/>
        <w:rPr>
          <w:sz w:val="20"/>
          <w:szCs w:val="20"/>
          <w:color w:val="auto"/>
        </w:rPr>
      </w:pPr>
    </w:p>
    <w:p>
      <w:pPr>
        <w:ind w:left="240" w:right="1760" w:hanging="239"/>
        <w:spacing w:after="0" w:line="325" w:lineRule="auto"/>
        <w:tabs>
          <w:tab w:leader="none" w:pos="236" w:val="left"/>
        </w:tabs>
        <w:numPr>
          <w:ilvl w:val="0"/>
          <w:numId w:val="87"/>
        </w:numPr>
        <w:rPr>
          <w:rFonts w:ascii="Arial" w:cs="Arial" w:eastAsia="Arial" w:hAnsi="Arial"/>
          <w:sz w:val="14"/>
          <w:szCs w:val="14"/>
          <w:b w:val="1"/>
          <w:bCs w:val="1"/>
          <w:color w:val="298655"/>
        </w:rPr>
      </w:pPr>
      <w:r>
        <w:rPr>
          <w:rFonts w:ascii="Arial" w:cs="Arial" w:eastAsia="Arial" w:hAnsi="Arial"/>
          <w:sz w:val="14"/>
          <w:szCs w:val="14"/>
          <w:color w:val="4D4D4F"/>
        </w:rPr>
        <w:t>Completed several conventional and sustainable energy transactions while building a portfolio of sustainable energy related opportunities</w:t>
      </w:r>
    </w:p>
    <w:p>
      <w:pPr>
        <w:spacing w:after="0" w:line="200" w:lineRule="exact"/>
        <w:rPr>
          <w:sz w:val="20"/>
          <w:szCs w:val="20"/>
          <w:color w:val="auto"/>
        </w:rPr>
      </w:pPr>
    </w:p>
    <w:p>
      <w:pPr>
        <w:sectPr>
          <w:pgSz w:w="11900" w:h="16838" w:orient="portrait"/>
          <w:cols w:equalWidth="0" w:num="2">
            <w:col w:w="3940" w:space="540"/>
            <w:col w:w="6760"/>
          </w:cols>
          <w:pgMar w:left="320" w:top="279" w:right="339" w:bottom="1440" w:gutter="0" w:footer="0" w:header="0"/>
          <w:type w:val="continuous"/>
        </w:sectPr>
      </w:pPr>
    </w:p>
    <w:p>
      <w:pPr>
        <w:spacing w:after="0" w:line="133"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1140" w:type="dxa"/>
            <w:vAlign w:val="bottom"/>
          </w:tcPr>
          <w:p>
            <w:pPr>
              <w:spacing w:after="0"/>
              <w:rPr>
                <w:sz w:val="20"/>
                <w:szCs w:val="20"/>
                <w:color w:val="auto"/>
              </w:rPr>
            </w:pPr>
            <w:r>
              <w:rPr>
                <w:rFonts w:ascii="Arial" w:cs="Arial" w:eastAsia="Arial" w:hAnsi="Arial"/>
                <w:sz w:val="14"/>
                <w:szCs w:val="14"/>
                <w:b w:val="1"/>
                <w:bCs w:val="1"/>
                <w:color w:val="4D4D4F"/>
              </w:rPr>
              <w:t>Financial</w:t>
            </w:r>
          </w:p>
        </w:tc>
        <w:tc>
          <w:tcPr>
            <w:tcW w:w="400" w:type="dxa"/>
            <w:vAlign w:val="bottom"/>
          </w:tcPr>
          <w:p>
            <w:pPr>
              <w:jc w:val="right"/>
              <w:ind w:right="28"/>
              <w:spacing w:after="0"/>
              <w:rPr>
                <w:sz w:val="20"/>
                <w:szCs w:val="20"/>
                <w:color w:val="auto"/>
              </w:rPr>
            </w:pPr>
            <w:r>
              <w:rPr>
                <w:rFonts w:ascii="Arial" w:cs="Arial" w:eastAsia="Arial" w:hAnsi="Arial"/>
                <w:sz w:val="14"/>
                <w:szCs w:val="14"/>
                <w:color w:val="4D4D4F"/>
              </w:rPr>
              <w:t>1.</w:t>
            </w:r>
          </w:p>
        </w:tc>
        <w:tc>
          <w:tcPr>
            <w:tcW w:w="2680" w:type="dxa"/>
            <w:vAlign w:val="bottom"/>
          </w:tcPr>
          <w:p>
            <w:pPr>
              <w:ind w:left="100"/>
              <w:spacing w:after="0"/>
              <w:rPr>
                <w:sz w:val="20"/>
                <w:szCs w:val="20"/>
                <w:color w:val="auto"/>
              </w:rPr>
            </w:pPr>
            <w:r>
              <w:rPr>
                <w:rFonts w:ascii="Arial" w:cs="Arial" w:eastAsia="Arial" w:hAnsi="Arial"/>
                <w:sz w:val="14"/>
                <w:szCs w:val="14"/>
                <w:color w:val="4D4D4F"/>
              </w:rPr>
              <w:t>Improve legacy North America Land</w:t>
            </w:r>
          </w:p>
        </w:tc>
      </w:tr>
      <w:tr>
        <w:trPr>
          <w:trHeight w:val="196"/>
        </w:trPr>
        <w:tc>
          <w:tcPr>
            <w:tcW w:w="1140" w:type="dxa"/>
            <w:vAlign w:val="bottom"/>
          </w:tcPr>
          <w:p>
            <w:pPr>
              <w:spacing w:after="0"/>
              <w:rPr>
                <w:sz w:val="20"/>
                <w:szCs w:val="20"/>
                <w:color w:val="auto"/>
              </w:rPr>
            </w:pPr>
            <w:r>
              <w:rPr>
                <w:rFonts w:ascii="Arial" w:cs="Arial" w:eastAsia="Arial" w:hAnsi="Arial"/>
                <w:sz w:val="14"/>
                <w:szCs w:val="14"/>
                <w:b w:val="1"/>
                <w:bCs w:val="1"/>
                <w:color w:val="4D4D4F"/>
              </w:rPr>
              <w:t>Objectives</w:t>
            </w:r>
          </w:p>
        </w:tc>
        <w:tc>
          <w:tcPr>
            <w:tcW w:w="400" w:type="dxa"/>
            <w:vAlign w:val="bottom"/>
          </w:tcPr>
          <w:p>
            <w:pPr>
              <w:spacing w:after="0"/>
              <w:rPr>
                <w:sz w:val="17"/>
                <w:szCs w:val="17"/>
                <w:color w:val="auto"/>
              </w:rPr>
            </w:pPr>
          </w:p>
        </w:tc>
        <w:tc>
          <w:tcPr>
            <w:tcW w:w="2680" w:type="dxa"/>
            <w:vAlign w:val="bottom"/>
          </w:tcPr>
          <w:p>
            <w:pPr>
              <w:ind w:left="100"/>
              <w:spacing w:after="0"/>
              <w:rPr>
                <w:sz w:val="20"/>
                <w:szCs w:val="20"/>
                <w:color w:val="auto"/>
              </w:rPr>
            </w:pPr>
            <w:r>
              <w:rPr>
                <w:rFonts w:ascii="Arial" w:cs="Arial" w:eastAsia="Arial" w:hAnsi="Arial"/>
                <w:sz w:val="14"/>
                <w:szCs w:val="14"/>
                <w:color w:val="4D4D4F"/>
              </w:rPr>
              <w:t>Operating Margin</w:t>
            </w:r>
          </w:p>
        </w:tc>
      </w:tr>
      <w:tr>
        <w:trPr>
          <w:trHeight w:val="313"/>
        </w:trPr>
        <w:tc>
          <w:tcPr>
            <w:tcW w:w="1140" w:type="dxa"/>
            <w:vAlign w:val="bottom"/>
          </w:tcPr>
          <w:p>
            <w:pPr>
              <w:spacing w:after="0"/>
              <w:rPr>
                <w:sz w:val="24"/>
                <w:szCs w:val="24"/>
                <w:color w:val="auto"/>
              </w:rPr>
            </w:pPr>
          </w:p>
        </w:tc>
        <w:tc>
          <w:tcPr>
            <w:tcW w:w="400" w:type="dxa"/>
            <w:vAlign w:val="bottom"/>
            <w:tcBorders>
              <w:bottom w:val="single" w:sz="8" w:color="132440"/>
            </w:tcBorders>
          </w:tcPr>
          <w:p>
            <w:pPr>
              <w:spacing w:after="0"/>
              <w:rPr>
                <w:sz w:val="24"/>
                <w:szCs w:val="24"/>
                <w:color w:val="auto"/>
              </w:rPr>
            </w:pPr>
          </w:p>
        </w:tc>
        <w:tc>
          <w:tcPr>
            <w:tcW w:w="2680" w:type="dxa"/>
            <w:vAlign w:val="bottom"/>
            <w:tcBorders>
              <w:bottom w:val="single" w:sz="8" w:color="132440"/>
            </w:tcBorders>
          </w:tcPr>
          <w:p>
            <w:pPr>
              <w:spacing w:after="0"/>
              <w:rPr>
                <w:sz w:val="24"/>
                <w:szCs w:val="24"/>
                <w:color w:val="auto"/>
              </w:rPr>
            </w:pPr>
          </w:p>
        </w:tc>
      </w:tr>
      <w:tr>
        <w:trPr>
          <w:trHeight w:val="268"/>
        </w:trPr>
        <w:tc>
          <w:tcPr>
            <w:tcW w:w="1140" w:type="dxa"/>
            <w:vAlign w:val="bottom"/>
          </w:tcPr>
          <w:p>
            <w:pPr>
              <w:spacing w:after="0"/>
              <w:rPr>
                <w:sz w:val="23"/>
                <w:szCs w:val="23"/>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4D4D4F"/>
              </w:rPr>
              <w:t>2.</w:t>
            </w:r>
          </w:p>
        </w:tc>
        <w:tc>
          <w:tcPr>
            <w:tcW w:w="2680" w:type="dxa"/>
            <w:vAlign w:val="bottom"/>
          </w:tcPr>
          <w:p>
            <w:pPr>
              <w:ind w:left="100"/>
              <w:spacing w:after="0"/>
              <w:rPr>
                <w:sz w:val="20"/>
                <w:szCs w:val="20"/>
                <w:color w:val="auto"/>
              </w:rPr>
            </w:pPr>
            <w:r>
              <w:rPr>
                <w:rFonts w:ascii="Arial" w:cs="Arial" w:eastAsia="Arial" w:hAnsi="Arial"/>
                <w:sz w:val="14"/>
                <w:szCs w:val="14"/>
                <w:color w:val="4D4D4F"/>
              </w:rPr>
              <w:t>Deliver targeted increase in Kinect</w:t>
            </w:r>
          </w:p>
        </w:tc>
      </w:tr>
      <w:tr>
        <w:trPr>
          <w:trHeight w:val="189"/>
        </w:trPr>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80" w:type="dxa"/>
            <w:vAlign w:val="bottom"/>
          </w:tcPr>
          <w:p>
            <w:pPr>
              <w:ind w:left="100"/>
              <w:spacing w:after="0"/>
              <w:rPr>
                <w:sz w:val="20"/>
                <w:szCs w:val="20"/>
                <w:color w:val="auto"/>
              </w:rPr>
            </w:pPr>
            <w:r>
              <w:rPr>
                <w:rFonts w:ascii="Arial" w:cs="Arial" w:eastAsia="Arial" w:hAnsi="Arial"/>
                <w:sz w:val="14"/>
                <w:szCs w:val="14"/>
                <w:color w:val="4D4D4F"/>
              </w:rPr>
              <w:t>gross profit (excluding Natural Gas &amp;</w:t>
            </w:r>
          </w:p>
        </w:tc>
      </w:tr>
      <w:tr>
        <w:trPr>
          <w:trHeight w:val="190"/>
        </w:trPr>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80" w:type="dxa"/>
            <w:vAlign w:val="bottom"/>
          </w:tcPr>
          <w:p>
            <w:pPr>
              <w:ind w:left="100"/>
              <w:spacing w:after="0"/>
              <w:rPr>
                <w:sz w:val="20"/>
                <w:szCs w:val="20"/>
                <w:color w:val="auto"/>
              </w:rPr>
            </w:pPr>
            <w:r>
              <w:rPr>
                <w:rFonts w:ascii="Arial" w:cs="Arial" w:eastAsia="Arial" w:hAnsi="Arial"/>
                <w:sz w:val="14"/>
                <w:szCs w:val="14"/>
                <w:color w:val="4D4D4F"/>
              </w:rPr>
              <w:t>Power Trading)</w:t>
            </w:r>
          </w:p>
        </w:tc>
      </w:tr>
      <w:tr>
        <w:trPr>
          <w:trHeight w:val="75"/>
        </w:trPr>
        <w:tc>
          <w:tcPr>
            <w:tcW w:w="1140" w:type="dxa"/>
            <w:vAlign w:val="bottom"/>
          </w:tcPr>
          <w:p>
            <w:pPr>
              <w:spacing w:after="0"/>
              <w:rPr>
                <w:sz w:val="6"/>
                <w:szCs w:val="6"/>
                <w:color w:val="auto"/>
              </w:rPr>
            </w:pPr>
          </w:p>
        </w:tc>
        <w:tc>
          <w:tcPr>
            <w:tcW w:w="400" w:type="dxa"/>
            <w:vAlign w:val="bottom"/>
            <w:tcBorders>
              <w:bottom w:val="single" w:sz="8" w:color="132440"/>
            </w:tcBorders>
          </w:tcPr>
          <w:p>
            <w:pPr>
              <w:spacing w:after="0"/>
              <w:rPr>
                <w:sz w:val="6"/>
                <w:szCs w:val="6"/>
                <w:color w:val="auto"/>
              </w:rPr>
            </w:pPr>
          </w:p>
        </w:tc>
        <w:tc>
          <w:tcPr>
            <w:tcW w:w="2680" w:type="dxa"/>
            <w:vAlign w:val="bottom"/>
            <w:tcBorders>
              <w:bottom w:val="single" w:sz="8" w:color="132440"/>
            </w:tcBorders>
          </w:tcPr>
          <w:p>
            <w:pPr>
              <w:spacing w:after="0"/>
              <w:rPr>
                <w:sz w:val="6"/>
                <w:szCs w:val="6"/>
                <w:color w:val="auto"/>
              </w:rPr>
            </w:pPr>
          </w:p>
        </w:tc>
      </w:tr>
      <w:tr>
        <w:trPr>
          <w:trHeight w:val="268"/>
        </w:trPr>
        <w:tc>
          <w:tcPr>
            <w:tcW w:w="1140" w:type="dxa"/>
            <w:vAlign w:val="bottom"/>
          </w:tcPr>
          <w:p>
            <w:pPr>
              <w:spacing w:after="0"/>
              <w:rPr>
                <w:sz w:val="23"/>
                <w:szCs w:val="23"/>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4D4D4F"/>
              </w:rPr>
              <w:t>3.</w:t>
            </w:r>
          </w:p>
        </w:tc>
        <w:tc>
          <w:tcPr>
            <w:tcW w:w="2680" w:type="dxa"/>
            <w:vAlign w:val="bottom"/>
          </w:tcPr>
          <w:p>
            <w:pPr>
              <w:ind w:left="100"/>
              <w:spacing w:after="0"/>
              <w:rPr>
                <w:sz w:val="20"/>
                <w:szCs w:val="20"/>
                <w:color w:val="auto"/>
              </w:rPr>
            </w:pPr>
            <w:r>
              <w:rPr>
                <w:rFonts w:ascii="Arial" w:cs="Arial" w:eastAsia="Arial" w:hAnsi="Arial"/>
                <w:sz w:val="14"/>
                <w:szCs w:val="14"/>
                <w:color w:val="4D4D4F"/>
              </w:rPr>
              <w:t>Deliver targeted increase in operating</w:t>
            </w:r>
          </w:p>
        </w:tc>
      </w:tr>
      <w:tr>
        <w:trPr>
          <w:trHeight w:val="190"/>
        </w:trPr>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80" w:type="dxa"/>
            <w:vAlign w:val="bottom"/>
          </w:tcPr>
          <w:p>
            <w:pPr>
              <w:ind w:left="100"/>
              <w:spacing w:after="0"/>
              <w:rPr>
                <w:sz w:val="20"/>
                <w:szCs w:val="20"/>
                <w:color w:val="auto"/>
              </w:rPr>
            </w:pPr>
            <w:r>
              <w:rPr>
                <w:rFonts w:ascii="Arial" w:cs="Arial" w:eastAsia="Arial" w:hAnsi="Arial"/>
                <w:sz w:val="14"/>
                <w:szCs w:val="14"/>
                <w:color w:val="4D4D4F"/>
              </w:rPr>
              <w:t>cash flow</w:t>
            </w: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ind w:left="160"/>
              <w:spacing w:after="0"/>
              <w:rPr>
                <w:sz w:val="20"/>
                <w:szCs w:val="20"/>
                <w:color w:val="auto"/>
              </w:rPr>
            </w:pPr>
            <w:r>
              <w:rPr>
                <w:rFonts w:ascii="Arial" w:cs="Arial" w:eastAsia="Arial" w:hAnsi="Arial"/>
                <w:sz w:val="14"/>
                <w:szCs w:val="14"/>
                <w:b w:val="1"/>
                <w:bCs w:val="1"/>
                <w:color w:val="298655"/>
              </w:rPr>
              <w:t xml:space="preserve">•   </w:t>
            </w:r>
            <w:r>
              <w:rPr>
                <w:rFonts w:ascii="Arial" w:cs="Arial" w:eastAsia="Arial" w:hAnsi="Arial"/>
                <w:sz w:val="14"/>
                <w:szCs w:val="14"/>
                <w:color w:val="4D4D4F"/>
              </w:rPr>
              <w:t>Achieved an improvement in operating margin</w:t>
            </w:r>
          </w:p>
        </w:tc>
        <w:tc>
          <w:tcPr>
            <w:tcW w:w="1560" w:type="dxa"/>
            <w:vAlign w:val="bottom"/>
          </w:tcPr>
          <w:p>
            <w:pPr>
              <w:jc w:val="center"/>
              <w:ind w:left="8"/>
              <w:spacing w:after="0"/>
              <w:rPr>
                <w:sz w:val="20"/>
                <w:szCs w:val="20"/>
                <w:color w:val="auto"/>
              </w:rPr>
            </w:pPr>
            <w:r>
              <w:rPr>
                <w:rFonts w:ascii="Arial" w:cs="Arial" w:eastAsia="Arial" w:hAnsi="Arial"/>
                <w:sz w:val="14"/>
                <w:szCs w:val="14"/>
                <w:color w:val="4D4D4F"/>
              </w:rPr>
              <w:t>Partially Met</w:t>
            </w:r>
          </w:p>
        </w:tc>
      </w:tr>
      <w:tr>
        <w:trPr>
          <w:trHeight w:val="190"/>
        </w:trPr>
        <w:tc>
          <w:tcPr>
            <w:tcW w:w="5360" w:type="dxa"/>
            <w:vAlign w:val="bottom"/>
          </w:tcPr>
          <w:p>
            <w:pPr>
              <w:spacing w:after="0"/>
              <w:rPr>
                <w:sz w:val="16"/>
                <w:szCs w:val="16"/>
                <w:color w:val="auto"/>
              </w:rPr>
            </w:pPr>
          </w:p>
        </w:tc>
        <w:tc>
          <w:tcPr>
            <w:tcW w:w="1560" w:type="dxa"/>
            <w:vAlign w:val="bottom"/>
          </w:tcPr>
          <w:p>
            <w:pPr>
              <w:jc w:val="center"/>
              <w:ind w:left="28"/>
              <w:spacing w:after="0"/>
              <w:rPr>
                <w:sz w:val="20"/>
                <w:szCs w:val="20"/>
                <w:color w:val="auto"/>
              </w:rPr>
            </w:pPr>
            <w:r>
              <w:rPr>
                <w:rFonts w:ascii="Arial" w:cs="Arial" w:eastAsia="Arial" w:hAnsi="Arial"/>
                <w:sz w:val="14"/>
                <w:szCs w:val="14"/>
                <w:color w:val="4D4D4F"/>
              </w:rPr>
              <w:t>Expectations</w:t>
            </w:r>
          </w:p>
        </w:tc>
      </w:tr>
      <w:tr>
        <w:trPr>
          <w:trHeight w:val="243"/>
        </w:trPr>
        <w:tc>
          <w:tcPr>
            <w:tcW w:w="5360" w:type="dxa"/>
            <w:vAlign w:val="bottom"/>
          </w:tcPr>
          <w:p>
            <w:pPr>
              <w:spacing w:after="0"/>
              <w:rPr>
                <w:sz w:val="21"/>
                <w:szCs w:val="21"/>
                <w:color w:val="auto"/>
              </w:rPr>
            </w:pPr>
          </w:p>
        </w:tc>
        <w:tc>
          <w:tcPr>
            <w:tcW w:w="1560" w:type="dxa"/>
            <w:vAlign w:val="bottom"/>
          </w:tcPr>
          <w:p>
            <w:pPr>
              <w:jc w:val="center"/>
              <w:ind w:left="28"/>
              <w:spacing w:after="0"/>
              <w:rPr>
                <w:sz w:val="20"/>
                <w:szCs w:val="20"/>
                <w:color w:val="auto"/>
              </w:rPr>
            </w:pPr>
            <w:r>
              <w:rPr>
                <w:rFonts w:ascii="Arial" w:cs="Arial" w:eastAsia="Arial" w:hAnsi="Arial"/>
                <w:sz w:val="14"/>
                <w:szCs w:val="14"/>
                <w:color w:val="4D4D4F"/>
              </w:rPr>
              <w:t>(60%)</w:t>
            </w:r>
          </w:p>
        </w:tc>
      </w:tr>
      <w:tr>
        <w:trPr>
          <w:trHeight w:val="76"/>
        </w:trPr>
        <w:tc>
          <w:tcPr>
            <w:tcW w:w="5360" w:type="dxa"/>
            <w:vAlign w:val="bottom"/>
            <w:tcBorders>
              <w:bottom w:val="single" w:sz="8" w:color="298655"/>
            </w:tcBorders>
          </w:tcPr>
          <w:p>
            <w:pPr>
              <w:spacing w:after="0"/>
              <w:rPr>
                <w:sz w:val="6"/>
                <w:szCs w:val="6"/>
                <w:color w:val="auto"/>
              </w:rPr>
            </w:pPr>
          </w:p>
        </w:tc>
        <w:tc>
          <w:tcPr>
            <w:tcW w:w="1560" w:type="dxa"/>
            <w:vAlign w:val="bottom"/>
            <w:tcBorders>
              <w:bottom w:val="single" w:sz="8" w:color="298655"/>
            </w:tcBorders>
          </w:tcPr>
          <w:p>
            <w:pPr>
              <w:spacing w:after="0"/>
              <w:rPr>
                <w:sz w:val="6"/>
                <w:szCs w:val="6"/>
                <w:color w:val="auto"/>
              </w:rPr>
            </w:pPr>
          </w:p>
        </w:tc>
      </w:tr>
      <w:tr>
        <w:trPr>
          <w:trHeight w:val="288"/>
        </w:trPr>
        <w:tc>
          <w:tcPr>
            <w:tcW w:w="5360" w:type="dxa"/>
            <w:vAlign w:val="bottom"/>
          </w:tcPr>
          <w:p>
            <w:pPr>
              <w:ind w:left="160"/>
              <w:spacing w:after="0"/>
              <w:rPr>
                <w:sz w:val="20"/>
                <w:szCs w:val="20"/>
                <w:color w:val="auto"/>
              </w:rPr>
            </w:pPr>
            <w:r>
              <w:rPr>
                <w:rFonts w:ascii="Arial" w:cs="Arial" w:eastAsia="Arial" w:hAnsi="Arial"/>
                <w:sz w:val="14"/>
                <w:szCs w:val="14"/>
                <w:b w:val="1"/>
                <w:bCs w:val="1"/>
                <w:color w:val="298655"/>
              </w:rPr>
              <w:t xml:space="preserve">•   </w:t>
            </w:r>
            <w:r>
              <w:rPr>
                <w:rFonts w:ascii="Arial" w:cs="Arial" w:eastAsia="Arial" w:hAnsi="Arial"/>
                <w:sz w:val="14"/>
                <w:szCs w:val="14"/>
                <w:color w:val="4D4D4F"/>
              </w:rPr>
              <w:t>Achieved the targeted increase in gross profit</w:t>
            </w:r>
          </w:p>
        </w:tc>
        <w:tc>
          <w:tcPr>
            <w:tcW w:w="1560" w:type="dxa"/>
            <w:vAlign w:val="bottom"/>
          </w:tcPr>
          <w:p>
            <w:pPr>
              <w:jc w:val="center"/>
              <w:ind w:left="28"/>
              <w:spacing w:after="0"/>
              <w:rPr>
                <w:sz w:val="20"/>
                <w:szCs w:val="20"/>
                <w:color w:val="auto"/>
              </w:rPr>
            </w:pPr>
            <w:r>
              <w:rPr>
                <w:rFonts w:ascii="Arial" w:cs="Arial" w:eastAsia="Arial" w:hAnsi="Arial"/>
                <w:sz w:val="14"/>
                <w:szCs w:val="14"/>
                <w:color w:val="4D4D4F"/>
              </w:rPr>
              <w:t>Met Expectations</w:t>
            </w:r>
          </w:p>
        </w:tc>
      </w:tr>
      <w:tr>
        <w:trPr>
          <w:trHeight w:val="223"/>
        </w:trPr>
        <w:tc>
          <w:tcPr>
            <w:tcW w:w="5360" w:type="dxa"/>
            <w:vAlign w:val="bottom"/>
          </w:tcPr>
          <w:p>
            <w:pPr>
              <w:spacing w:after="0"/>
              <w:rPr>
                <w:sz w:val="19"/>
                <w:szCs w:val="19"/>
                <w:color w:val="auto"/>
              </w:rPr>
            </w:pPr>
          </w:p>
        </w:tc>
        <w:tc>
          <w:tcPr>
            <w:tcW w:w="1560" w:type="dxa"/>
            <w:vAlign w:val="bottom"/>
          </w:tcPr>
          <w:p>
            <w:pPr>
              <w:jc w:val="center"/>
              <w:ind w:left="28"/>
              <w:spacing w:after="0"/>
              <w:rPr>
                <w:sz w:val="20"/>
                <w:szCs w:val="20"/>
                <w:color w:val="auto"/>
              </w:rPr>
            </w:pPr>
            <w:r>
              <w:rPr>
                <w:rFonts w:ascii="Arial" w:cs="Arial" w:eastAsia="Arial" w:hAnsi="Arial"/>
                <w:sz w:val="14"/>
                <w:szCs w:val="14"/>
                <w:color w:val="4D4D4F"/>
              </w:rPr>
              <w:t>(100%)</w:t>
            </w:r>
          </w:p>
        </w:tc>
      </w:tr>
      <w:tr>
        <w:trPr>
          <w:trHeight w:val="210"/>
        </w:trPr>
        <w:tc>
          <w:tcPr>
            <w:tcW w:w="5360" w:type="dxa"/>
            <w:vAlign w:val="bottom"/>
            <w:tcBorders>
              <w:bottom w:val="single" w:sz="8" w:color="298655"/>
            </w:tcBorders>
          </w:tcPr>
          <w:p>
            <w:pPr>
              <w:spacing w:after="0"/>
              <w:rPr>
                <w:sz w:val="18"/>
                <w:szCs w:val="18"/>
                <w:color w:val="auto"/>
              </w:rPr>
            </w:pPr>
          </w:p>
        </w:tc>
        <w:tc>
          <w:tcPr>
            <w:tcW w:w="1560" w:type="dxa"/>
            <w:vAlign w:val="bottom"/>
            <w:tcBorders>
              <w:bottom w:val="single" w:sz="8" w:color="298655"/>
            </w:tcBorders>
          </w:tcPr>
          <w:p>
            <w:pPr>
              <w:spacing w:after="0"/>
              <w:rPr>
                <w:sz w:val="18"/>
                <w:szCs w:val="18"/>
                <w:color w:val="auto"/>
              </w:rPr>
            </w:pPr>
          </w:p>
        </w:tc>
      </w:tr>
      <w:tr>
        <w:trPr>
          <w:trHeight w:val="289"/>
        </w:trPr>
        <w:tc>
          <w:tcPr>
            <w:tcW w:w="5360" w:type="dxa"/>
            <w:vAlign w:val="bottom"/>
          </w:tcPr>
          <w:p>
            <w:pPr>
              <w:ind w:left="160"/>
              <w:spacing w:after="0"/>
              <w:rPr>
                <w:sz w:val="20"/>
                <w:szCs w:val="20"/>
                <w:color w:val="auto"/>
              </w:rPr>
            </w:pPr>
            <w:r>
              <w:rPr>
                <w:rFonts w:ascii="Arial" w:cs="Arial" w:eastAsia="Arial" w:hAnsi="Arial"/>
                <w:sz w:val="14"/>
                <w:szCs w:val="14"/>
                <w:b w:val="1"/>
                <w:bCs w:val="1"/>
                <w:color w:val="298655"/>
              </w:rPr>
              <w:t xml:space="preserve">•   </w:t>
            </w:r>
            <w:r>
              <w:rPr>
                <w:rFonts w:ascii="Arial" w:cs="Arial" w:eastAsia="Arial" w:hAnsi="Arial"/>
                <w:sz w:val="14"/>
                <w:szCs w:val="14"/>
                <w:color w:val="4D4D4F"/>
              </w:rPr>
              <w:t>Generated $271 million in operating cash flow, a 96% increase from 2022</w:t>
            </w:r>
          </w:p>
        </w:tc>
        <w:tc>
          <w:tcPr>
            <w:tcW w:w="1560" w:type="dxa"/>
            <w:vAlign w:val="bottom"/>
          </w:tcPr>
          <w:p>
            <w:pPr>
              <w:jc w:val="center"/>
              <w:ind w:left="28"/>
              <w:spacing w:after="0"/>
              <w:rPr>
                <w:sz w:val="20"/>
                <w:szCs w:val="20"/>
                <w:color w:val="auto"/>
              </w:rPr>
            </w:pPr>
            <w:r>
              <w:rPr>
                <w:rFonts w:ascii="Arial" w:cs="Arial" w:eastAsia="Arial" w:hAnsi="Arial"/>
                <w:sz w:val="14"/>
                <w:szCs w:val="14"/>
                <w:color w:val="4D4D4F"/>
              </w:rPr>
              <w:t>Met Expectations</w:t>
            </w:r>
          </w:p>
        </w:tc>
      </w:tr>
      <w:tr>
        <w:trPr>
          <w:trHeight w:val="224"/>
        </w:trPr>
        <w:tc>
          <w:tcPr>
            <w:tcW w:w="5360" w:type="dxa"/>
            <w:vAlign w:val="bottom"/>
          </w:tcPr>
          <w:p>
            <w:pPr>
              <w:spacing w:after="0"/>
              <w:rPr>
                <w:sz w:val="19"/>
                <w:szCs w:val="19"/>
                <w:color w:val="auto"/>
              </w:rPr>
            </w:pPr>
          </w:p>
        </w:tc>
        <w:tc>
          <w:tcPr>
            <w:tcW w:w="1560" w:type="dxa"/>
            <w:vAlign w:val="bottom"/>
          </w:tcPr>
          <w:p>
            <w:pPr>
              <w:jc w:val="center"/>
              <w:ind w:left="28"/>
              <w:spacing w:after="0"/>
              <w:rPr>
                <w:sz w:val="20"/>
                <w:szCs w:val="20"/>
                <w:color w:val="auto"/>
              </w:rPr>
            </w:pPr>
            <w:r>
              <w:rPr>
                <w:rFonts w:ascii="Arial" w:cs="Arial" w:eastAsia="Arial" w:hAnsi="Arial"/>
                <w:sz w:val="14"/>
                <w:szCs w:val="14"/>
                <w:color w:val="4D4D4F"/>
              </w:rPr>
              <w:t>(100%)</w:t>
            </w:r>
          </w:p>
        </w:tc>
      </w:tr>
    </w:tbl>
    <w:p>
      <w:pPr>
        <w:spacing w:after="0" w:line="200" w:lineRule="exact"/>
        <w:rPr>
          <w:sz w:val="20"/>
          <w:szCs w:val="20"/>
          <w:color w:val="auto"/>
        </w:rPr>
      </w:pPr>
    </w:p>
    <w:p>
      <w:pPr>
        <w:sectPr>
          <w:pgSz w:w="11900" w:h="16838" w:orient="portrait"/>
          <w:cols w:equalWidth="0" w:num="2">
            <w:col w:w="4320" w:space="0"/>
            <w:col w:w="6920"/>
          </w:cols>
          <w:pgMar w:left="320" w:top="279" w:right="3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ind w:left="1420"/>
              <w:spacing w:after="0"/>
              <w:rPr>
                <w:sz w:val="20"/>
                <w:szCs w:val="20"/>
                <w:color w:val="auto"/>
              </w:rPr>
            </w:pPr>
            <w:r>
              <w:rPr>
                <w:rFonts w:ascii="Arial" w:cs="Arial" w:eastAsia="Arial" w:hAnsi="Arial"/>
                <w:sz w:val="14"/>
                <w:szCs w:val="14"/>
                <w:color w:val="4D4D4F"/>
              </w:rPr>
              <w:t>4.   Deliver a targeted return on invested</w:t>
            </w:r>
          </w:p>
        </w:tc>
        <w:tc>
          <w:tcPr>
            <w:tcW w:w="4880" w:type="dxa"/>
            <w:vAlign w:val="bottom"/>
          </w:tcPr>
          <w:p>
            <w:pPr>
              <w:ind w:left="200"/>
              <w:spacing w:after="0"/>
              <w:rPr>
                <w:sz w:val="20"/>
                <w:szCs w:val="20"/>
                <w:color w:val="auto"/>
              </w:rPr>
            </w:pPr>
            <w:r>
              <w:rPr>
                <w:rFonts w:ascii="Arial" w:cs="Arial" w:eastAsia="Arial" w:hAnsi="Arial"/>
                <w:sz w:val="14"/>
                <w:szCs w:val="14"/>
                <w:b w:val="1"/>
                <w:bCs w:val="1"/>
                <w:color w:val="298655"/>
              </w:rPr>
              <w:t xml:space="preserve">•   </w:t>
            </w:r>
            <w:r>
              <w:rPr>
                <w:rFonts w:ascii="Arial" w:cs="Arial" w:eastAsia="Arial" w:hAnsi="Arial"/>
                <w:sz w:val="14"/>
                <w:szCs w:val="14"/>
                <w:color w:val="4D4D4F"/>
              </w:rPr>
              <w:t>Achieved the targeted adjusted return on invested capital</w:t>
            </w:r>
          </w:p>
        </w:tc>
        <w:tc>
          <w:tcPr>
            <w:tcW w:w="2080" w:type="dxa"/>
            <w:vAlign w:val="bottom"/>
          </w:tcPr>
          <w:p>
            <w:pPr>
              <w:ind w:left="800"/>
              <w:spacing w:after="0"/>
              <w:rPr>
                <w:sz w:val="20"/>
                <w:szCs w:val="20"/>
                <w:color w:val="auto"/>
              </w:rPr>
            </w:pPr>
            <w:r>
              <w:rPr>
                <w:rFonts w:ascii="Arial" w:cs="Arial" w:eastAsia="Arial" w:hAnsi="Arial"/>
                <w:sz w:val="14"/>
                <w:szCs w:val="14"/>
                <w:color w:val="4D4D4F"/>
              </w:rPr>
              <w:t>Met Expectations</w:t>
            </w:r>
          </w:p>
        </w:tc>
        <w:tc>
          <w:tcPr>
            <w:tcW w:w="0" w:type="dxa"/>
            <w:vAlign w:val="bottom"/>
          </w:tcPr>
          <w:p>
            <w:pPr>
              <w:spacing w:after="0"/>
              <w:rPr>
                <w:sz w:val="1"/>
                <w:szCs w:val="1"/>
                <w:color w:val="auto"/>
              </w:rPr>
            </w:pPr>
          </w:p>
        </w:tc>
      </w:tr>
      <w:tr>
        <w:trPr>
          <w:trHeight w:val="190"/>
        </w:trPr>
        <w:tc>
          <w:tcPr>
            <w:tcW w:w="4280" w:type="dxa"/>
            <w:vAlign w:val="bottom"/>
          </w:tcPr>
          <w:p>
            <w:pPr>
              <w:ind w:left="1740"/>
              <w:spacing w:after="0"/>
              <w:rPr>
                <w:sz w:val="20"/>
                <w:szCs w:val="20"/>
                <w:color w:val="auto"/>
              </w:rPr>
            </w:pPr>
            <w:r>
              <w:rPr>
                <w:rFonts w:ascii="Arial" w:cs="Arial" w:eastAsia="Arial" w:hAnsi="Arial"/>
                <w:sz w:val="14"/>
                <w:szCs w:val="14"/>
                <w:color w:val="4D4D4F"/>
              </w:rPr>
              <w:t>capital</w:t>
            </w:r>
          </w:p>
        </w:tc>
        <w:tc>
          <w:tcPr>
            <w:tcW w:w="4880" w:type="dxa"/>
            <w:vAlign w:val="bottom"/>
          </w:tcPr>
          <w:p>
            <w:pPr>
              <w:spacing w:after="0"/>
              <w:rPr>
                <w:sz w:val="16"/>
                <w:szCs w:val="16"/>
                <w:color w:val="auto"/>
              </w:rPr>
            </w:pPr>
          </w:p>
        </w:tc>
        <w:tc>
          <w:tcPr>
            <w:tcW w:w="2080" w:type="dxa"/>
            <w:vAlign w:val="bottom"/>
            <w:vMerge w:val="restart"/>
          </w:tcPr>
          <w:p>
            <w:pPr>
              <w:jc w:val="right"/>
              <w:ind w:right="428"/>
              <w:spacing w:after="0"/>
              <w:rPr>
                <w:sz w:val="20"/>
                <w:szCs w:val="20"/>
                <w:color w:val="auto"/>
              </w:rPr>
            </w:pPr>
            <w:r>
              <w:rPr>
                <w:rFonts w:ascii="Arial" w:cs="Arial" w:eastAsia="Arial" w:hAnsi="Arial"/>
                <w:sz w:val="14"/>
                <w:szCs w:val="14"/>
                <w:color w:val="4D4D4F"/>
              </w:rPr>
              <w:t>(100%)</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9160" w:type="dxa"/>
            <w:vAlign w:val="bottom"/>
            <w:tcBorders>
              <w:bottom w:val="single" w:sz="8" w:color="298655"/>
            </w:tcBorders>
            <w:gridSpan w:val="2"/>
          </w:tcPr>
          <w:p>
            <w:pPr>
              <w:spacing w:after="0"/>
              <w:rPr>
                <w:sz w:val="8"/>
                <w:szCs w:val="8"/>
                <w:color w:val="auto"/>
              </w:rPr>
            </w:pPr>
          </w:p>
        </w:tc>
        <w:tc>
          <w:tcPr>
            <w:tcW w:w="2080" w:type="dxa"/>
            <w:vAlign w:val="bottom"/>
            <w:tcBorders>
              <w:bottom w:val="single" w:sz="8" w:color="298655"/>
            </w:tcBorders>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9160" w:type="dxa"/>
            <w:vAlign w:val="bottom"/>
            <w:tcBorders>
              <w:bottom w:val="single" w:sz="8" w:color="298655"/>
            </w:tcBorders>
            <w:gridSpan w:val="2"/>
          </w:tcPr>
          <w:p>
            <w:pPr>
              <w:ind w:left="100"/>
              <w:spacing w:after="0"/>
              <w:rPr>
                <w:sz w:val="20"/>
                <w:szCs w:val="20"/>
                <w:color w:val="auto"/>
              </w:rPr>
            </w:pPr>
            <w:r>
              <w:rPr>
                <w:rFonts w:ascii="Arial" w:cs="Arial" w:eastAsia="Arial" w:hAnsi="Arial"/>
                <w:sz w:val="14"/>
                <w:szCs w:val="14"/>
                <w:b w:val="1"/>
                <w:bCs w:val="1"/>
                <w:color w:val="298655"/>
              </w:rPr>
              <w:t>Overall Strategic Objectives Payout % (average of individual objective payout percentages)</w:t>
            </w:r>
          </w:p>
        </w:tc>
        <w:tc>
          <w:tcPr>
            <w:tcW w:w="2080" w:type="dxa"/>
            <w:vAlign w:val="bottom"/>
            <w:tcBorders>
              <w:bottom w:val="single" w:sz="8" w:color="298655"/>
            </w:tcBorders>
          </w:tcPr>
          <w:p>
            <w:pPr>
              <w:jc w:val="right"/>
              <w:ind w:right="528"/>
              <w:spacing w:after="0"/>
              <w:rPr>
                <w:sz w:val="20"/>
                <w:szCs w:val="20"/>
                <w:color w:val="auto"/>
              </w:rPr>
            </w:pPr>
            <w:r>
              <w:rPr>
                <w:rFonts w:ascii="Arial" w:cs="Arial" w:eastAsia="Arial" w:hAnsi="Arial"/>
                <w:sz w:val="14"/>
                <w:szCs w:val="14"/>
                <w:color w:val="298655"/>
              </w:rPr>
              <w:t>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0" w:hanging="534"/>
        <w:spacing w:after="0"/>
        <w:tabs>
          <w:tab w:leader="none" w:pos="560" w:val="left"/>
        </w:tabs>
        <w:numPr>
          <w:ilvl w:val="0"/>
          <w:numId w:val="88"/>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57" w:name="page58"/>
    <w:bookmarkEnd w:id="57"/>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Compensation Committee Exercise of Discretion</w:t>
      </w:r>
    </w:p>
    <w:p>
      <w:pPr>
        <w:spacing w:after="0" w:line="140"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color w:val="4D4D4F"/>
        </w:rPr>
        <w:t>During the first quarter of 2024, the Compensation Committee met to review the annual performance of the NEOs and to determine overall 2023 AIP payouts.</w:t>
      </w:r>
    </w:p>
    <w:p>
      <w:pPr>
        <w:spacing w:after="0" w:line="10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4D4D4F"/>
        </w:rPr>
        <w:t>As described above, the formulaic payout of adjusted EBITDA performance was determined to be 91% of target; payout for the strategic objectives was determined to be 78%. The combined weighted payout (60% for adjusted EBITDA performance and 40% for strategic objective performance) was calculated to be 86% of target.</w:t>
      </w:r>
    </w:p>
    <w:p>
      <w:pPr>
        <w:spacing w:after="0" w:line="10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4D4D4F"/>
        </w:rPr>
        <w:t>Reflecting on our overall Company performance for 2023, however, as well as the non-recurring financial adjustments in the fourth quarter, the Compensation Committee exercised negative discretion and reduced 2023 AIP payouts by $250,000 for Mr. Kasbar and $100,000 for each of Messrs. Birns and Rau, resulting in the final amounts shown in the table below, representing 71% - 72% of total annual incentive opportunity: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40" w:type="dxa"/>
            <w:vAlign w:val="bottom"/>
          </w:tcPr>
          <w:p>
            <w:pPr>
              <w:spacing w:after="0"/>
              <w:rPr>
                <w:sz w:val="19"/>
                <w:szCs w:val="19"/>
                <w:color w:val="auto"/>
              </w:rPr>
            </w:pPr>
          </w:p>
        </w:tc>
        <w:tc>
          <w:tcPr>
            <w:tcW w:w="1220" w:type="dxa"/>
            <w:vAlign w:val="bottom"/>
            <w:shd w:val="clear" w:color="auto" w:fill="9ABCD0"/>
          </w:tcPr>
          <w:p>
            <w:pPr>
              <w:jc w:val="right"/>
              <w:ind w:right="128"/>
              <w:spacing w:after="0"/>
              <w:rPr>
                <w:sz w:val="20"/>
                <w:szCs w:val="20"/>
                <w:color w:val="auto"/>
              </w:rPr>
            </w:pPr>
            <w:r>
              <w:rPr>
                <w:rFonts w:ascii="Arial" w:cs="Arial" w:eastAsia="Arial" w:hAnsi="Arial"/>
                <w:sz w:val="14"/>
                <w:szCs w:val="14"/>
                <w:b w:val="1"/>
                <w:bCs w:val="1"/>
                <w:color w:val="FFFFFF"/>
              </w:rPr>
              <w:t>Opportunity</w:t>
            </w:r>
          </w:p>
        </w:tc>
        <w:tc>
          <w:tcPr>
            <w:tcW w:w="1320" w:type="dxa"/>
            <w:vAlign w:val="bottom"/>
            <w:shd w:val="clear" w:color="auto" w:fill="578EB1"/>
          </w:tcPr>
          <w:p>
            <w:pPr>
              <w:spacing w:after="0"/>
              <w:rPr>
                <w:sz w:val="19"/>
                <w:szCs w:val="19"/>
                <w:color w:val="auto"/>
              </w:rPr>
            </w:pPr>
          </w:p>
        </w:tc>
        <w:tc>
          <w:tcPr>
            <w:tcW w:w="1560" w:type="dxa"/>
            <w:vAlign w:val="bottom"/>
            <w:shd w:val="clear" w:color="auto" w:fill="578EB1"/>
          </w:tcPr>
          <w:p>
            <w:pPr>
              <w:jc w:val="right"/>
              <w:spacing w:after="0"/>
              <w:rPr>
                <w:sz w:val="20"/>
                <w:szCs w:val="20"/>
                <w:color w:val="auto"/>
              </w:rPr>
            </w:pPr>
            <w:r>
              <w:rPr>
                <w:rFonts w:ascii="Arial" w:cs="Arial" w:eastAsia="Arial" w:hAnsi="Arial"/>
                <w:sz w:val="14"/>
                <w:szCs w:val="14"/>
                <w:b w:val="1"/>
                <w:bCs w:val="1"/>
                <w:color w:val="FFFFFF"/>
              </w:rPr>
              <w:t>Calculated</w:t>
            </w:r>
          </w:p>
        </w:tc>
        <w:tc>
          <w:tcPr>
            <w:tcW w:w="980" w:type="dxa"/>
            <w:vAlign w:val="bottom"/>
            <w:shd w:val="clear" w:color="auto" w:fill="578EB1"/>
          </w:tcPr>
          <w:p>
            <w:pPr>
              <w:spacing w:after="0"/>
              <w:rPr>
                <w:sz w:val="19"/>
                <w:szCs w:val="19"/>
                <w:color w:val="auto"/>
              </w:rPr>
            </w:pPr>
          </w:p>
        </w:tc>
        <w:tc>
          <w:tcPr>
            <w:tcW w:w="1100" w:type="dxa"/>
            <w:vAlign w:val="bottom"/>
            <w:shd w:val="clear" w:color="auto" w:fill="578EB1"/>
          </w:tcPr>
          <w:p>
            <w:pPr>
              <w:spacing w:after="0"/>
              <w:rPr>
                <w:sz w:val="19"/>
                <w:szCs w:val="19"/>
                <w:color w:val="auto"/>
              </w:rPr>
            </w:pPr>
          </w:p>
        </w:tc>
        <w:tc>
          <w:tcPr>
            <w:tcW w:w="3820" w:type="dxa"/>
            <w:vAlign w:val="bottom"/>
            <w:gridSpan w:val="3"/>
            <w:shd w:val="clear" w:color="auto" w:fill="59A17B"/>
          </w:tcPr>
          <w:p>
            <w:pPr>
              <w:jc w:val="right"/>
              <w:ind w:right="728"/>
              <w:spacing w:after="0"/>
              <w:rPr>
                <w:sz w:val="20"/>
                <w:szCs w:val="20"/>
                <w:color w:val="auto"/>
              </w:rPr>
            </w:pPr>
            <w:r>
              <w:rPr>
                <w:rFonts w:ascii="Arial" w:cs="Arial" w:eastAsia="Arial" w:hAnsi="Arial"/>
                <w:sz w:val="14"/>
                <w:szCs w:val="14"/>
                <w:b w:val="1"/>
                <w:bCs w:val="1"/>
                <w:color w:val="FFFFFF"/>
              </w:rPr>
              <w:t>Actual after Committee Discretion</w:t>
            </w:r>
          </w:p>
        </w:tc>
        <w:tc>
          <w:tcPr>
            <w:tcW w:w="0" w:type="dxa"/>
            <w:vAlign w:val="bottom"/>
          </w:tcPr>
          <w:p>
            <w:pPr>
              <w:spacing w:after="0"/>
              <w:rPr>
                <w:sz w:val="1"/>
                <w:szCs w:val="1"/>
                <w:color w:val="auto"/>
              </w:rPr>
            </w:pPr>
          </w:p>
        </w:tc>
      </w:tr>
      <w:tr>
        <w:trPr>
          <w:trHeight w:val="200"/>
        </w:trPr>
        <w:tc>
          <w:tcPr>
            <w:tcW w:w="1240" w:type="dxa"/>
            <w:vAlign w:val="bottom"/>
            <w:shd w:val="clear" w:color="auto" w:fill="132440"/>
          </w:tcPr>
          <w:p>
            <w:pPr>
              <w:spacing w:after="0"/>
              <w:rPr>
                <w:sz w:val="17"/>
                <w:szCs w:val="17"/>
                <w:color w:val="auto"/>
              </w:rPr>
            </w:pPr>
          </w:p>
        </w:tc>
        <w:tc>
          <w:tcPr>
            <w:tcW w:w="1220" w:type="dxa"/>
            <w:vAlign w:val="bottom"/>
            <w:shd w:val="clear" w:color="auto" w:fill="132440"/>
          </w:tcPr>
          <w:p>
            <w:pPr>
              <w:spacing w:after="0"/>
              <w:rPr>
                <w:sz w:val="17"/>
                <w:szCs w:val="17"/>
                <w:color w:val="auto"/>
              </w:rPr>
            </w:pPr>
          </w:p>
        </w:tc>
        <w:tc>
          <w:tcPr>
            <w:tcW w:w="1320" w:type="dxa"/>
            <w:vAlign w:val="bottom"/>
            <w:shd w:val="clear" w:color="auto" w:fill="132440"/>
          </w:tcPr>
          <w:p>
            <w:pPr>
              <w:jc w:val="right"/>
              <w:ind w:right="68"/>
              <w:spacing w:after="0"/>
              <w:rPr>
                <w:sz w:val="20"/>
                <w:szCs w:val="20"/>
                <w:color w:val="auto"/>
              </w:rPr>
            </w:pPr>
            <w:r>
              <w:rPr>
                <w:rFonts w:ascii="Arial" w:cs="Arial" w:eastAsia="Arial" w:hAnsi="Arial"/>
                <w:sz w:val="14"/>
                <w:szCs w:val="14"/>
                <w:b w:val="1"/>
                <w:bCs w:val="1"/>
                <w:color w:val="FFFFFF"/>
              </w:rPr>
              <w:t>EBITDA</w:t>
            </w:r>
          </w:p>
        </w:tc>
        <w:tc>
          <w:tcPr>
            <w:tcW w:w="1560" w:type="dxa"/>
            <w:vAlign w:val="bottom"/>
            <w:shd w:val="clear" w:color="auto" w:fill="132440"/>
          </w:tcPr>
          <w:p>
            <w:pPr>
              <w:jc w:val="right"/>
              <w:ind w:right="408"/>
              <w:spacing w:after="0"/>
              <w:rPr>
                <w:sz w:val="20"/>
                <w:szCs w:val="20"/>
                <w:color w:val="auto"/>
              </w:rPr>
            </w:pPr>
            <w:r>
              <w:rPr>
                <w:rFonts w:ascii="Arial" w:cs="Arial" w:eastAsia="Arial" w:hAnsi="Arial"/>
                <w:sz w:val="14"/>
                <w:szCs w:val="14"/>
                <w:b w:val="1"/>
                <w:bCs w:val="1"/>
                <w:color w:val="FFFFFF"/>
              </w:rPr>
              <w:t>Strategic</w:t>
            </w:r>
          </w:p>
        </w:tc>
        <w:tc>
          <w:tcPr>
            <w:tcW w:w="980" w:type="dxa"/>
            <w:vAlign w:val="bottom"/>
            <w:shd w:val="clear" w:color="auto" w:fill="132440"/>
          </w:tcPr>
          <w:p>
            <w:pPr>
              <w:spacing w:after="0"/>
              <w:rPr>
                <w:sz w:val="17"/>
                <w:szCs w:val="17"/>
                <w:color w:val="auto"/>
              </w:rPr>
            </w:pPr>
          </w:p>
        </w:tc>
        <w:tc>
          <w:tcPr>
            <w:tcW w:w="1100" w:type="dxa"/>
            <w:vAlign w:val="bottom"/>
            <w:shd w:val="clear" w:color="auto" w:fill="132440"/>
          </w:tcPr>
          <w:p>
            <w:pPr>
              <w:spacing w:after="0"/>
              <w:rPr>
                <w:sz w:val="17"/>
                <w:szCs w:val="17"/>
                <w:color w:val="auto"/>
              </w:rPr>
            </w:pPr>
          </w:p>
        </w:tc>
        <w:tc>
          <w:tcPr>
            <w:tcW w:w="1460" w:type="dxa"/>
            <w:vAlign w:val="bottom"/>
            <w:shd w:val="clear" w:color="auto" w:fill="298655"/>
          </w:tcPr>
          <w:p>
            <w:pPr>
              <w:jc w:val="right"/>
              <w:ind w:right="188"/>
              <w:spacing w:after="0"/>
              <w:rPr>
                <w:sz w:val="20"/>
                <w:szCs w:val="20"/>
                <w:color w:val="auto"/>
              </w:rPr>
            </w:pPr>
            <w:r>
              <w:rPr>
                <w:rFonts w:ascii="Arial" w:cs="Arial" w:eastAsia="Arial" w:hAnsi="Arial"/>
                <w:sz w:val="14"/>
                <w:szCs w:val="14"/>
                <w:b w:val="1"/>
                <w:bCs w:val="1"/>
                <w:color w:val="FFFFFF"/>
              </w:rPr>
              <w:t>Committee</w:t>
            </w:r>
          </w:p>
        </w:tc>
        <w:tc>
          <w:tcPr>
            <w:tcW w:w="1160" w:type="dxa"/>
            <w:vAlign w:val="bottom"/>
            <w:shd w:val="clear" w:color="auto" w:fill="298655"/>
          </w:tcPr>
          <w:p>
            <w:pPr>
              <w:jc w:val="right"/>
              <w:ind w:right="188"/>
              <w:spacing w:after="0"/>
              <w:rPr>
                <w:sz w:val="20"/>
                <w:szCs w:val="20"/>
                <w:color w:val="auto"/>
              </w:rPr>
            </w:pPr>
            <w:r>
              <w:rPr>
                <w:rFonts w:ascii="Arial" w:cs="Arial" w:eastAsia="Arial" w:hAnsi="Arial"/>
                <w:sz w:val="14"/>
                <w:szCs w:val="14"/>
                <w:b w:val="1"/>
                <w:bCs w:val="1"/>
                <w:color w:val="FFFFFF"/>
              </w:rPr>
              <w:t>Final</w:t>
            </w:r>
          </w:p>
        </w:tc>
        <w:tc>
          <w:tcPr>
            <w:tcW w:w="1200" w:type="dxa"/>
            <w:vAlign w:val="bottom"/>
            <w:shd w:val="clear" w:color="auto" w:fill="29865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132440"/>
          </w:tcPr>
          <w:p>
            <w:pPr>
              <w:spacing w:after="0"/>
              <w:rPr>
                <w:sz w:val="15"/>
                <w:szCs w:val="15"/>
                <w:color w:val="auto"/>
              </w:rPr>
            </w:pPr>
          </w:p>
        </w:tc>
        <w:tc>
          <w:tcPr>
            <w:tcW w:w="122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Annual Incentive</w:t>
            </w:r>
          </w:p>
        </w:tc>
        <w:tc>
          <w:tcPr>
            <w:tcW w:w="1320" w:type="dxa"/>
            <w:vAlign w:val="bottom"/>
            <w:shd w:val="clear" w:color="auto" w:fill="132440"/>
          </w:tcPr>
          <w:p>
            <w:pPr>
              <w:jc w:val="right"/>
              <w:ind w:right="68"/>
              <w:spacing w:after="0"/>
              <w:rPr>
                <w:sz w:val="20"/>
                <w:szCs w:val="20"/>
                <w:color w:val="auto"/>
              </w:rPr>
            </w:pPr>
            <w:r>
              <w:rPr>
                <w:rFonts w:ascii="Arial" w:cs="Arial" w:eastAsia="Arial" w:hAnsi="Arial"/>
                <w:sz w:val="14"/>
                <w:szCs w:val="14"/>
                <w:b w:val="1"/>
                <w:bCs w:val="1"/>
                <w:color w:val="FFFFFF"/>
              </w:rPr>
              <w:t>Performance (@</w:t>
            </w:r>
          </w:p>
        </w:tc>
        <w:tc>
          <w:tcPr>
            <w:tcW w:w="1560" w:type="dxa"/>
            <w:vAlign w:val="bottom"/>
            <w:shd w:val="clear" w:color="auto" w:fill="132440"/>
          </w:tcPr>
          <w:p>
            <w:pPr>
              <w:jc w:val="right"/>
              <w:ind w:right="408"/>
              <w:spacing w:after="0"/>
              <w:rPr>
                <w:sz w:val="20"/>
                <w:szCs w:val="20"/>
                <w:color w:val="auto"/>
              </w:rPr>
            </w:pPr>
            <w:r>
              <w:rPr>
                <w:rFonts w:ascii="Arial" w:cs="Arial" w:eastAsia="Arial" w:hAnsi="Arial"/>
                <w:sz w:val="14"/>
                <w:szCs w:val="14"/>
                <w:b w:val="1"/>
                <w:bCs w:val="1"/>
                <w:color w:val="FFFFFF"/>
              </w:rPr>
              <w:t>Objectives (@</w:t>
            </w:r>
          </w:p>
        </w:tc>
        <w:tc>
          <w:tcPr>
            <w:tcW w:w="980" w:type="dxa"/>
            <w:vAlign w:val="bottom"/>
            <w:vMerge w:val="restart"/>
            <w:shd w:val="clear" w:color="auto" w:fill="132440"/>
          </w:tcPr>
          <w:p>
            <w:pPr>
              <w:jc w:val="right"/>
              <w:ind w:right="188"/>
              <w:spacing w:after="0"/>
              <w:rPr>
                <w:sz w:val="20"/>
                <w:szCs w:val="20"/>
                <w:color w:val="auto"/>
              </w:rPr>
            </w:pPr>
            <w:r>
              <w:rPr>
                <w:rFonts w:ascii="Arial" w:cs="Arial" w:eastAsia="Arial" w:hAnsi="Arial"/>
                <w:sz w:val="14"/>
                <w:szCs w:val="14"/>
                <w:b w:val="1"/>
                <w:bCs w:val="1"/>
                <w:color w:val="FFFFFF"/>
              </w:rPr>
              <w:t>Total</w:t>
            </w:r>
          </w:p>
        </w:tc>
        <w:tc>
          <w:tcPr>
            <w:tcW w:w="1100" w:type="dxa"/>
            <w:vAlign w:val="bottom"/>
            <w:vMerge w:val="restart"/>
            <w:shd w:val="clear" w:color="auto" w:fill="132440"/>
          </w:tcPr>
          <w:p>
            <w:pPr>
              <w:jc w:val="right"/>
              <w:spacing w:after="0"/>
              <w:rPr>
                <w:sz w:val="20"/>
                <w:szCs w:val="20"/>
                <w:color w:val="auto"/>
              </w:rPr>
            </w:pPr>
            <w:r>
              <w:rPr>
                <w:rFonts w:ascii="Arial" w:cs="Arial" w:eastAsia="Arial" w:hAnsi="Arial"/>
                <w:sz w:val="14"/>
                <w:szCs w:val="14"/>
                <w:b w:val="1"/>
                <w:bCs w:val="1"/>
                <w:color w:val="FFFFFF"/>
              </w:rPr>
              <w:t>% of Total</w:t>
            </w:r>
          </w:p>
        </w:tc>
        <w:tc>
          <w:tcPr>
            <w:tcW w:w="1460" w:type="dxa"/>
            <w:vAlign w:val="bottom"/>
            <w:shd w:val="clear" w:color="auto" w:fill="298655"/>
          </w:tcPr>
          <w:p>
            <w:pPr>
              <w:jc w:val="right"/>
              <w:ind w:right="188"/>
              <w:spacing w:after="0"/>
              <w:rPr>
                <w:sz w:val="20"/>
                <w:szCs w:val="20"/>
                <w:color w:val="auto"/>
              </w:rPr>
            </w:pPr>
            <w:r>
              <w:rPr>
                <w:rFonts w:ascii="Arial" w:cs="Arial" w:eastAsia="Arial" w:hAnsi="Arial"/>
                <w:sz w:val="14"/>
                <w:szCs w:val="14"/>
                <w:b w:val="1"/>
                <w:bCs w:val="1"/>
                <w:color w:val="FFFFFF"/>
              </w:rPr>
              <w:t>Negative</w:t>
            </w:r>
          </w:p>
        </w:tc>
        <w:tc>
          <w:tcPr>
            <w:tcW w:w="1160" w:type="dxa"/>
            <w:vAlign w:val="bottom"/>
            <w:shd w:val="clear" w:color="auto" w:fill="298655"/>
          </w:tcPr>
          <w:p>
            <w:pPr>
              <w:jc w:val="right"/>
              <w:ind w:right="188"/>
              <w:spacing w:after="0"/>
              <w:rPr>
                <w:sz w:val="20"/>
                <w:szCs w:val="20"/>
                <w:color w:val="auto"/>
              </w:rPr>
            </w:pPr>
            <w:r>
              <w:rPr>
                <w:rFonts w:ascii="Arial" w:cs="Arial" w:eastAsia="Arial" w:hAnsi="Arial"/>
                <w:sz w:val="14"/>
                <w:szCs w:val="14"/>
                <w:b w:val="1"/>
                <w:bCs w:val="1"/>
                <w:color w:val="FFFFFF"/>
              </w:rPr>
              <w:t>Amount</w:t>
            </w:r>
          </w:p>
        </w:tc>
        <w:tc>
          <w:tcPr>
            <w:tcW w:w="1200" w:type="dxa"/>
            <w:vAlign w:val="bottom"/>
            <w:vMerge w:val="restart"/>
            <w:shd w:val="clear" w:color="auto" w:fill="298655"/>
          </w:tcPr>
          <w:p>
            <w:pPr>
              <w:jc w:val="right"/>
              <w:ind w:right="48"/>
              <w:spacing w:after="0"/>
              <w:rPr>
                <w:sz w:val="20"/>
                <w:szCs w:val="20"/>
                <w:color w:val="auto"/>
              </w:rPr>
            </w:pPr>
            <w:r>
              <w:rPr>
                <w:rFonts w:ascii="Arial" w:cs="Arial" w:eastAsia="Arial" w:hAnsi="Arial"/>
                <w:sz w:val="14"/>
                <w:szCs w:val="14"/>
                <w:b w:val="1"/>
                <w:bCs w:val="1"/>
                <w:color w:val="FFFFFF"/>
              </w:rPr>
              <w:t>% of Total</w:t>
            </w:r>
          </w:p>
        </w:tc>
        <w:tc>
          <w:tcPr>
            <w:tcW w:w="0" w:type="dxa"/>
            <w:vAlign w:val="bottom"/>
          </w:tcPr>
          <w:p>
            <w:pPr>
              <w:spacing w:after="0"/>
              <w:rPr>
                <w:sz w:val="1"/>
                <w:szCs w:val="1"/>
                <w:color w:val="auto"/>
              </w:rPr>
            </w:pPr>
          </w:p>
        </w:tc>
      </w:tr>
      <w:tr>
        <w:trPr>
          <w:trHeight w:val="162"/>
        </w:trPr>
        <w:tc>
          <w:tcPr>
            <w:tcW w:w="1240" w:type="dxa"/>
            <w:vAlign w:val="bottom"/>
            <w:shd w:val="clear" w:color="auto" w:fill="132440"/>
          </w:tcPr>
          <w:p>
            <w:pPr>
              <w:spacing w:after="0"/>
              <w:rPr>
                <w:sz w:val="14"/>
                <w:szCs w:val="14"/>
                <w:color w:val="auto"/>
              </w:rPr>
            </w:pPr>
          </w:p>
        </w:tc>
        <w:tc>
          <w:tcPr>
            <w:tcW w:w="122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Total</w:t>
            </w:r>
          </w:p>
        </w:tc>
        <w:tc>
          <w:tcPr>
            <w:tcW w:w="1320" w:type="dxa"/>
            <w:vAlign w:val="bottom"/>
            <w:shd w:val="clear" w:color="auto" w:fill="132440"/>
          </w:tcPr>
          <w:p>
            <w:pPr>
              <w:jc w:val="right"/>
              <w:ind w:right="68"/>
              <w:spacing w:after="0"/>
              <w:rPr>
                <w:sz w:val="20"/>
                <w:szCs w:val="20"/>
                <w:color w:val="auto"/>
              </w:rPr>
            </w:pPr>
            <w:r>
              <w:rPr>
                <w:rFonts w:ascii="Arial" w:cs="Arial" w:eastAsia="Arial" w:hAnsi="Arial"/>
                <w:sz w:val="14"/>
                <w:szCs w:val="14"/>
                <w:b w:val="1"/>
                <w:bCs w:val="1"/>
                <w:color w:val="FFFFFF"/>
              </w:rPr>
              <w:t>91% Payout)</w:t>
            </w:r>
          </w:p>
        </w:tc>
        <w:tc>
          <w:tcPr>
            <w:tcW w:w="1560" w:type="dxa"/>
            <w:vAlign w:val="bottom"/>
            <w:shd w:val="clear" w:color="auto" w:fill="132440"/>
          </w:tcPr>
          <w:p>
            <w:pPr>
              <w:jc w:val="right"/>
              <w:ind w:right="408"/>
              <w:spacing w:after="0"/>
              <w:rPr>
                <w:sz w:val="20"/>
                <w:szCs w:val="20"/>
                <w:color w:val="auto"/>
              </w:rPr>
            </w:pPr>
            <w:r>
              <w:rPr>
                <w:rFonts w:ascii="Arial" w:cs="Arial" w:eastAsia="Arial" w:hAnsi="Arial"/>
                <w:sz w:val="14"/>
                <w:szCs w:val="14"/>
                <w:b w:val="1"/>
                <w:bCs w:val="1"/>
                <w:color w:val="FFFFFF"/>
              </w:rPr>
              <w:t>78% Payout)</w:t>
            </w:r>
          </w:p>
        </w:tc>
        <w:tc>
          <w:tcPr>
            <w:tcW w:w="980" w:type="dxa"/>
            <w:vAlign w:val="bottom"/>
            <w:vMerge w:val="continue"/>
            <w:shd w:val="clear" w:color="auto" w:fill="132440"/>
          </w:tcPr>
          <w:p>
            <w:pPr>
              <w:spacing w:after="0"/>
              <w:rPr>
                <w:sz w:val="14"/>
                <w:szCs w:val="14"/>
                <w:color w:val="auto"/>
              </w:rPr>
            </w:pPr>
          </w:p>
        </w:tc>
        <w:tc>
          <w:tcPr>
            <w:tcW w:w="1100" w:type="dxa"/>
            <w:vAlign w:val="bottom"/>
            <w:vMerge w:val="continue"/>
            <w:shd w:val="clear" w:color="auto" w:fill="132440"/>
          </w:tcPr>
          <w:p>
            <w:pPr>
              <w:spacing w:after="0"/>
              <w:rPr>
                <w:sz w:val="14"/>
                <w:szCs w:val="14"/>
                <w:color w:val="auto"/>
              </w:rPr>
            </w:pPr>
          </w:p>
        </w:tc>
        <w:tc>
          <w:tcPr>
            <w:tcW w:w="1460" w:type="dxa"/>
            <w:vAlign w:val="bottom"/>
            <w:shd w:val="clear" w:color="auto" w:fill="298655"/>
          </w:tcPr>
          <w:p>
            <w:pPr>
              <w:jc w:val="right"/>
              <w:ind w:right="188"/>
              <w:spacing w:after="0"/>
              <w:rPr>
                <w:sz w:val="20"/>
                <w:szCs w:val="20"/>
                <w:color w:val="auto"/>
              </w:rPr>
            </w:pPr>
            <w:r>
              <w:rPr>
                <w:rFonts w:ascii="Arial" w:cs="Arial" w:eastAsia="Arial" w:hAnsi="Arial"/>
                <w:sz w:val="14"/>
                <w:szCs w:val="14"/>
                <w:b w:val="1"/>
                <w:bCs w:val="1"/>
                <w:color w:val="FFFFFF"/>
              </w:rPr>
              <w:t>Discretion</w:t>
            </w:r>
          </w:p>
        </w:tc>
        <w:tc>
          <w:tcPr>
            <w:tcW w:w="1160" w:type="dxa"/>
            <w:vAlign w:val="bottom"/>
            <w:shd w:val="clear" w:color="auto" w:fill="298655"/>
          </w:tcPr>
          <w:p>
            <w:pPr>
              <w:jc w:val="right"/>
              <w:ind w:right="188"/>
              <w:spacing w:after="0"/>
              <w:rPr>
                <w:sz w:val="20"/>
                <w:szCs w:val="20"/>
                <w:color w:val="auto"/>
              </w:rPr>
            </w:pPr>
            <w:r>
              <w:rPr>
                <w:rFonts w:ascii="Arial" w:cs="Arial" w:eastAsia="Arial" w:hAnsi="Arial"/>
                <w:sz w:val="14"/>
                <w:szCs w:val="14"/>
                <w:b w:val="1"/>
                <w:bCs w:val="1"/>
                <w:color w:val="FFFFFF"/>
              </w:rPr>
              <w:t>Awarded</w:t>
            </w:r>
          </w:p>
        </w:tc>
        <w:tc>
          <w:tcPr>
            <w:tcW w:w="1200" w:type="dxa"/>
            <w:vAlign w:val="bottom"/>
            <w:vMerge w:val="continue"/>
            <w:shd w:val="clear" w:color="auto" w:fill="298655"/>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24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NEO</w:t>
            </w:r>
          </w:p>
        </w:tc>
        <w:tc>
          <w:tcPr>
            <w:tcW w:w="122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132440"/>
          </w:tcPr>
          <w:p>
            <w:pPr>
              <w:jc w:val="right"/>
              <w:ind w:right="68"/>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132440"/>
          </w:tcPr>
          <w:p>
            <w:pPr>
              <w:jc w:val="right"/>
              <w:ind w:right="408"/>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132440"/>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Opportunity</w:t>
            </w:r>
          </w:p>
        </w:tc>
        <w:tc>
          <w:tcPr>
            <w:tcW w:w="1460" w:type="dxa"/>
            <w:vAlign w:val="bottom"/>
            <w:shd w:val="clear" w:color="auto" w:fill="298655"/>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298655"/>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298655"/>
          </w:tcPr>
          <w:p>
            <w:pPr>
              <w:jc w:val="right"/>
              <w:ind w:right="48"/>
              <w:spacing w:after="0"/>
              <w:rPr>
                <w:sz w:val="20"/>
                <w:szCs w:val="20"/>
                <w:color w:val="auto"/>
              </w:rPr>
            </w:pPr>
            <w:r>
              <w:rPr>
                <w:rFonts w:ascii="Arial" w:cs="Arial" w:eastAsia="Arial" w:hAnsi="Arial"/>
                <w:sz w:val="14"/>
                <w:szCs w:val="14"/>
                <w:b w:val="1"/>
                <w:bCs w:val="1"/>
                <w:color w:val="FFFFFF"/>
              </w:rPr>
              <w:t>Opportunity</w:t>
            </w:r>
          </w:p>
        </w:tc>
        <w:tc>
          <w:tcPr>
            <w:tcW w:w="0" w:type="dxa"/>
            <w:vAlign w:val="bottom"/>
          </w:tcPr>
          <w:p>
            <w:pPr>
              <w:spacing w:after="0"/>
              <w:rPr>
                <w:sz w:val="1"/>
                <w:szCs w:val="1"/>
                <w:color w:val="auto"/>
              </w:rPr>
            </w:pPr>
          </w:p>
        </w:tc>
      </w:tr>
      <w:tr>
        <w:trPr>
          <w:trHeight w:val="229"/>
        </w:trPr>
        <w:tc>
          <w:tcPr>
            <w:tcW w:w="124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Kasbar</w:t>
            </w:r>
          </w:p>
        </w:tc>
        <w:tc>
          <w:tcPr>
            <w:tcW w:w="1220" w:type="dxa"/>
            <w:vAlign w:val="bottom"/>
            <w:shd w:val="clear" w:color="auto" w:fill="EAEEF2"/>
          </w:tcPr>
          <w:p>
            <w:pPr>
              <w:jc w:val="right"/>
              <w:ind w:right="8"/>
              <w:spacing w:after="0"/>
              <w:rPr>
                <w:sz w:val="20"/>
                <w:szCs w:val="20"/>
                <w:color w:val="auto"/>
              </w:rPr>
            </w:pPr>
            <w:r>
              <w:rPr>
                <w:rFonts w:ascii="Arial" w:cs="Arial" w:eastAsia="Arial" w:hAnsi="Arial"/>
                <w:sz w:val="14"/>
                <w:szCs w:val="14"/>
                <w:color w:val="4D4D4F"/>
              </w:rPr>
              <w:t>1,750,000</w:t>
            </w:r>
          </w:p>
        </w:tc>
        <w:tc>
          <w:tcPr>
            <w:tcW w:w="1320" w:type="dxa"/>
            <w:vAlign w:val="bottom"/>
            <w:shd w:val="clear" w:color="auto" w:fill="EAEEF2"/>
          </w:tcPr>
          <w:p>
            <w:pPr>
              <w:jc w:val="right"/>
              <w:ind w:right="108"/>
              <w:spacing w:after="0"/>
              <w:rPr>
                <w:sz w:val="20"/>
                <w:szCs w:val="20"/>
                <w:color w:val="auto"/>
              </w:rPr>
            </w:pPr>
            <w:r>
              <w:rPr>
                <w:rFonts w:ascii="Arial" w:cs="Arial" w:eastAsia="Arial" w:hAnsi="Arial"/>
                <w:sz w:val="14"/>
                <w:szCs w:val="14"/>
                <w:color w:val="4D4D4F"/>
              </w:rPr>
              <w:t>954,000</w:t>
            </w:r>
          </w:p>
        </w:tc>
        <w:tc>
          <w:tcPr>
            <w:tcW w:w="1560" w:type="dxa"/>
            <w:vAlign w:val="bottom"/>
            <w:shd w:val="clear" w:color="auto" w:fill="EAEEF2"/>
          </w:tcPr>
          <w:p>
            <w:pPr>
              <w:jc w:val="right"/>
              <w:ind w:right="448"/>
              <w:spacing w:after="0"/>
              <w:rPr>
                <w:sz w:val="20"/>
                <w:szCs w:val="20"/>
                <w:color w:val="auto"/>
              </w:rPr>
            </w:pPr>
            <w:r>
              <w:rPr>
                <w:rFonts w:ascii="Arial" w:cs="Arial" w:eastAsia="Arial" w:hAnsi="Arial"/>
                <w:sz w:val="14"/>
                <w:szCs w:val="14"/>
                <w:color w:val="4D4D4F"/>
              </w:rPr>
              <w:t>546,000</w:t>
            </w:r>
          </w:p>
        </w:tc>
        <w:tc>
          <w:tcPr>
            <w:tcW w:w="980" w:type="dxa"/>
            <w:vAlign w:val="bottom"/>
            <w:shd w:val="clear" w:color="auto" w:fill="EAEEF2"/>
          </w:tcPr>
          <w:p>
            <w:pPr>
              <w:jc w:val="right"/>
              <w:ind w:right="228"/>
              <w:spacing w:after="0"/>
              <w:rPr>
                <w:sz w:val="20"/>
                <w:szCs w:val="20"/>
                <w:color w:val="auto"/>
              </w:rPr>
            </w:pPr>
            <w:r>
              <w:rPr>
                <w:rFonts w:ascii="Arial" w:cs="Arial" w:eastAsia="Arial" w:hAnsi="Arial"/>
                <w:sz w:val="14"/>
                <w:szCs w:val="14"/>
                <w:color w:val="4D4D4F"/>
              </w:rPr>
              <w:t>1,500,000</w:t>
            </w:r>
          </w:p>
        </w:tc>
        <w:tc>
          <w:tcPr>
            <w:tcW w:w="1100" w:type="dxa"/>
            <w:vAlign w:val="bottom"/>
            <w:shd w:val="clear" w:color="auto" w:fill="EAEEF2"/>
          </w:tcPr>
          <w:p>
            <w:pPr>
              <w:jc w:val="right"/>
              <w:spacing w:after="0"/>
              <w:rPr>
                <w:sz w:val="20"/>
                <w:szCs w:val="20"/>
                <w:color w:val="auto"/>
              </w:rPr>
            </w:pPr>
            <w:r>
              <w:rPr>
                <w:rFonts w:ascii="Arial" w:cs="Arial" w:eastAsia="Arial" w:hAnsi="Arial"/>
                <w:sz w:val="14"/>
                <w:szCs w:val="14"/>
                <w:color w:val="4D4D4F"/>
              </w:rPr>
              <w:t>86 %</w:t>
            </w:r>
          </w:p>
        </w:tc>
        <w:tc>
          <w:tcPr>
            <w:tcW w:w="1460" w:type="dxa"/>
            <w:vAlign w:val="bottom"/>
            <w:shd w:val="clear" w:color="auto" w:fill="DFEDE5"/>
          </w:tcPr>
          <w:p>
            <w:pPr>
              <w:jc w:val="right"/>
              <w:ind w:right="188"/>
              <w:spacing w:after="0"/>
              <w:rPr>
                <w:sz w:val="20"/>
                <w:szCs w:val="20"/>
                <w:color w:val="auto"/>
              </w:rPr>
            </w:pPr>
            <w:r>
              <w:rPr>
                <w:rFonts w:ascii="Arial" w:cs="Arial" w:eastAsia="Arial" w:hAnsi="Arial"/>
                <w:sz w:val="14"/>
                <w:szCs w:val="14"/>
                <w:color w:val="4D4D4F"/>
              </w:rPr>
              <w:t>(250,000)</w:t>
            </w:r>
          </w:p>
        </w:tc>
        <w:tc>
          <w:tcPr>
            <w:tcW w:w="1160" w:type="dxa"/>
            <w:vAlign w:val="bottom"/>
            <w:shd w:val="clear" w:color="auto" w:fill="DFEDE5"/>
          </w:tcPr>
          <w:p>
            <w:pPr>
              <w:jc w:val="right"/>
              <w:ind w:right="188"/>
              <w:spacing w:after="0"/>
              <w:rPr>
                <w:sz w:val="20"/>
                <w:szCs w:val="20"/>
                <w:color w:val="auto"/>
              </w:rPr>
            </w:pPr>
            <w:r>
              <w:rPr>
                <w:rFonts w:ascii="Arial" w:cs="Arial" w:eastAsia="Arial" w:hAnsi="Arial"/>
                <w:sz w:val="14"/>
                <w:szCs w:val="14"/>
                <w:color w:val="4D4D4F"/>
              </w:rPr>
              <w:t>1,250,000</w:t>
            </w:r>
          </w:p>
        </w:tc>
        <w:tc>
          <w:tcPr>
            <w:tcW w:w="1200" w:type="dxa"/>
            <w:vAlign w:val="bottom"/>
            <w:shd w:val="clear" w:color="auto" w:fill="DFEDE5"/>
          </w:tcPr>
          <w:p>
            <w:pPr>
              <w:jc w:val="right"/>
              <w:ind w:right="48"/>
              <w:spacing w:after="0"/>
              <w:rPr>
                <w:sz w:val="20"/>
                <w:szCs w:val="20"/>
                <w:color w:val="auto"/>
              </w:rPr>
            </w:pPr>
            <w:r>
              <w:rPr>
                <w:rFonts w:ascii="Arial" w:cs="Arial" w:eastAsia="Arial" w:hAnsi="Arial"/>
                <w:sz w:val="14"/>
                <w:szCs w:val="14"/>
                <w:color w:val="4D4D4F"/>
              </w:rPr>
              <w:t>71 %</w:t>
            </w:r>
          </w:p>
        </w:tc>
        <w:tc>
          <w:tcPr>
            <w:tcW w:w="0" w:type="dxa"/>
            <w:vAlign w:val="bottom"/>
          </w:tcPr>
          <w:p>
            <w:pPr>
              <w:spacing w:after="0"/>
              <w:rPr>
                <w:sz w:val="1"/>
                <w:szCs w:val="1"/>
                <w:color w:val="auto"/>
              </w:rPr>
            </w:pPr>
          </w:p>
        </w:tc>
      </w:tr>
      <w:tr>
        <w:trPr>
          <w:trHeight w:val="222"/>
        </w:trPr>
        <w:tc>
          <w:tcPr>
            <w:tcW w:w="1240" w:type="dxa"/>
            <w:vAlign w:val="bottom"/>
          </w:tcPr>
          <w:p>
            <w:pPr>
              <w:ind w:left="100"/>
              <w:spacing w:after="0"/>
              <w:rPr>
                <w:sz w:val="20"/>
                <w:szCs w:val="20"/>
                <w:color w:val="auto"/>
              </w:rPr>
            </w:pPr>
            <w:r>
              <w:rPr>
                <w:rFonts w:ascii="Arial" w:cs="Arial" w:eastAsia="Arial" w:hAnsi="Arial"/>
                <w:sz w:val="14"/>
                <w:szCs w:val="14"/>
                <w:b w:val="1"/>
                <w:bCs w:val="1"/>
                <w:color w:val="4D4D4F"/>
              </w:rPr>
              <w:t>Birns</w:t>
            </w:r>
          </w:p>
        </w:tc>
        <w:tc>
          <w:tcPr>
            <w:tcW w:w="1220" w:type="dxa"/>
            <w:vAlign w:val="bottom"/>
          </w:tcPr>
          <w:p>
            <w:pPr>
              <w:jc w:val="right"/>
              <w:ind w:right="8"/>
              <w:spacing w:after="0"/>
              <w:rPr>
                <w:sz w:val="20"/>
                <w:szCs w:val="20"/>
                <w:color w:val="auto"/>
              </w:rPr>
            </w:pPr>
            <w:r>
              <w:rPr>
                <w:rFonts w:ascii="Arial" w:cs="Arial" w:eastAsia="Arial" w:hAnsi="Arial"/>
                <w:sz w:val="14"/>
                <w:szCs w:val="14"/>
                <w:color w:val="4D4D4F"/>
              </w:rPr>
              <w:t>750,000</w:t>
            </w:r>
          </w:p>
        </w:tc>
        <w:tc>
          <w:tcPr>
            <w:tcW w:w="1320" w:type="dxa"/>
            <w:vAlign w:val="bottom"/>
          </w:tcPr>
          <w:p>
            <w:pPr>
              <w:jc w:val="right"/>
              <w:ind w:right="108"/>
              <w:spacing w:after="0"/>
              <w:rPr>
                <w:sz w:val="20"/>
                <w:szCs w:val="20"/>
                <w:color w:val="auto"/>
              </w:rPr>
            </w:pPr>
            <w:r>
              <w:rPr>
                <w:rFonts w:ascii="Arial" w:cs="Arial" w:eastAsia="Arial" w:hAnsi="Arial"/>
                <w:sz w:val="14"/>
                <w:szCs w:val="14"/>
                <w:color w:val="4D4D4F"/>
              </w:rPr>
              <w:t>408,500</w:t>
            </w:r>
          </w:p>
        </w:tc>
        <w:tc>
          <w:tcPr>
            <w:tcW w:w="1560" w:type="dxa"/>
            <w:vAlign w:val="bottom"/>
          </w:tcPr>
          <w:p>
            <w:pPr>
              <w:jc w:val="right"/>
              <w:ind w:right="448"/>
              <w:spacing w:after="0"/>
              <w:rPr>
                <w:sz w:val="20"/>
                <w:szCs w:val="20"/>
                <w:color w:val="auto"/>
              </w:rPr>
            </w:pPr>
            <w:r>
              <w:rPr>
                <w:rFonts w:ascii="Arial" w:cs="Arial" w:eastAsia="Arial" w:hAnsi="Arial"/>
                <w:sz w:val="14"/>
                <w:szCs w:val="14"/>
                <w:color w:val="4D4D4F"/>
              </w:rPr>
              <w:t>233,500</w:t>
            </w:r>
          </w:p>
        </w:tc>
        <w:tc>
          <w:tcPr>
            <w:tcW w:w="980" w:type="dxa"/>
            <w:vAlign w:val="bottom"/>
          </w:tcPr>
          <w:p>
            <w:pPr>
              <w:jc w:val="right"/>
              <w:ind w:right="228"/>
              <w:spacing w:after="0"/>
              <w:rPr>
                <w:sz w:val="20"/>
                <w:szCs w:val="20"/>
                <w:color w:val="auto"/>
              </w:rPr>
            </w:pPr>
            <w:r>
              <w:rPr>
                <w:rFonts w:ascii="Arial" w:cs="Arial" w:eastAsia="Arial" w:hAnsi="Arial"/>
                <w:sz w:val="14"/>
                <w:szCs w:val="14"/>
                <w:color w:val="4D4D4F"/>
              </w:rPr>
              <w:t>643,000</w:t>
            </w:r>
          </w:p>
        </w:tc>
        <w:tc>
          <w:tcPr>
            <w:tcW w:w="1100" w:type="dxa"/>
            <w:vAlign w:val="bottom"/>
          </w:tcPr>
          <w:p>
            <w:pPr>
              <w:jc w:val="right"/>
              <w:spacing w:after="0"/>
              <w:rPr>
                <w:sz w:val="20"/>
                <w:szCs w:val="20"/>
                <w:color w:val="auto"/>
              </w:rPr>
            </w:pPr>
            <w:r>
              <w:rPr>
                <w:rFonts w:ascii="Arial" w:cs="Arial" w:eastAsia="Arial" w:hAnsi="Arial"/>
                <w:sz w:val="14"/>
                <w:szCs w:val="14"/>
                <w:color w:val="4D4D4F"/>
              </w:rPr>
              <w:t>86 %</w:t>
            </w:r>
          </w:p>
        </w:tc>
        <w:tc>
          <w:tcPr>
            <w:tcW w:w="1460" w:type="dxa"/>
            <w:vAlign w:val="bottom"/>
          </w:tcPr>
          <w:p>
            <w:pPr>
              <w:jc w:val="right"/>
              <w:ind w:right="188"/>
              <w:spacing w:after="0"/>
              <w:rPr>
                <w:sz w:val="20"/>
                <w:szCs w:val="20"/>
                <w:color w:val="auto"/>
              </w:rPr>
            </w:pPr>
            <w:r>
              <w:rPr>
                <w:rFonts w:ascii="Arial" w:cs="Arial" w:eastAsia="Arial" w:hAnsi="Arial"/>
                <w:sz w:val="14"/>
                <w:szCs w:val="14"/>
                <w:color w:val="4D4D4F"/>
              </w:rPr>
              <w:t>(100,000)</w:t>
            </w:r>
          </w:p>
        </w:tc>
        <w:tc>
          <w:tcPr>
            <w:tcW w:w="1160" w:type="dxa"/>
            <w:vAlign w:val="bottom"/>
          </w:tcPr>
          <w:p>
            <w:pPr>
              <w:jc w:val="right"/>
              <w:ind w:right="188"/>
              <w:spacing w:after="0"/>
              <w:rPr>
                <w:sz w:val="20"/>
                <w:szCs w:val="20"/>
                <w:color w:val="auto"/>
              </w:rPr>
            </w:pPr>
            <w:r>
              <w:rPr>
                <w:rFonts w:ascii="Arial" w:cs="Arial" w:eastAsia="Arial" w:hAnsi="Arial"/>
                <w:sz w:val="14"/>
                <w:szCs w:val="14"/>
                <w:color w:val="4D4D4F"/>
              </w:rPr>
              <w:t>543,000</w:t>
            </w:r>
          </w:p>
        </w:tc>
        <w:tc>
          <w:tcPr>
            <w:tcW w:w="1200" w:type="dxa"/>
            <w:vAlign w:val="bottom"/>
          </w:tcPr>
          <w:p>
            <w:pPr>
              <w:jc w:val="right"/>
              <w:ind w:right="48"/>
              <w:spacing w:after="0"/>
              <w:rPr>
                <w:sz w:val="20"/>
                <w:szCs w:val="20"/>
                <w:color w:val="auto"/>
              </w:rPr>
            </w:pPr>
            <w:r>
              <w:rPr>
                <w:rFonts w:ascii="Arial" w:cs="Arial" w:eastAsia="Arial" w:hAnsi="Arial"/>
                <w:sz w:val="14"/>
                <w:szCs w:val="14"/>
                <w:color w:val="4D4D4F"/>
              </w:rPr>
              <w:t>72 %</w:t>
            </w:r>
          </w:p>
        </w:tc>
        <w:tc>
          <w:tcPr>
            <w:tcW w:w="0" w:type="dxa"/>
            <w:vAlign w:val="bottom"/>
          </w:tcPr>
          <w:p>
            <w:pPr>
              <w:spacing w:after="0"/>
              <w:rPr>
                <w:sz w:val="1"/>
                <w:szCs w:val="1"/>
                <w:color w:val="auto"/>
              </w:rPr>
            </w:pPr>
          </w:p>
        </w:tc>
      </w:tr>
      <w:tr>
        <w:trPr>
          <w:trHeight w:val="231"/>
        </w:trPr>
        <w:tc>
          <w:tcPr>
            <w:tcW w:w="1240" w:type="dxa"/>
            <w:vAlign w:val="bottom"/>
            <w:tcBorders>
              <w:bottom w:val="single" w:sz="8" w:color="298655"/>
            </w:tcBorders>
            <w:shd w:val="clear" w:color="auto" w:fill="EAEEF2"/>
          </w:tcPr>
          <w:p>
            <w:pPr>
              <w:ind w:left="100"/>
              <w:spacing w:after="0"/>
              <w:rPr>
                <w:sz w:val="20"/>
                <w:szCs w:val="20"/>
                <w:color w:val="auto"/>
              </w:rPr>
            </w:pPr>
            <w:r>
              <w:rPr>
                <w:rFonts w:ascii="Arial" w:cs="Arial" w:eastAsia="Arial" w:hAnsi="Arial"/>
                <w:sz w:val="14"/>
                <w:szCs w:val="14"/>
                <w:b w:val="1"/>
                <w:bCs w:val="1"/>
                <w:color w:val="4D4D4F"/>
              </w:rPr>
              <w:t>Rau</w:t>
            </w:r>
          </w:p>
        </w:tc>
        <w:tc>
          <w:tcPr>
            <w:tcW w:w="1220" w:type="dxa"/>
            <w:vAlign w:val="bottom"/>
            <w:tcBorders>
              <w:bottom w:val="single" w:sz="8" w:color="298655"/>
            </w:tcBorders>
            <w:shd w:val="clear" w:color="auto" w:fill="EAEEF2"/>
          </w:tcPr>
          <w:p>
            <w:pPr>
              <w:jc w:val="right"/>
              <w:ind w:right="8"/>
              <w:spacing w:after="0"/>
              <w:rPr>
                <w:sz w:val="20"/>
                <w:szCs w:val="20"/>
                <w:color w:val="auto"/>
              </w:rPr>
            </w:pPr>
            <w:r>
              <w:rPr>
                <w:rFonts w:ascii="Arial" w:cs="Arial" w:eastAsia="Arial" w:hAnsi="Arial"/>
                <w:sz w:val="14"/>
                <w:szCs w:val="14"/>
                <w:color w:val="4D4D4F"/>
              </w:rPr>
              <w:t>750,000</w:t>
            </w:r>
          </w:p>
        </w:tc>
        <w:tc>
          <w:tcPr>
            <w:tcW w:w="1320" w:type="dxa"/>
            <w:vAlign w:val="bottom"/>
            <w:tcBorders>
              <w:bottom w:val="single" w:sz="8" w:color="298655"/>
            </w:tcBorders>
            <w:shd w:val="clear" w:color="auto" w:fill="EAEEF2"/>
          </w:tcPr>
          <w:p>
            <w:pPr>
              <w:jc w:val="right"/>
              <w:ind w:right="108"/>
              <w:spacing w:after="0"/>
              <w:rPr>
                <w:sz w:val="20"/>
                <w:szCs w:val="20"/>
                <w:color w:val="auto"/>
              </w:rPr>
            </w:pPr>
            <w:r>
              <w:rPr>
                <w:rFonts w:ascii="Arial" w:cs="Arial" w:eastAsia="Arial" w:hAnsi="Arial"/>
                <w:sz w:val="14"/>
                <w:szCs w:val="14"/>
                <w:color w:val="4D4D4F"/>
              </w:rPr>
              <w:t>408,500</w:t>
            </w:r>
          </w:p>
        </w:tc>
        <w:tc>
          <w:tcPr>
            <w:tcW w:w="1560" w:type="dxa"/>
            <w:vAlign w:val="bottom"/>
            <w:tcBorders>
              <w:bottom w:val="single" w:sz="8" w:color="298655"/>
            </w:tcBorders>
            <w:shd w:val="clear" w:color="auto" w:fill="EAEEF2"/>
          </w:tcPr>
          <w:p>
            <w:pPr>
              <w:jc w:val="right"/>
              <w:ind w:right="448"/>
              <w:spacing w:after="0"/>
              <w:rPr>
                <w:sz w:val="20"/>
                <w:szCs w:val="20"/>
                <w:color w:val="auto"/>
              </w:rPr>
            </w:pPr>
            <w:r>
              <w:rPr>
                <w:rFonts w:ascii="Arial" w:cs="Arial" w:eastAsia="Arial" w:hAnsi="Arial"/>
                <w:sz w:val="14"/>
                <w:szCs w:val="14"/>
                <w:color w:val="4D4D4F"/>
              </w:rPr>
              <w:t>233,500</w:t>
            </w:r>
          </w:p>
        </w:tc>
        <w:tc>
          <w:tcPr>
            <w:tcW w:w="980" w:type="dxa"/>
            <w:vAlign w:val="bottom"/>
            <w:tcBorders>
              <w:bottom w:val="single" w:sz="8" w:color="298655"/>
            </w:tcBorders>
            <w:shd w:val="clear" w:color="auto" w:fill="EAEEF2"/>
          </w:tcPr>
          <w:p>
            <w:pPr>
              <w:jc w:val="right"/>
              <w:ind w:right="228"/>
              <w:spacing w:after="0"/>
              <w:rPr>
                <w:sz w:val="20"/>
                <w:szCs w:val="20"/>
                <w:color w:val="auto"/>
              </w:rPr>
            </w:pPr>
            <w:r>
              <w:rPr>
                <w:rFonts w:ascii="Arial" w:cs="Arial" w:eastAsia="Arial" w:hAnsi="Arial"/>
                <w:sz w:val="14"/>
                <w:szCs w:val="14"/>
                <w:color w:val="4D4D4F"/>
              </w:rPr>
              <w:t>643,000</w:t>
            </w:r>
          </w:p>
        </w:tc>
        <w:tc>
          <w:tcPr>
            <w:tcW w:w="1100" w:type="dxa"/>
            <w:vAlign w:val="bottom"/>
            <w:tcBorders>
              <w:bottom w:val="single" w:sz="8" w:color="298655"/>
            </w:tcBorders>
            <w:shd w:val="clear" w:color="auto" w:fill="EAEEF2"/>
          </w:tcPr>
          <w:p>
            <w:pPr>
              <w:jc w:val="right"/>
              <w:spacing w:after="0"/>
              <w:rPr>
                <w:sz w:val="20"/>
                <w:szCs w:val="20"/>
                <w:color w:val="auto"/>
              </w:rPr>
            </w:pPr>
            <w:r>
              <w:rPr>
                <w:rFonts w:ascii="Arial" w:cs="Arial" w:eastAsia="Arial" w:hAnsi="Arial"/>
                <w:sz w:val="14"/>
                <w:szCs w:val="14"/>
                <w:color w:val="4D4D4F"/>
              </w:rPr>
              <w:t>86 %</w:t>
            </w:r>
          </w:p>
        </w:tc>
        <w:tc>
          <w:tcPr>
            <w:tcW w:w="1460" w:type="dxa"/>
            <w:vAlign w:val="bottom"/>
            <w:tcBorders>
              <w:bottom w:val="single" w:sz="8" w:color="298655"/>
            </w:tcBorders>
            <w:shd w:val="clear" w:color="auto" w:fill="DFEDE5"/>
          </w:tcPr>
          <w:p>
            <w:pPr>
              <w:jc w:val="right"/>
              <w:ind w:right="188"/>
              <w:spacing w:after="0"/>
              <w:rPr>
                <w:sz w:val="20"/>
                <w:szCs w:val="20"/>
                <w:color w:val="auto"/>
              </w:rPr>
            </w:pPr>
            <w:r>
              <w:rPr>
                <w:rFonts w:ascii="Arial" w:cs="Arial" w:eastAsia="Arial" w:hAnsi="Arial"/>
                <w:sz w:val="14"/>
                <w:szCs w:val="14"/>
                <w:color w:val="4D4D4F"/>
              </w:rPr>
              <w:t>(100,000)</w:t>
            </w:r>
          </w:p>
        </w:tc>
        <w:tc>
          <w:tcPr>
            <w:tcW w:w="1160" w:type="dxa"/>
            <w:vAlign w:val="bottom"/>
            <w:tcBorders>
              <w:bottom w:val="single" w:sz="8" w:color="298655"/>
            </w:tcBorders>
            <w:shd w:val="clear" w:color="auto" w:fill="DFEDE5"/>
          </w:tcPr>
          <w:p>
            <w:pPr>
              <w:jc w:val="right"/>
              <w:ind w:right="188"/>
              <w:spacing w:after="0"/>
              <w:rPr>
                <w:sz w:val="20"/>
                <w:szCs w:val="20"/>
                <w:color w:val="auto"/>
              </w:rPr>
            </w:pPr>
            <w:r>
              <w:rPr>
                <w:rFonts w:ascii="Arial" w:cs="Arial" w:eastAsia="Arial" w:hAnsi="Arial"/>
                <w:sz w:val="14"/>
                <w:szCs w:val="14"/>
                <w:color w:val="4D4D4F"/>
              </w:rPr>
              <w:t>543,000</w:t>
            </w:r>
          </w:p>
        </w:tc>
        <w:tc>
          <w:tcPr>
            <w:tcW w:w="1200" w:type="dxa"/>
            <w:vAlign w:val="bottom"/>
            <w:tcBorders>
              <w:bottom w:val="single" w:sz="8" w:color="298655"/>
            </w:tcBorders>
            <w:shd w:val="clear" w:color="auto" w:fill="DFEDE5"/>
          </w:tcPr>
          <w:p>
            <w:pPr>
              <w:jc w:val="right"/>
              <w:ind w:right="48"/>
              <w:spacing w:after="0"/>
              <w:rPr>
                <w:sz w:val="20"/>
                <w:szCs w:val="20"/>
                <w:color w:val="auto"/>
              </w:rPr>
            </w:pPr>
            <w:r>
              <w:rPr>
                <w:rFonts w:ascii="Arial" w:cs="Arial" w:eastAsia="Arial" w:hAnsi="Arial"/>
                <w:sz w:val="14"/>
                <w:szCs w:val="14"/>
                <w:color w:val="4D4D4F"/>
              </w:rPr>
              <w:t>72 %</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4D4D4F"/>
        </w:rPr>
        <w:t>The Compensation Committee believes that the final incentive amounts are appropriate and accurately reflect their assessment of overall performance of both the NEOs and the Company for 2023.</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Annual Long-Term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100330</wp:posOffset>
            </wp:positionV>
            <wp:extent cx="1808480" cy="2057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808480" cy="205740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0" w:right="3540"/>
        <w:spacing w:after="0" w:line="283" w:lineRule="auto"/>
        <w:rPr>
          <w:sz w:val="20"/>
          <w:szCs w:val="20"/>
          <w:color w:val="auto"/>
        </w:rPr>
      </w:pPr>
      <w:r>
        <w:rPr>
          <w:rFonts w:ascii="Arial" w:cs="Arial" w:eastAsia="Arial" w:hAnsi="Arial"/>
          <w:sz w:val="16"/>
          <w:szCs w:val="16"/>
          <w:color w:val="4D4D4F"/>
        </w:rPr>
        <w:t>For the 2023 long-term incentive program (“LTIP”), the Compensation Committee approved a mix of PRSUs and RSUs to balance retention and alignment with long-term value creation. The Compensation Committee believes that service-based RSUs, which are tied to a fixed number of shares on the grant date, provide a retention incentive that promotes sustained stock ownership and alignment with stock price performance, while PRSUs incentivize and reward executives for long-term sustained performance. Under the LTIP, the Compensation Committee approves a target LTIP value, which is denominated in dollars, and then executives are granted PRSUs (that can be earned from 0% to 200% of target) with a fair market value of 60% of the target LTIP value and RSUs with a fair market value of 40% of the target LTIP value. The service-based RSUs generally vest annually in equal installments over a three-year period beginning on the first anniversary after the grant date. The PRSUs are generally based on Company performance in respect of selected financial metrics over a three-year period and vest on the date after the end of the performance period once the Compensation Committee has determined the extent to which the performance goal has been achieved.</w:t>
      </w:r>
    </w:p>
    <w:p>
      <w:pPr>
        <w:spacing w:after="0" w:line="24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4D4D4F"/>
        </w:rPr>
        <w:t>As discussed above, for 2023, the Compensation Committee, in consultation with its independent compensation consultant, reviewed long-term incentive compensation targets for our compensation comparison group and determined to maintain the target opportunity for Messrs. Kasbar and Birns unchanged from 2022; however, Mr. Rau’s long-term incentive opportunity was increased due to his significantly increased responsibilities for the commercial business following another executive’s departure from the Company and to better align his overall compensation with shareholders through increased equity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55</w:t>
            </w:r>
          </w:p>
        </w:tc>
      </w:tr>
      <w:tr>
        <w:trPr>
          <w:trHeight w:val="211"/>
        </w:trPr>
        <w:tc>
          <w:tcPr>
            <w:tcW w:w="108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8" w:name="page59"/>
    <w:bookmarkEnd w:id="58"/>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4D4D4F"/>
        </w:rPr>
        <w:t>The table below shows the 2023 target long-term incentive opportunity for each of our NEOs.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40" w:type="dxa"/>
            <w:vAlign w:val="bottom"/>
          </w:tcPr>
          <w:p>
            <w:pPr>
              <w:spacing w:after="0"/>
              <w:rPr>
                <w:sz w:val="19"/>
                <w:szCs w:val="19"/>
                <w:color w:val="auto"/>
              </w:rPr>
            </w:pPr>
          </w:p>
        </w:tc>
        <w:tc>
          <w:tcPr>
            <w:tcW w:w="1680" w:type="dxa"/>
            <w:vAlign w:val="bottom"/>
            <w:shd w:val="clear" w:color="auto" w:fill="9ABCD0"/>
          </w:tcPr>
          <w:p>
            <w:pPr>
              <w:spacing w:after="0"/>
              <w:rPr>
                <w:sz w:val="19"/>
                <w:szCs w:val="19"/>
                <w:color w:val="auto"/>
              </w:rPr>
            </w:pPr>
          </w:p>
        </w:tc>
        <w:tc>
          <w:tcPr>
            <w:tcW w:w="3820" w:type="dxa"/>
            <w:vAlign w:val="bottom"/>
            <w:gridSpan w:val="2"/>
            <w:shd w:val="clear" w:color="auto" w:fill="9ABCD0"/>
          </w:tcPr>
          <w:p>
            <w:pPr>
              <w:jc w:val="right"/>
              <w:ind w:right="948"/>
              <w:spacing w:after="0"/>
              <w:rPr>
                <w:sz w:val="20"/>
                <w:szCs w:val="20"/>
                <w:color w:val="auto"/>
              </w:rPr>
            </w:pPr>
            <w:r>
              <w:rPr>
                <w:rFonts w:ascii="Arial" w:cs="Arial" w:eastAsia="Arial" w:hAnsi="Arial"/>
                <w:sz w:val="14"/>
                <w:szCs w:val="14"/>
                <w:b w:val="1"/>
                <w:bCs w:val="1"/>
                <w:color w:val="FFFFFF"/>
              </w:rPr>
              <w:t>Long-Term Incentive Opportunity</w:t>
            </w:r>
          </w:p>
        </w:tc>
        <w:tc>
          <w:tcPr>
            <w:tcW w:w="1200" w:type="dxa"/>
            <w:vAlign w:val="bottom"/>
            <w:shd w:val="clear" w:color="auto" w:fill="9ABCD0"/>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1680" w:type="dxa"/>
            <w:vAlign w:val="bottom"/>
            <w:tcBorders>
              <w:bottom w:val="single" w:sz="8" w:color="578EB1"/>
            </w:tcBorders>
            <w:shd w:val="clear" w:color="auto" w:fill="578EB1"/>
          </w:tcPr>
          <w:p>
            <w:pPr>
              <w:jc w:val="right"/>
              <w:ind w:right="608"/>
              <w:spacing w:after="0"/>
              <w:rPr>
                <w:sz w:val="20"/>
                <w:szCs w:val="20"/>
                <w:color w:val="auto"/>
              </w:rPr>
            </w:pPr>
            <w:r>
              <w:rPr>
                <w:rFonts w:ascii="Arial" w:cs="Arial" w:eastAsia="Arial" w:hAnsi="Arial"/>
                <w:sz w:val="14"/>
                <w:szCs w:val="14"/>
                <w:b w:val="1"/>
                <w:bCs w:val="1"/>
                <w:color w:val="FFFFFF"/>
              </w:rPr>
              <w:t>2022</w:t>
            </w:r>
          </w:p>
        </w:tc>
        <w:tc>
          <w:tcPr>
            <w:tcW w:w="1780" w:type="dxa"/>
            <w:vAlign w:val="bottom"/>
            <w:tcBorders>
              <w:bottom w:val="single" w:sz="8" w:color="59A17B"/>
            </w:tcBorders>
            <w:shd w:val="clear" w:color="auto" w:fill="59A17B"/>
          </w:tcPr>
          <w:p>
            <w:pPr>
              <w:spacing w:after="0"/>
              <w:rPr>
                <w:sz w:val="19"/>
                <w:szCs w:val="19"/>
                <w:color w:val="auto"/>
              </w:rPr>
            </w:pPr>
          </w:p>
        </w:tc>
        <w:tc>
          <w:tcPr>
            <w:tcW w:w="2040" w:type="dxa"/>
            <w:vAlign w:val="bottom"/>
            <w:tcBorders>
              <w:bottom w:val="single" w:sz="8" w:color="59A17B"/>
            </w:tcBorders>
            <w:shd w:val="clear" w:color="auto" w:fill="59A17B"/>
          </w:tcPr>
          <w:p>
            <w:pPr>
              <w:jc w:val="right"/>
              <w:ind w:right="1088"/>
              <w:spacing w:after="0"/>
              <w:rPr>
                <w:sz w:val="20"/>
                <w:szCs w:val="20"/>
                <w:color w:val="auto"/>
              </w:rPr>
            </w:pPr>
            <w:r>
              <w:rPr>
                <w:rFonts w:ascii="Arial" w:cs="Arial" w:eastAsia="Arial" w:hAnsi="Arial"/>
                <w:sz w:val="14"/>
                <w:szCs w:val="14"/>
                <w:b w:val="1"/>
                <w:bCs w:val="1"/>
                <w:color w:val="FFFFFF"/>
              </w:rPr>
              <w:t>2023</w:t>
            </w:r>
          </w:p>
        </w:tc>
        <w:tc>
          <w:tcPr>
            <w:tcW w:w="1200" w:type="dxa"/>
            <w:vAlign w:val="bottom"/>
            <w:tcBorders>
              <w:bottom w:val="single" w:sz="8" w:color="59A17B"/>
            </w:tcBorders>
            <w:shd w:val="clear" w:color="auto" w:fill="59A17B"/>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840" w:type="dxa"/>
            <w:vAlign w:val="bottom"/>
            <w:shd w:val="clear" w:color="auto" w:fill="132440"/>
          </w:tcPr>
          <w:p>
            <w:pPr>
              <w:spacing w:after="0"/>
              <w:rPr>
                <w:sz w:val="16"/>
                <w:szCs w:val="16"/>
                <w:color w:val="auto"/>
              </w:rPr>
            </w:pPr>
          </w:p>
        </w:tc>
        <w:tc>
          <w:tcPr>
            <w:tcW w:w="1680" w:type="dxa"/>
            <w:vAlign w:val="bottom"/>
            <w:vMerge w:val="restart"/>
            <w:shd w:val="clear" w:color="auto" w:fill="132440"/>
          </w:tcPr>
          <w:p>
            <w:pPr>
              <w:jc w:val="right"/>
              <w:spacing w:after="0"/>
              <w:rPr>
                <w:sz w:val="20"/>
                <w:szCs w:val="20"/>
                <w:color w:val="auto"/>
              </w:rPr>
            </w:pPr>
            <w:r>
              <w:rPr>
                <w:rFonts w:ascii="Arial" w:cs="Arial" w:eastAsia="Arial" w:hAnsi="Arial"/>
                <w:sz w:val="14"/>
                <w:szCs w:val="14"/>
                <w:b w:val="1"/>
                <w:bCs w:val="1"/>
                <w:color w:val="FFFFFF"/>
              </w:rPr>
              <w:t>Total</w:t>
            </w:r>
          </w:p>
        </w:tc>
        <w:tc>
          <w:tcPr>
            <w:tcW w:w="1780" w:type="dxa"/>
            <w:vAlign w:val="bottom"/>
            <w:shd w:val="clear" w:color="auto" w:fill="298655"/>
          </w:tcPr>
          <w:p>
            <w:pPr>
              <w:jc w:val="right"/>
              <w:ind w:right="48"/>
              <w:spacing w:after="0"/>
              <w:rPr>
                <w:sz w:val="20"/>
                <w:szCs w:val="20"/>
                <w:color w:val="auto"/>
              </w:rPr>
            </w:pPr>
            <w:r>
              <w:rPr>
                <w:rFonts w:ascii="Arial" w:cs="Arial" w:eastAsia="Arial" w:hAnsi="Arial"/>
                <w:sz w:val="14"/>
                <w:szCs w:val="14"/>
                <w:b w:val="1"/>
                <w:bCs w:val="1"/>
                <w:color w:val="FFFFFF"/>
              </w:rPr>
              <w:t>Target PRSUs</w:t>
            </w:r>
          </w:p>
        </w:tc>
        <w:tc>
          <w:tcPr>
            <w:tcW w:w="2040" w:type="dxa"/>
            <w:vAlign w:val="bottom"/>
            <w:shd w:val="clear" w:color="auto" w:fill="298655"/>
          </w:tcPr>
          <w:p>
            <w:pPr>
              <w:jc w:val="right"/>
              <w:ind w:right="428"/>
              <w:spacing w:after="0"/>
              <w:rPr>
                <w:sz w:val="20"/>
                <w:szCs w:val="20"/>
                <w:color w:val="auto"/>
              </w:rPr>
            </w:pPr>
            <w:r>
              <w:rPr>
                <w:rFonts w:ascii="Arial" w:cs="Arial" w:eastAsia="Arial" w:hAnsi="Arial"/>
                <w:sz w:val="14"/>
                <w:szCs w:val="14"/>
                <w:b w:val="1"/>
                <w:bCs w:val="1"/>
                <w:color w:val="FFFFFF"/>
              </w:rPr>
              <w:t>Service-Based RSUs</w:t>
            </w:r>
          </w:p>
        </w:tc>
        <w:tc>
          <w:tcPr>
            <w:tcW w:w="1200" w:type="dxa"/>
            <w:vAlign w:val="bottom"/>
            <w:vMerge w:val="restart"/>
            <w:shd w:val="clear" w:color="auto" w:fill="298655"/>
          </w:tcPr>
          <w:p>
            <w:pPr>
              <w:jc w:val="right"/>
              <w:spacing w:after="0"/>
              <w:rPr>
                <w:sz w:val="20"/>
                <w:szCs w:val="20"/>
                <w:color w:val="auto"/>
              </w:rPr>
            </w:pPr>
            <w:r>
              <w:rPr>
                <w:rFonts w:ascii="Arial" w:cs="Arial" w:eastAsia="Arial" w:hAnsi="Arial"/>
                <w:sz w:val="14"/>
                <w:szCs w:val="14"/>
                <w:b w:val="1"/>
                <w:bCs w:val="1"/>
                <w:color w:val="FFFFFF"/>
              </w:rPr>
              <w:t>Total</w:t>
            </w:r>
          </w:p>
        </w:tc>
        <w:tc>
          <w:tcPr>
            <w:tcW w:w="170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Change</w:t>
            </w:r>
          </w:p>
        </w:tc>
        <w:tc>
          <w:tcPr>
            <w:tcW w:w="0" w:type="dxa"/>
            <w:vAlign w:val="bottom"/>
          </w:tcPr>
          <w:p>
            <w:pPr>
              <w:spacing w:after="0"/>
              <w:rPr>
                <w:sz w:val="1"/>
                <w:szCs w:val="1"/>
                <w:color w:val="auto"/>
              </w:rPr>
            </w:pPr>
          </w:p>
        </w:tc>
      </w:tr>
      <w:tr>
        <w:trPr>
          <w:trHeight w:val="164"/>
        </w:trPr>
        <w:tc>
          <w:tcPr>
            <w:tcW w:w="2840" w:type="dxa"/>
            <w:vAlign w:val="bottom"/>
            <w:shd w:val="clear" w:color="auto" w:fill="132440"/>
          </w:tcPr>
          <w:p>
            <w:pPr>
              <w:spacing w:after="0"/>
              <w:rPr>
                <w:sz w:val="14"/>
                <w:szCs w:val="14"/>
                <w:color w:val="auto"/>
              </w:rPr>
            </w:pPr>
          </w:p>
        </w:tc>
        <w:tc>
          <w:tcPr>
            <w:tcW w:w="1680" w:type="dxa"/>
            <w:vAlign w:val="bottom"/>
            <w:vMerge w:val="continue"/>
            <w:shd w:val="clear" w:color="auto" w:fill="132440"/>
          </w:tcPr>
          <w:p>
            <w:pPr>
              <w:spacing w:after="0"/>
              <w:rPr>
                <w:sz w:val="14"/>
                <w:szCs w:val="14"/>
                <w:color w:val="auto"/>
              </w:rPr>
            </w:pPr>
          </w:p>
        </w:tc>
        <w:tc>
          <w:tcPr>
            <w:tcW w:w="1780" w:type="dxa"/>
            <w:vAlign w:val="bottom"/>
            <w:shd w:val="clear" w:color="auto" w:fill="298655"/>
          </w:tcPr>
          <w:p>
            <w:pPr>
              <w:jc w:val="right"/>
              <w:ind w:right="48"/>
              <w:spacing w:after="0" w:line="164" w:lineRule="exact"/>
              <w:rPr>
                <w:sz w:val="20"/>
                <w:szCs w:val="20"/>
                <w:color w:val="auto"/>
              </w:rPr>
            </w:pPr>
            <w:r>
              <w:rPr>
                <w:rFonts w:ascii="Arial" w:cs="Arial" w:eastAsia="Arial" w:hAnsi="Arial"/>
                <w:sz w:val="14"/>
                <w:szCs w:val="14"/>
                <w:b w:val="1"/>
                <w:bCs w:val="1"/>
                <w:color w:val="FFFFFF"/>
              </w:rPr>
              <w:t xml:space="preserve">(60%) </w:t>
            </w:r>
            <w:r>
              <w:rPr>
                <w:rFonts w:ascii="Arial" w:cs="Arial" w:eastAsia="Arial" w:hAnsi="Arial"/>
                <w:sz w:val="18"/>
                <w:szCs w:val="18"/>
                <w:b w:val="1"/>
                <w:bCs w:val="1"/>
                <w:color w:val="FFFFFF"/>
                <w:vertAlign w:val="superscript"/>
              </w:rPr>
              <w:t>(1)</w:t>
            </w:r>
          </w:p>
        </w:tc>
        <w:tc>
          <w:tcPr>
            <w:tcW w:w="2040" w:type="dxa"/>
            <w:vAlign w:val="bottom"/>
            <w:shd w:val="clear" w:color="auto" w:fill="298655"/>
          </w:tcPr>
          <w:p>
            <w:pPr>
              <w:jc w:val="right"/>
              <w:ind w:right="428"/>
              <w:spacing w:after="0" w:line="164" w:lineRule="exact"/>
              <w:rPr>
                <w:sz w:val="20"/>
                <w:szCs w:val="20"/>
                <w:color w:val="auto"/>
              </w:rPr>
            </w:pPr>
            <w:r>
              <w:rPr>
                <w:rFonts w:ascii="Arial" w:cs="Arial" w:eastAsia="Arial" w:hAnsi="Arial"/>
                <w:sz w:val="14"/>
                <w:szCs w:val="14"/>
                <w:b w:val="1"/>
                <w:bCs w:val="1"/>
                <w:color w:val="FFFFFF"/>
              </w:rPr>
              <w:t xml:space="preserve">(40%) </w:t>
            </w:r>
            <w:r>
              <w:rPr>
                <w:rFonts w:ascii="Arial" w:cs="Arial" w:eastAsia="Arial" w:hAnsi="Arial"/>
                <w:sz w:val="18"/>
                <w:szCs w:val="18"/>
                <w:b w:val="1"/>
                <w:bCs w:val="1"/>
                <w:color w:val="FFFFFF"/>
                <w:vertAlign w:val="superscript"/>
              </w:rPr>
              <w:t>(1)</w:t>
            </w:r>
          </w:p>
        </w:tc>
        <w:tc>
          <w:tcPr>
            <w:tcW w:w="1200" w:type="dxa"/>
            <w:vAlign w:val="bottom"/>
            <w:vMerge w:val="continue"/>
            <w:shd w:val="clear" w:color="auto" w:fill="298655"/>
          </w:tcPr>
          <w:p>
            <w:pPr>
              <w:spacing w:after="0"/>
              <w:rPr>
                <w:sz w:val="14"/>
                <w:szCs w:val="14"/>
                <w:color w:val="auto"/>
              </w:rPr>
            </w:pPr>
          </w:p>
        </w:tc>
        <w:tc>
          <w:tcPr>
            <w:tcW w:w="170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from 2022</w:t>
            </w:r>
          </w:p>
        </w:tc>
        <w:tc>
          <w:tcPr>
            <w:tcW w:w="0" w:type="dxa"/>
            <w:vAlign w:val="bottom"/>
          </w:tcPr>
          <w:p>
            <w:pPr>
              <w:spacing w:after="0"/>
              <w:rPr>
                <w:sz w:val="1"/>
                <w:szCs w:val="1"/>
                <w:color w:val="auto"/>
              </w:rPr>
            </w:pPr>
          </w:p>
        </w:tc>
      </w:tr>
      <w:tr>
        <w:trPr>
          <w:trHeight w:val="212"/>
        </w:trPr>
        <w:tc>
          <w:tcPr>
            <w:tcW w:w="284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NEO</w:t>
            </w:r>
          </w:p>
        </w:tc>
        <w:tc>
          <w:tcPr>
            <w:tcW w:w="168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1780" w:type="dxa"/>
            <w:vAlign w:val="bottom"/>
            <w:shd w:val="clear" w:color="auto" w:fill="298655"/>
          </w:tcPr>
          <w:p>
            <w:pPr>
              <w:jc w:val="right"/>
              <w:ind w:right="48"/>
              <w:spacing w:after="0"/>
              <w:rPr>
                <w:sz w:val="20"/>
                <w:szCs w:val="20"/>
                <w:color w:val="auto"/>
              </w:rPr>
            </w:pPr>
            <w:r>
              <w:rPr>
                <w:rFonts w:ascii="Arial" w:cs="Arial" w:eastAsia="Arial" w:hAnsi="Arial"/>
                <w:sz w:val="14"/>
                <w:szCs w:val="14"/>
                <w:b w:val="1"/>
                <w:bCs w:val="1"/>
                <w:color w:val="FFFFFF"/>
              </w:rPr>
              <w:t>($)</w:t>
            </w:r>
          </w:p>
        </w:tc>
        <w:tc>
          <w:tcPr>
            <w:tcW w:w="2040" w:type="dxa"/>
            <w:vAlign w:val="bottom"/>
            <w:shd w:val="clear" w:color="auto" w:fill="298655"/>
          </w:tcPr>
          <w:p>
            <w:pPr>
              <w:jc w:val="right"/>
              <w:ind w:right="428"/>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298655"/>
          </w:tcPr>
          <w:p>
            <w:pPr>
              <w:jc w:val="right"/>
              <w:spacing w:after="0"/>
              <w:rPr>
                <w:sz w:val="20"/>
                <w:szCs w:val="20"/>
                <w:color w:val="auto"/>
              </w:rPr>
            </w:pPr>
            <w:r>
              <w:rPr>
                <w:rFonts w:ascii="Arial" w:cs="Arial" w:eastAsia="Arial" w:hAnsi="Arial"/>
                <w:sz w:val="14"/>
                <w:szCs w:val="14"/>
                <w:b w:val="1"/>
                <w:bCs w:val="1"/>
                <w:color w:val="FFFFFF"/>
              </w:rPr>
              <w:t>($)</w:t>
            </w:r>
          </w:p>
        </w:tc>
        <w:tc>
          <w:tcPr>
            <w:tcW w:w="170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63"/>
        </w:trPr>
        <w:tc>
          <w:tcPr>
            <w:tcW w:w="284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b w:val="1"/>
                <w:bCs w:val="1"/>
                <w:color w:val="4D4D4F"/>
              </w:rPr>
              <w:t>Kasbar</w:t>
            </w:r>
          </w:p>
        </w:tc>
        <w:tc>
          <w:tcPr>
            <w:tcW w:w="1680" w:type="dxa"/>
            <w:vAlign w:val="bottom"/>
            <w:tcBorders>
              <w:bottom w:val="single" w:sz="8" w:color="EAEEF2"/>
            </w:tcBorders>
            <w:shd w:val="clear" w:color="auto" w:fill="EAEEF2"/>
          </w:tcPr>
          <w:p>
            <w:pPr>
              <w:jc w:val="right"/>
              <w:spacing w:after="0"/>
              <w:rPr>
                <w:sz w:val="20"/>
                <w:szCs w:val="20"/>
                <w:color w:val="auto"/>
              </w:rPr>
            </w:pPr>
            <w:r>
              <w:rPr>
                <w:rFonts w:ascii="Arial" w:cs="Arial" w:eastAsia="Arial" w:hAnsi="Arial"/>
                <w:sz w:val="14"/>
                <w:szCs w:val="14"/>
                <w:color w:val="4D4D4F"/>
              </w:rPr>
              <w:t>4,500,000</w:t>
            </w:r>
          </w:p>
        </w:tc>
        <w:tc>
          <w:tcPr>
            <w:tcW w:w="1780" w:type="dxa"/>
            <w:vAlign w:val="bottom"/>
            <w:tcBorders>
              <w:bottom w:val="single" w:sz="8" w:color="DFEDE5"/>
            </w:tcBorders>
            <w:shd w:val="clear" w:color="auto" w:fill="DFEDE5"/>
          </w:tcPr>
          <w:p>
            <w:pPr>
              <w:jc w:val="right"/>
              <w:ind w:right="48"/>
              <w:spacing w:after="0"/>
              <w:rPr>
                <w:sz w:val="20"/>
                <w:szCs w:val="20"/>
                <w:color w:val="auto"/>
              </w:rPr>
            </w:pPr>
            <w:r>
              <w:rPr>
                <w:rFonts w:ascii="Arial" w:cs="Arial" w:eastAsia="Arial" w:hAnsi="Arial"/>
                <w:sz w:val="14"/>
                <w:szCs w:val="14"/>
                <w:color w:val="4D4D4F"/>
              </w:rPr>
              <w:t>2,700,000</w:t>
            </w:r>
          </w:p>
        </w:tc>
        <w:tc>
          <w:tcPr>
            <w:tcW w:w="2040" w:type="dxa"/>
            <w:vAlign w:val="bottom"/>
            <w:tcBorders>
              <w:bottom w:val="single" w:sz="8" w:color="DFEDE5"/>
            </w:tcBorders>
            <w:shd w:val="clear" w:color="auto" w:fill="DFEDE5"/>
          </w:tcPr>
          <w:p>
            <w:pPr>
              <w:jc w:val="right"/>
              <w:ind w:right="428"/>
              <w:spacing w:after="0"/>
              <w:rPr>
                <w:sz w:val="20"/>
                <w:szCs w:val="20"/>
                <w:color w:val="auto"/>
              </w:rPr>
            </w:pPr>
            <w:r>
              <w:rPr>
                <w:rFonts w:ascii="Arial" w:cs="Arial" w:eastAsia="Arial" w:hAnsi="Arial"/>
                <w:sz w:val="14"/>
                <w:szCs w:val="14"/>
                <w:color w:val="4D4D4F"/>
              </w:rPr>
              <w:t>1,800,000</w:t>
            </w:r>
          </w:p>
        </w:tc>
        <w:tc>
          <w:tcPr>
            <w:tcW w:w="1200" w:type="dxa"/>
            <w:vAlign w:val="bottom"/>
            <w:tcBorders>
              <w:bottom w:val="single" w:sz="8" w:color="DFEDE5"/>
            </w:tcBorders>
            <w:shd w:val="clear" w:color="auto" w:fill="DFEDE5"/>
          </w:tcPr>
          <w:p>
            <w:pPr>
              <w:jc w:val="right"/>
              <w:spacing w:after="0"/>
              <w:rPr>
                <w:sz w:val="20"/>
                <w:szCs w:val="20"/>
                <w:color w:val="auto"/>
              </w:rPr>
            </w:pPr>
            <w:r>
              <w:rPr>
                <w:rFonts w:ascii="Arial" w:cs="Arial" w:eastAsia="Arial" w:hAnsi="Arial"/>
                <w:sz w:val="14"/>
                <w:szCs w:val="14"/>
                <w:color w:val="4D4D4F"/>
              </w:rPr>
              <w:t>4,500,000</w:t>
            </w:r>
          </w:p>
        </w:tc>
        <w:tc>
          <w:tcPr>
            <w:tcW w:w="1700" w:type="dxa"/>
            <w:vAlign w:val="bottom"/>
            <w:tcBorders>
              <w:bottom w:val="single" w:sz="8" w:color="EBEFF3"/>
            </w:tcBorders>
            <w:shd w:val="clear" w:color="auto" w:fill="EBEFF3"/>
          </w:tcPr>
          <w:p>
            <w:pPr>
              <w:jc w:val="right"/>
              <w:ind w:right="48"/>
              <w:spacing w:after="0"/>
              <w:rPr>
                <w:sz w:val="20"/>
                <w:szCs w:val="20"/>
                <w:color w:val="auto"/>
              </w:rPr>
            </w:pPr>
            <w:r>
              <w:rPr>
                <w:rFonts w:ascii="Arial" w:cs="Arial" w:eastAsia="Arial" w:hAnsi="Arial"/>
                <w:sz w:val="14"/>
                <w:szCs w:val="14"/>
                <w:color w:val="4D4D4F"/>
              </w:rPr>
              <w:t>No change</w:t>
            </w:r>
          </w:p>
        </w:tc>
        <w:tc>
          <w:tcPr>
            <w:tcW w:w="0" w:type="dxa"/>
            <w:vAlign w:val="bottom"/>
          </w:tcPr>
          <w:p>
            <w:pPr>
              <w:spacing w:after="0"/>
              <w:rPr>
                <w:sz w:val="1"/>
                <w:szCs w:val="1"/>
                <w:color w:val="auto"/>
              </w:rPr>
            </w:pPr>
          </w:p>
        </w:tc>
      </w:tr>
      <w:tr>
        <w:trPr>
          <w:trHeight w:val="241"/>
        </w:trPr>
        <w:tc>
          <w:tcPr>
            <w:tcW w:w="2840" w:type="dxa"/>
            <w:vAlign w:val="bottom"/>
          </w:tcPr>
          <w:p>
            <w:pPr>
              <w:ind w:left="100"/>
              <w:spacing w:after="0"/>
              <w:rPr>
                <w:sz w:val="20"/>
                <w:szCs w:val="20"/>
                <w:color w:val="auto"/>
              </w:rPr>
            </w:pPr>
            <w:r>
              <w:rPr>
                <w:rFonts w:ascii="Arial" w:cs="Arial" w:eastAsia="Arial" w:hAnsi="Arial"/>
                <w:sz w:val="14"/>
                <w:szCs w:val="14"/>
                <w:b w:val="1"/>
                <w:bCs w:val="1"/>
                <w:color w:val="4D4D4F"/>
              </w:rPr>
              <w:t>Birns</w:t>
            </w:r>
          </w:p>
        </w:tc>
        <w:tc>
          <w:tcPr>
            <w:tcW w:w="1680" w:type="dxa"/>
            <w:vAlign w:val="bottom"/>
          </w:tcPr>
          <w:p>
            <w:pPr>
              <w:jc w:val="right"/>
              <w:spacing w:after="0"/>
              <w:rPr>
                <w:sz w:val="20"/>
                <w:szCs w:val="20"/>
                <w:color w:val="auto"/>
              </w:rPr>
            </w:pPr>
            <w:r>
              <w:rPr>
                <w:rFonts w:ascii="Arial" w:cs="Arial" w:eastAsia="Arial" w:hAnsi="Arial"/>
                <w:sz w:val="14"/>
                <w:szCs w:val="14"/>
                <w:color w:val="4D4D4F"/>
              </w:rPr>
              <w:t>1,550,000</w:t>
            </w:r>
          </w:p>
        </w:tc>
        <w:tc>
          <w:tcPr>
            <w:tcW w:w="1780" w:type="dxa"/>
            <w:vAlign w:val="bottom"/>
          </w:tcPr>
          <w:p>
            <w:pPr>
              <w:jc w:val="right"/>
              <w:ind w:right="48"/>
              <w:spacing w:after="0"/>
              <w:rPr>
                <w:sz w:val="20"/>
                <w:szCs w:val="20"/>
                <w:color w:val="auto"/>
              </w:rPr>
            </w:pPr>
            <w:r>
              <w:rPr>
                <w:rFonts w:ascii="Arial" w:cs="Arial" w:eastAsia="Arial" w:hAnsi="Arial"/>
                <w:sz w:val="14"/>
                <w:szCs w:val="14"/>
                <w:color w:val="4D4D4F"/>
              </w:rPr>
              <w:t>930,000</w:t>
            </w:r>
          </w:p>
        </w:tc>
        <w:tc>
          <w:tcPr>
            <w:tcW w:w="2040" w:type="dxa"/>
            <w:vAlign w:val="bottom"/>
          </w:tcPr>
          <w:p>
            <w:pPr>
              <w:jc w:val="right"/>
              <w:ind w:right="428"/>
              <w:spacing w:after="0"/>
              <w:rPr>
                <w:sz w:val="20"/>
                <w:szCs w:val="20"/>
                <w:color w:val="auto"/>
              </w:rPr>
            </w:pPr>
            <w:r>
              <w:rPr>
                <w:rFonts w:ascii="Arial" w:cs="Arial" w:eastAsia="Arial" w:hAnsi="Arial"/>
                <w:sz w:val="14"/>
                <w:szCs w:val="14"/>
                <w:color w:val="4D4D4F"/>
              </w:rPr>
              <w:t>620,000</w:t>
            </w:r>
          </w:p>
        </w:tc>
        <w:tc>
          <w:tcPr>
            <w:tcW w:w="1200" w:type="dxa"/>
            <w:vAlign w:val="bottom"/>
          </w:tcPr>
          <w:p>
            <w:pPr>
              <w:jc w:val="right"/>
              <w:spacing w:after="0"/>
              <w:rPr>
                <w:sz w:val="20"/>
                <w:szCs w:val="20"/>
                <w:color w:val="auto"/>
              </w:rPr>
            </w:pPr>
            <w:r>
              <w:rPr>
                <w:rFonts w:ascii="Arial" w:cs="Arial" w:eastAsia="Arial" w:hAnsi="Arial"/>
                <w:sz w:val="14"/>
                <w:szCs w:val="14"/>
                <w:color w:val="4D4D4F"/>
              </w:rPr>
              <w:t>1,550,000</w:t>
            </w:r>
          </w:p>
        </w:tc>
        <w:tc>
          <w:tcPr>
            <w:tcW w:w="1700" w:type="dxa"/>
            <w:vAlign w:val="bottom"/>
          </w:tcPr>
          <w:p>
            <w:pPr>
              <w:jc w:val="right"/>
              <w:ind w:right="48"/>
              <w:spacing w:after="0"/>
              <w:rPr>
                <w:sz w:val="20"/>
                <w:szCs w:val="20"/>
                <w:color w:val="auto"/>
              </w:rPr>
            </w:pPr>
            <w:r>
              <w:rPr>
                <w:rFonts w:ascii="Arial" w:cs="Arial" w:eastAsia="Arial" w:hAnsi="Arial"/>
                <w:sz w:val="14"/>
                <w:szCs w:val="14"/>
                <w:color w:val="4D4D4F"/>
              </w:rPr>
              <w:t>No change</w:t>
            </w:r>
          </w:p>
        </w:tc>
        <w:tc>
          <w:tcPr>
            <w:tcW w:w="0" w:type="dxa"/>
            <w:vAlign w:val="bottom"/>
          </w:tcPr>
          <w:p>
            <w:pPr>
              <w:spacing w:after="0"/>
              <w:rPr>
                <w:sz w:val="1"/>
                <w:szCs w:val="1"/>
                <w:color w:val="auto"/>
              </w:rPr>
            </w:pPr>
          </w:p>
        </w:tc>
      </w:tr>
      <w:tr>
        <w:trPr>
          <w:trHeight w:val="43"/>
        </w:trPr>
        <w:tc>
          <w:tcPr>
            <w:tcW w:w="28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840" w:type="dxa"/>
            <w:vAlign w:val="bottom"/>
            <w:tcBorders>
              <w:bottom w:val="single" w:sz="8" w:color="298655"/>
            </w:tcBorders>
            <w:shd w:val="clear" w:color="auto" w:fill="EAEEF2"/>
          </w:tcPr>
          <w:p>
            <w:pPr>
              <w:ind w:left="100"/>
              <w:spacing w:after="0"/>
              <w:rPr>
                <w:sz w:val="20"/>
                <w:szCs w:val="20"/>
                <w:color w:val="auto"/>
              </w:rPr>
            </w:pPr>
            <w:r>
              <w:rPr>
                <w:rFonts w:ascii="Arial" w:cs="Arial" w:eastAsia="Arial" w:hAnsi="Arial"/>
                <w:sz w:val="14"/>
                <w:szCs w:val="14"/>
                <w:b w:val="1"/>
                <w:bCs w:val="1"/>
                <w:color w:val="4D4D4F"/>
              </w:rPr>
              <w:t>Rau</w:t>
            </w:r>
          </w:p>
        </w:tc>
        <w:tc>
          <w:tcPr>
            <w:tcW w:w="1680" w:type="dxa"/>
            <w:vAlign w:val="bottom"/>
            <w:tcBorders>
              <w:bottom w:val="single" w:sz="8" w:color="298655"/>
            </w:tcBorders>
            <w:shd w:val="clear" w:color="auto" w:fill="EAEEF2"/>
          </w:tcPr>
          <w:p>
            <w:pPr>
              <w:jc w:val="right"/>
              <w:spacing w:after="0"/>
              <w:rPr>
                <w:sz w:val="20"/>
                <w:szCs w:val="20"/>
                <w:color w:val="auto"/>
              </w:rPr>
            </w:pPr>
            <w:r>
              <w:rPr>
                <w:rFonts w:ascii="Arial" w:cs="Arial" w:eastAsia="Arial" w:hAnsi="Arial"/>
                <w:sz w:val="14"/>
                <w:szCs w:val="14"/>
                <w:color w:val="4D4D4F"/>
              </w:rPr>
              <w:t>1,150,000</w:t>
            </w:r>
          </w:p>
        </w:tc>
        <w:tc>
          <w:tcPr>
            <w:tcW w:w="1780" w:type="dxa"/>
            <w:vAlign w:val="bottom"/>
            <w:tcBorders>
              <w:bottom w:val="single" w:sz="8" w:color="298655"/>
            </w:tcBorders>
            <w:shd w:val="clear" w:color="auto" w:fill="DFEDE5"/>
          </w:tcPr>
          <w:p>
            <w:pPr>
              <w:jc w:val="right"/>
              <w:ind w:right="48"/>
              <w:spacing w:after="0"/>
              <w:rPr>
                <w:sz w:val="20"/>
                <w:szCs w:val="20"/>
                <w:color w:val="auto"/>
              </w:rPr>
            </w:pPr>
            <w:r>
              <w:rPr>
                <w:rFonts w:ascii="Arial" w:cs="Arial" w:eastAsia="Arial" w:hAnsi="Arial"/>
                <w:sz w:val="14"/>
                <w:szCs w:val="14"/>
                <w:color w:val="4D4D4F"/>
              </w:rPr>
              <w:t>930,000</w:t>
            </w:r>
          </w:p>
        </w:tc>
        <w:tc>
          <w:tcPr>
            <w:tcW w:w="2040" w:type="dxa"/>
            <w:vAlign w:val="bottom"/>
            <w:tcBorders>
              <w:bottom w:val="single" w:sz="8" w:color="298655"/>
            </w:tcBorders>
            <w:shd w:val="clear" w:color="auto" w:fill="DFEDE5"/>
          </w:tcPr>
          <w:p>
            <w:pPr>
              <w:jc w:val="right"/>
              <w:ind w:right="428"/>
              <w:spacing w:after="0"/>
              <w:rPr>
                <w:sz w:val="20"/>
                <w:szCs w:val="20"/>
                <w:color w:val="auto"/>
              </w:rPr>
            </w:pPr>
            <w:r>
              <w:rPr>
                <w:rFonts w:ascii="Arial" w:cs="Arial" w:eastAsia="Arial" w:hAnsi="Arial"/>
                <w:sz w:val="14"/>
                <w:szCs w:val="14"/>
                <w:color w:val="4D4D4F"/>
              </w:rPr>
              <w:t>620,000</w:t>
            </w:r>
          </w:p>
        </w:tc>
        <w:tc>
          <w:tcPr>
            <w:tcW w:w="1200" w:type="dxa"/>
            <w:vAlign w:val="bottom"/>
            <w:tcBorders>
              <w:bottom w:val="single" w:sz="8" w:color="298655"/>
            </w:tcBorders>
            <w:shd w:val="clear" w:color="auto" w:fill="DFEDE5"/>
          </w:tcPr>
          <w:p>
            <w:pPr>
              <w:jc w:val="right"/>
              <w:spacing w:after="0"/>
              <w:rPr>
                <w:sz w:val="20"/>
                <w:szCs w:val="20"/>
                <w:color w:val="auto"/>
              </w:rPr>
            </w:pPr>
            <w:r>
              <w:rPr>
                <w:rFonts w:ascii="Arial" w:cs="Arial" w:eastAsia="Arial" w:hAnsi="Arial"/>
                <w:sz w:val="14"/>
                <w:szCs w:val="14"/>
                <w:color w:val="4D4D4F"/>
              </w:rPr>
              <w:t>1,550,000</w:t>
            </w:r>
          </w:p>
        </w:tc>
        <w:tc>
          <w:tcPr>
            <w:tcW w:w="1700" w:type="dxa"/>
            <w:vAlign w:val="bottom"/>
            <w:tcBorders>
              <w:bottom w:val="single" w:sz="8" w:color="298655"/>
            </w:tcBorders>
            <w:shd w:val="clear" w:color="auto" w:fill="EBEFF3"/>
          </w:tcPr>
          <w:p>
            <w:pPr>
              <w:jc w:val="right"/>
              <w:ind w:right="48"/>
              <w:spacing w:after="0"/>
              <w:rPr>
                <w:sz w:val="20"/>
                <w:szCs w:val="20"/>
                <w:color w:val="auto"/>
              </w:rPr>
            </w:pPr>
            <w:r>
              <w:rPr>
                <w:rFonts w:ascii="Arial" w:cs="Arial" w:eastAsia="Arial" w:hAnsi="Arial"/>
                <w:sz w:val="14"/>
                <w:szCs w:val="14"/>
                <w:color w:val="4D4D4F"/>
              </w:rPr>
              <w:t>+400,000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right="200" w:hanging="330"/>
        <w:spacing w:after="0" w:line="285" w:lineRule="auto"/>
        <w:tabs>
          <w:tab w:leader="none" w:pos="498" w:val="left"/>
        </w:tabs>
        <w:numPr>
          <w:ilvl w:val="0"/>
          <w:numId w:val="89"/>
        </w:numPr>
        <w:rPr>
          <w:rFonts w:ascii="Arial" w:cs="Arial" w:eastAsia="Arial" w:hAnsi="Arial"/>
          <w:sz w:val="14"/>
          <w:szCs w:val="14"/>
          <w:color w:val="4D4D4F"/>
        </w:rPr>
      </w:pPr>
      <w:r>
        <w:rPr>
          <w:rFonts w:ascii="Arial" w:cs="Arial" w:eastAsia="Arial" w:hAnsi="Arial"/>
          <w:sz w:val="14"/>
          <w:szCs w:val="14"/>
          <w:color w:val="4D4D4F"/>
        </w:rPr>
        <w:t>The number of RSUs and target PRSUs awarded is calculated by dividing the respective target long-term opportunity by the grant date fair market value, as defined in the 2021 Plan. Please refer to the Grants of Plan-Based Awards table for the actual number of target PRSUs and RSUs granted.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PERFORMANCE-BASED PRSUs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00529B"/>
        </w:rPr>
        <w:t>2023 – 2025 PRSUs</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4D4D4F"/>
        </w:rPr>
        <w:t>Consistent with prior years, for the 2023-2025 PRSUs awarded under the LTIP, the Compensation Committee decided to continue to use growth in adjusted EPS as the primary financial metric, as modified by our adjusted return on invested capital, or adjusted ROIC, to adjust, positively or negatively, the performance level achieved. The Compensation Committee believes that while adjusted EPS reflects execution of our strategy to grow earnings, adjusted ROIC measures the efficiency with which our NEOs allocate capital resources to drive that growth, taking into account the quantity of earnings and the quality of earnings and investments that drive sustainable growth and shareholder value. The Compensation Committee believes that utilizing these two metrics (1) is consistent with the practices of our compensation comparison companies and the broader market and (2) provides executives a consistent and continuous incentive to focus on our long-term growth in EPS and to share in increases in our market value, while maintaining effective use of our capital resources. These performance metrics also align with our strategic focus of driving sustainable growth, efficiently using our available capital and increasing the value of our common stock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577340" cy="6172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577340" cy="61722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FFFFFF"/>
        </w:rPr>
        <w:t>Adjusted EPS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color w:val="5B6770"/>
        </w:rPr>
        <w:t>x</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80"/>
        </w:trPr>
        <w:tc>
          <w:tcPr>
            <w:tcW w:w="2500" w:type="dxa"/>
            <w:vAlign w:val="bottom"/>
            <w:shd w:val="clear" w:color="auto" w:fill="00529B"/>
          </w:tcPr>
          <w:p>
            <w:pPr>
              <w:jc w:val="center"/>
              <w:spacing w:after="0"/>
              <w:rPr>
                <w:sz w:val="20"/>
                <w:szCs w:val="20"/>
                <w:color w:val="auto"/>
              </w:rPr>
            </w:pPr>
            <w:r>
              <w:rPr>
                <w:rFonts w:ascii="Arial" w:cs="Arial" w:eastAsia="Arial" w:hAnsi="Arial"/>
                <w:sz w:val="16"/>
                <w:szCs w:val="16"/>
                <w:b w:val="1"/>
                <w:bCs w:val="1"/>
                <w:color w:val="FFFFFF"/>
              </w:rPr>
              <w:t>Adjusted ROIC</w:t>
            </w:r>
          </w:p>
        </w:tc>
        <w:tc>
          <w:tcPr>
            <w:tcW w:w="1700" w:type="dxa"/>
            <w:vAlign w:val="bottom"/>
            <w:vMerge w:val="restart"/>
          </w:tcPr>
          <w:p>
            <w:pPr>
              <w:jc w:val="right"/>
              <w:ind w:right="522"/>
              <w:spacing w:after="0"/>
              <w:rPr>
                <w:sz w:val="20"/>
                <w:szCs w:val="20"/>
                <w:color w:val="auto"/>
              </w:rPr>
            </w:pPr>
            <w:r>
              <w:rPr>
                <w:rFonts w:ascii="Arial" w:cs="Arial" w:eastAsia="Arial" w:hAnsi="Arial"/>
                <w:sz w:val="40"/>
                <w:szCs w:val="40"/>
                <w:color w:val="5B6770"/>
              </w:rPr>
              <w:t>=</w:t>
            </w:r>
          </w:p>
        </w:tc>
        <w:tc>
          <w:tcPr>
            <w:tcW w:w="2520" w:type="dxa"/>
            <w:vAlign w:val="bottom"/>
            <w:vMerge w:val="restart"/>
            <w:shd w:val="clear" w:color="auto" w:fill="298655"/>
          </w:tcPr>
          <w:p>
            <w:pPr>
              <w:ind w:left="1000"/>
              <w:spacing w:after="0"/>
              <w:rPr>
                <w:sz w:val="20"/>
                <w:szCs w:val="20"/>
                <w:color w:val="auto"/>
              </w:rPr>
            </w:pPr>
            <w:r>
              <w:rPr>
                <w:rFonts w:ascii="Arial" w:cs="Arial" w:eastAsia="Arial" w:hAnsi="Arial"/>
                <w:sz w:val="16"/>
                <w:szCs w:val="16"/>
                <w:b w:val="1"/>
                <w:bCs w:val="1"/>
                <w:color w:val="FFFFFF"/>
              </w:rPr>
              <w:t>Payout</w:t>
            </w:r>
          </w:p>
        </w:tc>
        <w:tc>
          <w:tcPr>
            <w:tcW w:w="0" w:type="dxa"/>
            <w:vAlign w:val="bottom"/>
          </w:tcPr>
          <w:p>
            <w:pPr>
              <w:spacing w:after="0"/>
              <w:rPr>
                <w:sz w:val="1"/>
                <w:szCs w:val="1"/>
                <w:color w:val="auto"/>
              </w:rPr>
            </w:pPr>
          </w:p>
        </w:tc>
      </w:tr>
      <w:tr>
        <w:trPr>
          <w:trHeight w:val="174"/>
        </w:trPr>
        <w:tc>
          <w:tcPr>
            <w:tcW w:w="2500" w:type="dxa"/>
            <w:vAlign w:val="bottom"/>
            <w:vMerge w:val="restart"/>
            <w:shd w:val="clear" w:color="auto" w:fill="00529B"/>
          </w:tcPr>
          <w:p>
            <w:pPr>
              <w:jc w:val="center"/>
              <w:spacing w:after="0"/>
              <w:rPr>
                <w:sz w:val="20"/>
                <w:szCs w:val="20"/>
                <w:color w:val="auto"/>
              </w:rPr>
            </w:pPr>
            <w:r>
              <w:rPr>
                <w:rFonts w:ascii="Arial" w:cs="Arial" w:eastAsia="Arial" w:hAnsi="Arial"/>
                <w:sz w:val="16"/>
                <w:szCs w:val="16"/>
                <w:b w:val="1"/>
                <w:bCs w:val="1"/>
                <w:color w:val="FFFFFF"/>
              </w:rPr>
              <w:t>Multiplier %</w:t>
            </w:r>
          </w:p>
        </w:tc>
        <w:tc>
          <w:tcPr>
            <w:tcW w:w="1700" w:type="dxa"/>
            <w:vAlign w:val="bottom"/>
            <w:vMerge w:val="continue"/>
          </w:tcPr>
          <w:p>
            <w:pPr>
              <w:spacing w:after="0"/>
              <w:rPr>
                <w:sz w:val="15"/>
                <w:szCs w:val="15"/>
                <w:color w:val="auto"/>
              </w:rPr>
            </w:pPr>
          </w:p>
        </w:tc>
        <w:tc>
          <w:tcPr>
            <w:tcW w:w="2520" w:type="dxa"/>
            <w:vAlign w:val="bottom"/>
            <w:vMerge w:val="continue"/>
            <w:shd w:val="clear" w:color="auto" w:fill="298655"/>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500" w:type="dxa"/>
            <w:vAlign w:val="bottom"/>
            <w:vMerge w:val="continue"/>
            <w:shd w:val="clear" w:color="auto" w:fill="00529B"/>
          </w:tcPr>
          <w:p>
            <w:pPr>
              <w:spacing w:after="0"/>
              <w:rPr>
                <w:sz w:val="5"/>
                <w:szCs w:val="5"/>
                <w:color w:val="auto"/>
              </w:rPr>
            </w:pPr>
          </w:p>
        </w:tc>
        <w:tc>
          <w:tcPr>
            <w:tcW w:w="1700" w:type="dxa"/>
            <w:vAlign w:val="bottom"/>
          </w:tcPr>
          <w:p>
            <w:pPr>
              <w:spacing w:after="0"/>
              <w:rPr>
                <w:sz w:val="5"/>
                <w:szCs w:val="5"/>
                <w:color w:val="auto"/>
              </w:rPr>
            </w:pPr>
          </w:p>
        </w:tc>
        <w:tc>
          <w:tcPr>
            <w:tcW w:w="2520" w:type="dxa"/>
            <w:vAlign w:val="bottom"/>
            <w:vMerge w:val="continue"/>
            <w:shd w:val="clear" w:color="auto" w:fill="298655"/>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500" w:type="dxa"/>
            <w:vAlign w:val="bottom"/>
            <w:shd w:val="clear" w:color="auto" w:fill="00529B"/>
          </w:tcPr>
          <w:p>
            <w:pPr>
              <w:spacing w:after="0"/>
              <w:rPr>
                <w:sz w:val="24"/>
                <w:szCs w:val="24"/>
                <w:color w:val="auto"/>
              </w:rPr>
            </w:pPr>
          </w:p>
        </w:tc>
        <w:tc>
          <w:tcPr>
            <w:tcW w:w="1700" w:type="dxa"/>
            <w:vAlign w:val="bottom"/>
          </w:tcPr>
          <w:p>
            <w:pPr>
              <w:spacing w:after="0"/>
              <w:rPr>
                <w:sz w:val="24"/>
                <w:szCs w:val="24"/>
                <w:color w:val="auto"/>
              </w:rPr>
            </w:pPr>
          </w:p>
        </w:tc>
        <w:tc>
          <w:tcPr>
            <w:tcW w:w="2520" w:type="dxa"/>
            <w:vAlign w:val="bottom"/>
            <w:shd w:val="clear" w:color="auto" w:fill="298655"/>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2520" w:space="720"/>
            <w:col w:w="240" w:space="720"/>
            <w:col w:w="7040"/>
          </w:cols>
          <w:pgMar w:left="320" w:top="279" w:right="339" w:bottom="1440" w:gutter="0" w:footer="0" w:header="0"/>
          <w:type w:val="continuous"/>
        </w:sectPr>
      </w:pPr>
    </w:p>
    <w:p>
      <w:pPr>
        <w:spacing w:after="0" w:line="29"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4D4D4F"/>
        </w:rPr>
        <w:t>In early 2023, the Compensation Committee determined the threshold, target and maximum adjusted EPS levels for the 2023 – 2025 performance period based on our rigorous internal targets and confidential operating plan, which was developed to support the achievement of our publicly disclosed 2026 financial targets. As in prior years, the Compensation Committee remains committed to disclose a full set of performance ranges and achieved results upon completion of the performance period.</w:t>
      </w:r>
    </w:p>
    <w:p>
      <w:pPr>
        <w:spacing w:after="0" w:line="12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4D4D4F"/>
        </w:rPr>
        <w:t>Adjusted EPS targets for all performance levels were increased generally by 4 to 6% from those used for the 2022 – 2024 PRSUs, with the maximum performance set at a level that could only be attained when applicable results are exceptional and justify the higher payout. The Compensation Committee then established the adjusted ROIC performance levels—which were also increased from the 2022 – 2024 PRSU award levels—that would be utilized to adjust the number of PRSUs that would be earned within the ranges set forth below in respect of the level of adjusted EPS achieved for the performance period. In the event that performance falls anywhere between the foregoing levels, linear interpolation is applied to determine the appropriate payout.</w:t>
      </w:r>
    </w:p>
    <w:p>
      <w:pPr>
        <w:spacing w:after="0" w:line="12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4D4D4F"/>
        </w:rPr>
        <w:t>For 2023, the payout percentages at the threshold level were set above those utilized in 2022 in light of the increase to all adjusted EPS target levels, as well as the increase in the ROIC modifier range. Consequently, as shown below, the payouts for threshold level performance, as adjusted for ROIC, increased from a range of 20% to 30% in 2022 to a range of 30% to 50% in 2023. The table below sets forth the payout ranges for the 2023 – 2025 PRSUs.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80" w:type="dxa"/>
            <w:vAlign w:val="bottom"/>
            <w:tcBorders>
              <w:bottom w:val="single" w:sz="8" w:color="132440"/>
            </w:tcBorders>
          </w:tcPr>
          <w:p>
            <w:pPr>
              <w:spacing w:after="0"/>
              <w:rPr>
                <w:sz w:val="19"/>
                <w:szCs w:val="19"/>
                <w:color w:val="auto"/>
              </w:rPr>
            </w:pPr>
          </w:p>
        </w:tc>
        <w:tc>
          <w:tcPr>
            <w:tcW w:w="5220" w:type="dxa"/>
            <w:vAlign w:val="bottom"/>
            <w:tcBorders>
              <w:bottom w:val="single" w:sz="8" w:color="132440"/>
            </w:tcBorders>
            <w:gridSpan w:val="2"/>
            <w:shd w:val="clear" w:color="auto" w:fill="578EB1"/>
          </w:tcPr>
          <w:p>
            <w:pPr>
              <w:jc w:val="right"/>
              <w:ind w:right="748"/>
              <w:spacing w:after="0"/>
              <w:rPr>
                <w:sz w:val="20"/>
                <w:szCs w:val="20"/>
                <w:color w:val="auto"/>
              </w:rPr>
            </w:pPr>
            <w:r>
              <w:rPr>
                <w:rFonts w:ascii="Arial" w:cs="Arial" w:eastAsia="Arial" w:hAnsi="Arial"/>
                <w:sz w:val="14"/>
                <w:szCs w:val="14"/>
                <w:b w:val="1"/>
                <w:bCs w:val="1"/>
                <w:color w:val="FFFFFF"/>
              </w:rPr>
              <w:t>Adjusted ROIC Performance Level</w:t>
            </w:r>
          </w:p>
        </w:tc>
        <w:tc>
          <w:tcPr>
            <w:tcW w:w="1340" w:type="dxa"/>
            <w:vAlign w:val="bottom"/>
            <w:tcBorders>
              <w:bottom w:val="single" w:sz="8" w:color="132440"/>
            </w:tcBorders>
            <w:shd w:val="clear" w:color="auto" w:fill="578EB1"/>
          </w:tcPr>
          <w:p>
            <w:pPr>
              <w:spacing w:after="0"/>
              <w:rPr>
                <w:sz w:val="19"/>
                <w:szCs w:val="19"/>
                <w:color w:val="auto"/>
              </w:rPr>
            </w:pPr>
          </w:p>
        </w:tc>
      </w:tr>
      <w:tr>
        <w:trPr>
          <w:trHeight w:val="230"/>
        </w:trPr>
        <w:tc>
          <w:tcPr>
            <w:tcW w:w="468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Threshold</w:t>
            </w:r>
          </w:p>
        </w:tc>
        <w:tc>
          <w:tcPr>
            <w:tcW w:w="3040" w:type="dxa"/>
            <w:vAlign w:val="bottom"/>
            <w:shd w:val="clear" w:color="auto" w:fill="EAEEF2"/>
          </w:tcPr>
          <w:p>
            <w:pPr>
              <w:jc w:val="right"/>
              <w:ind w:right="808"/>
              <w:spacing w:after="0"/>
              <w:rPr>
                <w:sz w:val="20"/>
                <w:szCs w:val="20"/>
                <w:color w:val="auto"/>
              </w:rPr>
            </w:pPr>
            <w:r>
              <w:rPr>
                <w:rFonts w:ascii="Arial" w:cs="Arial" w:eastAsia="Arial" w:hAnsi="Arial"/>
                <w:sz w:val="14"/>
                <w:szCs w:val="14"/>
                <w:color w:val="4D4D4F"/>
              </w:rPr>
              <w:t>30 %</w:t>
            </w:r>
          </w:p>
        </w:tc>
        <w:tc>
          <w:tcPr>
            <w:tcW w:w="2180" w:type="dxa"/>
            <w:vAlign w:val="bottom"/>
            <w:shd w:val="clear" w:color="auto" w:fill="EAEEF2"/>
          </w:tcPr>
          <w:p>
            <w:pPr>
              <w:jc w:val="right"/>
              <w:ind w:right="828"/>
              <w:spacing w:after="0"/>
              <w:rPr>
                <w:sz w:val="20"/>
                <w:szCs w:val="20"/>
                <w:color w:val="auto"/>
              </w:rPr>
            </w:pPr>
            <w:r>
              <w:rPr>
                <w:rFonts w:ascii="Arial" w:cs="Arial" w:eastAsia="Arial" w:hAnsi="Arial"/>
                <w:sz w:val="14"/>
                <w:szCs w:val="14"/>
                <w:color w:val="4D4D4F"/>
              </w:rPr>
              <w:t>40 %</w:t>
            </w:r>
          </w:p>
        </w:tc>
        <w:tc>
          <w:tcPr>
            <w:tcW w:w="1340" w:type="dxa"/>
            <w:vAlign w:val="bottom"/>
            <w:shd w:val="clear" w:color="auto" w:fill="EAEEF2"/>
          </w:tcPr>
          <w:p>
            <w:pPr>
              <w:jc w:val="right"/>
              <w:ind w:right="48"/>
              <w:spacing w:after="0"/>
              <w:rPr>
                <w:sz w:val="20"/>
                <w:szCs w:val="20"/>
                <w:color w:val="auto"/>
              </w:rPr>
            </w:pPr>
            <w:r>
              <w:rPr>
                <w:rFonts w:ascii="Arial" w:cs="Arial" w:eastAsia="Arial" w:hAnsi="Arial"/>
                <w:sz w:val="14"/>
                <w:szCs w:val="14"/>
                <w:color w:val="4D4D4F"/>
              </w:rPr>
              <w:t>50 %</w:t>
            </w:r>
          </w:p>
        </w:tc>
      </w:tr>
      <w:tr>
        <w:trPr>
          <w:trHeight w:val="222"/>
        </w:trPr>
        <w:tc>
          <w:tcPr>
            <w:tcW w:w="4680" w:type="dxa"/>
            <w:vAlign w:val="bottom"/>
          </w:tcPr>
          <w:p>
            <w:pPr>
              <w:ind w:left="100"/>
              <w:spacing w:after="0"/>
              <w:rPr>
                <w:sz w:val="20"/>
                <w:szCs w:val="20"/>
                <w:color w:val="auto"/>
              </w:rPr>
            </w:pPr>
            <w:r>
              <w:rPr>
                <w:rFonts w:ascii="Arial" w:cs="Arial" w:eastAsia="Arial" w:hAnsi="Arial"/>
                <w:sz w:val="14"/>
                <w:szCs w:val="14"/>
                <w:b w:val="1"/>
                <w:bCs w:val="1"/>
                <w:color w:val="4D4D4F"/>
              </w:rPr>
              <w:t>Target</w:t>
            </w:r>
          </w:p>
        </w:tc>
        <w:tc>
          <w:tcPr>
            <w:tcW w:w="3040" w:type="dxa"/>
            <w:vAlign w:val="bottom"/>
          </w:tcPr>
          <w:p>
            <w:pPr>
              <w:jc w:val="right"/>
              <w:ind w:right="808"/>
              <w:spacing w:after="0"/>
              <w:rPr>
                <w:sz w:val="20"/>
                <w:szCs w:val="20"/>
                <w:color w:val="auto"/>
              </w:rPr>
            </w:pPr>
            <w:r>
              <w:rPr>
                <w:rFonts w:ascii="Arial" w:cs="Arial" w:eastAsia="Arial" w:hAnsi="Arial"/>
                <w:sz w:val="14"/>
                <w:szCs w:val="14"/>
                <w:color w:val="4D4D4F"/>
              </w:rPr>
              <w:t>80 %</w:t>
            </w:r>
          </w:p>
        </w:tc>
        <w:tc>
          <w:tcPr>
            <w:tcW w:w="2180" w:type="dxa"/>
            <w:vAlign w:val="bottom"/>
          </w:tcPr>
          <w:p>
            <w:pPr>
              <w:jc w:val="right"/>
              <w:ind w:right="828"/>
              <w:spacing w:after="0"/>
              <w:rPr>
                <w:sz w:val="20"/>
                <w:szCs w:val="20"/>
                <w:color w:val="auto"/>
              </w:rPr>
            </w:pPr>
            <w:r>
              <w:rPr>
                <w:rFonts w:ascii="Arial" w:cs="Arial" w:eastAsia="Arial" w:hAnsi="Arial"/>
                <w:sz w:val="14"/>
                <w:szCs w:val="14"/>
                <w:color w:val="4D4D4F"/>
              </w:rPr>
              <w:t>100 %</w:t>
            </w:r>
          </w:p>
        </w:tc>
        <w:tc>
          <w:tcPr>
            <w:tcW w:w="1340" w:type="dxa"/>
            <w:vAlign w:val="bottom"/>
          </w:tcPr>
          <w:p>
            <w:pPr>
              <w:jc w:val="right"/>
              <w:ind w:right="48"/>
              <w:spacing w:after="0"/>
              <w:rPr>
                <w:sz w:val="20"/>
                <w:szCs w:val="20"/>
                <w:color w:val="auto"/>
              </w:rPr>
            </w:pPr>
            <w:r>
              <w:rPr>
                <w:rFonts w:ascii="Arial" w:cs="Arial" w:eastAsia="Arial" w:hAnsi="Arial"/>
                <w:sz w:val="14"/>
                <w:szCs w:val="14"/>
                <w:color w:val="4D4D4F"/>
              </w:rPr>
              <w:t>120 %</w:t>
            </w:r>
          </w:p>
        </w:tc>
      </w:tr>
      <w:tr>
        <w:trPr>
          <w:trHeight w:val="231"/>
        </w:trPr>
        <w:tc>
          <w:tcPr>
            <w:tcW w:w="4680" w:type="dxa"/>
            <w:vAlign w:val="bottom"/>
            <w:tcBorders>
              <w:bottom w:val="single" w:sz="8" w:color="298655"/>
            </w:tcBorders>
            <w:shd w:val="clear" w:color="auto" w:fill="EAEEF2"/>
          </w:tcPr>
          <w:p>
            <w:pPr>
              <w:ind w:left="100"/>
              <w:spacing w:after="0"/>
              <w:rPr>
                <w:sz w:val="20"/>
                <w:szCs w:val="20"/>
                <w:color w:val="auto"/>
              </w:rPr>
            </w:pPr>
            <w:r>
              <w:rPr>
                <w:rFonts w:ascii="Arial" w:cs="Arial" w:eastAsia="Arial" w:hAnsi="Arial"/>
                <w:sz w:val="14"/>
                <w:szCs w:val="14"/>
                <w:b w:val="1"/>
                <w:bCs w:val="1"/>
                <w:color w:val="4D4D4F"/>
              </w:rPr>
              <w:t>Maximum</w:t>
            </w:r>
          </w:p>
        </w:tc>
        <w:tc>
          <w:tcPr>
            <w:tcW w:w="3040" w:type="dxa"/>
            <w:vAlign w:val="bottom"/>
            <w:tcBorders>
              <w:bottom w:val="single" w:sz="8" w:color="298655"/>
            </w:tcBorders>
            <w:shd w:val="clear" w:color="auto" w:fill="EAEEF2"/>
          </w:tcPr>
          <w:p>
            <w:pPr>
              <w:jc w:val="right"/>
              <w:ind w:right="808"/>
              <w:spacing w:after="0"/>
              <w:rPr>
                <w:sz w:val="20"/>
                <w:szCs w:val="20"/>
                <w:color w:val="auto"/>
              </w:rPr>
            </w:pPr>
            <w:r>
              <w:rPr>
                <w:rFonts w:ascii="Arial" w:cs="Arial" w:eastAsia="Arial" w:hAnsi="Arial"/>
                <w:sz w:val="14"/>
                <w:szCs w:val="14"/>
                <w:color w:val="4D4D4F"/>
              </w:rPr>
              <w:t>160 %</w:t>
            </w:r>
          </w:p>
        </w:tc>
        <w:tc>
          <w:tcPr>
            <w:tcW w:w="2180" w:type="dxa"/>
            <w:vAlign w:val="bottom"/>
            <w:tcBorders>
              <w:bottom w:val="single" w:sz="8" w:color="298655"/>
            </w:tcBorders>
            <w:shd w:val="clear" w:color="auto" w:fill="EAEEF2"/>
          </w:tcPr>
          <w:p>
            <w:pPr>
              <w:jc w:val="right"/>
              <w:ind w:right="828"/>
              <w:spacing w:after="0"/>
              <w:rPr>
                <w:sz w:val="20"/>
                <w:szCs w:val="20"/>
                <w:color w:val="auto"/>
              </w:rPr>
            </w:pPr>
            <w:r>
              <w:rPr>
                <w:rFonts w:ascii="Arial" w:cs="Arial" w:eastAsia="Arial" w:hAnsi="Arial"/>
                <w:sz w:val="14"/>
                <w:szCs w:val="14"/>
                <w:color w:val="4D4D4F"/>
              </w:rPr>
              <w:t>180 %</w:t>
            </w:r>
          </w:p>
        </w:tc>
        <w:tc>
          <w:tcPr>
            <w:tcW w:w="1340" w:type="dxa"/>
            <w:vAlign w:val="bottom"/>
            <w:tcBorders>
              <w:bottom w:val="single" w:sz="8" w:color="298655"/>
            </w:tcBorders>
            <w:shd w:val="clear" w:color="auto" w:fill="EAEEF2"/>
          </w:tcPr>
          <w:p>
            <w:pPr>
              <w:jc w:val="right"/>
              <w:ind w:right="48"/>
              <w:spacing w:after="0"/>
              <w:rPr>
                <w:sz w:val="20"/>
                <w:szCs w:val="20"/>
                <w:color w:val="auto"/>
              </w:rPr>
            </w:pPr>
            <w:r>
              <w:rPr>
                <w:rFonts w:ascii="Arial" w:cs="Arial" w:eastAsia="Arial" w:hAnsi="Arial"/>
                <w:sz w:val="14"/>
                <w:szCs w:val="14"/>
                <w:color w:val="4D4D4F"/>
              </w:rPr>
              <w:t>200 %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0" w:hanging="534"/>
        <w:spacing w:after="0"/>
        <w:tabs>
          <w:tab w:leader="none" w:pos="560" w:val="left"/>
        </w:tabs>
        <w:numPr>
          <w:ilvl w:val="0"/>
          <w:numId w:val="90"/>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59" w:name="page60"/>
    <w:bookmarkEnd w:id="59"/>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2021 – 2023 PRSUs</w:t>
      </w:r>
    </w:p>
    <w:p>
      <w:pPr>
        <w:spacing w:after="0" w:line="14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4D4D4F"/>
        </w:rPr>
        <w:t>In early 2024, the Compensation Committee evaluated our adjusted EPS performance for the 2021 – 2023 performance period against metrics that had been set early in 2021. The performance targets were set at difficult-to-attain levels, with threshold and target performance levels set at about 80% to 100% above actual adjusted 2020 EPS of $1.15 per share (which was severely impacted by the COVID-19 pandemic).</w:t>
      </w:r>
    </w:p>
    <w:p>
      <w:pPr>
        <w:spacing w:after="0" w:line="118"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4D4D4F"/>
        </w:rPr>
        <w:t>Similar to last year’s results with respect to the 2020 – 2022 PRSUs, as the adjusted EPS did not meet the threshold, the 2021 – 2023 PRSUs were forfeited and cancelled in their entirety without payout, and, consequently, the adjusted ROIC performance was not factored into the performance determination.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Performance Level</w:t>
            </w:r>
          </w:p>
        </w:tc>
        <w:tc>
          <w:tcPr>
            <w:tcW w:w="2580" w:type="dxa"/>
            <w:vAlign w:val="bottom"/>
            <w:shd w:val="clear" w:color="auto" w:fill="132440"/>
          </w:tcPr>
          <w:p>
            <w:pPr>
              <w:jc w:val="right"/>
              <w:ind w:right="448"/>
              <w:spacing w:after="0"/>
              <w:rPr>
                <w:sz w:val="20"/>
                <w:szCs w:val="20"/>
                <w:color w:val="auto"/>
              </w:rPr>
            </w:pPr>
            <w:r>
              <w:rPr>
                <w:rFonts w:ascii="Arial" w:cs="Arial" w:eastAsia="Arial" w:hAnsi="Arial"/>
                <w:sz w:val="14"/>
                <w:szCs w:val="14"/>
                <w:b w:val="1"/>
                <w:bCs w:val="1"/>
                <w:color w:val="FFFFFF"/>
              </w:rPr>
              <w:t>Threshold</w:t>
            </w:r>
          </w:p>
        </w:tc>
        <w:tc>
          <w:tcPr>
            <w:tcW w:w="1860" w:type="dxa"/>
            <w:vAlign w:val="bottom"/>
            <w:shd w:val="clear" w:color="auto" w:fill="132440"/>
          </w:tcPr>
          <w:p>
            <w:pPr>
              <w:jc w:val="right"/>
              <w:ind w:right="408"/>
              <w:spacing w:after="0"/>
              <w:rPr>
                <w:sz w:val="20"/>
                <w:szCs w:val="20"/>
                <w:color w:val="auto"/>
              </w:rPr>
            </w:pPr>
            <w:r>
              <w:rPr>
                <w:rFonts w:ascii="Arial" w:cs="Arial" w:eastAsia="Arial" w:hAnsi="Arial"/>
                <w:sz w:val="14"/>
                <w:szCs w:val="14"/>
                <w:b w:val="1"/>
                <w:bCs w:val="1"/>
                <w:color w:val="FFFFFF"/>
              </w:rPr>
              <w:t>Target</w:t>
            </w:r>
          </w:p>
        </w:tc>
        <w:tc>
          <w:tcPr>
            <w:tcW w:w="146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Maximum</w:t>
            </w:r>
          </w:p>
        </w:tc>
        <w:tc>
          <w:tcPr>
            <w:tcW w:w="2060" w:type="dxa"/>
            <w:vAlign w:val="bottom"/>
            <w:shd w:val="clear" w:color="auto" w:fill="298655"/>
          </w:tcPr>
          <w:p>
            <w:pPr>
              <w:jc w:val="right"/>
              <w:ind w:right="48"/>
              <w:spacing w:after="0"/>
              <w:rPr>
                <w:sz w:val="20"/>
                <w:szCs w:val="20"/>
                <w:color w:val="auto"/>
              </w:rPr>
            </w:pPr>
            <w:r>
              <w:rPr>
                <w:rFonts w:ascii="Arial" w:cs="Arial" w:eastAsia="Arial" w:hAnsi="Arial"/>
                <w:sz w:val="14"/>
                <w:szCs w:val="14"/>
                <w:b w:val="1"/>
                <w:bCs w:val="1"/>
                <w:color w:val="FFFFFF"/>
              </w:rPr>
              <w:t>Actual</w:t>
            </w:r>
          </w:p>
        </w:tc>
      </w:tr>
      <w:tr>
        <w:trPr>
          <w:trHeight w:val="229"/>
        </w:trPr>
        <w:tc>
          <w:tcPr>
            <w:tcW w:w="328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Adjusted EPS</w:t>
            </w:r>
          </w:p>
        </w:tc>
        <w:tc>
          <w:tcPr>
            <w:tcW w:w="2580" w:type="dxa"/>
            <w:vAlign w:val="bottom"/>
            <w:shd w:val="clear" w:color="auto" w:fill="EAEEF2"/>
          </w:tcPr>
          <w:p>
            <w:pPr>
              <w:jc w:val="right"/>
              <w:ind w:right="448"/>
              <w:spacing w:after="0"/>
              <w:rPr>
                <w:sz w:val="20"/>
                <w:szCs w:val="20"/>
                <w:color w:val="auto"/>
              </w:rPr>
            </w:pPr>
            <w:r>
              <w:rPr>
                <w:rFonts w:ascii="Arial" w:cs="Arial" w:eastAsia="Arial" w:hAnsi="Arial"/>
                <w:sz w:val="14"/>
                <w:szCs w:val="14"/>
                <w:color w:val="4D4D4F"/>
              </w:rPr>
              <w:t>$2.05</w:t>
            </w:r>
          </w:p>
        </w:tc>
        <w:tc>
          <w:tcPr>
            <w:tcW w:w="1860" w:type="dxa"/>
            <w:vAlign w:val="bottom"/>
            <w:shd w:val="clear" w:color="auto" w:fill="EAEEF2"/>
          </w:tcPr>
          <w:p>
            <w:pPr>
              <w:jc w:val="right"/>
              <w:ind w:right="408"/>
              <w:spacing w:after="0"/>
              <w:rPr>
                <w:sz w:val="20"/>
                <w:szCs w:val="20"/>
                <w:color w:val="auto"/>
              </w:rPr>
            </w:pPr>
            <w:r>
              <w:rPr>
                <w:rFonts w:ascii="Arial" w:cs="Arial" w:eastAsia="Arial" w:hAnsi="Arial"/>
                <w:sz w:val="14"/>
                <w:szCs w:val="14"/>
                <w:color w:val="4D4D4F"/>
              </w:rPr>
              <w:t>$2.30</w:t>
            </w:r>
          </w:p>
        </w:tc>
        <w:tc>
          <w:tcPr>
            <w:tcW w:w="1460" w:type="dxa"/>
            <w:vAlign w:val="bottom"/>
            <w:shd w:val="clear" w:color="auto" w:fill="EAEEF2"/>
          </w:tcPr>
          <w:p>
            <w:pPr>
              <w:jc w:val="right"/>
              <w:spacing w:after="0"/>
              <w:rPr>
                <w:sz w:val="20"/>
                <w:szCs w:val="20"/>
                <w:color w:val="auto"/>
              </w:rPr>
            </w:pPr>
            <w:r>
              <w:rPr>
                <w:rFonts w:ascii="Arial" w:cs="Arial" w:eastAsia="Arial" w:hAnsi="Arial"/>
                <w:sz w:val="14"/>
                <w:szCs w:val="14"/>
                <w:color w:val="4D4D4F"/>
              </w:rPr>
              <w:t>$2.95</w:t>
            </w:r>
          </w:p>
        </w:tc>
        <w:tc>
          <w:tcPr>
            <w:tcW w:w="2060" w:type="dxa"/>
            <w:vAlign w:val="bottom"/>
            <w:shd w:val="clear" w:color="auto" w:fill="DFEDE5"/>
          </w:tcPr>
          <w:p>
            <w:pPr>
              <w:jc w:val="right"/>
              <w:ind w:right="48"/>
              <w:spacing w:after="0"/>
              <w:rPr>
                <w:sz w:val="20"/>
                <w:szCs w:val="20"/>
                <w:color w:val="auto"/>
              </w:rPr>
            </w:pPr>
            <w:r>
              <w:rPr>
                <w:rFonts w:ascii="Arial" w:cs="Arial" w:eastAsia="Arial" w:hAnsi="Arial"/>
                <w:sz w:val="14"/>
                <w:szCs w:val="14"/>
                <w:b w:val="1"/>
                <w:bCs w:val="1"/>
                <w:color w:val="4D4D4F"/>
              </w:rPr>
              <w:t>$1.95</w:t>
            </w:r>
          </w:p>
        </w:tc>
      </w:tr>
      <w:tr>
        <w:trPr>
          <w:trHeight w:val="241"/>
        </w:trPr>
        <w:tc>
          <w:tcPr>
            <w:tcW w:w="3280" w:type="dxa"/>
            <w:vAlign w:val="bottom"/>
          </w:tcPr>
          <w:p>
            <w:pPr>
              <w:ind w:left="100"/>
              <w:spacing w:after="0"/>
              <w:rPr>
                <w:sz w:val="20"/>
                <w:szCs w:val="20"/>
                <w:color w:val="auto"/>
              </w:rPr>
            </w:pPr>
            <w:r>
              <w:rPr>
                <w:rFonts w:ascii="Arial" w:cs="Arial" w:eastAsia="Arial" w:hAnsi="Arial"/>
                <w:sz w:val="14"/>
                <w:szCs w:val="14"/>
                <w:b w:val="1"/>
                <w:bCs w:val="1"/>
                <w:color w:val="4D4D4F"/>
              </w:rPr>
              <w:t>Payout (With ROIC modifier)</w:t>
            </w:r>
          </w:p>
        </w:tc>
        <w:tc>
          <w:tcPr>
            <w:tcW w:w="2580" w:type="dxa"/>
            <w:vAlign w:val="bottom"/>
          </w:tcPr>
          <w:p>
            <w:pPr>
              <w:jc w:val="right"/>
              <w:ind w:right="448"/>
              <w:spacing w:after="0"/>
              <w:rPr>
                <w:sz w:val="20"/>
                <w:szCs w:val="20"/>
                <w:color w:val="auto"/>
              </w:rPr>
            </w:pPr>
            <w:r>
              <w:rPr>
                <w:rFonts w:ascii="Arial" w:cs="Arial" w:eastAsia="Arial" w:hAnsi="Arial"/>
                <w:sz w:val="14"/>
                <w:szCs w:val="14"/>
                <w:color w:val="4D4D4F"/>
              </w:rPr>
              <w:t>(30% - 50%)</w:t>
            </w:r>
          </w:p>
        </w:tc>
        <w:tc>
          <w:tcPr>
            <w:tcW w:w="1860" w:type="dxa"/>
            <w:vAlign w:val="bottom"/>
          </w:tcPr>
          <w:p>
            <w:pPr>
              <w:jc w:val="right"/>
              <w:ind w:right="408"/>
              <w:spacing w:after="0"/>
              <w:rPr>
                <w:sz w:val="20"/>
                <w:szCs w:val="20"/>
                <w:color w:val="auto"/>
              </w:rPr>
            </w:pPr>
            <w:r>
              <w:rPr>
                <w:rFonts w:ascii="Arial" w:cs="Arial" w:eastAsia="Arial" w:hAnsi="Arial"/>
                <w:sz w:val="14"/>
                <w:szCs w:val="14"/>
                <w:color w:val="4D4D4F"/>
              </w:rPr>
              <w:t>(80% -120%)</w:t>
            </w:r>
          </w:p>
        </w:tc>
        <w:tc>
          <w:tcPr>
            <w:tcW w:w="1460" w:type="dxa"/>
            <w:vAlign w:val="bottom"/>
          </w:tcPr>
          <w:p>
            <w:pPr>
              <w:jc w:val="right"/>
              <w:spacing w:after="0"/>
              <w:rPr>
                <w:sz w:val="20"/>
                <w:szCs w:val="20"/>
                <w:color w:val="auto"/>
              </w:rPr>
            </w:pPr>
            <w:r>
              <w:rPr>
                <w:rFonts w:ascii="Arial" w:cs="Arial" w:eastAsia="Arial" w:hAnsi="Arial"/>
                <w:sz w:val="14"/>
                <w:szCs w:val="14"/>
                <w:color w:val="4D4D4F"/>
              </w:rPr>
              <w:t>(160% - 200%)</w:t>
            </w:r>
          </w:p>
        </w:tc>
        <w:tc>
          <w:tcPr>
            <w:tcW w:w="2060" w:type="dxa"/>
            <w:vAlign w:val="bottom"/>
          </w:tcPr>
          <w:p>
            <w:pPr>
              <w:jc w:val="right"/>
              <w:ind w:right="48"/>
              <w:spacing w:after="0"/>
              <w:rPr>
                <w:sz w:val="20"/>
                <w:szCs w:val="20"/>
                <w:color w:val="auto"/>
              </w:rPr>
            </w:pPr>
            <w:r>
              <w:rPr>
                <w:rFonts w:ascii="Arial" w:cs="Arial" w:eastAsia="Arial" w:hAnsi="Arial"/>
                <w:sz w:val="14"/>
                <w:szCs w:val="14"/>
                <w:b w:val="1"/>
                <w:bCs w:val="1"/>
                <w:color w:val="4D4D4F"/>
              </w:rPr>
              <w:t>0 %</w:t>
            </w:r>
          </w:p>
        </w:tc>
      </w:tr>
      <w:tr>
        <w:trPr>
          <w:trHeight w:val="43"/>
        </w:trPr>
        <w:tc>
          <w:tcPr>
            <w:tcW w:w="3280" w:type="dxa"/>
            <w:vAlign w:val="bottom"/>
            <w:tcBorders>
              <w:bottom w:val="single" w:sz="8" w:color="298655"/>
            </w:tcBorders>
          </w:tcPr>
          <w:p>
            <w:pPr>
              <w:spacing w:after="0"/>
              <w:rPr>
                <w:sz w:val="3"/>
                <w:szCs w:val="3"/>
                <w:color w:val="auto"/>
              </w:rPr>
            </w:pPr>
          </w:p>
        </w:tc>
        <w:tc>
          <w:tcPr>
            <w:tcW w:w="2580" w:type="dxa"/>
            <w:vAlign w:val="bottom"/>
            <w:tcBorders>
              <w:bottom w:val="single" w:sz="8" w:color="298655"/>
            </w:tcBorders>
          </w:tcPr>
          <w:p>
            <w:pPr>
              <w:spacing w:after="0"/>
              <w:rPr>
                <w:sz w:val="3"/>
                <w:szCs w:val="3"/>
                <w:color w:val="auto"/>
              </w:rPr>
            </w:pPr>
          </w:p>
        </w:tc>
        <w:tc>
          <w:tcPr>
            <w:tcW w:w="1860" w:type="dxa"/>
            <w:vAlign w:val="bottom"/>
            <w:tcBorders>
              <w:bottom w:val="single" w:sz="8" w:color="298655"/>
            </w:tcBorders>
          </w:tcPr>
          <w:p>
            <w:pPr>
              <w:spacing w:after="0"/>
              <w:rPr>
                <w:sz w:val="3"/>
                <w:szCs w:val="3"/>
                <w:color w:val="auto"/>
              </w:rPr>
            </w:pPr>
          </w:p>
        </w:tc>
        <w:tc>
          <w:tcPr>
            <w:tcW w:w="1460" w:type="dxa"/>
            <w:vAlign w:val="bottom"/>
            <w:tcBorders>
              <w:bottom w:val="single" w:sz="8" w:color="298655"/>
            </w:tcBorders>
          </w:tcPr>
          <w:p>
            <w:pPr>
              <w:spacing w:after="0"/>
              <w:rPr>
                <w:sz w:val="3"/>
                <w:szCs w:val="3"/>
                <w:color w:val="auto"/>
              </w:rPr>
            </w:pPr>
          </w:p>
        </w:tc>
        <w:tc>
          <w:tcPr>
            <w:tcW w:w="2060" w:type="dxa"/>
            <w:vAlign w:val="bottom"/>
            <w:tcBorders>
              <w:bottom w:val="single" w:sz="8" w:color="298655"/>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57</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0" w:name="page61"/>
    <w:bookmarkEnd w:id="60"/>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1120"/>
        <w:spacing w:after="0" w:line="298" w:lineRule="auto"/>
        <w:rPr>
          <w:sz w:val="20"/>
          <w:szCs w:val="20"/>
          <w:color w:val="auto"/>
        </w:rPr>
      </w:pPr>
      <w:r>
        <w:rPr>
          <w:rFonts w:ascii="Arial" w:cs="Arial" w:eastAsia="Arial" w:hAnsi="Arial"/>
          <w:sz w:val="25"/>
          <w:szCs w:val="25"/>
          <w:b w:val="1"/>
          <w:bCs w:val="1"/>
          <w:color w:val="132440"/>
        </w:rPr>
        <w:t>Changes to the 2024 Executive Compensation Program in Response to Shareholder Feedback</w:t>
      </w:r>
    </w:p>
    <w:p>
      <w:pPr>
        <w:spacing w:after="0" w:line="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4D4D4F"/>
        </w:rPr>
        <w:t>In response to shareholder feedback received during our engagement meetings conducted in the fall of 2023 (and into early 2024), the Compensation Committee increased the weighting of the financial performance metric (adjusted EBITDA) in the 2024 AIP from 60% to 75%, with the strategic objectives weighting reduced from 40% to 25% respectively. The Compensation Committee believes that the higher weighting is consistent with best practice and appropriate in light of our continued focus on operating efficiency and driving sustained growth. As in prior years, payout on the adjusted EBITDA metric will range from 0% to a maximum of 200%, depending on Company performance during 2024.</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00529B"/>
        </w:rPr>
        <w:t>Increased Weighting of Financial Metric in Annual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100330</wp:posOffset>
            </wp:positionV>
            <wp:extent cx="4191635" cy="2057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19163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58"/>
          <w:szCs w:val="58"/>
          <w:color w:val="00529B"/>
        </w:rPr>
        <w:t>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91" w:lineRule="auto"/>
        <w:rPr>
          <w:sz w:val="20"/>
          <w:szCs w:val="20"/>
          <w:color w:val="auto"/>
        </w:rPr>
      </w:pPr>
      <w:r>
        <w:rPr>
          <w:rFonts w:ascii="Arial" w:cs="Arial" w:eastAsia="Arial" w:hAnsi="Arial"/>
          <w:sz w:val="16"/>
          <w:szCs w:val="16"/>
          <w:color w:val="4D4D4F"/>
        </w:rPr>
        <w:t>We have also simplified the strategic objectives component for 2024 by substantially reducing the number of objectives, with each objective weighted based on the Compensation Committee’s assessment of the significance of the objective’s contribution to our ability to create long-term shareholder value. Performance for each objective will be evaluated by the Compensation Committee in accordance with a rating scale with each rating corresponding to a payout percentage ranging from 0% to 100%. An overall weighted average payout percentage under the strategic objectives component of the AIP will then be calculated, with the payout percentage remaining capped at 100% of target.</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00529B"/>
        </w:rPr>
        <w:t>Simplified Strategic Objectives with Weightings and Payout Percentages</w:t>
      </w:r>
    </w:p>
    <w:p>
      <w:pPr>
        <w:spacing w:after="0" w:line="185" w:lineRule="exact"/>
        <w:rPr>
          <w:sz w:val="20"/>
          <w:szCs w:val="20"/>
          <w:color w:val="auto"/>
        </w:rPr>
      </w:pPr>
    </w:p>
    <w:tbl>
      <w:tblPr>
        <w:tblLayout w:type="fixed"/>
        <w:tblInd w:w="2400" w:type="dxa"/>
        <w:tblCellMar>
          <w:top w:w="0" w:type="dxa"/>
          <w:left w:w="0" w:type="dxa"/>
          <w:bottom w:w="0" w:type="dxa"/>
          <w:right w:w="0" w:type="dxa"/>
        </w:tblCellMar>
      </w:tblPr>
      <w:tr>
        <w:trPr>
          <w:trHeight w:val="290"/>
        </w:trPr>
        <w:tc>
          <w:tcPr>
            <w:tcW w:w="1500" w:type="dxa"/>
            <w:vAlign w:val="bottom"/>
            <w:tcBorders>
              <w:bottom w:val="single" w:sz="8" w:color="132440"/>
            </w:tcBorders>
            <w:shd w:val="clear" w:color="auto" w:fill="132440"/>
          </w:tcPr>
          <w:p>
            <w:pPr>
              <w:jc w:val="center"/>
              <w:spacing w:after="0"/>
              <w:rPr>
                <w:sz w:val="20"/>
                <w:szCs w:val="20"/>
                <w:color w:val="auto"/>
              </w:rPr>
            </w:pPr>
            <w:r>
              <w:rPr>
                <w:rFonts w:ascii="Arial" w:cs="Arial" w:eastAsia="Arial" w:hAnsi="Arial"/>
                <w:sz w:val="14"/>
                <w:szCs w:val="14"/>
                <w:b w:val="1"/>
                <w:bCs w:val="1"/>
                <w:color w:val="FFFFFF"/>
              </w:rPr>
              <w:t>2023</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500" w:type="dxa"/>
            <w:vAlign w:val="bottom"/>
            <w:tcBorders>
              <w:bottom w:val="single" w:sz="8" w:color="EAEEF2"/>
            </w:tcBorders>
            <w:shd w:val="clear" w:color="auto" w:fill="EAEEF2"/>
          </w:tcPr>
          <w:p>
            <w:pPr>
              <w:jc w:val="center"/>
              <w:spacing w:after="0"/>
              <w:rPr>
                <w:sz w:val="20"/>
                <w:szCs w:val="20"/>
                <w:color w:val="auto"/>
              </w:rPr>
            </w:pPr>
            <w:r>
              <w:rPr>
                <w:rFonts w:ascii="Arial" w:cs="Arial" w:eastAsia="Arial" w:hAnsi="Arial"/>
                <w:sz w:val="14"/>
                <w:szCs w:val="14"/>
                <w:b w:val="1"/>
                <w:bCs w:val="1"/>
                <w:color w:val="4D4D4F"/>
              </w:rPr>
              <w:t>Objective 1</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500" w:type="dxa"/>
            <w:vAlign w:val="bottom"/>
          </w:tcPr>
          <w:p>
            <w:pPr>
              <w:jc w:val="center"/>
              <w:spacing w:after="0"/>
              <w:rPr>
                <w:sz w:val="20"/>
                <w:szCs w:val="20"/>
                <w:color w:val="auto"/>
              </w:rPr>
            </w:pPr>
            <w:r>
              <w:rPr>
                <w:rFonts w:ascii="Arial" w:cs="Arial" w:eastAsia="Arial" w:hAnsi="Arial"/>
                <w:sz w:val="14"/>
                <w:szCs w:val="14"/>
                <w:b w:val="1"/>
                <w:bCs w:val="1"/>
                <w:color w:val="4D4D4F"/>
              </w:rPr>
              <w:t>Objective 2</w:t>
            </w:r>
          </w:p>
        </w:tc>
        <w:tc>
          <w:tcPr>
            <w:tcW w:w="1000" w:type="dxa"/>
            <w:vAlign w:val="bottom"/>
          </w:tcPr>
          <w:p>
            <w:pPr>
              <w:spacing w:after="0"/>
              <w:rPr>
                <w:sz w:val="24"/>
                <w:szCs w:val="24"/>
                <w:color w:val="auto"/>
              </w:rPr>
            </w:pPr>
          </w:p>
        </w:tc>
        <w:tc>
          <w:tcPr>
            <w:tcW w:w="1260" w:type="dxa"/>
            <w:vAlign w:val="bottom"/>
            <w:tcBorders>
              <w:bottom w:val="single" w:sz="8" w:color="298655"/>
            </w:tcBorders>
            <w:shd w:val="clear" w:color="auto" w:fill="298655"/>
          </w:tcPr>
          <w:p>
            <w:pPr>
              <w:spacing w:after="0"/>
              <w:rPr>
                <w:sz w:val="24"/>
                <w:szCs w:val="24"/>
                <w:color w:val="auto"/>
              </w:rPr>
            </w:pPr>
          </w:p>
        </w:tc>
        <w:tc>
          <w:tcPr>
            <w:tcW w:w="1300" w:type="dxa"/>
            <w:vAlign w:val="bottom"/>
            <w:tcBorders>
              <w:bottom w:val="single" w:sz="8" w:color="298655"/>
            </w:tcBorders>
            <w:shd w:val="clear" w:color="auto" w:fill="298655"/>
          </w:tcPr>
          <w:p>
            <w:pPr>
              <w:jc w:val="right"/>
              <w:ind w:right="348"/>
              <w:spacing w:after="0"/>
              <w:rPr>
                <w:sz w:val="20"/>
                <w:szCs w:val="20"/>
                <w:color w:val="auto"/>
              </w:rPr>
            </w:pPr>
            <w:r>
              <w:rPr>
                <w:rFonts w:ascii="Arial" w:cs="Arial" w:eastAsia="Arial" w:hAnsi="Arial"/>
                <w:sz w:val="14"/>
                <w:szCs w:val="14"/>
                <w:b w:val="1"/>
                <w:bCs w:val="1"/>
                <w:color w:val="FFFFFF"/>
              </w:rPr>
              <w:t>2024</w:t>
            </w:r>
          </w:p>
        </w:tc>
        <w:tc>
          <w:tcPr>
            <w:tcW w:w="1400" w:type="dxa"/>
            <w:vAlign w:val="bottom"/>
            <w:tcBorders>
              <w:bottom w:val="single" w:sz="8" w:color="298655"/>
            </w:tcBorders>
            <w:shd w:val="clear" w:color="auto" w:fill="298655"/>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500" w:type="dxa"/>
            <w:vAlign w:val="bottom"/>
            <w:tcBorders>
              <w:bottom w:val="single" w:sz="8" w:color="EAEEF2"/>
            </w:tcBorders>
            <w:shd w:val="clear" w:color="auto" w:fill="EAEEF2"/>
          </w:tcPr>
          <w:p>
            <w:pPr>
              <w:jc w:val="center"/>
              <w:spacing w:after="0"/>
              <w:rPr>
                <w:sz w:val="20"/>
                <w:szCs w:val="20"/>
                <w:color w:val="auto"/>
              </w:rPr>
            </w:pPr>
            <w:r>
              <w:rPr>
                <w:rFonts w:ascii="Arial" w:cs="Arial" w:eastAsia="Arial" w:hAnsi="Arial"/>
                <w:sz w:val="14"/>
                <w:szCs w:val="14"/>
                <w:b w:val="1"/>
                <w:bCs w:val="1"/>
                <w:color w:val="4D4D4F"/>
              </w:rPr>
              <w:t>Objective 3</w:t>
            </w:r>
          </w:p>
        </w:tc>
        <w:tc>
          <w:tcPr>
            <w:tcW w:w="1000" w:type="dxa"/>
            <w:vAlign w:val="bottom"/>
            <w:vMerge w:val="restart"/>
          </w:tcPr>
          <w:p>
            <w:pPr>
              <w:ind w:left="340"/>
              <w:spacing w:after="0"/>
              <w:rPr>
                <w:sz w:val="20"/>
                <w:szCs w:val="20"/>
                <w:color w:val="auto"/>
              </w:rPr>
            </w:pPr>
            <w:r>
              <w:rPr>
                <w:rFonts w:ascii="Arial" w:cs="Arial" w:eastAsia="Arial" w:hAnsi="Arial"/>
                <w:sz w:val="58"/>
                <w:szCs w:val="58"/>
                <w:color w:val="00529B"/>
              </w:rPr>
              <w:t>g</w:t>
            </w:r>
          </w:p>
        </w:tc>
        <w:tc>
          <w:tcPr>
            <w:tcW w:w="1260" w:type="dxa"/>
            <w:vAlign w:val="bottom"/>
            <w:tcBorders>
              <w:bottom w:val="single" w:sz="8" w:color="DFEDE5"/>
            </w:tcBorders>
            <w:shd w:val="clear" w:color="auto" w:fill="DFEDE5"/>
          </w:tcPr>
          <w:p>
            <w:pPr>
              <w:jc w:val="center"/>
              <w:spacing w:after="0"/>
              <w:rPr>
                <w:sz w:val="20"/>
                <w:szCs w:val="20"/>
                <w:color w:val="auto"/>
              </w:rPr>
            </w:pPr>
            <w:r>
              <w:rPr>
                <w:rFonts w:ascii="Arial" w:cs="Arial" w:eastAsia="Arial" w:hAnsi="Arial"/>
                <w:sz w:val="14"/>
                <w:szCs w:val="14"/>
                <w:b w:val="1"/>
                <w:bCs w:val="1"/>
                <w:color w:val="4D4D4F"/>
              </w:rPr>
              <w:t>Objective 1</w:t>
            </w:r>
          </w:p>
        </w:tc>
        <w:tc>
          <w:tcPr>
            <w:tcW w:w="1300" w:type="dxa"/>
            <w:vAlign w:val="bottom"/>
            <w:tcBorders>
              <w:bottom w:val="single" w:sz="8" w:color="DFEDE5"/>
            </w:tcBorders>
            <w:shd w:val="clear" w:color="auto" w:fill="DFEDE5"/>
          </w:tcPr>
          <w:p>
            <w:pPr>
              <w:ind w:left="220"/>
              <w:spacing w:after="0"/>
              <w:rPr>
                <w:sz w:val="20"/>
                <w:szCs w:val="20"/>
                <w:color w:val="auto"/>
              </w:rPr>
            </w:pPr>
            <w:r>
              <w:rPr>
                <w:rFonts w:ascii="Arial" w:cs="Arial" w:eastAsia="Arial" w:hAnsi="Arial"/>
                <w:sz w:val="14"/>
                <w:szCs w:val="14"/>
                <w:b w:val="1"/>
                <w:bCs w:val="1"/>
                <w:color w:val="4D4D4F"/>
              </w:rPr>
              <w:t>Weighting 1 %</w:t>
            </w:r>
          </w:p>
        </w:tc>
        <w:tc>
          <w:tcPr>
            <w:tcW w:w="1400" w:type="dxa"/>
            <w:vAlign w:val="bottom"/>
            <w:tcBorders>
              <w:bottom w:val="single" w:sz="8" w:color="DFEDE5"/>
            </w:tcBorders>
            <w:shd w:val="clear" w:color="auto" w:fill="DFEDE5"/>
          </w:tcPr>
          <w:p>
            <w:pPr>
              <w:jc w:val="center"/>
              <w:ind w:left="8"/>
              <w:spacing w:after="0"/>
              <w:rPr>
                <w:sz w:val="20"/>
                <w:szCs w:val="20"/>
                <w:color w:val="auto"/>
              </w:rPr>
            </w:pPr>
            <w:r>
              <w:rPr>
                <w:rFonts w:ascii="Arial" w:cs="Arial" w:eastAsia="Arial" w:hAnsi="Arial"/>
                <w:sz w:val="14"/>
                <w:szCs w:val="14"/>
                <w:b w:val="1"/>
                <w:bCs w:val="1"/>
                <w:color w:val="4D4D4F"/>
              </w:rPr>
              <w:t>Payout 1 %</w:t>
            </w:r>
          </w:p>
        </w:tc>
        <w:tc>
          <w:tcPr>
            <w:tcW w:w="0" w:type="dxa"/>
            <w:vAlign w:val="bottom"/>
          </w:tcPr>
          <w:p>
            <w:pPr>
              <w:spacing w:after="0"/>
              <w:rPr>
                <w:sz w:val="1"/>
                <w:szCs w:val="1"/>
                <w:color w:val="auto"/>
              </w:rPr>
            </w:pPr>
          </w:p>
        </w:tc>
      </w:tr>
      <w:tr>
        <w:trPr>
          <w:trHeight w:val="255"/>
        </w:trPr>
        <w:tc>
          <w:tcPr>
            <w:tcW w:w="1500" w:type="dxa"/>
            <w:vAlign w:val="bottom"/>
          </w:tcPr>
          <w:p>
            <w:pPr>
              <w:jc w:val="center"/>
              <w:spacing w:after="0"/>
              <w:rPr>
                <w:sz w:val="20"/>
                <w:szCs w:val="20"/>
                <w:color w:val="auto"/>
              </w:rPr>
            </w:pPr>
            <w:r>
              <w:rPr>
                <w:rFonts w:ascii="Arial" w:cs="Arial" w:eastAsia="Arial" w:hAnsi="Arial"/>
                <w:sz w:val="14"/>
                <w:szCs w:val="14"/>
                <w:b w:val="1"/>
                <w:bCs w:val="1"/>
                <w:color w:val="4D4D4F"/>
              </w:rPr>
              <w:t>Objective 4</w:t>
            </w:r>
          </w:p>
        </w:tc>
        <w:tc>
          <w:tcPr>
            <w:tcW w:w="1000" w:type="dxa"/>
            <w:vAlign w:val="bottom"/>
            <w:vMerge w:val="continue"/>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4D4D4F"/>
              </w:rPr>
              <w:t>Objective 2</w:t>
            </w:r>
          </w:p>
        </w:tc>
        <w:tc>
          <w:tcPr>
            <w:tcW w:w="1300" w:type="dxa"/>
            <w:vAlign w:val="bottom"/>
          </w:tcPr>
          <w:p>
            <w:pPr>
              <w:ind w:left="220"/>
              <w:spacing w:after="0"/>
              <w:rPr>
                <w:sz w:val="20"/>
                <w:szCs w:val="20"/>
                <w:color w:val="auto"/>
              </w:rPr>
            </w:pPr>
            <w:r>
              <w:rPr>
                <w:rFonts w:ascii="Arial" w:cs="Arial" w:eastAsia="Arial" w:hAnsi="Arial"/>
                <w:sz w:val="14"/>
                <w:szCs w:val="14"/>
                <w:b w:val="1"/>
                <w:bCs w:val="1"/>
                <w:color w:val="4D4D4F"/>
              </w:rPr>
              <w:t>Weighting 2 %</w:t>
            </w:r>
          </w:p>
        </w:tc>
        <w:tc>
          <w:tcPr>
            <w:tcW w:w="1400" w:type="dxa"/>
            <w:vAlign w:val="bottom"/>
          </w:tcPr>
          <w:p>
            <w:pPr>
              <w:jc w:val="center"/>
              <w:ind w:left="8"/>
              <w:spacing w:after="0"/>
              <w:rPr>
                <w:sz w:val="20"/>
                <w:szCs w:val="20"/>
                <w:color w:val="auto"/>
              </w:rPr>
            </w:pPr>
            <w:r>
              <w:rPr>
                <w:rFonts w:ascii="Arial" w:cs="Arial" w:eastAsia="Arial" w:hAnsi="Arial"/>
                <w:sz w:val="14"/>
                <w:szCs w:val="14"/>
                <w:b w:val="1"/>
                <w:bCs w:val="1"/>
                <w:color w:val="4D4D4F"/>
              </w:rPr>
              <w:t>Payout 2 %</w:t>
            </w:r>
          </w:p>
        </w:tc>
        <w:tc>
          <w:tcPr>
            <w:tcW w:w="0" w:type="dxa"/>
            <w:vAlign w:val="bottom"/>
          </w:tcPr>
          <w:p>
            <w:pPr>
              <w:spacing w:after="0"/>
              <w:rPr>
                <w:sz w:val="1"/>
                <w:szCs w:val="1"/>
                <w:color w:val="auto"/>
              </w:rPr>
            </w:pPr>
          </w:p>
        </w:tc>
      </w:tr>
      <w:tr>
        <w:trPr>
          <w:trHeight w:val="56"/>
        </w:trPr>
        <w:tc>
          <w:tcPr>
            <w:tcW w:w="15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1500" w:type="dxa"/>
            <w:vAlign w:val="bottom"/>
            <w:shd w:val="clear" w:color="auto" w:fill="EAEEF2"/>
          </w:tcPr>
          <w:p>
            <w:pPr>
              <w:jc w:val="center"/>
              <w:spacing w:after="0"/>
              <w:rPr>
                <w:sz w:val="20"/>
                <w:szCs w:val="20"/>
                <w:color w:val="auto"/>
              </w:rPr>
            </w:pPr>
            <w:r>
              <w:rPr>
                <w:rFonts w:ascii="Arial" w:cs="Arial" w:eastAsia="Arial" w:hAnsi="Arial"/>
                <w:sz w:val="14"/>
                <w:szCs w:val="14"/>
                <w:b w:val="1"/>
                <w:bCs w:val="1"/>
                <w:color w:val="4D4D4F"/>
              </w:rPr>
              <w:t>Objective 5</w:t>
            </w:r>
          </w:p>
        </w:tc>
        <w:tc>
          <w:tcPr>
            <w:tcW w:w="1000" w:type="dxa"/>
            <w:vAlign w:val="bottom"/>
            <w:vMerge w:val="continue"/>
          </w:tcPr>
          <w:p>
            <w:pPr>
              <w:spacing w:after="0"/>
              <w:rPr>
                <w:sz w:val="24"/>
                <w:szCs w:val="24"/>
                <w:color w:val="auto"/>
              </w:rPr>
            </w:pPr>
          </w:p>
        </w:tc>
        <w:tc>
          <w:tcPr>
            <w:tcW w:w="1260" w:type="dxa"/>
            <w:vAlign w:val="bottom"/>
            <w:tcBorders>
              <w:bottom w:val="single" w:sz="8" w:color="298655"/>
            </w:tcBorders>
            <w:shd w:val="clear" w:color="auto" w:fill="DFEDE5"/>
          </w:tcPr>
          <w:p>
            <w:pPr>
              <w:jc w:val="center"/>
              <w:spacing w:after="0"/>
              <w:rPr>
                <w:sz w:val="20"/>
                <w:szCs w:val="20"/>
                <w:color w:val="auto"/>
              </w:rPr>
            </w:pPr>
            <w:r>
              <w:rPr>
                <w:rFonts w:ascii="Arial" w:cs="Arial" w:eastAsia="Arial" w:hAnsi="Arial"/>
                <w:sz w:val="14"/>
                <w:szCs w:val="14"/>
                <w:b w:val="1"/>
                <w:bCs w:val="1"/>
                <w:color w:val="4D4D4F"/>
              </w:rPr>
              <w:t>Objective 3</w:t>
            </w:r>
          </w:p>
        </w:tc>
        <w:tc>
          <w:tcPr>
            <w:tcW w:w="1300" w:type="dxa"/>
            <w:vAlign w:val="bottom"/>
            <w:tcBorders>
              <w:bottom w:val="single" w:sz="8" w:color="298655"/>
            </w:tcBorders>
            <w:shd w:val="clear" w:color="auto" w:fill="DFEDE5"/>
          </w:tcPr>
          <w:p>
            <w:pPr>
              <w:ind w:left="220"/>
              <w:spacing w:after="0"/>
              <w:rPr>
                <w:sz w:val="20"/>
                <w:szCs w:val="20"/>
                <w:color w:val="auto"/>
              </w:rPr>
            </w:pPr>
            <w:r>
              <w:rPr>
                <w:rFonts w:ascii="Arial" w:cs="Arial" w:eastAsia="Arial" w:hAnsi="Arial"/>
                <w:sz w:val="14"/>
                <w:szCs w:val="14"/>
                <w:b w:val="1"/>
                <w:bCs w:val="1"/>
                <w:color w:val="4D4D4F"/>
              </w:rPr>
              <w:t>Weighting 3 %</w:t>
            </w:r>
          </w:p>
        </w:tc>
        <w:tc>
          <w:tcPr>
            <w:tcW w:w="1400" w:type="dxa"/>
            <w:vAlign w:val="bottom"/>
            <w:tcBorders>
              <w:bottom w:val="single" w:sz="8" w:color="298655"/>
            </w:tcBorders>
            <w:shd w:val="clear" w:color="auto" w:fill="DFEDE5"/>
          </w:tcPr>
          <w:p>
            <w:pPr>
              <w:jc w:val="center"/>
              <w:ind w:left="8"/>
              <w:spacing w:after="0"/>
              <w:rPr>
                <w:sz w:val="20"/>
                <w:szCs w:val="20"/>
                <w:color w:val="auto"/>
              </w:rPr>
            </w:pPr>
            <w:r>
              <w:rPr>
                <w:rFonts w:ascii="Arial" w:cs="Arial" w:eastAsia="Arial" w:hAnsi="Arial"/>
                <w:sz w:val="14"/>
                <w:szCs w:val="14"/>
                <w:b w:val="1"/>
                <w:bCs w:val="1"/>
                <w:color w:val="4D4D4F"/>
              </w:rPr>
              <w:t>Payout 3 %</w:t>
            </w:r>
          </w:p>
        </w:tc>
        <w:tc>
          <w:tcPr>
            <w:tcW w:w="0" w:type="dxa"/>
            <w:vAlign w:val="bottom"/>
          </w:tcPr>
          <w:p>
            <w:pPr>
              <w:spacing w:after="0"/>
              <w:rPr>
                <w:sz w:val="1"/>
                <w:szCs w:val="1"/>
                <w:color w:val="auto"/>
              </w:rPr>
            </w:pPr>
          </w:p>
        </w:tc>
      </w:tr>
      <w:tr>
        <w:trPr>
          <w:trHeight w:val="200"/>
        </w:trPr>
        <w:tc>
          <w:tcPr>
            <w:tcW w:w="1500" w:type="dxa"/>
            <w:vAlign w:val="bottom"/>
          </w:tcPr>
          <w:p>
            <w:pPr>
              <w:jc w:val="center"/>
              <w:spacing w:after="0"/>
              <w:rPr>
                <w:sz w:val="20"/>
                <w:szCs w:val="20"/>
                <w:color w:val="auto"/>
              </w:rPr>
            </w:pPr>
            <w:r>
              <w:rPr>
                <w:rFonts w:ascii="Arial" w:cs="Arial" w:eastAsia="Arial" w:hAnsi="Arial"/>
                <w:sz w:val="14"/>
                <w:szCs w:val="14"/>
                <w:b w:val="1"/>
                <w:bCs w:val="1"/>
                <w:color w:val="4D4D4F"/>
              </w:rPr>
              <w:t>Objective 6</w:t>
            </w: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Pr>
          <w:p>
            <w:pPr>
              <w:jc w:val="center"/>
              <w:ind w:left="8"/>
              <w:spacing w:after="0"/>
              <w:rPr>
                <w:sz w:val="20"/>
                <w:szCs w:val="20"/>
                <w:color w:val="auto"/>
              </w:rPr>
            </w:pPr>
            <w:r>
              <w:rPr>
                <w:rFonts w:ascii="Arial" w:cs="Arial" w:eastAsia="Arial" w:hAnsi="Arial"/>
                <w:sz w:val="14"/>
                <w:szCs w:val="14"/>
                <w:b w:val="1"/>
                <w:bCs w:val="1"/>
                <w:color w:val="298655"/>
              </w:rPr>
              <w:t>Weighted Average</w:t>
            </w: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298655"/>
              </w:rPr>
              <w:t>Overall</w:t>
            </w:r>
          </w:p>
        </w:tc>
        <w:tc>
          <w:tcPr>
            <w:tcW w:w="13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298655"/>
              </w:rPr>
              <w:t>100%</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298655"/>
              </w:rPr>
              <w:t>Payout Capped at</w:t>
            </w:r>
          </w:p>
        </w:tc>
        <w:tc>
          <w:tcPr>
            <w:tcW w:w="0" w:type="dxa"/>
            <w:vAlign w:val="bottom"/>
          </w:tcPr>
          <w:p>
            <w:pPr>
              <w:spacing w:after="0"/>
              <w:rPr>
                <w:sz w:val="1"/>
                <w:szCs w:val="1"/>
                <w:color w:val="auto"/>
              </w:rPr>
            </w:pPr>
          </w:p>
        </w:tc>
      </w:tr>
      <w:tr>
        <w:trPr>
          <w:trHeight w:val="85"/>
        </w:trPr>
        <w:tc>
          <w:tcPr>
            <w:tcW w:w="1500" w:type="dxa"/>
            <w:vAlign w:val="bottom"/>
            <w:vMerge w:val="restart"/>
            <w:shd w:val="clear" w:color="auto" w:fill="EAEEF2"/>
          </w:tcPr>
          <w:p>
            <w:pPr>
              <w:jc w:val="center"/>
              <w:spacing w:after="0"/>
              <w:rPr>
                <w:sz w:val="20"/>
                <w:szCs w:val="20"/>
                <w:color w:val="auto"/>
              </w:rPr>
            </w:pPr>
            <w:r>
              <w:rPr>
                <w:rFonts w:ascii="Arial" w:cs="Arial" w:eastAsia="Arial" w:hAnsi="Arial"/>
                <w:sz w:val="14"/>
                <w:szCs w:val="14"/>
                <w:b w:val="1"/>
                <w:bCs w:val="1"/>
                <w:color w:val="4D4D4F"/>
              </w:rPr>
              <w:t>Objective 7</w:t>
            </w:r>
          </w:p>
        </w:tc>
        <w:tc>
          <w:tcPr>
            <w:tcW w:w="10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1500" w:type="dxa"/>
            <w:vAlign w:val="bottom"/>
            <w:tcBorders>
              <w:bottom w:val="single" w:sz="8" w:color="EAEEF2"/>
            </w:tcBorders>
            <w:vMerge w:val="continue"/>
            <w:shd w:val="clear" w:color="auto" w:fill="EAEEF2"/>
          </w:tcPr>
          <w:p>
            <w:pPr>
              <w:spacing w:after="0"/>
              <w:rPr>
                <w:sz w:val="19"/>
                <w:szCs w:val="19"/>
                <w:color w:val="auto"/>
              </w:rPr>
            </w:pPr>
          </w:p>
        </w:tc>
        <w:tc>
          <w:tcPr>
            <w:tcW w:w="1000" w:type="dxa"/>
            <w:vAlign w:val="bottom"/>
          </w:tcPr>
          <w:p>
            <w:pPr>
              <w:spacing w:after="0"/>
              <w:rPr>
                <w:sz w:val="19"/>
                <w:szCs w:val="19"/>
                <w:color w:val="auto"/>
              </w:rPr>
            </w:pPr>
          </w:p>
        </w:tc>
        <w:tc>
          <w:tcPr>
            <w:tcW w:w="1260" w:type="dxa"/>
            <w:vAlign w:val="bottom"/>
            <w:tcBorders>
              <w:bottom w:val="single" w:sz="8" w:color="298655"/>
            </w:tcBorders>
          </w:tcPr>
          <w:p>
            <w:pPr>
              <w:spacing w:after="0"/>
              <w:rPr>
                <w:sz w:val="19"/>
                <w:szCs w:val="19"/>
                <w:color w:val="auto"/>
              </w:rPr>
            </w:pPr>
          </w:p>
        </w:tc>
        <w:tc>
          <w:tcPr>
            <w:tcW w:w="1300" w:type="dxa"/>
            <w:vAlign w:val="bottom"/>
            <w:tcBorders>
              <w:bottom w:val="single" w:sz="8" w:color="298655"/>
            </w:tcBorders>
          </w:tcPr>
          <w:p>
            <w:pPr>
              <w:spacing w:after="0"/>
              <w:rPr>
                <w:sz w:val="19"/>
                <w:szCs w:val="19"/>
                <w:color w:val="auto"/>
              </w:rPr>
            </w:pPr>
          </w:p>
        </w:tc>
        <w:tc>
          <w:tcPr>
            <w:tcW w:w="1400" w:type="dxa"/>
            <w:vAlign w:val="bottom"/>
            <w:tcBorders>
              <w:bottom w:val="single" w:sz="8" w:color="298655"/>
            </w:tcBorders>
          </w:tcPr>
          <w:p>
            <w:pPr>
              <w:jc w:val="center"/>
              <w:ind w:left="8"/>
              <w:spacing w:after="0"/>
              <w:rPr>
                <w:sz w:val="20"/>
                <w:szCs w:val="20"/>
                <w:color w:val="auto"/>
              </w:rPr>
            </w:pPr>
            <w:r>
              <w:rPr>
                <w:rFonts w:ascii="Arial" w:cs="Arial" w:eastAsia="Arial" w:hAnsi="Arial"/>
                <w:sz w:val="14"/>
                <w:szCs w:val="14"/>
                <w:b w:val="1"/>
                <w:bCs w:val="1"/>
                <w:color w:val="298655"/>
              </w:rPr>
              <w:t>100%</w:t>
            </w:r>
          </w:p>
        </w:tc>
        <w:tc>
          <w:tcPr>
            <w:tcW w:w="0" w:type="dxa"/>
            <w:vAlign w:val="bottom"/>
          </w:tcPr>
          <w:p>
            <w:pPr>
              <w:spacing w:after="0"/>
              <w:rPr>
                <w:sz w:val="1"/>
                <w:szCs w:val="1"/>
                <w:color w:val="auto"/>
              </w:rPr>
            </w:pPr>
          </w:p>
        </w:tc>
      </w:tr>
      <w:tr>
        <w:trPr>
          <w:trHeight w:val="235"/>
        </w:trPr>
        <w:tc>
          <w:tcPr>
            <w:tcW w:w="1500" w:type="dxa"/>
            <w:vAlign w:val="bottom"/>
          </w:tcPr>
          <w:p>
            <w:pPr>
              <w:jc w:val="center"/>
              <w:spacing w:after="0"/>
              <w:rPr>
                <w:sz w:val="20"/>
                <w:szCs w:val="20"/>
                <w:color w:val="auto"/>
              </w:rPr>
            </w:pPr>
            <w:r>
              <w:rPr>
                <w:rFonts w:ascii="Arial" w:cs="Arial" w:eastAsia="Arial" w:hAnsi="Arial"/>
                <w:sz w:val="14"/>
                <w:szCs w:val="14"/>
                <w:b w:val="1"/>
                <w:bCs w:val="1"/>
                <w:color w:val="4D4D4F"/>
              </w:rPr>
              <w:t>Objective 8</w:t>
            </w: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1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500" w:type="dxa"/>
            <w:vAlign w:val="bottom"/>
            <w:tcBorders>
              <w:bottom w:val="single" w:sz="8" w:color="EAEEF2"/>
            </w:tcBorders>
            <w:shd w:val="clear" w:color="auto" w:fill="EAEEF2"/>
          </w:tcPr>
          <w:p>
            <w:pPr>
              <w:jc w:val="center"/>
              <w:spacing w:after="0"/>
              <w:rPr>
                <w:sz w:val="20"/>
                <w:szCs w:val="20"/>
                <w:color w:val="auto"/>
              </w:rPr>
            </w:pPr>
            <w:r>
              <w:rPr>
                <w:rFonts w:ascii="Arial" w:cs="Arial" w:eastAsia="Arial" w:hAnsi="Arial"/>
                <w:sz w:val="14"/>
                <w:szCs w:val="14"/>
                <w:b w:val="1"/>
                <w:bCs w:val="1"/>
                <w:color w:val="4D4D4F"/>
              </w:rPr>
              <w:t>Objective 9</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29865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0" w:hanging="534"/>
        <w:spacing w:after="0"/>
        <w:tabs>
          <w:tab w:leader="none" w:pos="560" w:val="left"/>
        </w:tabs>
        <w:numPr>
          <w:ilvl w:val="0"/>
          <w:numId w:val="91"/>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79" w:right="419" w:bottom="1440" w:gutter="0" w:footer="0" w:header="0"/>
        </w:sectPr>
      </w:pPr>
    </w:p>
    <w:bookmarkStart w:id="61" w:name="page62"/>
    <w:bookmarkEnd w:id="61"/>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Annual Compensation Setting Process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4D4D4F"/>
        </w:rPr>
        <w:t>Annually, the Compensation Committee reviews and assesses:</w:t>
      </w:r>
    </w:p>
    <w:p>
      <w:pPr>
        <w:spacing w:after="0" w:line="194" w:lineRule="exact"/>
        <w:rPr>
          <w:sz w:val="20"/>
          <w:szCs w:val="20"/>
          <w:color w:val="auto"/>
        </w:rPr>
      </w:pPr>
    </w:p>
    <w:p>
      <w:pPr>
        <w:ind w:left="500" w:right="20" w:hanging="249"/>
        <w:spacing w:after="0" w:line="321" w:lineRule="auto"/>
        <w:tabs>
          <w:tab w:leader="none" w:pos="489" w:val="left"/>
        </w:tabs>
        <w:numPr>
          <w:ilvl w:val="0"/>
          <w:numId w:val="92"/>
        </w:numPr>
        <w:rPr>
          <w:rFonts w:ascii="Arial" w:cs="Arial" w:eastAsia="Arial" w:hAnsi="Arial"/>
          <w:sz w:val="16"/>
          <w:szCs w:val="16"/>
          <w:b w:val="1"/>
          <w:bCs w:val="1"/>
          <w:color w:val="00529B"/>
        </w:rPr>
      </w:pPr>
      <w:r>
        <w:rPr>
          <w:rFonts w:ascii="Arial" w:cs="Arial" w:eastAsia="Arial" w:hAnsi="Arial"/>
          <w:sz w:val="16"/>
          <w:szCs w:val="16"/>
          <w:color w:val="4D4D4F"/>
        </w:rPr>
        <w:t>each NEO’s responsibilities and role with respect to overall corporate policy-making and strategy, management, operations and administration, as well as the importance of retaining the executive and his or her individual performance;</w:t>
      </w:r>
    </w:p>
    <w:p>
      <w:pPr>
        <w:spacing w:after="0" w:line="101" w:lineRule="exact"/>
        <w:rPr>
          <w:rFonts w:ascii="Arial" w:cs="Arial" w:eastAsia="Arial" w:hAnsi="Arial"/>
          <w:sz w:val="16"/>
          <w:szCs w:val="16"/>
          <w:b w:val="1"/>
          <w:bCs w:val="1"/>
          <w:color w:val="00529B"/>
        </w:rPr>
      </w:pPr>
    </w:p>
    <w:p>
      <w:pPr>
        <w:ind w:left="500" w:right="80" w:hanging="249"/>
        <w:spacing w:after="0" w:line="321" w:lineRule="auto"/>
        <w:tabs>
          <w:tab w:leader="none" w:pos="489" w:val="left"/>
        </w:tabs>
        <w:numPr>
          <w:ilvl w:val="0"/>
          <w:numId w:val="92"/>
        </w:numPr>
        <w:rPr>
          <w:rFonts w:ascii="Arial" w:cs="Arial" w:eastAsia="Arial" w:hAnsi="Arial"/>
          <w:sz w:val="16"/>
          <w:szCs w:val="16"/>
          <w:b w:val="1"/>
          <w:bCs w:val="1"/>
          <w:color w:val="00529B"/>
        </w:rPr>
      </w:pPr>
      <w:r>
        <w:rPr>
          <w:rFonts w:ascii="Arial" w:cs="Arial" w:eastAsia="Arial" w:hAnsi="Arial"/>
          <w:sz w:val="16"/>
          <w:szCs w:val="16"/>
          <w:color w:val="4D4D4F"/>
        </w:rPr>
        <w:t>recent and historical financial performance and forecasts for the current and upcoming years, recent stock price movements and other market related impacts, current and expected business conditions, including global oil prices and cost of capital; and</w:t>
      </w:r>
    </w:p>
    <w:p>
      <w:pPr>
        <w:spacing w:after="0" w:line="88" w:lineRule="exact"/>
        <w:rPr>
          <w:rFonts w:ascii="Arial" w:cs="Arial" w:eastAsia="Arial" w:hAnsi="Arial"/>
          <w:sz w:val="16"/>
          <w:szCs w:val="16"/>
          <w:b w:val="1"/>
          <w:bCs w:val="1"/>
          <w:color w:val="00529B"/>
        </w:rPr>
      </w:pPr>
    </w:p>
    <w:p>
      <w:pPr>
        <w:ind w:left="500" w:right="20" w:hanging="249"/>
        <w:spacing w:after="0" w:line="321" w:lineRule="auto"/>
        <w:tabs>
          <w:tab w:leader="none" w:pos="489" w:val="left"/>
        </w:tabs>
        <w:numPr>
          <w:ilvl w:val="0"/>
          <w:numId w:val="92"/>
        </w:numPr>
        <w:rPr>
          <w:rFonts w:ascii="Arial" w:cs="Arial" w:eastAsia="Arial" w:hAnsi="Arial"/>
          <w:sz w:val="16"/>
          <w:szCs w:val="16"/>
          <w:b w:val="1"/>
          <w:bCs w:val="1"/>
          <w:color w:val="00529B"/>
        </w:rPr>
      </w:pPr>
      <w:r>
        <w:rPr>
          <w:rFonts w:ascii="Arial" w:cs="Arial" w:eastAsia="Arial" w:hAnsi="Arial"/>
          <w:sz w:val="16"/>
          <w:szCs w:val="16"/>
          <w:color w:val="4D4D4F"/>
        </w:rPr>
        <w:t>the nature, amounts, award terms and mix of all elements of the NEOs’ compensation, both individually, for internal consistency, and in the aggregate, to ensure that our executive compensation programs adhere to the core principles.</w:t>
      </w:r>
    </w:p>
    <w:p>
      <w:pPr>
        <w:spacing w:after="0" w:line="10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4D4D4F"/>
        </w:rPr>
        <w:t>The Compensation Committee also reviews a detailed historical compensation analysis to ensure that it is fully informed of all the compensation and benefits each NEO has received as an employee of ours. This analysis includes information such as the aggregate amounts realized from prior years’ compensation, the potential future payout scenarios at various levels of achievement—taking into account any outstanding unearned performance-based awards—and the current value (as compared to the grant date fair value) of outstanding equity awards and of each NEO’s shareholdings in our stock (what some commentators call an “accumulated wealth analysis”). However, the Compensation Committee does not specifically use the accumulated wealth analysis as a material factor in determining the NEO’s compensation for a given year.</w:t>
      </w:r>
    </w:p>
    <w:p>
      <w:pPr>
        <w:spacing w:after="0" w:line="129"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4D4D4F"/>
        </w:rPr>
        <w:t>The Compensation Committee also considers the recommendations of our Chief Executive Officer with respect to setting the compensation of our other executive officers.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Evaluating Compensation Program Design Using Compensation Comparison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126365</wp:posOffset>
            </wp:positionV>
            <wp:extent cx="4671695" cy="19291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67169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4D4D4F"/>
        </w:rPr>
        <w:t>We believe our business model is unique and that there are few, if any, companies of a similar size and complexity engaged globally in all of our lines of business. During 2022, the Compensation Committee engaged with its independent compensation consultant to revise the compensation comparison group by drawing from the companies in the industry sectors listed above, along with those considered peers by proxy advisory groups, and peers of peers—with a specific focus on companies in our GICS sector, Energy. The Compensation Committee also took into account the companies’ relative financial size (with a specific focus on net income and market capitalization). The compensation comparison group for 2023, shown in the chart below, is unchanged from the prior year, with the exception of the exclusion of Renewable Energy Group due to its acquisition by Chevron in June 2022 and the replacement of HollyFrontier Corporation with HF Sinclair Corporation, its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59</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2" w:name="page63"/>
    <w:bookmarkEnd w:id="62"/>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shd w:val="clear" w:color="auto" w:fill="298655"/>
          </w:tcPr>
          <w:p>
            <w:pPr>
              <w:spacing w:after="0"/>
              <w:rPr>
                <w:sz w:val="19"/>
                <w:szCs w:val="19"/>
                <w:color w:val="auto"/>
              </w:rPr>
            </w:pPr>
          </w:p>
        </w:tc>
        <w:tc>
          <w:tcPr>
            <w:tcW w:w="3780" w:type="dxa"/>
            <w:vAlign w:val="bottom"/>
            <w:shd w:val="clear" w:color="auto" w:fill="298655"/>
          </w:tcPr>
          <w:p>
            <w:pPr>
              <w:jc w:val="center"/>
              <w:ind w:right="108"/>
              <w:spacing w:after="0"/>
              <w:rPr>
                <w:sz w:val="20"/>
                <w:szCs w:val="20"/>
                <w:color w:val="auto"/>
              </w:rPr>
            </w:pPr>
            <w:r>
              <w:rPr>
                <w:rFonts w:ascii="Arial" w:cs="Arial" w:eastAsia="Arial" w:hAnsi="Arial"/>
                <w:sz w:val="14"/>
                <w:szCs w:val="14"/>
                <w:b w:val="1"/>
                <w:bCs w:val="1"/>
                <w:color w:val="FFFFFF"/>
              </w:rPr>
              <w:t>2023 Comparison Companies (n=19)</w:t>
            </w:r>
          </w:p>
        </w:tc>
        <w:tc>
          <w:tcPr>
            <w:tcW w:w="3640" w:type="dxa"/>
            <w:vAlign w:val="bottom"/>
            <w:shd w:val="clear" w:color="auto" w:fill="298655"/>
          </w:tcPr>
          <w:p>
            <w:pPr>
              <w:spacing w:after="0"/>
              <w:rPr>
                <w:sz w:val="19"/>
                <w:szCs w:val="19"/>
                <w:color w:val="auto"/>
              </w:rPr>
            </w:pPr>
          </w:p>
        </w:tc>
      </w:tr>
      <w:tr>
        <w:trPr>
          <w:trHeight w:val="208"/>
        </w:trPr>
        <w:tc>
          <w:tcPr>
            <w:tcW w:w="3820" w:type="dxa"/>
            <w:vAlign w:val="bottom"/>
          </w:tcPr>
          <w:p>
            <w:pPr>
              <w:jc w:val="center"/>
              <w:ind w:right="8"/>
              <w:spacing w:after="0"/>
              <w:rPr>
                <w:sz w:val="20"/>
                <w:szCs w:val="20"/>
                <w:color w:val="auto"/>
              </w:rPr>
            </w:pPr>
            <w:r>
              <w:rPr>
                <w:rFonts w:ascii="Arial" w:cs="Arial" w:eastAsia="Arial" w:hAnsi="Arial"/>
                <w:sz w:val="14"/>
                <w:szCs w:val="14"/>
                <w:color w:val="4D4D4F"/>
              </w:rPr>
              <w:t>Atlas Air Worldwide Holdings, Inc.</w:t>
            </w:r>
          </w:p>
        </w:tc>
        <w:tc>
          <w:tcPr>
            <w:tcW w:w="3780" w:type="dxa"/>
            <w:vAlign w:val="bottom"/>
          </w:tcPr>
          <w:p>
            <w:pPr>
              <w:jc w:val="center"/>
              <w:ind w:right="128"/>
              <w:spacing w:after="0"/>
              <w:rPr>
                <w:sz w:val="20"/>
                <w:szCs w:val="20"/>
                <w:color w:val="auto"/>
              </w:rPr>
            </w:pPr>
            <w:r>
              <w:rPr>
                <w:rFonts w:ascii="Arial" w:cs="Arial" w:eastAsia="Arial" w:hAnsi="Arial"/>
                <w:sz w:val="14"/>
                <w:szCs w:val="14"/>
                <w:color w:val="4D4D4F"/>
              </w:rPr>
              <w:t>J.B. Hunt Transport Services, Inc.</w:t>
            </w:r>
          </w:p>
        </w:tc>
        <w:tc>
          <w:tcPr>
            <w:tcW w:w="3640" w:type="dxa"/>
            <w:vAlign w:val="bottom"/>
          </w:tcPr>
          <w:p>
            <w:pPr>
              <w:jc w:val="center"/>
              <w:ind w:right="28"/>
              <w:spacing w:after="0"/>
              <w:rPr>
                <w:sz w:val="20"/>
                <w:szCs w:val="20"/>
                <w:color w:val="auto"/>
              </w:rPr>
            </w:pPr>
            <w:r>
              <w:rPr>
                <w:rFonts w:ascii="Arial" w:cs="Arial" w:eastAsia="Arial" w:hAnsi="Arial"/>
                <w:sz w:val="14"/>
                <w:szCs w:val="14"/>
                <w:color w:val="4D4D4F"/>
              </w:rPr>
              <w:t>Ryder System, Inc</w:t>
            </w:r>
          </w:p>
        </w:tc>
      </w:tr>
      <w:tr>
        <w:trPr>
          <w:trHeight w:val="22"/>
        </w:trPr>
        <w:tc>
          <w:tcPr>
            <w:tcW w:w="3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09"/>
        </w:trPr>
        <w:tc>
          <w:tcPr>
            <w:tcW w:w="3820" w:type="dxa"/>
            <w:vAlign w:val="bottom"/>
            <w:tcBorders>
              <w:bottom w:val="single" w:sz="8" w:color="EAEEF2"/>
            </w:tcBorders>
            <w:shd w:val="clear" w:color="auto" w:fill="EAEEF2"/>
          </w:tcPr>
          <w:p>
            <w:pPr>
              <w:jc w:val="center"/>
              <w:ind w:right="8"/>
              <w:spacing w:after="0"/>
              <w:rPr>
                <w:sz w:val="20"/>
                <w:szCs w:val="20"/>
                <w:color w:val="auto"/>
              </w:rPr>
            </w:pPr>
            <w:r>
              <w:rPr>
                <w:rFonts w:ascii="Arial" w:cs="Arial" w:eastAsia="Arial" w:hAnsi="Arial"/>
                <w:sz w:val="14"/>
                <w:szCs w:val="14"/>
                <w:color w:val="4D4D4F"/>
              </w:rPr>
              <w:t>C. H. Robinson Worldwide, Inc.</w:t>
            </w:r>
          </w:p>
        </w:tc>
        <w:tc>
          <w:tcPr>
            <w:tcW w:w="3780" w:type="dxa"/>
            <w:vAlign w:val="bottom"/>
            <w:tcBorders>
              <w:bottom w:val="single" w:sz="8" w:color="EAEEF2"/>
            </w:tcBorders>
            <w:shd w:val="clear" w:color="auto" w:fill="EAEEF2"/>
          </w:tcPr>
          <w:p>
            <w:pPr>
              <w:jc w:val="center"/>
              <w:ind w:right="108"/>
              <w:spacing w:after="0"/>
              <w:rPr>
                <w:sz w:val="20"/>
                <w:szCs w:val="20"/>
                <w:color w:val="auto"/>
              </w:rPr>
            </w:pPr>
            <w:r>
              <w:rPr>
                <w:rFonts w:ascii="Arial" w:cs="Arial" w:eastAsia="Arial" w:hAnsi="Arial"/>
                <w:sz w:val="14"/>
                <w:szCs w:val="14"/>
                <w:color w:val="4D4D4F"/>
              </w:rPr>
              <w:t>Kirby Corporation</w:t>
            </w:r>
          </w:p>
        </w:tc>
        <w:tc>
          <w:tcPr>
            <w:tcW w:w="3640" w:type="dxa"/>
            <w:vAlign w:val="bottom"/>
            <w:tcBorders>
              <w:bottom w:val="single" w:sz="8" w:color="EAEEF2"/>
            </w:tcBorders>
            <w:shd w:val="clear" w:color="auto" w:fill="EAEEF2"/>
          </w:tcPr>
          <w:p>
            <w:pPr>
              <w:jc w:val="center"/>
              <w:ind w:right="48"/>
              <w:spacing w:after="0"/>
              <w:rPr>
                <w:sz w:val="20"/>
                <w:szCs w:val="20"/>
                <w:color w:val="auto"/>
              </w:rPr>
            </w:pPr>
            <w:r>
              <w:rPr>
                <w:rFonts w:ascii="Arial" w:cs="Arial" w:eastAsia="Arial" w:hAnsi="Arial"/>
                <w:sz w:val="14"/>
                <w:szCs w:val="14"/>
                <w:color w:val="4D4D4F"/>
              </w:rPr>
              <w:t>Southwestern Energy Company</w:t>
            </w:r>
          </w:p>
        </w:tc>
      </w:tr>
      <w:tr>
        <w:trPr>
          <w:trHeight w:val="208"/>
        </w:trPr>
        <w:tc>
          <w:tcPr>
            <w:tcW w:w="3820" w:type="dxa"/>
            <w:vAlign w:val="bottom"/>
          </w:tcPr>
          <w:p>
            <w:pPr>
              <w:jc w:val="center"/>
              <w:spacing w:after="0"/>
              <w:rPr>
                <w:sz w:val="20"/>
                <w:szCs w:val="20"/>
                <w:color w:val="auto"/>
              </w:rPr>
            </w:pPr>
            <w:r>
              <w:rPr>
                <w:rFonts w:ascii="Arial" w:cs="Arial" w:eastAsia="Arial" w:hAnsi="Arial"/>
                <w:sz w:val="14"/>
                <w:szCs w:val="14"/>
                <w:color w:val="4D4D4F"/>
              </w:rPr>
              <w:t>Delek US Holdings, Inc.</w:t>
            </w:r>
          </w:p>
        </w:tc>
        <w:tc>
          <w:tcPr>
            <w:tcW w:w="3780" w:type="dxa"/>
            <w:vAlign w:val="bottom"/>
          </w:tcPr>
          <w:p>
            <w:pPr>
              <w:jc w:val="center"/>
              <w:ind w:right="128"/>
              <w:spacing w:after="0"/>
              <w:rPr>
                <w:sz w:val="20"/>
                <w:szCs w:val="20"/>
                <w:color w:val="auto"/>
              </w:rPr>
            </w:pPr>
            <w:r>
              <w:rPr>
                <w:rFonts w:ascii="Arial" w:cs="Arial" w:eastAsia="Arial" w:hAnsi="Arial"/>
                <w:sz w:val="14"/>
                <w:szCs w:val="14"/>
                <w:color w:val="4D4D4F"/>
              </w:rPr>
              <w:t>Landstar System, Inc.</w:t>
            </w:r>
          </w:p>
        </w:tc>
        <w:tc>
          <w:tcPr>
            <w:tcW w:w="3640" w:type="dxa"/>
            <w:vAlign w:val="bottom"/>
          </w:tcPr>
          <w:p>
            <w:pPr>
              <w:jc w:val="center"/>
              <w:ind w:right="28"/>
              <w:spacing w:after="0"/>
              <w:rPr>
                <w:sz w:val="20"/>
                <w:szCs w:val="20"/>
                <w:color w:val="auto"/>
              </w:rPr>
            </w:pPr>
            <w:r>
              <w:rPr>
                <w:rFonts w:ascii="Arial" w:cs="Arial" w:eastAsia="Arial" w:hAnsi="Arial"/>
                <w:sz w:val="14"/>
                <w:szCs w:val="14"/>
                <w:color w:val="4D4D4F"/>
              </w:rPr>
              <w:t>Sysco Corporation</w:t>
            </w:r>
          </w:p>
        </w:tc>
      </w:tr>
      <w:tr>
        <w:trPr>
          <w:trHeight w:val="22"/>
        </w:trPr>
        <w:tc>
          <w:tcPr>
            <w:tcW w:w="3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09"/>
        </w:trPr>
        <w:tc>
          <w:tcPr>
            <w:tcW w:w="3820" w:type="dxa"/>
            <w:vAlign w:val="bottom"/>
            <w:tcBorders>
              <w:bottom w:val="single" w:sz="8" w:color="EAEEF2"/>
            </w:tcBorders>
            <w:shd w:val="clear" w:color="auto" w:fill="EAEEF2"/>
          </w:tcPr>
          <w:p>
            <w:pPr>
              <w:jc w:val="center"/>
              <w:ind w:right="8"/>
              <w:spacing w:after="0"/>
              <w:rPr>
                <w:sz w:val="20"/>
                <w:szCs w:val="20"/>
                <w:color w:val="auto"/>
              </w:rPr>
            </w:pPr>
            <w:r>
              <w:rPr>
                <w:rFonts w:ascii="Arial" w:cs="Arial" w:eastAsia="Arial" w:hAnsi="Arial"/>
                <w:sz w:val="14"/>
                <w:szCs w:val="14"/>
                <w:color w:val="4D4D4F"/>
              </w:rPr>
              <w:t>Expeditors International of Washington, Inc.</w:t>
            </w:r>
          </w:p>
        </w:tc>
        <w:tc>
          <w:tcPr>
            <w:tcW w:w="3780" w:type="dxa"/>
            <w:vAlign w:val="bottom"/>
            <w:tcBorders>
              <w:bottom w:val="single" w:sz="8" w:color="EAEEF2"/>
            </w:tcBorders>
            <w:shd w:val="clear" w:color="auto" w:fill="EAEEF2"/>
          </w:tcPr>
          <w:p>
            <w:pPr>
              <w:jc w:val="center"/>
              <w:ind w:right="128"/>
              <w:spacing w:after="0"/>
              <w:rPr>
                <w:sz w:val="20"/>
                <w:szCs w:val="20"/>
                <w:color w:val="auto"/>
              </w:rPr>
            </w:pPr>
            <w:r>
              <w:rPr>
                <w:rFonts w:ascii="Arial" w:cs="Arial" w:eastAsia="Arial" w:hAnsi="Arial"/>
                <w:sz w:val="14"/>
                <w:szCs w:val="14"/>
                <w:color w:val="4D4D4F"/>
              </w:rPr>
              <w:t>PBF Energy Inc.</w:t>
            </w:r>
          </w:p>
        </w:tc>
        <w:tc>
          <w:tcPr>
            <w:tcW w:w="3640" w:type="dxa"/>
            <w:vAlign w:val="bottom"/>
            <w:tcBorders>
              <w:bottom w:val="single" w:sz="8" w:color="EAEEF2"/>
            </w:tcBorders>
            <w:shd w:val="clear" w:color="auto" w:fill="EAEEF2"/>
          </w:tcPr>
          <w:p>
            <w:pPr>
              <w:jc w:val="center"/>
              <w:ind w:right="48"/>
              <w:spacing w:after="0"/>
              <w:rPr>
                <w:sz w:val="20"/>
                <w:szCs w:val="20"/>
                <w:color w:val="auto"/>
              </w:rPr>
            </w:pPr>
            <w:r>
              <w:rPr>
                <w:rFonts w:ascii="Arial" w:cs="Arial" w:eastAsia="Arial" w:hAnsi="Arial"/>
                <w:sz w:val="14"/>
                <w:szCs w:val="14"/>
                <w:color w:val="4D4D4F"/>
              </w:rPr>
              <w:t>United Natural Foods, Inc.</w:t>
            </w:r>
          </w:p>
        </w:tc>
      </w:tr>
      <w:tr>
        <w:trPr>
          <w:trHeight w:val="208"/>
        </w:trPr>
        <w:tc>
          <w:tcPr>
            <w:tcW w:w="3820" w:type="dxa"/>
            <w:vAlign w:val="bottom"/>
          </w:tcPr>
          <w:p>
            <w:pPr>
              <w:jc w:val="center"/>
              <w:ind w:right="8"/>
              <w:spacing w:after="0"/>
              <w:rPr>
                <w:sz w:val="20"/>
                <w:szCs w:val="20"/>
                <w:color w:val="auto"/>
              </w:rPr>
            </w:pPr>
            <w:r>
              <w:rPr>
                <w:rFonts w:ascii="Arial" w:cs="Arial" w:eastAsia="Arial" w:hAnsi="Arial"/>
                <w:sz w:val="14"/>
                <w:szCs w:val="14"/>
                <w:color w:val="4D4D4F"/>
              </w:rPr>
              <w:t>HF Sinclair Corporation</w:t>
            </w:r>
          </w:p>
        </w:tc>
        <w:tc>
          <w:tcPr>
            <w:tcW w:w="3780" w:type="dxa"/>
            <w:vAlign w:val="bottom"/>
          </w:tcPr>
          <w:p>
            <w:pPr>
              <w:jc w:val="center"/>
              <w:ind w:right="128"/>
              <w:spacing w:after="0"/>
              <w:rPr>
                <w:sz w:val="20"/>
                <w:szCs w:val="20"/>
                <w:color w:val="auto"/>
              </w:rPr>
            </w:pPr>
            <w:r>
              <w:rPr>
                <w:rFonts w:ascii="Arial" w:cs="Arial" w:eastAsia="Arial" w:hAnsi="Arial"/>
                <w:sz w:val="14"/>
                <w:szCs w:val="14"/>
                <w:color w:val="4D4D4F"/>
              </w:rPr>
              <w:t>PDC Energy Inc.</w:t>
            </w:r>
          </w:p>
        </w:tc>
        <w:tc>
          <w:tcPr>
            <w:tcW w:w="3640" w:type="dxa"/>
            <w:vAlign w:val="bottom"/>
          </w:tcPr>
          <w:p>
            <w:pPr>
              <w:jc w:val="center"/>
              <w:ind w:right="48"/>
              <w:spacing w:after="0"/>
              <w:rPr>
                <w:sz w:val="20"/>
                <w:szCs w:val="20"/>
                <w:color w:val="auto"/>
              </w:rPr>
            </w:pPr>
            <w:r>
              <w:rPr>
                <w:rFonts w:ascii="Arial" w:cs="Arial" w:eastAsia="Arial" w:hAnsi="Arial"/>
                <w:sz w:val="14"/>
                <w:szCs w:val="14"/>
                <w:color w:val="4D4D4F"/>
              </w:rPr>
              <w:t>W.W. Grainger, Inc.</w:t>
            </w:r>
          </w:p>
        </w:tc>
      </w:tr>
      <w:tr>
        <w:trPr>
          <w:trHeight w:val="22"/>
        </w:trPr>
        <w:tc>
          <w:tcPr>
            <w:tcW w:w="3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09"/>
        </w:trPr>
        <w:tc>
          <w:tcPr>
            <w:tcW w:w="3820" w:type="dxa"/>
            <w:vAlign w:val="bottom"/>
            <w:tcBorders>
              <w:bottom w:val="single" w:sz="8" w:color="EAEEF2"/>
            </w:tcBorders>
            <w:shd w:val="clear" w:color="auto" w:fill="EAEEF2"/>
          </w:tcPr>
          <w:p>
            <w:pPr>
              <w:jc w:val="center"/>
              <w:ind w:right="8"/>
              <w:spacing w:after="0"/>
              <w:rPr>
                <w:sz w:val="20"/>
                <w:szCs w:val="20"/>
                <w:color w:val="auto"/>
              </w:rPr>
            </w:pPr>
            <w:r>
              <w:rPr>
                <w:rFonts w:ascii="Arial" w:cs="Arial" w:eastAsia="Arial" w:hAnsi="Arial"/>
                <w:sz w:val="14"/>
                <w:szCs w:val="14"/>
                <w:color w:val="4D4D4F"/>
              </w:rPr>
              <w:t>Hub Group, Inc.</w:t>
            </w:r>
          </w:p>
        </w:tc>
        <w:tc>
          <w:tcPr>
            <w:tcW w:w="3780" w:type="dxa"/>
            <w:vAlign w:val="bottom"/>
            <w:tcBorders>
              <w:bottom w:val="single" w:sz="8" w:color="EAEEF2"/>
            </w:tcBorders>
            <w:shd w:val="clear" w:color="auto" w:fill="EAEEF2"/>
          </w:tcPr>
          <w:p>
            <w:pPr>
              <w:jc w:val="center"/>
              <w:ind w:right="128"/>
              <w:spacing w:after="0"/>
              <w:rPr>
                <w:sz w:val="20"/>
                <w:szCs w:val="20"/>
                <w:color w:val="auto"/>
              </w:rPr>
            </w:pPr>
            <w:r>
              <w:rPr>
                <w:rFonts w:ascii="Arial" w:cs="Arial" w:eastAsia="Arial" w:hAnsi="Arial"/>
                <w:sz w:val="14"/>
                <w:szCs w:val="14"/>
                <w:color w:val="4D4D4F"/>
              </w:rPr>
              <w:t>Performance Food Group Corporation</w:t>
            </w:r>
          </w:p>
        </w:tc>
        <w:tc>
          <w:tcPr>
            <w:tcW w:w="3640" w:type="dxa"/>
            <w:vAlign w:val="bottom"/>
            <w:tcBorders>
              <w:bottom w:val="single" w:sz="8" w:color="EAEEF2"/>
            </w:tcBorders>
            <w:shd w:val="clear" w:color="auto" w:fill="EAEEF2"/>
          </w:tcPr>
          <w:p>
            <w:pPr>
              <w:jc w:val="center"/>
              <w:ind w:right="28"/>
              <w:spacing w:after="0"/>
              <w:rPr>
                <w:sz w:val="20"/>
                <w:szCs w:val="20"/>
                <w:color w:val="auto"/>
              </w:rPr>
            </w:pPr>
            <w:r>
              <w:rPr>
                <w:rFonts w:ascii="Arial" w:cs="Arial" w:eastAsia="Arial" w:hAnsi="Arial"/>
                <w:sz w:val="14"/>
                <w:szCs w:val="14"/>
                <w:color w:val="4D4D4F"/>
              </w:rPr>
              <w:t>XPO Logistics, Inc.</w:t>
            </w:r>
          </w:p>
        </w:tc>
      </w:tr>
      <w:tr>
        <w:trPr>
          <w:trHeight w:val="208"/>
        </w:trPr>
        <w:tc>
          <w:tcPr>
            <w:tcW w:w="3820" w:type="dxa"/>
            <w:vAlign w:val="bottom"/>
          </w:tcPr>
          <w:p>
            <w:pPr>
              <w:spacing w:after="0"/>
              <w:rPr>
                <w:sz w:val="18"/>
                <w:szCs w:val="18"/>
                <w:color w:val="auto"/>
              </w:rPr>
            </w:pPr>
          </w:p>
        </w:tc>
        <w:tc>
          <w:tcPr>
            <w:tcW w:w="3780" w:type="dxa"/>
            <w:vAlign w:val="bottom"/>
          </w:tcPr>
          <w:p>
            <w:pPr>
              <w:jc w:val="center"/>
              <w:ind w:right="128"/>
              <w:spacing w:after="0"/>
              <w:rPr>
                <w:sz w:val="20"/>
                <w:szCs w:val="20"/>
                <w:color w:val="auto"/>
              </w:rPr>
            </w:pPr>
            <w:r>
              <w:rPr>
                <w:rFonts w:ascii="Arial" w:cs="Arial" w:eastAsia="Arial" w:hAnsi="Arial"/>
                <w:sz w:val="14"/>
                <w:szCs w:val="14"/>
                <w:color w:val="4D4D4F"/>
              </w:rPr>
              <w:t>Range Resources Corporation</w:t>
            </w:r>
          </w:p>
        </w:tc>
        <w:tc>
          <w:tcPr>
            <w:tcW w:w="3640" w:type="dxa"/>
            <w:vAlign w:val="bottom"/>
          </w:tcPr>
          <w:p>
            <w:pPr>
              <w:spacing w:after="0"/>
              <w:rPr>
                <w:sz w:val="18"/>
                <w:szCs w:val="18"/>
                <w:color w:val="auto"/>
              </w:rPr>
            </w:pPr>
          </w:p>
        </w:tc>
      </w:tr>
      <w:tr>
        <w:trPr>
          <w:trHeight w:val="22"/>
        </w:trPr>
        <w:tc>
          <w:tcPr>
            <w:tcW w:w="3820" w:type="dxa"/>
            <w:vAlign w:val="bottom"/>
            <w:tcBorders>
              <w:bottom w:val="single" w:sz="8" w:color="298655"/>
            </w:tcBorders>
          </w:tcPr>
          <w:p>
            <w:pPr>
              <w:spacing w:after="0" w:line="20" w:lineRule="exact"/>
              <w:rPr>
                <w:sz w:val="1"/>
                <w:szCs w:val="1"/>
                <w:color w:val="auto"/>
              </w:rPr>
            </w:pPr>
          </w:p>
        </w:tc>
        <w:tc>
          <w:tcPr>
            <w:tcW w:w="3780" w:type="dxa"/>
            <w:vAlign w:val="bottom"/>
            <w:tcBorders>
              <w:bottom w:val="single" w:sz="8" w:color="298655"/>
            </w:tcBorders>
          </w:tcPr>
          <w:p>
            <w:pPr>
              <w:spacing w:after="0" w:line="20" w:lineRule="exact"/>
              <w:rPr>
                <w:sz w:val="1"/>
                <w:szCs w:val="1"/>
                <w:color w:val="auto"/>
              </w:rPr>
            </w:pPr>
          </w:p>
        </w:tc>
        <w:tc>
          <w:tcPr>
            <w:tcW w:w="3640" w:type="dxa"/>
            <w:vAlign w:val="bottom"/>
            <w:tcBorders>
              <w:bottom w:val="single" w:sz="8" w:color="298655"/>
            </w:tcBorders>
          </w:tcPr>
          <w:p>
            <w:pPr>
              <w:spacing w:after="0" w:line="20" w:lineRule="exact"/>
              <w:rPr>
                <w:sz w:val="1"/>
                <w:szCs w:val="1"/>
                <w:color w:val="auto"/>
              </w:rPr>
            </w:pPr>
          </w:p>
        </w:tc>
      </w:tr>
    </w:tbl>
    <w:p>
      <w:pPr>
        <w:spacing w:after="0" w:line="24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4D4D4F"/>
        </w:rPr>
        <w:t>The Compensation Committee used data derived from the revised compensation comparison companies group shown above to inform its decisions about NEO compensation including amounts, design and mix of pay components. Although the Compensation Committee believes comparison compensation and performance data can be useful, it does not believe that any comparison group company, whose composition is based solely on our industry classification, revenues, net income and/or market capitalization, is fully reflective of the markets in which we compete for talent. Consequently, the Compensation Committee does not set the executives’ target total direct compensation (“TDC”), or any of the target components of such compensation, at any specific percentile of the comparison group. Rather, it more generally considers, as part of the overall compensation discussion, base salary, as well as the target and actual short- and long-term incentive compensation of the NEOs against the 50th percentile of the comparison group. For 2024, the Compensation Committee, based on the recommendation of its independent compensation consultant, relied on the same compensation comparison group of companies.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Role of Independent Compensation Consultant</w:t>
      </w:r>
    </w:p>
    <w:p>
      <w:pPr>
        <w:spacing w:after="0" w:line="144"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4D4D4F"/>
        </w:rPr>
        <w:t>In connection with the setting of 2023 executive compensation, the Compensation Committee engaged and received advice and assistance from its independent compensation consultant, Compensation Strategies, Inc. Compensation Strategies provides services solely to the Compensation Committee and reports directly and exclusively to the Compensation Committee. The Compensation Committee has assessed the independence of Compensation Strategies pursuant to SEC and NYSE rules and the guidelines of its Charter and concluded that Compensation Strategies meets independence requirements and its work for the Compensation Committee does not raise any conflict of interest.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4D4D4F"/>
        </w:rPr>
        <w:t>For 2023, Compensation Strategies provided assistance to the Compensation Committee generally as follows:</w:t>
      </w:r>
    </w:p>
    <w:p>
      <w:pPr>
        <w:spacing w:after="0" w:line="194" w:lineRule="exact"/>
        <w:rPr>
          <w:sz w:val="20"/>
          <w:szCs w:val="20"/>
          <w:color w:val="auto"/>
        </w:rPr>
      </w:pPr>
    </w:p>
    <w:p>
      <w:pPr>
        <w:ind w:left="480" w:hanging="229"/>
        <w:spacing w:after="0"/>
        <w:tabs>
          <w:tab w:leader="none" w:pos="480" w:val="left"/>
        </w:tabs>
        <w:numPr>
          <w:ilvl w:val="0"/>
          <w:numId w:val="93"/>
        </w:numPr>
        <w:rPr>
          <w:rFonts w:ascii="Arial" w:cs="Arial" w:eastAsia="Arial" w:hAnsi="Arial"/>
          <w:sz w:val="16"/>
          <w:szCs w:val="16"/>
          <w:b w:val="1"/>
          <w:bCs w:val="1"/>
          <w:color w:val="00529B"/>
        </w:rPr>
      </w:pPr>
      <w:r>
        <w:rPr>
          <w:rFonts w:ascii="Arial" w:cs="Arial" w:eastAsia="Arial" w:hAnsi="Arial"/>
          <w:sz w:val="16"/>
          <w:szCs w:val="16"/>
          <w:color w:val="4D4D4F"/>
        </w:rPr>
        <w:t>assisted in the preparation and review of quantitative analysis used in the compensation setting process;</w:t>
      </w:r>
    </w:p>
    <w:p>
      <w:pPr>
        <w:spacing w:after="0" w:line="194" w:lineRule="exact"/>
        <w:rPr>
          <w:rFonts w:ascii="Arial" w:cs="Arial" w:eastAsia="Arial" w:hAnsi="Arial"/>
          <w:sz w:val="16"/>
          <w:szCs w:val="16"/>
          <w:b w:val="1"/>
          <w:bCs w:val="1"/>
          <w:color w:val="00529B"/>
        </w:rPr>
      </w:pPr>
    </w:p>
    <w:p>
      <w:pPr>
        <w:ind w:left="480" w:hanging="229"/>
        <w:spacing w:after="0"/>
        <w:tabs>
          <w:tab w:leader="none" w:pos="480" w:val="left"/>
        </w:tabs>
        <w:numPr>
          <w:ilvl w:val="0"/>
          <w:numId w:val="93"/>
        </w:numPr>
        <w:rPr>
          <w:rFonts w:ascii="Arial" w:cs="Arial" w:eastAsia="Arial" w:hAnsi="Arial"/>
          <w:sz w:val="16"/>
          <w:szCs w:val="16"/>
          <w:b w:val="1"/>
          <w:bCs w:val="1"/>
          <w:color w:val="00529B"/>
        </w:rPr>
      </w:pPr>
      <w:r>
        <w:rPr>
          <w:rFonts w:ascii="Arial" w:cs="Arial" w:eastAsia="Arial" w:hAnsi="Arial"/>
          <w:sz w:val="16"/>
          <w:szCs w:val="16"/>
          <w:color w:val="4D4D4F"/>
        </w:rPr>
        <w:t>assisted in reviewing the compensation comparison companies group for 2023;</w:t>
      </w:r>
    </w:p>
    <w:p>
      <w:pPr>
        <w:spacing w:after="0" w:line="194" w:lineRule="exact"/>
        <w:rPr>
          <w:rFonts w:ascii="Arial" w:cs="Arial" w:eastAsia="Arial" w:hAnsi="Arial"/>
          <w:sz w:val="16"/>
          <w:szCs w:val="16"/>
          <w:b w:val="1"/>
          <w:bCs w:val="1"/>
          <w:color w:val="00529B"/>
        </w:rPr>
      </w:pPr>
    </w:p>
    <w:p>
      <w:pPr>
        <w:ind w:left="480" w:hanging="229"/>
        <w:spacing w:after="0"/>
        <w:tabs>
          <w:tab w:leader="none" w:pos="480" w:val="left"/>
        </w:tabs>
        <w:numPr>
          <w:ilvl w:val="0"/>
          <w:numId w:val="93"/>
        </w:numPr>
        <w:rPr>
          <w:rFonts w:ascii="Arial" w:cs="Arial" w:eastAsia="Arial" w:hAnsi="Arial"/>
          <w:sz w:val="16"/>
          <w:szCs w:val="16"/>
          <w:b w:val="1"/>
          <w:bCs w:val="1"/>
          <w:color w:val="00529B"/>
        </w:rPr>
      </w:pPr>
      <w:r>
        <w:rPr>
          <w:rFonts w:ascii="Arial" w:cs="Arial" w:eastAsia="Arial" w:hAnsi="Arial"/>
          <w:sz w:val="16"/>
          <w:szCs w:val="16"/>
          <w:color w:val="4D4D4F"/>
        </w:rPr>
        <w:t>assisted in developing a competitive analysis of our NEO compensation;</w:t>
      </w:r>
    </w:p>
    <w:p>
      <w:pPr>
        <w:spacing w:after="0" w:line="194" w:lineRule="exact"/>
        <w:rPr>
          <w:rFonts w:ascii="Arial" w:cs="Arial" w:eastAsia="Arial" w:hAnsi="Arial"/>
          <w:sz w:val="16"/>
          <w:szCs w:val="16"/>
          <w:b w:val="1"/>
          <w:bCs w:val="1"/>
          <w:color w:val="00529B"/>
        </w:rPr>
      </w:pPr>
    </w:p>
    <w:p>
      <w:pPr>
        <w:ind w:left="480" w:hanging="229"/>
        <w:spacing w:after="0"/>
        <w:tabs>
          <w:tab w:leader="none" w:pos="480" w:val="left"/>
        </w:tabs>
        <w:numPr>
          <w:ilvl w:val="0"/>
          <w:numId w:val="93"/>
        </w:numPr>
        <w:rPr>
          <w:rFonts w:ascii="Arial" w:cs="Arial" w:eastAsia="Arial" w:hAnsi="Arial"/>
          <w:sz w:val="16"/>
          <w:szCs w:val="16"/>
          <w:b w:val="1"/>
          <w:bCs w:val="1"/>
          <w:color w:val="00529B"/>
        </w:rPr>
      </w:pPr>
      <w:r>
        <w:rPr>
          <w:rFonts w:ascii="Arial" w:cs="Arial" w:eastAsia="Arial" w:hAnsi="Arial"/>
          <w:sz w:val="16"/>
          <w:szCs w:val="16"/>
          <w:color w:val="4D4D4F"/>
        </w:rPr>
        <w:t>assisted with the design of the NEOs’ annual and long-term compensation plans;</w:t>
      </w:r>
    </w:p>
    <w:p>
      <w:pPr>
        <w:spacing w:after="0" w:line="194" w:lineRule="exact"/>
        <w:rPr>
          <w:rFonts w:ascii="Arial" w:cs="Arial" w:eastAsia="Arial" w:hAnsi="Arial"/>
          <w:sz w:val="16"/>
          <w:szCs w:val="16"/>
          <w:b w:val="1"/>
          <w:bCs w:val="1"/>
          <w:color w:val="00529B"/>
        </w:rPr>
      </w:pPr>
    </w:p>
    <w:p>
      <w:pPr>
        <w:ind w:left="480" w:hanging="229"/>
        <w:spacing w:after="0"/>
        <w:tabs>
          <w:tab w:leader="none" w:pos="480" w:val="left"/>
        </w:tabs>
        <w:numPr>
          <w:ilvl w:val="0"/>
          <w:numId w:val="93"/>
        </w:numPr>
        <w:rPr>
          <w:rFonts w:ascii="Arial" w:cs="Arial" w:eastAsia="Arial" w:hAnsi="Arial"/>
          <w:sz w:val="16"/>
          <w:szCs w:val="16"/>
          <w:b w:val="1"/>
          <w:bCs w:val="1"/>
          <w:color w:val="00529B"/>
        </w:rPr>
      </w:pPr>
      <w:r>
        <w:rPr>
          <w:rFonts w:ascii="Arial" w:cs="Arial" w:eastAsia="Arial" w:hAnsi="Arial"/>
          <w:sz w:val="16"/>
          <w:szCs w:val="16"/>
          <w:color w:val="4D4D4F"/>
        </w:rPr>
        <w:t>provided recommendations for the 2023 compensation for our NEOs;</w:t>
      </w:r>
    </w:p>
    <w:p>
      <w:pPr>
        <w:spacing w:after="0" w:line="194" w:lineRule="exact"/>
        <w:rPr>
          <w:rFonts w:ascii="Arial" w:cs="Arial" w:eastAsia="Arial" w:hAnsi="Arial"/>
          <w:sz w:val="16"/>
          <w:szCs w:val="16"/>
          <w:b w:val="1"/>
          <w:bCs w:val="1"/>
          <w:color w:val="00529B"/>
        </w:rPr>
      </w:pPr>
    </w:p>
    <w:p>
      <w:pPr>
        <w:ind w:left="500" w:right="260" w:hanging="249"/>
        <w:spacing w:after="0" w:line="321" w:lineRule="auto"/>
        <w:tabs>
          <w:tab w:leader="none" w:pos="489" w:val="left"/>
        </w:tabs>
        <w:numPr>
          <w:ilvl w:val="0"/>
          <w:numId w:val="93"/>
        </w:numPr>
        <w:rPr>
          <w:rFonts w:ascii="Arial" w:cs="Arial" w:eastAsia="Arial" w:hAnsi="Arial"/>
          <w:sz w:val="16"/>
          <w:szCs w:val="16"/>
          <w:b w:val="1"/>
          <w:bCs w:val="1"/>
          <w:color w:val="00529B"/>
        </w:rPr>
      </w:pPr>
      <w:r>
        <w:rPr>
          <w:rFonts w:ascii="Arial" w:cs="Arial" w:eastAsia="Arial" w:hAnsi="Arial"/>
          <w:sz w:val="16"/>
          <w:szCs w:val="16"/>
          <w:color w:val="4D4D4F"/>
        </w:rPr>
        <w:t>performed a competitive analysis of compensation levels for non-employee directors and provided recommendations for our director compensation program;</w:t>
      </w:r>
    </w:p>
    <w:p>
      <w:pPr>
        <w:spacing w:after="0" w:line="101" w:lineRule="exact"/>
        <w:rPr>
          <w:rFonts w:ascii="Arial" w:cs="Arial" w:eastAsia="Arial" w:hAnsi="Arial"/>
          <w:sz w:val="16"/>
          <w:szCs w:val="16"/>
          <w:b w:val="1"/>
          <w:bCs w:val="1"/>
          <w:color w:val="00529B"/>
        </w:rPr>
      </w:pPr>
    </w:p>
    <w:p>
      <w:pPr>
        <w:ind w:left="480" w:hanging="229"/>
        <w:spacing w:after="0"/>
        <w:tabs>
          <w:tab w:leader="none" w:pos="480" w:val="left"/>
        </w:tabs>
        <w:numPr>
          <w:ilvl w:val="0"/>
          <w:numId w:val="93"/>
        </w:numPr>
        <w:rPr>
          <w:rFonts w:ascii="Arial" w:cs="Arial" w:eastAsia="Arial" w:hAnsi="Arial"/>
          <w:sz w:val="16"/>
          <w:szCs w:val="16"/>
          <w:b w:val="1"/>
          <w:bCs w:val="1"/>
          <w:color w:val="00529B"/>
        </w:rPr>
      </w:pPr>
      <w:r>
        <w:rPr>
          <w:rFonts w:ascii="Arial" w:cs="Arial" w:eastAsia="Arial" w:hAnsi="Arial"/>
          <w:sz w:val="16"/>
          <w:szCs w:val="16"/>
          <w:color w:val="4D4D4F"/>
        </w:rPr>
        <w:t>reviewed the CD&amp;A in the annual proxy statement;</w:t>
      </w:r>
    </w:p>
    <w:p>
      <w:pPr>
        <w:spacing w:after="0" w:line="194" w:lineRule="exact"/>
        <w:rPr>
          <w:rFonts w:ascii="Arial" w:cs="Arial" w:eastAsia="Arial" w:hAnsi="Arial"/>
          <w:sz w:val="16"/>
          <w:szCs w:val="16"/>
          <w:b w:val="1"/>
          <w:bCs w:val="1"/>
          <w:color w:val="00529B"/>
        </w:rPr>
      </w:pPr>
    </w:p>
    <w:p>
      <w:pPr>
        <w:ind w:left="480" w:hanging="229"/>
        <w:spacing w:after="0"/>
        <w:tabs>
          <w:tab w:leader="none" w:pos="480" w:val="left"/>
        </w:tabs>
        <w:numPr>
          <w:ilvl w:val="0"/>
          <w:numId w:val="93"/>
        </w:numPr>
        <w:rPr>
          <w:rFonts w:ascii="Arial" w:cs="Arial" w:eastAsia="Arial" w:hAnsi="Arial"/>
          <w:sz w:val="16"/>
          <w:szCs w:val="16"/>
          <w:b w:val="1"/>
          <w:bCs w:val="1"/>
          <w:color w:val="00529B"/>
        </w:rPr>
      </w:pPr>
      <w:r>
        <w:rPr>
          <w:rFonts w:ascii="Arial" w:cs="Arial" w:eastAsia="Arial" w:hAnsi="Arial"/>
          <w:sz w:val="16"/>
          <w:szCs w:val="16"/>
          <w:color w:val="4D4D4F"/>
        </w:rPr>
        <w:t>provided general advice on agreements or other documents the Compensation Committee was asked to approve; and</w:t>
      </w:r>
    </w:p>
    <w:p>
      <w:pPr>
        <w:spacing w:after="0" w:line="194" w:lineRule="exact"/>
        <w:rPr>
          <w:rFonts w:ascii="Arial" w:cs="Arial" w:eastAsia="Arial" w:hAnsi="Arial"/>
          <w:sz w:val="16"/>
          <w:szCs w:val="16"/>
          <w:b w:val="1"/>
          <w:bCs w:val="1"/>
          <w:color w:val="00529B"/>
        </w:rPr>
      </w:pPr>
    </w:p>
    <w:p>
      <w:pPr>
        <w:ind w:left="480" w:hanging="229"/>
        <w:spacing w:after="0"/>
        <w:tabs>
          <w:tab w:leader="none" w:pos="480" w:val="left"/>
        </w:tabs>
        <w:numPr>
          <w:ilvl w:val="0"/>
          <w:numId w:val="93"/>
        </w:numPr>
        <w:rPr>
          <w:rFonts w:ascii="Arial" w:cs="Arial" w:eastAsia="Arial" w:hAnsi="Arial"/>
          <w:sz w:val="16"/>
          <w:szCs w:val="16"/>
          <w:b w:val="1"/>
          <w:bCs w:val="1"/>
          <w:color w:val="00529B"/>
        </w:rPr>
      </w:pPr>
      <w:r>
        <w:rPr>
          <w:rFonts w:ascii="Arial" w:cs="Arial" w:eastAsia="Arial" w:hAnsi="Arial"/>
          <w:sz w:val="16"/>
          <w:szCs w:val="16"/>
          <w:color w:val="4D4D4F"/>
        </w:rPr>
        <w:t>provided updates on regulatory developments and market trends related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0" w:hanging="534"/>
        <w:spacing w:after="0"/>
        <w:tabs>
          <w:tab w:leader="none" w:pos="560" w:val="left"/>
        </w:tabs>
        <w:numPr>
          <w:ilvl w:val="0"/>
          <w:numId w:val="94"/>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3" w:name="page64"/>
    <w:bookmarkEnd w:id="63"/>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Employee Benefits and Executive Perquisites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Other Benefits and Perquisites</w:t>
      </w:r>
    </w:p>
    <w:p>
      <w:pPr>
        <w:spacing w:after="0" w:line="144"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4D4D4F"/>
        </w:rPr>
        <w:t>Our NEOs are eligible for the same health and welfare benefits as are available to all our eligible employees during active employment. These benefits include medical, dental, vision, short- and long-term disability, term life insurance and accidental death and dismemberment coverage. Our NEOs also receive additional company paid individual disability insurance coverage and executive life insurance coverage that is available for all officers at the vice-president level and above, plus, for Messrs. Kasbar and Birns, a portion of the cost of coverage for medical and dental insurance. Additionally, Messrs. Kasbar, Birns and Rau are provided with a country club membership to be used for business entertainment purposes and to facilitate business meetings.</w:t>
      </w:r>
    </w:p>
    <w:p>
      <w:pPr>
        <w:spacing w:after="0" w:line="12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4D4D4F"/>
        </w:rPr>
        <w:t>The total amount of employee benefits and executive perquisites provided to the NEOs during 2023 represents only a small percentage of each NEO’s total compensation and is comprised of those benefits which we believe are necessary to attract and retain executives. We believe that these benefits and perquisites are competitive in our industry and consistent with our overall compensation philosophy.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Retirement and Deferred Compensation</w:t>
      </w:r>
    </w:p>
    <w:p>
      <w:pPr>
        <w:spacing w:after="0" w:line="14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4D4D4F"/>
        </w:rPr>
        <w:t>We maintain the World Kinect Corporation 401(k) Profit Sharing Plan (“401(k) Plan”) to enable eligible employees to save for retirement through a tax-advantaged combination of elective employee contributions and our matching contributions. The 401(k) Plan allows eligible employees, including our NEOs, to elect to contribute a percentage of their eligible compensation on a pre-tax basis, up to the maximum dollar amounts permitted by law. In 2023, the maximum employee elective contribution to the 401(k) Plan was $22,500, plus an additional $7,500 for employees who were at least 50 years old in 2023. For 2023, we matched 50% of the first 6% of eligible compensation that each eligible participant elected to contribute to the 401(k) Plan.</w:t>
      </w:r>
    </w:p>
    <w:p>
      <w:pPr>
        <w:spacing w:after="0" w:line="12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4D4D4F"/>
        </w:rPr>
        <w:t>We do not maintain any pension, supplemental executive retirement plan or other defined benefit retirement plans for our NEOs. However, we do permit that our NEOs participate in the non-qualified deferred compensation plan, or NQDCP, that we offer to other senior employees based in the United States. As discussed under “Non-Qualified Deferred Compensation” later in this proxy statement, pursuant to the NQDCP, participants may defer up to 75% of their base salary and up to 90% of any annual cash incentive award, on a pre-tax basis, and an additional amount equal to any “excess contributions” that are refunded to them from the 401(k) Plan. We do not match any participant deferrals under the NQDCP.</w:t>
      </w:r>
    </w:p>
    <w:p>
      <w:pPr>
        <w:spacing w:after="0" w:line="127"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4D4D4F"/>
        </w:rPr>
        <w:t>In addition, Mr. Kasbar also has a deferred compensation balance which arose as a result of his prior employment agreement that provided that any bonus payable to him that would not be deductible under the Internal Revenue Code for the year earned would be deferred until a fiscal year in which it would be deductible. Payment of the deferred bonus would be made in all events in the year in which Mr. Kasbar’s employment terminates or the employment agreement expires. Any amount deferred in this manner is being credited with interest at the prime rate as published in the Wall Street Journal.</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Severance and Change of Control Benefits</w:t>
      </w:r>
    </w:p>
    <w:p>
      <w:pPr>
        <w:spacing w:after="0" w:line="1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4D4D4F"/>
        </w:rPr>
        <w:t>Our Compensation Committee believes that it is important to protect our intellectual capital. However, we do not have an employment agreement with any of our NEOs except for Mr. Kasbar, whose agreement has been in place since 2008. In November 2022, in connection with our grant of the 2022 Transformational Awards, we entered into an Amended and Restated Employment Agreement with Mr. Kasbar that eliminated his modified single-trigger provisions relating to a change of control and created a term. As a result, Mr. Kasbar’s employment is subject to a “double-trigger” and he receives a severance payment only if he is terminated without cause or he terminates for “good reason” within 24 months of a change of control (key terms are defined in the agreement).</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6"/>
          <w:szCs w:val="16"/>
          <w:color w:val="4D4D4F"/>
        </w:rPr>
        <w:t>Our other NEOs are a party to a severance agreement or participate in our executive severance policy that provide consideration for, and thus ensure the effectiveness of, important non-compete and other restrictive covenants and consulting obligations applicable under such arrangements following termination of employment. The Compensation Committee believes that these arrangements serve to encourage the continued attention and dedication of the executives to their assigned duties and mitigate the uncertainty and questions a potential change of control may raise among executives. The Compensation Committee also believes these arrangements are appropriate and necessary to attract and retain these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61</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4" w:name="page65"/>
    <w:bookmarkEnd w:id="64"/>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4D4D4F"/>
        </w:rPr>
        <w:t>The Compensation Committee generally views the potential payments and benefits payable under a termination or change of control scenario as a separate compensation element because such payments and benefits are not expected to be paid in a particular year and serve a different purpose for the executive than other elements of compensation. Accordingly, those payments and benefits do not significantly affect decisions regarding other elements of compensation. See “Potential Payments upon Termination of Employment or Change of Control” beginning on page 68 of this proxy statement for a discussion of these arrangements and certain compensation and benefits that will be provided in the event of the termination of the employment of our NEOs.</w:t>
      </w: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Other Compensation Practices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Clawback Policy</w:t>
      </w:r>
    </w:p>
    <w:p>
      <w:pPr>
        <w:spacing w:after="0" w:line="14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4D4D4F"/>
        </w:rPr>
        <w:t>In 2023, in light of new rules promulgated by the NYSE and the SEC, the Compensation Committee adopted a clawback policy to comply with the new requirements, under which our Section 16 officers, including our NEOs, are required to repay or return certain performance-based incentive compensation payments received during a three fiscal year recovery period immediately preceding a financial restatement, without regard to any taxes paid. The amount recoverable is the payment that exceeds the amount of applicable performance-based incentive compensation that would have been received by such officer during such recovery period had it been determined based on the relevant restated amounts, and recovery is subject to only limited exceptions. The return of such compensation applies regardless of whether a covered executive engaged in misconduct or otherwise caused or contributed to the requirement of an accounting restatement. Performance-based incentive compensation potentially subject to recovery under the mandatory accounting restatement provisions of the clawback policy is generally limited to any compensation granted, earned or vested (on or after October 2, 2023) based wholly or in part on the attainment of one or more financial reporting measures, and “financial reporting measures” for these purposes includes stock price and total shareholder return. Under the clawback policy, the Company generally is not required to recover such excess compensation if the Compensation Committee has made a determination that recovery would be impracticable and (1) the Company has already attempted to recover such amount but the direct expense paid to a third party to assist in enforcing the clawback policy would exceed the amount to be recovered, (2) recovery would violate applicable home country law that was adopted prior to November 28, 2022, or (3) recovery would likely cause an otherwise tax qualified retirement plan to fail to meet the requirements of the Internal Revenue Code of 1986, as amended, and applicable regulations. The Company is prohibited from paying or reimbursing the cost of insurance for, or indemnifying, any executive officer against the loss of such recovered compensation. The full text of the clawback policy can be found as an exhibit to our Annual Report on Form 10-K for the fiscal year ended December 31, 2023.</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Equity Grant Practices</w:t>
      </w:r>
    </w:p>
    <w:p>
      <w:pPr>
        <w:spacing w:after="0" w:line="144"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4D4D4F"/>
        </w:rPr>
        <w:t>Our equity grant policy provides that equity grants made to NEOs related to prior year performance will be effective on March 15 of each year. Equity awards are typically granted in March of each year on or about the 15th or 31st. Annual grants of equity awards to directors are made on the date that the director is elected or re-elected to the Board. Grants made to new hires or existing employees (excluding executive officers) are made effective on one of the following quarterly dates per year: February 10, May 10, August 10 and November 10.</w:t>
      </w:r>
    </w:p>
    <w:p>
      <w:pPr>
        <w:spacing w:after="0" w:line="126"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4D4D4F"/>
        </w:rPr>
        <w:t>Under the terms of the 2021 Omnibus Plan and its predecessor equity incentive plans, we are not permitted to cancel outstanding stock options or stock-settled stock appreciation rights (“SSARs”) for the purpose of re-pricing or otherwise replacing or re-granting such options or SSARs with an exercise or conversion price that is less than the exercise or conversion price of the original stock option or SSAR without shareholder consent. We do not have a program, plan or practice of timing equity award grants in order to benefit our executive officers or in coordination with the release of material non-public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Stock Ownership Policies</w:t>
      </w:r>
    </w:p>
    <w:p>
      <w:pPr>
        <w:spacing w:after="0" w:line="144" w:lineRule="exact"/>
        <w:rPr>
          <w:sz w:val="20"/>
          <w:szCs w:val="20"/>
          <w:color w:val="auto"/>
        </w:rPr>
      </w:pPr>
    </w:p>
    <w:p>
      <w:pPr>
        <w:spacing w:after="0" w:line="321" w:lineRule="auto"/>
        <w:rPr>
          <w:sz w:val="20"/>
          <w:szCs w:val="20"/>
          <w:color w:val="auto"/>
        </w:rPr>
      </w:pPr>
      <w:r>
        <w:rPr>
          <w:rFonts w:ascii="Arial" w:cs="Arial" w:eastAsia="Arial" w:hAnsi="Arial"/>
          <w:sz w:val="16"/>
          <w:szCs w:val="16"/>
          <w:color w:val="4D4D4F"/>
        </w:rPr>
        <w:t>The Compensation Committee has adopted robust stock retention requirements and stock ownership guidelines to align the interests of our NEOs with those of our shareholders and ensure that the executives responsible for overseeing operations have an ongoing financial stake in our success.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STOCK RETENTION REQUIREMENT</w:t>
      </w:r>
    </w:p>
    <w:p>
      <w:pPr>
        <w:spacing w:after="0" w:line="140"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4D4D4F"/>
        </w:rPr>
        <w:t>Our NEOs are required to retain at least 50% of any shares acquired (net of any shares that would need to be withheld or sold to satisfy any applicable income and employment taxes relating to the award) pursuant to any equity award granted after they become an executive officer for three years after the shares are delivered (or until the individual ceases to be one of our executive officers, if earlier). All our NEOs are in compliance with these retention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0" w:hanging="534"/>
        <w:spacing w:after="0"/>
        <w:tabs>
          <w:tab w:leader="none" w:pos="560" w:val="left"/>
        </w:tabs>
        <w:numPr>
          <w:ilvl w:val="0"/>
          <w:numId w:val="95"/>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5" w:name="page66"/>
    <w:bookmarkEnd w:id="65"/>
    <w:p>
      <w:pPr>
        <w:ind w:left="20"/>
        <w:spacing w:after="0"/>
        <w:rPr>
          <w:sz w:val="20"/>
          <w:szCs w:val="20"/>
          <w:color w:val="auto"/>
        </w:rPr>
      </w:pPr>
      <w:r>
        <w:rPr>
          <w:rFonts w:ascii="Arial" w:cs="Arial" w:eastAsia="Arial" w:hAnsi="Arial"/>
          <w:sz w:val="14"/>
          <w:szCs w:val="14"/>
          <w:b w:val="1"/>
          <w:bCs w:val="1"/>
          <w:color w:val="5B677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STOCK OWNERSHIP REQUIREMENT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4D4D4F"/>
        </w:rPr>
        <w:t>Our NEOs are subject to the stock ownership guidelines set forth below, which are expressed as a multiple of base salary determined by leadership level.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Position</w:t>
            </w:r>
          </w:p>
        </w:tc>
        <w:tc>
          <w:tcPr>
            <w:tcW w:w="5760" w:type="dxa"/>
            <w:vAlign w:val="bottom"/>
            <w:shd w:val="clear" w:color="auto" w:fill="132440"/>
          </w:tcPr>
          <w:p>
            <w:pPr>
              <w:jc w:val="center"/>
              <w:ind w:left="3028"/>
              <w:spacing w:after="0"/>
              <w:rPr>
                <w:sz w:val="20"/>
                <w:szCs w:val="20"/>
                <w:color w:val="auto"/>
              </w:rPr>
            </w:pPr>
            <w:r>
              <w:rPr>
                <w:rFonts w:ascii="Arial" w:cs="Arial" w:eastAsia="Arial" w:hAnsi="Arial"/>
                <w:sz w:val="14"/>
                <w:szCs w:val="14"/>
                <w:b w:val="1"/>
                <w:bCs w:val="1"/>
                <w:color w:val="FFFFFF"/>
              </w:rPr>
              <w:t>Multiple of Base Salary</w:t>
            </w:r>
          </w:p>
        </w:tc>
      </w:tr>
      <w:tr>
        <w:trPr>
          <w:trHeight w:val="208"/>
        </w:trPr>
        <w:tc>
          <w:tcPr>
            <w:tcW w:w="548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Chief Executive Officer</w:t>
            </w:r>
          </w:p>
        </w:tc>
        <w:tc>
          <w:tcPr>
            <w:tcW w:w="5760" w:type="dxa"/>
            <w:vAlign w:val="bottom"/>
            <w:shd w:val="clear" w:color="auto" w:fill="EAEEF2"/>
          </w:tcPr>
          <w:p>
            <w:pPr>
              <w:jc w:val="center"/>
              <w:ind w:left="3008"/>
              <w:spacing w:after="0"/>
              <w:rPr>
                <w:sz w:val="20"/>
                <w:szCs w:val="20"/>
                <w:color w:val="auto"/>
              </w:rPr>
            </w:pPr>
            <w:r>
              <w:rPr>
                <w:rFonts w:ascii="Arial" w:cs="Arial" w:eastAsia="Arial" w:hAnsi="Arial"/>
                <w:sz w:val="14"/>
                <w:szCs w:val="14"/>
                <w:color w:val="4D4D4F"/>
              </w:rPr>
              <w:t>7x</w:t>
            </w:r>
          </w:p>
        </w:tc>
      </w:tr>
      <w:tr>
        <w:trPr>
          <w:trHeight w:val="76"/>
        </w:trPr>
        <w:tc>
          <w:tcPr>
            <w:tcW w:w="5480" w:type="dxa"/>
            <w:vAlign w:val="bottom"/>
            <w:shd w:val="clear" w:color="auto" w:fill="EAEEF2"/>
          </w:tcPr>
          <w:p>
            <w:pPr>
              <w:spacing w:after="0"/>
              <w:rPr>
                <w:sz w:val="6"/>
                <w:szCs w:val="6"/>
                <w:color w:val="auto"/>
              </w:rPr>
            </w:pPr>
          </w:p>
        </w:tc>
        <w:tc>
          <w:tcPr>
            <w:tcW w:w="5760" w:type="dxa"/>
            <w:vAlign w:val="bottom"/>
            <w:shd w:val="clear" w:color="auto" w:fill="EAEEF2"/>
          </w:tcPr>
          <w:p>
            <w:pPr>
              <w:spacing w:after="0"/>
              <w:rPr>
                <w:sz w:val="6"/>
                <w:szCs w:val="6"/>
                <w:color w:val="auto"/>
              </w:rPr>
            </w:pPr>
          </w:p>
        </w:tc>
      </w:tr>
      <w:tr>
        <w:trPr>
          <w:trHeight w:val="208"/>
        </w:trPr>
        <w:tc>
          <w:tcPr>
            <w:tcW w:w="5480" w:type="dxa"/>
            <w:vAlign w:val="bottom"/>
          </w:tcPr>
          <w:p>
            <w:pPr>
              <w:ind w:left="100"/>
              <w:spacing w:after="0"/>
              <w:rPr>
                <w:sz w:val="20"/>
                <w:szCs w:val="20"/>
                <w:color w:val="auto"/>
              </w:rPr>
            </w:pPr>
            <w:r>
              <w:rPr>
                <w:rFonts w:ascii="Arial" w:cs="Arial" w:eastAsia="Arial" w:hAnsi="Arial"/>
                <w:sz w:val="14"/>
                <w:szCs w:val="14"/>
                <w:color w:val="4D4D4F"/>
              </w:rPr>
              <w:t>Chief Financial Officer</w:t>
            </w:r>
          </w:p>
        </w:tc>
        <w:tc>
          <w:tcPr>
            <w:tcW w:w="5760" w:type="dxa"/>
            <w:vAlign w:val="bottom"/>
          </w:tcPr>
          <w:p>
            <w:pPr>
              <w:jc w:val="center"/>
              <w:ind w:left="3008"/>
              <w:spacing w:after="0"/>
              <w:rPr>
                <w:sz w:val="20"/>
                <w:szCs w:val="20"/>
                <w:color w:val="auto"/>
              </w:rPr>
            </w:pPr>
            <w:r>
              <w:rPr>
                <w:rFonts w:ascii="Arial" w:cs="Arial" w:eastAsia="Arial" w:hAnsi="Arial"/>
                <w:sz w:val="14"/>
                <w:szCs w:val="14"/>
                <w:color w:val="4D4D4F"/>
              </w:rPr>
              <w:t>5x</w:t>
            </w:r>
          </w:p>
        </w:tc>
      </w:tr>
      <w:tr>
        <w:trPr>
          <w:trHeight w:val="75"/>
        </w:trPr>
        <w:tc>
          <w:tcPr>
            <w:tcW w:w="5480" w:type="dxa"/>
            <w:vAlign w:val="bottom"/>
          </w:tcPr>
          <w:p>
            <w:pPr>
              <w:spacing w:after="0"/>
              <w:rPr>
                <w:sz w:val="6"/>
                <w:szCs w:val="6"/>
                <w:color w:val="auto"/>
              </w:rPr>
            </w:pPr>
          </w:p>
        </w:tc>
        <w:tc>
          <w:tcPr>
            <w:tcW w:w="5760" w:type="dxa"/>
            <w:vAlign w:val="bottom"/>
          </w:tcPr>
          <w:p>
            <w:pPr>
              <w:spacing w:after="0"/>
              <w:rPr>
                <w:sz w:val="6"/>
                <w:szCs w:val="6"/>
                <w:color w:val="auto"/>
              </w:rPr>
            </w:pPr>
          </w:p>
        </w:tc>
      </w:tr>
      <w:tr>
        <w:trPr>
          <w:trHeight w:val="208"/>
        </w:trPr>
        <w:tc>
          <w:tcPr>
            <w:tcW w:w="548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All Other Executive Officers</w:t>
            </w:r>
          </w:p>
        </w:tc>
        <w:tc>
          <w:tcPr>
            <w:tcW w:w="5760" w:type="dxa"/>
            <w:vAlign w:val="bottom"/>
            <w:shd w:val="clear" w:color="auto" w:fill="EAEEF2"/>
          </w:tcPr>
          <w:p>
            <w:pPr>
              <w:jc w:val="center"/>
              <w:ind w:left="3008"/>
              <w:spacing w:after="0"/>
              <w:rPr>
                <w:sz w:val="20"/>
                <w:szCs w:val="20"/>
                <w:color w:val="auto"/>
              </w:rPr>
            </w:pPr>
            <w:r>
              <w:rPr>
                <w:rFonts w:ascii="Arial" w:cs="Arial" w:eastAsia="Arial" w:hAnsi="Arial"/>
                <w:sz w:val="14"/>
                <w:szCs w:val="14"/>
                <w:color w:val="4D4D4F"/>
              </w:rPr>
              <w:t>3x</w:t>
            </w:r>
          </w:p>
        </w:tc>
      </w:tr>
      <w:tr>
        <w:trPr>
          <w:trHeight w:val="76"/>
        </w:trPr>
        <w:tc>
          <w:tcPr>
            <w:tcW w:w="5480" w:type="dxa"/>
            <w:vAlign w:val="bottom"/>
            <w:tcBorders>
              <w:bottom w:val="single" w:sz="8" w:color="298655"/>
            </w:tcBorders>
            <w:shd w:val="clear" w:color="auto" w:fill="EAEEF2"/>
          </w:tcPr>
          <w:p>
            <w:pPr>
              <w:spacing w:after="0"/>
              <w:rPr>
                <w:sz w:val="6"/>
                <w:szCs w:val="6"/>
                <w:color w:val="auto"/>
              </w:rPr>
            </w:pPr>
          </w:p>
        </w:tc>
        <w:tc>
          <w:tcPr>
            <w:tcW w:w="5760" w:type="dxa"/>
            <w:vAlign w:val="bottom"/>
            <w:tcBorders>
              <w:bottom w:val="single" w:sz="8" w:color="298655"/>
            </w:tcBorders>
            <w:shd w:val="clear" w:color="auto" w:fill="EAEEF2"/>
          </w:tcPr>
          <w:p>
            <w:pPr>
              <w:spacing w:after="0"/>
              <w:rPr>
                <w:sz w:val="6"/>
                <w:szCs w:val="6"/>
                <w:color w:val="auto"/>
              </w:rPr>
            </w:pPr>
          </w:p>
        </w:tc>
      </w:tr>
    </w:tbl>
    <w:p>
      <w:pPr>
        <w:spacing w:after="0" w:line="229"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4D4D4F"/>
        </w:rPr>
        <w:t>The stock ownership guidelines provide that executive officers must attain the applicable ownership requirement within five years of the date such individual becomes an executive officer. Equity vehicles that count towards compliance with the ownership requirement include: common stock, unvested time-based RSUs and the earned portion of performance-based awards. Unexercised stock options or stock appreciation rights, the unearned portion of performance-based awards and any shares of common stock that are pledged as collateral do not count towards the requirement.</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4D4D4F"/>
        </w:rPr>
        <w:t>The Compensation Committee uses the three-year average closing stock price on the last trading day of each fiscal year to determine compliance and to manage against the risk of the NEOs falling out of compliance due to volatility in the stock price. The Compensation Committee has discretion to determine the penalties for non-compliance, including: requiring the payment of cash incentives in equity, instituting a higher equity retention requirement and reducing or eliminating incentive compensation. Furthermore, the Compensation Committee, in its discretion, may provide waivers, additional time to regain compliance or other appropriate relief on a case-by-case basis due to hardships, such as dispositions due to court-ordered domestic relations orders, or in the event of extreme volatility in our stock price. All of our NEOs were in compliance with the guidelines as of March 31, 2024.</w:t>
      </w:r>
    </w:p>
    <w:p>
      <w:pPr>
        <w:spacing w:after="0" w:line="129" w:lineRule="exact"/>
        <w:rPr>
          <w:sz w:val="20"/>
          <w:szCs w:val="20"/>
          <w:color w:val="auto"/>
        </w:rPr>
      </w:pPr>
    </w:p>
    <w:p>
      <w:pPr>
        <w:ind w:right="860"/>
        <w:spacing w:after="0" w:line="321" w:lineRule="auto"/>
        <w:rPr>
          <w:sz w:val="20"/>
          <w:szCs w:val="20"/>
          <w:color w:val="auto"/>
        </w:rPr>
      </w:pPr>
      <w:r>
        <w:rPr>
          <w:rFonts w:ascii="Arial" w:cs="Arial" w:eastAsia="Arial" w:hAnsi="Arial"/>
          <w:sz w:val="16"/>
          <w:szCs w:val="16"/>
          <w:color w:val="4D4D4F"/>
        </w:rPr>
        <w:t>Our directors are also subject to stock ownership requirements as described on page 42 of this proxy statement under “Director Stock Ownership Guidelines.”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Derivatives, Hedging and Pledging Transactions</w:t>
      </w:r>
    </w:p>
    <w:p>
      <w:pPr>
        <w:spacing w:after="0" w:line="14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4D4D4F"/>
        </w:rPr>
        <w:t>We prohibit our directors, executive officers, employees and their respective related persons from engaging in hedging or monetization transactions, or any transaction that hedges or offsets, or is designed to hedge or offset, any decrease in the market value of our securities, such as prepaid variable forward contracts, equity swaps, collars and exchange funds. We also do not allow our directors, executive officers, and employees to buy or sell publicly traded options based on our common stock or to engage in short sales of our securities. The purpose of these policies is to align the interests, including the economic risk of ownership, of directors, executive officers, employees and shareholders.</w:t>
      </w:r>
    </w:p>
    <w:p>
      <w:pPr>
        <w:spacing w:after="0" w:line="113"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4D4D4F"/>
        </w:rPr>
        <w:t>We also discourage our directors, executive officers and employees from holding our common stock in a margin account or pledging our common stock as collateral for a loan. Any directors or executive officers who wish to pledge shares must first obtain the prior approval of our Chief Legal Officer and the Governance Committee. As noted above, any shares pledged as collateral will not count towards any executive officer’s respective stock ownership requirement.</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Compensation Committee Report</w:t>
      </w:r>
    </w:p>
    <w:p>
      <w:pPr>
        <w:spacing w:after="0" w:line="155" w:lineRule="exact"/>
        <w:rPr>
          <w:sz w:val="20"/>
          <w:szCs w:val="20"/>
          <w:color w:val="auto"/>
        </w:rPr>
      </w:pPr>
    </w:p>
    <w:p>
      <w:pPr>
        <w:spacing w:after="0" w:line="295" w:lineRule="auto"/>
        <w:rPr>
          <w:sz w:val="20"/>
          <w:szCs w:val="20"/>
          <w:color w:val="auto"/>
        </w:rPr>
      </w:pPr>
      <w:r>
        <w:rPr>
          <w:rFonts w:ascii="Arial" w:cs="Arial" w:eastAsia="Arial" w:hAnsi="Arial"/>
          <w:sz w:val="16"/>
          <w:szCs w:val="16"/>
          <w:color w:val="4D4D4F"/>
        </w:rPr>
        <w:t>The Compensation Committee is responsible for establishing and administering World Kinect executive compensation programs. 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 on Schedule 14A and incorporated by reference into the Company’s Annual Report on Form 10-K for the year ended December 31, 2023.</w:t>
      </w:r>
    </w:p>
    <w:p>
      <w:pPr>
        <w:spacing w:after="0" w:line="391"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4D4D4F"/>
        </w:rPr>
        <w:t xml:space="preserve">Ken Bakshi, </w:t>
      </w:r>
      <w:r>
        <w:rPr>
          <w:rFonts w:ascii="Arial" w:cs="Arial" w:eastAsia="Arial" w:hAnsi="Arial"/>
          <w:sz w:val="16"/>
          <w:szCs w:val="16"/>
          <w:color w:val="4D4D4F"/>
        </w:rPr>
        <w:t>Chair</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4D4D4F"/>
        </w:rPr>
        <w:t>Richard A. Kassar</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4D4D4F"/>
        </w:rPr>
        <w:t>Stephen K. Roddenberry</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4D4D4F"/>
        </w:rPr>
        <w:t>Jill B. Smart</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6"/>
          <w:szCs w:val="16"/>
          <w:color w:val="4D4D4F"/>
        </w:rPr>
        <w:t>April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63</w:t>
            </w:r>
          </w:p>
        </w:tc>
      </w:tr>
      <w:tr>
        <w:trPr>
          <w:trHeight w:val="211"/>
        </w:trPr>
        <w:tc>
          <w:tcPr>
            <w:tcW w:w="108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6" w:name="page67"/>
    <w:bookmarkEnd w:id="66"/>
    <w:p>
      <w:pPr>
        <w:ind w:left="20"/>
        <w:spacing w:after="0"/>
        <w:rPr>
          <w:sz w:val="20"/>
          <w:szCs w:val="20"/>
          <w:color w:val="auto"/>
        </w:rPr>
      </w:pPr>
      <w:r>
        <w:rPr>
          <w:rFonts w:ascii="Arial" w:cs="Arial" w:eastAsia="Arial" w:hAnsi="Arial"/>
          <w:sz w:val="54"/>
          <w:szCs w:val="54"/>
          <w:b w:val="1"/>
          <w:bCs w:val="1"/>
          <w:color w:val="01549C"/>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-253365</wp:posOffset>
            </wp:positionV>
            <wp:extent cx="1157605" cy="6172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157605" cy="61722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54"/>
          <w:szCs w:val="54"/>
          <w:b w:val="1"/>
          <w:bCs w:val="1"/>
          <w:color w:val="01549C"/>
        </w:rPr>
        <w:t>Compensation Tables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Summary Compensation Table</w:t>
      </w:r>
    </w:p>
    <w:p>
      <w:pPr>
        <w:spacing w:after="0" w:line="141"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color w:val="4D4D4F"/>
        </w:rPr>
        <w:t>The following table summarizes the compensation of our NEOs for the fiscal years ended December 31, 2023, 2022 and 2021 according to the rules promulgated by the SEC.</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60" w:type="dxa"/>
            <w:vAlign w:val="bottom"/>
            <w:shd w:val="clear" w:color="auto" w:fill="132440"/>
          </w:tcPr>
          <w:p>
            <w:pPr>
              <w:spacing w:after="0"/>
              <w:rPr>
                <w:sz w:val="16"/>
                <w:szCs w:val="16"/>
                <w:color w:val="auto"/>
              </w:rPr>
            </w:pPr>
          </w:p>
        </w:tc>
        <w:tc>
          <w:tcPr>
            <w:tcW w:w="500" w:type="dxa"/>
            <w:vAlign w:val="bottom"/>
            <w:shd w:val="clear" w:color="auto" w:fill="132440"/>
          </w:tcPr>
          <w:p>
            <w:pPr>
              <w:spacing w:after="0"/>
              <w:rPr>
                <w:sz w:val="16"/>
                <w:szCs w:val="16"/>
                <w:color w:val="auto"/>
              </w:rPr>
            </w:pPr>
          </w:p>
        </w:tc>
        <w:tc>
          <w:tcPr>
            <w:tcW w:w="880" w:type="dxa"/>
            <w:vAlign w:val="bottom"/>
            <w:shd w:val="clear" w:color="auto" w:fill="132440"/>
          </w:tcPr>
          <w:p>
            <w:pPr>
              <w:spacing w:after="0"/>
              <w:rPr>
                <w:sz w:val="16"/>
                <w:szCs w:val="16"/>
                <w:color w:val="auto"/>
              </w:rPr>
            </w:pPr>
          </w:p>
        </w:tc>
        <w:tc>
          <w:tcPr>
            <w:tcW w:w="1180" w:type="dxa"/>
            <w:vAlign w:val="bottom"/>
            <w:shd w:val="clear" w:color="auto" w:fill="132440"/>
          </w:tcPr>
          <w:p>
            <w:pPr>
              <w:spacing w:after="0"/>
              <w:rPr>
                <w:sz w:val="16"/>
                <w:szCs w:val="16"/>
                <w:color w:val="auto"/>
              </w:rPr>
            </w:pPr>
          </w:p>
        </w:tc>
        <w:tc>
          <w:tcPr>
            <w:tcW w:w="700" w:type="dxa"/>
            <w:vAlign w:val="bottom"/>
            <w:shd w:val="clear" w:color="auto" w:fill="132440"/>
          </w:tcPr>
          <w:p>
            <w:pPr>
              <w:spacing w:after="0"/>
              <w:rPr>
                <w:sz w:val="16"/>
                <w:szCs w:val="16"/>
                <w:color w:val="auto"/>
              </w:rPr>
            </w:pPr>
          </w:p>
        </w:tc>
        <w:tc>
          <w:tcPr>
            <w:tcW w:w="1660" w:type="dxa"/>
            <w:vAlign w:val="bottom"/>
            <w:shd w:val="clear" w:color="auto" w:fill="132440"/>
          </w:tcPr>
          <w:p>
            <w:pPr>
              <w:spacing w:after="0"/>
              <w:rPr>
                <w:sz w:val="16"/>
                <w:szCs w:val="16"/>
                <w:color w:val="auto"/>
              </w:rPr>
            </w:pPr>
          </w:p>
        </w:tc>
        <w:tc>
          <w:tcPr>
            <w:tcW w:w="1680" w:type="dxa"/>
            <w:vAlign w:val="bottom"/>
            <w:shd w:val="clear" w:color="auto" w:fill="132440"/>
          </w:tcPr>
          <w:p>
            <w:pPr>
              <w:jc w:val="right"/>
              <w:ind w:right="108"/>
              <w:spacing w:after="0"/>
              <w:rPr>
                <w:sz w:val="20"/>
                <w:szCs w:val="20"/>
                <w:color w:val="auto"/>
              </w:rPr>
            </w:pPr>
            <w:r>
              <w:rPr>
                <w:rFonts w:ascii="Arial" w:cs="Arial" w:eastAsia="Arial" w:hAnsi="Arial"/>
                <w:sz w:val="14"/>
                <w:szCs w:val="14"/>
                <w:b w:val="1"/>
                <w:bCs w:val="1"/>
                <w:color w:val="FFFFFF"/>
              </w:rPr>
              <w:t>Change in Pension</w:t>
            </w:r>
          </w:p>
        </w:tc>
        <w:tc>
          <w:tcPr>
            <w:tcW w:w="1320" w:type="dxa"/>
            <w:vAlign w:val="bottom"/>
            <w:shd w:val="clear" w:color="auto" w:fill="132440"/>
          </w:tcPr>
          <w:p>
            <w:pPr>
              <w:spacing w:after="0"/>
              <w:rPr>
                <w:sz w:val="16"/>
                <w:szCs w:val="16"/>
                <w:color w:val="auto"/>
              </w:rPr>
            </w:pPr>
          </w:p>
        </w:tc>
        <w:tc>
          <w:tcPr>
            <w:tcW w:w="1060" w:type="dxa"/>
            <w:vAlign w:val="bottom"/>
            <w:shd w:val="clear" w:color="auto" w:fill="298655"/>
          </w:tcPr>
          <w:p>
            <w:pPr>
              <w:spacing w:after="0"/>
              <w:rPr>
                <w:sz w:val="16"/>
                <w:szCs w:val="16"/>
                <w:color w:val="auto"/>
              </w:rPr>
            </w:pPr>
          </w:p>
        </w:tc>
        <w:tc>
          <w:tcPr>
            <w:tcW w:w="100" w:type="dxa"/>
            <w:vAlign w:val="bottom"/>
            <w:shd w:val="clear" w:color="auto" w:fill="298655"/>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132440"/>
          </w:tcPr>
          <w:p>
            <w:pPr>
              <w:spacing w:after="0"/>
              <w:rPr>
                <w:sz w:val="15"/>
                <w:szCs w:val="15"/>
                <w:color w:val="auto"/>
              </w:rPr>
            </w:pPr>
          </w:p>
        </w:tc>
        <w:tc>
          <w:tcPr>
            <w:tcW w:w="500" w:type="dxa"/>
            <w:vAlign w:val="bottom"/>
            <w:shd w:val="clear" w:color="auto" w:fill="132440"/>
          </w:tcPr>
          <w:p>
            <w:pPr>
              <w:spacing w:after="0"/>
              <w:rPr>
                <w:sz w:val="15"/>
                <w:szCs w:val="15"/>
                <w:color w:val="auto"/>
              </w:rPr>
            </w:pPr>
          </w:p>
        </w:tc>
        <w:tc>
          <w:tcPr>
            <w:tcW w:w="880" w:type="dxa"/>
            <w:vAlign w:val="bottom"/>
            <w:shd w:val="clear" w:color="auto" w:fill="132440"/>
          </w:tcPr>
          <w:p>
            <w:pPr>
              <w:spacing w:after="0"/>
              <w:rPr>
                <w:sz w:val="15"/>
                <w:szCs w:val="15"/>
                <w:color w:val="auto"/>
              </w:rPr>
            </w:pPr>
          </w:p>
        </w:tc>
        <w:tc>
          <w:tcPr>
            <w:tcW w:w="1180" w:type="dxa"/>
            <w:vAlign w:val="bottom"/>
            <w:shd w:val="clear" w:color="auto" w:fill="132440"/>
          </w:tcPr>
          <w:p>
            <w:pPr>
              <w:spacing w:after="0"/>
              <w:rPr>
                <w:sz w:val="15"/>
                <w:szCs w:val="15"/>
                <w:color w:val="auto"/>
              </w:rPr>
            </w:pPr>
          </w:p>
        </w:tc>
        <w:tc>
          <w:tcPr>
            <w:tcW w:w="700" w:type="dxa"/>
            <w:vAlign w:val="bottom"/>
            <w:shd w:val="clear" w:color="auto" w:fill="132440"/>
          </w:tcPr>
          <w:p>
            <w:pPr>
              <w:spacing w:after="0"/>
              <w:rPr>
                <w:sz w:val="15"/>
                <w:szCs w:val="15"/>
                <w:color w:val="auto"/>
              </w:rPr>
            </w:pPr>
          </w:p>
        </w:tc>
        <w:tc>
          <w:tcPr>
            <w:tcW w:w="3340" w:type="dxa"/>
            <w:vAlign w:val="bottom"/>
            <w:gridSpan w:val="2"/>
            <w:shd w:val="clear" w:color="auto" w:fill="132440"/>
          </w:tcPr>
          <w:p>
            <w:pPr>
              <w:jc w:val="right"/>
              <w:ind w:right="108"/>
              <w:spacing w:after="0"/>
              <w:rPr>
                <w:sz w:val="20"/>
                <w:szCs w:val="20"/>
                <w:color w:val="auto"/>
              </w:rPr>
            </w:pPr>
            <w:r>
              <w:rPr>
                <w:rFonts w:ascii="Arial" w:cs="Arial" w:eastAsia="Arial" w:hAnsi="Arial"/>
                <w:sz w:val="14"/>
                <w:szCs w:val="14"/>
                <w:b w:val="1"/>
                <w:bCs w:val="1"/>
                <w:color w:val="FFFFFF"/>
              </w:rPr>
              <w:t>Non-Equity Incentive Value and Non-Qualified</w:t>
            </w:r>
          </w:p>
        </w:tc>
        <w:tc>
          <w:tcPr>
            <w:tcW w:w="1320" w:type="dxa"/>
            <w:vAlign w:val="bottom"/>
            <w:shd w:val="clear" w:color="auto" w:fill="132440"/>
          </w:tcPr>
          <w:p>
            <w:pPr>
              <w:spacing w:after="0"/>
              <w:rPr>
                <w:sz w:val="15"/>
                <w:szCs w:val="15"/>
                <w:color w:val="auto"/>
              </w:rPr>
            </w:pPr>
          </w:p>
        </w:tc>
        <w:tc>
          <w:tcPr>
            <w:tcW w:w="1060" w:type="dxa"/>
            <w:vAlign w:val="bottom"/>
            <w:shd w:val="clear" w:color="auto" w:fill="298655"/>
          </w:tcPr>
          <w:p>
            <w:pPr>
              <w:spacing w:after="0"/>
              <w:rPr>
                <w:sz w:val="15"/>
                <w:szCs w:val="15"/>
                <w:color w:val="auto"/>
              </w:rPr>
            </w:pPr>
          </w:p>
        </w:tc>
        <w:tc>
          <w:tcPr>
            <w:tcW w:w="100" w:type="dxa"/>
            <w:vAlign w:val="bottom"/>
            <w:shd w:val="clear" w:color="auto" w:fill="29865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160" w:type="dxa"/>
            <w:vAlign w:val="bottom"/>
            <w:shd w:val="clear" w:color="auto" w:fill="132440"/>
          </w:tcPr>
          <w:p>
            <w:pPr>
              <w:spacing w:after="0"/>
              <w:rPr>
                <w:sz w:val="15"/>
                <w:szCs w:val="15"/>
                <w:color w:val="auto"/>
              </w:rPr>
            </w:pPr>
          </w:p>
        </w:tc>
        <w:tc>
          <w:tcPr>
            <w:tcW w:w="500" w:type="dxa"/>
            <w:vAlign w:val="bottom"/>
            <w:shd w:val="clear" w:color="auto" w:fill="132440"/>
          </w:tcPr>
          <w:p>
            <w:pPr>
              <w:spacing w:after="0"/>
              <w:rPr>
                <w:sz w:val="15"/>
                <w:szCs w:val="15"/>
                <w:color w:val="auto"/>
              </w:rPr>
            </w:pPr>
          </w:p>
        </w:tc>
        <w:tc>
          <w:tcPr>
            <w:tcW w:w="880" w:type="dxa"/>
            <w:vAlign w:val="bottom"/>
            <w:vMerge w:val="restart"/>
            <w:shd w:val="clear" w:color="auto" w:fill="132440"/>
          </w:tcPr>
          <w:p>
            <w:pPr>
              <w:jc w:val="right"/>
              <w:spacing w:after="0"/>
              <w:rPr>
                <w:sz w:val="20"/>
                <w:szCs w:val="20"/>
                <w:color w:val="auto"/>
              </w:rPr>
            </w:pPr>
            <w:r>
              <w:rPr>
                <w:rFonts w:ascii="Arial" w:cs="Arial" w:eastAsia="Arial" w:hAnsi="Arial"/>
                <w:sz w:val="14"/>
                <w:szCs w:val="14"/>
                <w:b w:val="1"/>
                <w:bCs w:val="1"/>
                <w:color w:val="FFFFFF"/>
              </w:rPr>
              <w:t>Salary</w:t>
            </w:r>
            <w:r>
              <w:rPr>
                <w:rFonts w:ascii="Arial" w:cs="Arial" w:eastAsia="Arial" w:hAnsi="Arial"/>
                <w:sz w:val="9"/>
                <w:szCs w:val="9"/>
                <w:b w:val="1"/>
                <w:bCs w:val="1"/>
                <w:color w:val="FFFFFF"/>
              </w:rPr>
              <w:t>(1)</w:t>
            </w:r>
          </w:p>
        </w:tc>
        <w:tc>
          <w:tcPr>
            <w:tcW w:w="1180" w:type="dxa"/>
            <w:vAlign w:val="bottom"/>
            <w:shd w:val="clear" w:color="auto" w:fill="132440"/>
          </w:tcPr>
          <w:p>
            <w:pPr>
              <w:jc w:val="right"/>
              <w:ind w:right="88"/>
              <w:spacing w:after="0"/>
              <w:rPr>
                <w:sz w:val="20"/>
                <w:szCs w:val="20"/>
                <w:color w:val="auto"/>
              </w:rPr>
            </w:pPr>
            <w:r>
              <w:rPr>
                <w:rFonts w:ascii="Arial" w:cs="Arial" w:eastAsia="Arial" w:hAnsi="Arial"/>
                <w:sz w:val="14"/>
                <w:szCs w:val="14"/>
                <w:b w:val="1"/>
                <w:bCs w:val="1"/>
                <w:color w:val="FFFFFF"/>
              </w:rPr>
              <w:t>Stock</w:t>
            </w:r>
          </w:p>
        </w:tc>
        <w:tc>
          <w:tcPr>
            <w:tcW w:w="70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Option</w:t>
            </w:r>
          </w:p>
        </w:tc>
        <w:tc>
          <w:tcPr>
            <w:tcW w:w="3340" w:type="dxa"/>
            <w:vAlign w:val="bottom"/>
            <w:gridSpan w:val="2"/>
            <w:shd w:val="clear" w:color="auto" w:fill="132440"/>
          </w:tcPr>
          <w:p>
            <w:pPr>
              <w:jc w:val="right"/>
              <w:ind w:right="108"/>
              <w:spacing w:after="0"/>
              <w:rPr>
                <w:sz w:val="20"/>
                <w:szCs w:val="20"/>
                <w:color w:val="auto"/>
              </w:rPr>
            </w:pPr>
            <w:r>
              <w:rPr>
                <w:rFonts w:ascii="Arial" w:cs="Arial" w:eastAsia="Arial" w:hAnsi="Arial"/>
                <w:sz w:val="14"/>
                <w:szCs w:val="14"/>
                <w:b w:val="1"/>
                <w:bCs w:val="1"/>
                <w:color w:val="FFFFFF"/>
              </w:rPr>
              <w:t>Plan Deferred Compensation</w:t>
            </w:r>
          </w:p>
        </w:tc>
        <w:tc>
          <w:tcPr>
            <w:tcW w:w="132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All Other</w:t>
            </w:r>
          </w:p>
        </w:tc>
        <w:tc>
          <w:tcPr>
            <w:tcW w:w="1160" w:type="dxa"/>
            <w:vAlign w:val="bottom"/>
            <w:gridSpan w:val="2"/>
            <w:vMerge w:val="restart"/>
            <w:shd w:val="clear" w:color="auto" w:fill="298655"/>
          </w:tcPr>
          <w:p>
            <w:pPr>
              <w:ind w:left="72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4"/>
        </w:trPr>
        <w:tc>
          <w:tcPr>
            <w:tcW w:w="2160" w:type="dxa"/>
            <w:vAlign w:val="bottom"/>
            <w:shd w:val="clear" w:color="auto" w:fill="132440"/>
          </w:tcPr>
          <w:p>
            <w:pPr>
              <w:spacing w:after="0"/>
              <w:rPr>
                <w:sz w:val="14"/>
                <w:szCs w:val="14"/>
                <w:color w:val="auto"/>
              </w:rPr>
            </w:pPr>
          </w:p>
        </w:tc>
        <w:tc>
          <w:tcPr>
            <w:tcW w:w="500" w:type="dxa"/>
            <w:vAlign w:val="bottom"/>
            <w:shd w:val="clear" w:color="auto" w:fill="132440"/>
          </w:tcPr>
          <w:p>
            <w:pPr>
              <w:spacing w:after="0"/>
              <w:rPr>
                <w:sz w:val="14"/>
                <w:szCs w:val="14"/>
                <w:color w:val="auto"/>
              </w:rPr>
            </w:pPr>
          </w:p>
        </w:tc>
        <w:tc>
          <w:tcPr>
            <w:tcW w:w="880" w:type="dxa"/>
            <w:vAlign w:val="bottom"/>
            <w:vMerge w:val="continue"/>
            <w:shd w:val="clear" w:color="auto" w:fill="132440"/>
          </w:tcPr>
          <w:p>
            <w:pPr>
              <w:spacing w:after="0"/>
              <w:rPr>
                <w:sz w:val="14"/>
                <w:szCs w:val="14"/>
                <w:color w:val="auto"/>
              </w:rPr>
            </w:pPr>
          </w:p>
        </w:tc>
        <w:tc>
          <w:tcPr>
            <w:tcW w:w="1180" w:type="dxa"/>
            <w:vAlign w:val="bottom"/>
            <w:shd w:val="clear" w:color="auto" w:fill="132440"/>
          </w:tcPr>
          <w:p>
            <w:pPr>
              <w:jc w:val="right"/>
              <w:ind w:right="88"/>
              <w:spacing w:after="0" w:line="164"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(2)(3)</w:t>
            </w:r>
          </w:p>
        </w:tc>
        <w:tc>
          <w:tcPr>
            <w:tcW w:w="70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Awards</w:t>
            </w:r>
          </w:p>
        </w:tc>
        <w:tc>
          <w:tcPr>
            <w:tcW w:w="1660" w:type="dxa"/>
            <w:vAlign w:val="bottom"/>
            <w:shd w:val="clear" w:color="auto" w:fill="132440"/>
          </w:tcPr>
          <w:p>
            <w:pPr>
              <w:jc w:val="right"/>
              <w:ind w:right="128"/>
              <w:spacing w:after="0" w:line="164"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18"/>
                <w:szCs w:val="18"/>
                <w:b w:val="1"/>
                <w:bCs w:val="1"/>
                <w:color w:val="FFFFFF"/>
                <w:vertAlign w:val="superscript"/>
              </w:rPr>
              <w:t>(4)</w:t>
            </w:r>
          </w:p>
        </w:tc>
        <w:tc>
          <w:tcPr>
            <w:tcW w:w="1680" w:type="dxa"/>
            <w:vAlign w:val="bottom"/>
            <w:shd w:val="clear" w:color="auto" w:fill="132440"/>
          </w:tcPr>
          <w:p>
            <w:pPr>
              <w:jc w:val="right"/>
              <w:ind w:right="108"/>
              <w:spacing w:after="0" w:line="164" w:lineRule="exact"/>
              <w:rPr>
                <w:sz w:val="20"/>
                <w:szCs w:val="20"/>
                <w:color w:val="auto"/>
              </w:rPr>
            </w:pPr>
            <w:r>
              <w:rPr>
                <w:rFonts w:ascii="Arial" w:cs="Arial" w:eastAsia="Arial" w:hAnsi="Arial"/>
                <w:sz w:val="14"/>
                <w:szCs w:val="14"/>
                <w:b w:val="1"/>
                <w:bCs w:val="1"/>
                <w:color w:val="FFFFFF"/>
              </w:rPr>
              <w:t>Earnings</w:t>
            </w:r>
            <w:r>
              <w:rPr>
                <w:rFonts w:ascii="Arial" w:cs="Arial" w:eastAsia="Arial" w:hAnsi="Arial"/>
                <w:sz w:val="18"/>
                <w:szCs w:val="18"/>
                <w:b w:val="1"/>
                <w:bCs w:val="1"/>
                <w:color w:val="FFFFFF"/>
                <w:vertAlign w:val="superscript"/>
              </w:rPr>
              <w:t>(5)</w:t>
            </w:r>
          </w:p>
        </w:tc>
        <w:tc>
          <w:tcPr>
            <w:tcW w:w="1320" w:type="dxa"/>
            <w:vAlign w:val="bottom"/>
            <w:shd w:val="clear" w:color="auto" w:fill="132440"/>
          </w:tcPr>
          <w:p>
            <w:pPr>
              <w:jc w:val="right"/>
              <w:spacing w:after="0" w:line="164"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18"/>
                <w:szCs w:val="18"/>
                <w:b w:val="1"/>
                <w:bCs w:val="1"/>
                <w:color w:val="FFFFFF"/>
                <w:vertAlign w:val="superscript"/>
              </w:rPr>
              <w:t>(6)</w:t>
            </w:r>
          </w:p>
        </w:tc>
        <w:tc>
          <w:tcPr>
            <w:tcW w:w="1160" w:type="dxa"/>
            <w:vAlign w:val="bottom"/>
            <w:gridSpan w:val="2"/>
            <w:vMerge w:val="continue"/>
            <w:shd w:val="clear" w:color="auto" w:fill="298655"/>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Name and Principal Position</w:t>
            </w:r>
          </w:p>
        </w:tc>
        <w:tc>
          <w:tcPr>
            <w:tcW w:w="50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Year</w:t>
            </w:r>
          </w:p>
        </w:tc>
        <w:tc>
          <w:tcPr>
            <w:tcW w:w="88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132440"/>
          </w:tcPr>
          <w:p>
            <w:pPr>
              <w:jc w:val="right"/>
              <w:ind w:right="88"/>
              <w:spacing w:after="0"/>
              <w:rPr>
                <w:sz w:val="20"/>
                <w:szCs w:val="20"/>
                <w:color w:val="auto"/>
              </w:rPr>
            </w:pPr>
            <w:r>
              <w:rPr>
                <w:rFonts w:ascii="Arial" w:cs="Arial" w:eastAsia="Arial" w:hAnsi="Arial"/>
                <w:sz w:val="14"/>
                <w:szCs w:val="14"/>
                <w:b w:val="1"/>
                <w:bCs w:val="1"/>
                <w:color w:val="FFFFFF"/>
              </w:rPr>
              <w:t>($)</w:t>
            </w:r>
          </w:p>
        </w:tc>
        <w:tc>
          <w:tcPr>
            <w:tcW w:w="70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132440"/>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132440"/>
          </w:tcPr>
          <w:p>
            <w:pPr>
              <w:jc w:val="right"/>
              <w:ind w:right="108"/>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298655"/>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29865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60" w:type="dxa"/>
            <w:vAlign w:val="bottom"/>
            <w:vMerge w:val="restart"/>
            <w:shd w:val="clear" w:color="auto" w:fill="EAEEF2"/>
          </w:tcPr>
          <w:p>
            <w:pPr>
              <w:ind w:left="100"/>
              <w:spacing w:after="0"/>
              <w:rPr>
                <w:sz w:val="20"/>
                <w:szCs w:val="20"/>
                <w:color w:val="auto"/>
              </w:rPr>
            </w:pPr>
            <w:r>
              <w:rPr>
                <w:rFonts w:ascii="Arial" w:cs="Arial" w:eastAsia="Arial" w:hAnsi="Arial"/>
                <w:sz w:val="14"/>
                <w:szCs w:val="14"/>
                <w:b w:val="1"/>
                <w:bCs w:val="1"/>
                <w:color w:val="4D4D4F"/>
              </w:rPr>
              <w:t>Michael J. Kasbar</w:t>
            </w:r>
          </w:p>
        </w:tc>
        <w:tc>
          <w:tcPr>
            <w:tcW w:w="50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2023</w:t>
            </w:r>
          </w:p>
        </w:tc>
        <w:tc>
          <w:tcPr>
            <w:tcW w:w="880" w:type="dxa"/>
            <w:vAlign w:val="bottom"/>
            <w:shd w:val="clear" w:color="auto" w:fill="EAEEF2"/>
          </w:tcPr>
          <w:p>
            <w:pPr>
              <w:jc w:val="right"/>
              <w:ind w:right="8"/>
              <w:spacing w:after="0"/>
              <w:rPr>
                <w:sz w:val="20"/>
                <w:szCs w:val="20"/>
                <w:color w:val="auto"/>
              </w:rPr>
            </w:pPr>
            <w:r>
              <w:rPr>
                <w:rFonts w:ascii="Arial" w:cs="Arial" w:eastAsia="Arial" w:hAnsi="Arial"/>
                <w:sz w:val="14"/>
                <w:szCs w:val="14"/>
                <w:color w:val="4D4D4F"/>
              </w:rPr>
              <w:t>1,000,000</w:t>
            </w:r>
          </w:p>
        </w:tc>
        <w:tc>
          <w:tcPr>
            <w:tcW w:w="1180" w:type="dxa"/>
            <w:vAlign w:val="bottom"/>
            <w:shd w:val="clear" w:color="auto" w:fill="EAEEF2"/>
          </w:tcPr>
          <w:p>
            <w:pPr>
              <w:jc w:val="right"/>
              <w:ind w:right="148"/>
              <w:spacing w:after="0"/>
              <w:rPr>
                <w:sz w:val="20"/>
                <w:szCs w:val="20"/>
                <w:color w:val="auto"/>
              </w:rPr>
            </w:pPr>
            <w:r>
              <w:rPr>
                <w:rFonts w:ascii="Arial" w:cs="Arial" w:eastAsia="Arial" w:hAnsi="Arial"/>
                <w:sz w:val="14"/>
                <w:szCs w:val="14"/>
                <w:color w:val="4D4D4F"/>
              </w:rPr>
              <w:t>4,500,008</w:t>
            </w:r>
          </w:p>
        </w:tc>
        <w:tc>
          <w:tcPr>
            <w:tcW w:w="700" w:type="dxa"/>
            <w:vAlign w:val="bottom"/>
            <w:shd w:val="clear" w:color="auto" w:fill="EAEEF2"/>
          </w:tcPr>
          <w:p>
            <w:pPr>
              <w:jc w:val="right"/>
              <w:spacing w:after="0"/>
              <w:rPr>
                <w:sz w:val="20"/>
                <w:szCs w:val="20"/>
                <w:color w:val="auto"/>
              </w:rPr>
            </w:pPr>
            <w:r>
              <w:rPr>
                <w:rFonts w:ascii="Arial" w:cs="Arial" w:eastAsia="Arial" w:hAnsi="Arial"/>
                <w:sz w:val="14"/>
                <w:szCs w:val="14"/>
                <w:color w:val="4D4D4F"/>
              </w:rPr>
              <w:t>—</w:t>
            </w:r>
          </w:p>
        </w:tc>
        <w:tc>
          <w:tcPr>
            <w:tcW w:w="1660" w:type="dxa"/>
            <w:vAlign w:val="bottom"/>
            <w:shd w:val="clear" w:color="auto" w:fill="EAEEF2"/>
          </w:tcPr>
          <w:p>
            <w:pPr>
              <w:jc w:val="right"/>
              <w:ind w:right="188"/>
              <w:spacing w:after="0"/>
              <w:rPr>
                <w:sz w:val="20"/>
                <w:szCs w:val="20"/>
                <w:color w:val="auto"/>
              </w:rPr>
            </w:pPr>
            <w:r>
              <w:rPr>
                <w:rFonts w:ascii="Arial" w:cs="Arial" w:eastAsia="Arial" w:hAnsi="Arial"/>
                <w:sz w:val="14"/>
                <w:szCs w:val="14"/>
                <w:color w:val="4D4D4F"/>
              </w:rPr>
              <w:t>1,250,000</w:t>
            </w:r>
          </w:p>
        </w:tc>
        <w:tc>
          <w:tcPr>
            <w:tcW w:w="1680" w:type="dxa"/>
            <w:vAlign w:val="bottom"/>
            <w:shd w:val="clear" w:color="auto" w:fill="EAEEF2"/>
          </w:tcPr>
          <w:p>
            <w:pPr>
              <w:jc w:val="right"/>
              <w:ind w:right="148"/>
              <w:spacing w:after="0"/>
              <w:rPr>
                <w:sz w:val="20"/>
                <w:szCs w:val="20"/>
                <w:color w:val="auto"/>
              </w:rPr>
            </w:pPr>
            <w:r>
              <w:rPr>
                <w:rFonts w:ascii="Arial" w:cs="Arial" w:eastAsia="Arial" w:hAnsi="Arial"/>
                <w:sz w:val="14"/>
                <w:szCs w:val="14"/>
                <w:color w:val="4D4D4F"/>
              </w:rPr>
              <w:t>9,428</w:t>
            </w:r>
          </w:p>
        </w:tc>
        <w:tc>
          <w:tcPr>
            <w:tcW w:w="1320" w:type="dxa"/>
            <w:vAlign w:val="bottom"/>
            <w:shd w:val="clear" w:color="auto" w:fill="EAEEF2"/>
          </w:tcPr>
          <w:p>
            <w:pPr>
              <w:jc w:val="right"/>
              <w:spacing w:after="0"/>
              <w:rPr>
                <w:sz w:val="20"/>
                <w:szCs w:val="20"/>
                <w:color w:val="auto"/>
              </w:rPr>
            </w:pPr>
            <w:r>
              <w:rPr>
                <w:rFonts w:ascii="Arial" w:cs="Arial" w:eastAsia="Arial" w:hAnsi="Arial"/>
                <w:sz w:val="14"/>
                <w:szCs w:val="14"/>
                <w:color w:val="4D4D4F"/>
              </w:rPr>
              <w:t>42,807</w:t>
            </w:r>
          </w:p>
        </w:tc>
        <w:tc>
          <w:tcPr>
            <w:tcW w:w="1060" w:type="dxa"/>
            <w:vAlign w:val="bottom"/>
            <w:shd w:val="clear" w:color="auto" w:fill="DFEDE5"/>
          </w:tcPr>
          <w:p>
            <w:pPr>
              <w:jc w:val="right"/>
              <w:spacing w:after="0"/>
              <w:rPr>
                <w:sz w:val="20"/>
                <w:szCs w:val="20"/>
                <w:color w:val="auto"/>
              </w:rPr>
            </w:pPr>
            <w:r>
              <w:rPr>
                <w:rFonts w:ascii="Arial" w:cs="Arial" w:eastAsia="Arial" w:hAnsi="Arial"/>
                <w:sz w:val="14"/>
                <w:szCs w:val="14"/>
                <w:color w:val="4D4D4F"/>
              </w:rPr>
              <w:t>6,802,243</w:t>
            </w:r>
          </w:p>
        </w:tc>
        <w:tc>
          <w:tcPr>
            <w:tcW w:w="100" w:type="dxa"/>
            <w:vAlign w:val="bottom"/>
            <w:shd w:val="clear" w:color="auto" w:fill="DFEDE5"/>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160" w:type="dxa"/>
            <w:vAlign w:val="bottom"/>
            <w:vMerge w:val="continue"/>
            <w:shd w:val="clear" w:color="auto" w:fill="EAEEF2"/>
          </w:tcPr>
          <w:p>
            <w:pPr>
              <w:spacing w:after="0"/>
              <w:rPr>
                <w:sz w:val="4"/>
                <w:szCs w:val="4"/>
                <w:color w:val="auto"/>
              </w:rPr>
            </w:pPr>
          </w:p>
        </w:tc>
        <w:tc>
          <w:tcPr>
            <w:tcW w:w="500" w:type="dxa"/>
            <w:vAlign w:val="bottom"/>
            <w:shd w:val="clear" w:color="auto" w:fill="EAEEF2"/>
          </w:tcPr>
          <w:p>
            <w:pPr>
              <w:spacing w:after="0"/>
              <w:rPr>
                <w:sz w:val="4"/>
                <w:szCs w:val="4"/>
                <w:color w:val="auto"/>
              </w:rPr>
            </w:pPr>
          </w:p>
        </w:tc>
        <w:tc>
          <w:tcPr>
            <w:tcW w:w="880" w:type="dxa"/>
            <w:vAlign w:val="bottom"/>
            <w:shd w:val="clear" w:color="auto" w:fill="EAEEF2"/>
          </w:tcPr>
          <w:p>
            <w:pPr>
              <w:spacing w:after="0"/>
              <w:rPr>
                <w:sz w:val="4"/>
                <w:szCs w:val="4"/>
                <w:color w:val="auto"/>
              </w:rPr>
            </w:pPr>
          </w:p>
        </w:tc>
        <w:tc>
          <w:tcPr>
            <w:tcW w:w="1180" w:type="dxa"/>
            <w:vAlign w:val="bottom"/>
            <w:shd w:val="clear" w:color="auto" w:fill="EAEEF2"/>
          </w:tcPr>
          <w:p>
            <w:pPr>
              <w:spacing w:after="0"/>
              <w:rPr>
                <w:sz w:val="4"/>
                <w:szCs w:val="4"/>
                <w:color w:val="auto"/>
              </w:rPr>
            </w:pPr>
          </w:p>
        </w:tc>
        <w:tc>
          <w:tcPr>
            <w:tcW w:w="700" w:type="dxa"/>
            <w:vAlign w:val="bottom"/>
            <w:shd w:val="clear" w:color="auto" w:fill="EAEEF2"/>
          </w:tcPr>
          <w:p>
            <w:pPr>
              <w:spacing w:after="0"/>
              <w:rPr>
                <w:sz w:val="4"/>
                <w:szCs w:val="4"/>
                <w:color w:val="auto"/>
              </w:rPr>
            </w:pPr>
          </w:p>
        </w:tc>
        <w:tc>
          <w:tcPr>
            <w:tcW w:w="1660" w:type="dxa"/>
            <w:vAlign w:val="bottom"/>
            <w:shd w:val="clear" w:color="auto" w:fill="EAEEF2"/>
          </w:tcPr>
          <w:p>
            <w:pPr>
              <w:spacing w:after="0"/>
              <w:rPr>
                <w:sz w:val="4"/>
                <w:szCs w:val="4"/>
                <w:color w:val="auto"/>
              </w:rPr>
            </w:pPr>
          </w:p>
        </w:tc>
        <w:tc>
          <w:tcPr>
            <w:tcW w:w="1680" w:type="dxa"/>
            <w:vAlign w:val="bottom"/>
            <w:shd w:val="clear" w:color="auto" w:fill="EAEEF2"/>
          </w:tcPr>
          <w:p>
            <w:pPr>
              <w:spacing w:after="0"/>
              <w:rPr>
                <w:sz w:val="4"/>
                <w:szCs w:val="4"/>
                <w:color w:val="auto"/>
              </w:rPr>
            </w:pPr>
          </w:p>
        </w:tc>
        <w:tc>
          <w:tcPr>
            <w:tcW w:w="1320" w:type="dxa"/>
            <w:vAlign w:val="bottom"/>
            <w:shd w:val="clear" w:color="auto" w:fill="EAEEF2"/>
          </w:tcPr>
          <w:p>
            <w:pPr>
              <w:spacing w:after="0"/>
              <w:rPr>
                <w:sz w:val="4"/>
                <w:szCs w:val="4"/>
                <w:color w:val="auto"/>
              </w:rPr>
            </w:pPr>
          </w:p>
        </w:tc>
        <w:tc>
          <w:tcPr>
            <w:tcW w:w="1060" w:type="dxa"/>
            <w:vAlign w:val="bottom"/>
            <w:shd w:val="clear" w:color="auto" w:fill="DFEDE5"/>
          </w:tcPr>
          <w:p>
            <w:pPr>
              <w:spacing w:after="0"/>
              <w:rPr>
                <w:sz w:val="4"/>
                <w:szCs w:val="4"/>
                <w:color w:val="auto"/>
              </w:rPr>
            </w:pPr>
          </w:p>
        </w:tc>
        <w:tc>
          <w:tcPr>
            <w:tcW w:w="100" w:type="dxa"/>
            <w:vAlign w:val="bottom"/>
            <w:shd w:val="clear" w:color="auto" w:fill="DFEDE5"/>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Chairman, President and Chief</w:t>
            </w:r>
          </w:p>
        </w:tc>
        <w:tc>
          <w:tcPr>
            <w:tcW w:w="50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2022</w:t>
            </w:r>
          </w:p>
        </w:tc>
        <w:tc>
          <w:tcPr>
            <w:tcW w:w="880" w:type="dxa"/>
            <w:vAlign w:val="bottom"/>
            <w:shd w:val="clear" w:color="auto" w:fill="EAEEF2"/>
          </w:tcPr>
          <w:p>
            <w:pPr>
              <w:jc w:val="right"/>
              <w:spacing w:after="0"/>
              <w:rPr>
                <w:sz w:val="20"/>
                <w:szCs w:val="20"/>
                <w:color w:val="auto"/>
              </w:rPr>
            </w:pPr>
            <w:r>
              <w:rPr>
                <w:rFonts w:ascii="Arial" w:cs="Arial" w:eastAsia="Arial" w:hAnsi="Arial"/>
                <w:sz w:val="14"/>
                <w:szCs w:val="14"/>
                <w:color w:val="4D4D4F"/>
              </w:rPr>
              <w:t>979,167</w:t>
            </w:r>
          </w:p>
        </w:tc>
        <w:tc>
          <w:tcPr>
            <w:tcW w:w="1180" w:type="dxa"/>
            <w:vAlign w:val="bottom"/>
            <w:shd w:val="clear" w:color="auto" w:fill="EAEEF2"/>
          </w:tcPr>
          <w:p>
            <w:pPr>
              <w:jc w:val="right"/>
              <w:ind w:right="88"/>
              <w:spacing w:after="0"/>
              <w:rPr>
                <w:sz w:val="20"/>
                <w:szCs w:val="20"/>
                <w:color w:val="auto"/>
              </w:rPr>
            </w:pPr>
            <w:r>
              <w:rPr>
                <w:rFonts w:ascii="Arial" w:cs="Arial" w:eastAsia="Arial" w:hAnsi="Arial"/>
                <w:sz w:val="14"/>
                <w:szCs w:val="14"/>
                <w:color w:val="4D4D4F"/>
              </w:rPr>
              <w:t>11,560,815</w:t>
            </w:r>
          </w:p>
        </w:tc>
        <w:tc>
          <w:tcPr>
            <w:tcW w:w="700" w:type="dxa"/>
            <w:vAlign w:val="bottom"/>
            <w:shd w:val="clear" w:color="auto" w:fill="EAEEF2"/>
          </w:tcPr>
          <w:p>
            <w:pPr>
              <w:jc w:val="right"/>
              <w:spacing w:after="0"/>
              <w:rPr>
                <w:sz w:val="20"/>
                <w:szCs w:val="20"/>
                <w:color w:val="auto"/>
              </w:rPr>
            </w:pPr>
            <w:r>
              <w:rPr>
                <w:rFonts w:ascii="Arial" w:cs="Arial" w:eastAsia="Arial" w:hAnsi="Arial"/>
                <w:sz w:val="14"/>
                <w:szCs w:val="14"/>
                <w:color w:val="4D4D4F"/>
              </w:rPr>
              <w:t>—</w:t>
            </w:r>
          </w:p>
        </w:tc>
        <w:tc>
          <w:tcPr>
            <w:tcW w:w="1660" w:type="dxa"/>
            <w:vAlign w:val="bottom"/>
            <w:shd w:val="clear" w:color="auto" w:fill="EAEEF2"/>
          </w:tcPr>
          <w:p>
            <w:pPr>
              <w:jc w:val="right"/>
              <w:ind w:right="128"/>
              <w:spacing w:after="0"/>
              <w:rPr>
                <w:sz w:val="20"/>
                <w:szCs w:val="20"/>
                <w:color w:val="auto"/>
              </w:rPr>
            </w:pPr>
            <w:r>
              <w:rPr>
                <w:rFonts w:ascii="Arial" w:cs="Arial" w:eastAsia="Arial" w:hAnsi="Arial"/>
                <w:sz w:val="14"/>
                <w:szCs w:val="14"/>
                <w:color w:val="4D4D4F"/>
              </w:rPr>
              <w:t>2,625,000</w:t>
            </w:r>
          </w:p>
        </w:tc>
        <w:tc>
          <w:tcPr>
            <w:tcW w:w="1680" w:type="dxa"/>
            <w:vAlign w:val="bottom"/>
            <w:shd w:val="clear" w:color="auto" w:fill="EAEEF2"/>
          </w:tcPr>
          <w:p>
            <w:pPr>
              <w:jc w:val="right"/>
              <w:ind w:right="108"/>
              <w:spacing w:after="0"/>
              <w:rPr>
                <w:sz w:val="20"/>
                <w:szCs w:val="20"/>
                <w:color w:val="auto"/>
              </w:rPr>
            </w:pPr>
            <w:r>
              <w:rPr>
                <w:rFonts w:ascii="Arial" w:cs="Arial" w:eastAsia="Arial" w:hAnsi="Arial"/>
                <w:sz w:val="14"/>
                <w:szCs w:val="14"/>
                <w:color w:val="4D4D4F"/>
              </w:rPr>
              <w:t>3,497</w:t>
            </w:r>
          </w:p>
        </w:tc>
        <w:tc>
          <w:tcPr>
            <w:tcW w:w="1320" w:type="dxa"/>
            <w:vAlign w:val="bottom"/>
            <w:shd w:val="clear" w:color="auto" w:fill="EAEEF2"/>
          </w:tcPr>
          <w:p>
            <w:pPr>
              <w:jc w:val="right"/>
              <w:spacing w:after="0"/>
              <w:rPr>
                <w:sz w:val="20"/>
                <w:szCs w:val="20"/>
                <w:color w:val="auto"/>
              </w:rPr>
            </w:pPr>
            <w:r>
              <w:rPr>
                <w:rFonts w:ascii="Arial" w:cs="Arial" w:eastAsia="Arial" w:hAnsi="Arial"/>
                <w:sz w:val="14"/>
                <w:szCs w:val="14"/>
                <w:color w:val="4D4D4F"/>
              </w:rPr>
              <w:t>103,859</w:t>
            </w:r>
          </w:p>
        </w:tc>
        <w:tc>
          <w:tcPr>
            <w:tcW w:w="1060" w:type="dxa"/>
            <w:vAlign w:val="bottom"/>
            <w:shd w:val="clear" w:color="auto" w:fill="DFEDE5"/>
          </w:tcPr>
          <w:p>
            <w:pPr>
              <w:jc w:val="right"/>
              <w:spacing w:after="0"/>
              <w:rPr>
                <w:sz w:val="20"/>
                <w:szCs w:val="20"/>
                <w:color w:val="auto"/>
              </w:rPr>
            </w:pPr>
            <w:r>
              <w:rPr>
                <w:rFonts w:ascii="Arial" w:cs="Arial" w:eastAsia="Arial" w:hAnsi="Arial"/>
                <w:sz w:val="14"/>
                <w:szCs w:val="14"/>
                <w:color w:val="4D4D4F"/>
              </w:rPr>
              <w:t>15,272,338</w:t>
            </w:r>
          </w:p>
        </w:tc>
        <w:tc>
          <w:tcPr>
            <w:tcW w:w="100" w:type="dxa"/>
            <w:vAlign w:val="bottom"/>
            <w:shd w:val="clear" w:color="auto" w:fill="DFEDE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16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Executive Officer</w:t>
            </w:r>
          </w:p>
        </w:tc>
        <w:tc>
          <w:tcPr>
            <w:tcW w:w="50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2021</w:t>
            </w:r>
          </w:p>
        </w:tc>
        <w:tc>
          <w:tcPr>
            <w:tcW w:w="880" w:type="dxa"/>
            <w:vAlign w:val="bottom"/>
            <w:vMerge w:val="restart"/>
            <w:shd w:val="clear" w:color="auto" w:fill="EAEEF2"/>
          </w:tcPr>
          <w:p>
            <w:pPr>
              <w:jc w:val="right"/>
              <w:spacing w:after="0"/>
              <w:rPr>
                <w:sz w:val="20"/>
                <w:szCs w:val="20"/>
                <w:color w:val="auto"/>
              </w:rPr>
            </w:pPr>
            <w:r>
              <w:rPr>
                <w:rFonts w:ascii="Arial" w:cs="Arial" w:eastAsia="Arial" w:hAnsi="Arial"/>
                <w:sz w:val="14"/>
                <w:szCs w:val="14"/>
                <w:color w:val="4D4D4F"/>
              </w:rPr>
              <w:t>900,000</w:t>
            </w:r>
          </w:p>
        </w:tc>
        <w:tc>
          <w:tcPr>
            <w:tcW w:w="1180" w:type="dxa"/>
            <w:vAlign w:val="bottom"/>
            <w:vMerge w:val="restart"/>
            <w:shd w:val="clear" w:color="auto" w:fill="EAEEF2"/>
          </w:tcPr>
          <w:p>
            <w:pPr>
              <w:jc w:val="right"/>
              <w:ind w:right="88"/>
              <w:spacing w:after="0"/>
              <w:rPr>
                <w:sz w:val="20"/>
                <w:szCs w:val="20"/>
                <w:color w:val="auto"/>
              </w:rPr>
            </w:pPr>
            <w:r>
              <w:rPr>
                <w:rFonts w:ascii="Arial" w:cs="Arial" w:eastAsia="Arial" w:hAnsi="Arial"/>
                <w:sz w:val="14"/>
                <w:szCs w:val="14"/>
                <w:color w:val="4D4D4F"/>
              </w:rPr>
              <w:t>3,100,053</w:t>
            </w:r>
          </w:p>
        </w:tc>
        <w:tc>
          <w:tcPr>
            <w:tcW w:w="700" w:type="dxa"/>
            <w:vAlign w:val="bottom"/>
            <w:vMerge w:val="restart"/>
            <w:shd w:val="clear" w:color="auto" w:fill="EAEEF2"/>
          </w:tcPr>
          <w:p>
            <w:pPr>
              <w:jc w:val="right"/>
              <w:spacing w:after="0"/>
              <w:rPr>
                <w:sz w:val="20"/>
                <w:szCs w:val="20"/>
                <w:color w:val="auto"/>
              </w:rPr>
            </w:pPr>
            <w:r>
              <w:rPr>
                <w:rFonts w:ascii="Arial" w:cs="Arial" w:eastAsia="Arial" w:hAnsi="Arial"/>
                <w:sz w:val="14"/>
                <w:szCs w:val="14"/>
                <w:color w:val="4D4D4F"/>
              </w:rPr>
              <w:t>—</w:t>
            </w:r>
          </w:p>
        </w:tc>
        <w:tc>
          <w:tcPr>
            <w:tcW w:w="1660" w:type="dxa"/>
            <w:vAlign w:val="bottom"/>
            <w:vMerge w:val="restart"/>
            <w:shd w:val="clear" w:color="auto" w:fill="EAEEF2"/>
          </w:tcPr>
          <w:p>
            <w:pPr>
              <w:jc w:val="right"/>
              <w:ind w:right="128"/>
              <w:spacing w:after="0"/>
              <w:rPr>
                <w:sz w:val="20"/>
                <w:szCs w:val="20"/>
                <w:color w:val="auto"/>
              </w:rPr>
            </w:pPr>
            <w:r>
              <w:rPr>
                <w:rFonts w:ascii="Arial" w:cs="Arial" w:eastAsia="Arial" w:hAnsi="Arial"/>
                <w:sz w:val="14"/>
                <w:szCs w:val="14"/>
                <w:color w:val="4D4D4F"/>
              </w:rPr>
              <w:t>1,099,000</w:t>
            </w:r>
          </w:p>
        </w:tc>
        <w:tc>
          <w:tcPr>
            <w:tcW w:w="1680" w:type="dxa"/>
            <w:vAlign w:val="bottom"/>
            <w:vMerge w:val="restart"/>
            <w:shd w:val="clear" w:color="auto" w:fill="EAEEF2"/>
          </w:tcPr>
          <w:p>
            <w:pPr>
              <w:jc w:val="right"/>
              <w:ind w:right="108"/>
              <w:spacing w:after="0"/>
              <w:rPr>
                <w:sz w:val="20"/>
                <w:szCs w:val="20"/>
                <w:color w:val="auto"/>
              </w:rPr>
            </w:pPr>
            <w:r>
              <w:rPr>
                <w:rFonts w:ascii="Arial" w:cs="Arial" w:eastAsia="Arial" w:hAnsi="Arial"/>
                <w:sz w:val="14"/>
                <w:szCs w:val="14"/>
                <w:color w:val="4D4D4F"/>
              </w:rPr>
              <w:t>2,706</w:t>
            </w:r>
          </w:p>
        </w:tc>
        <w:tc>
          <w:tcPr>
            <w:tcW w:w="1320" w:type="dxa"/>
            <w:vAlign w:val="bottom"/>
            <w:vMerge w:val="restart"/>
            <w:shd w:val="clear" w:color="auto" w:fill="EAEEF2"/>
          </w:tcPr>
          <w:p>
            <w:pPr>
              <w:jc w:val="right"/>
              <w:spacing w:after="0"/>
              <w:rPr>
                <w:sz w:val="20"/>
                <w:szCs w:val="20"/>
                <w:color w:val="auto"/>
              </w:rPr>
            </w:pPr>
            <w:r>
              <w:rPr>
                <w:rFonts w:ascii="Arial" w:cs="Arial" w:eastAsia="Arial" w:hAnsi="Arial"/>
                <w:sz w:val="14"/>
                <w:szCs w:val="14"/>
                <w:color w:val="4D4D4F"/>
              </w:rPr>
              <w:t>39,807</w:t>
            </w:r>
          </w:p>
        </w:tc>
        <w:tc>
          <w:tcPr>
            <w:tcW w:w="1060" w:type="dxa"/>
            <w:vAlign w:val="bottom"/>
            <w:vMerge w:val="restart"/>
            <w:shd w:val="clear" w:color="auto" w:fill="DFEDE5"/>
          </w:tcPr>
          <w:p>
            <w:pPr>
              <w:jc w:val="right"/>
              <w:spacing w:after="0"/>
              <w:rPr>
                <w:sz w:val="20"/>
                <w:szCs w:val="20"/>
                <w:color w:val="auto"/>
              </w:rPr>
            </w:pPr>
            <w:r>
              <w:rPr>
                <w:rFonts w:ascii="Arial" w:cs="Arial" w:eastAsia="Arial" w:hAnsi="Arial"/>
                <w:sz w:val="14"/>
                <w:szCs w:val="14"/>
                <w:color w:val="4D4D4F"/>
              </w:rPr>
              <w:t>5,141,566</w:t>
            </w:r>
          </w:p>
        </w:tc>
        <w:tc>
          <w:tcPr>
            <w:tcW w:w="100" w:type="dxa"/>
            <w:vAlign w:val="bottom"/>
            <w:shd w:val="clear" w:color="auto" w:fill="DFEDE5"/>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160" w:type="dxa"/>
            <w:vAlign w:val="bottom"/>
            <w:tcBorders>
              <w:bottom w:val="single" w:sz="8" w:color="EAEEF2"/>
            </w:tcBorders>
            <w:shd w:val="clear" w:color="auto" w:fill="EAEEF2"/>
          </w:tcPr>
          <w:p>
            <w:pPr>
              <w:spacing w:after="0"/>
              <w:rPr>
                <w:sz w:val="13"/>
                <w:szCs w:val="13"/>
                <w:color w:val="auto"/>
              </w:rPr>
            </w:pPr>
          </w:p>
        </w:tc>
        <w:tc>
          <w:tcPr>
            <w:tcW w:w="500" w:type="dxa"/>
            <w:vAlign w:val="bottom"/>
            <w:tcBorders>
              <w:bottom w:val="single" w:sz="8" w:color="EAEEF2"/>
            </w:tcBorders>
            <w:vMerge w:val="continue"/>
            <w:shd w:val="clear" w:color="auto" w:fill="EAEEF2"/>
          </w:tcPr>
          <w:p>
            <w:pPr>
              <w:spacing w:after="0"/>
              <w:rPr>
                <w:sz w:val="13"/>
                <w:szCs w:val="13"/>
                <w:color w:val="auto"/>
              </w:rPr>
            </w:pPr>
          </w:p>
        </w:tc>
        <w:tc>
          <w:tcPr>
            <w:tcW w:w="880" w:type="dxa"/>
            <w:vAlign w:val="bottom"/>
            <w:tcBorders>
              <w:bottom w:val="single" w:sz="8" w:color="EAEEF2"/>
            </w:tcBorders>
            <w:vMerge w:val="continue"/>
            <w:shd w:val="clear" w:color="auto" w:fill="EAEEF2"/>
          </w:tcPr>
          <w:p>
            <w:pPr>
              <w:spacing w:after="0"/>
              <w:rPr>
                <w:sz w:val="13"/>
                <w:szCs w:val="13"/>
                <w:color w:val="auto"/>
              </w:rPr>
            </w:pPr>
          </w:p>
        </w:tc>
        <w:tc>
          <w:tcPr>
            <w:tcW w:w="1180" w:type="dxa"/>
            <w:vAlign w:val="bottom"/>
            <w:tcBorders>
              <w:bottom w:val="single" w:sz="8" w:color="EAEEF2"/>
            </w:tcBorders>
            <w:vMerge w:val="continue"/>
            <w:shd w:val="clear" w:color="auto" w:fill="EAEEF2"/>
          </w:tcPr>
          <w:p>
            <w:pPr>
              <w:spacing w:after="0"/>
              <w:rPr>
                <w:sz w:val="13"/>
                <w:szCs w:val="13"/>
                <w:color w:val="auto"/>
              </w:rPr>
            </w:pPr>
          </w:p>
        </w:tc>
        <w:tc>
          <w:tcPr>
            <w:tcW w:w="700" w:type="dxa"/>
            <w:vAlign w:val="bottom"/>
            <w:tcBorders>
              <w:bottom w:val="single" w:sz="8" w:color="EAEEF2"/>
            </w:tcBorders>
            <w:vMerge w:val="continue"/>
            <w:shd w:val="clear" w:color="auto" w:fill="EAEEF2"/>
          </w:tcPr>
          <w:p>
            <w:pPr>
              <w:spacing w:after="0"/>
              <w:rPr>
                <w:sz w:val="13"/>
                <w:szCs w:val="13"/>
                <w:color w:val="auto"/>
              </w:rPr>
            </w:pPr>
          </w:p>
        </w:tc>
        <w:tc>
          <w:tcPr>
            <w:tcW w:w="1660" w:type="dxa"/>
            <w:vAlign w:val="bottom"/>
            <w:tcBorders>
              <w:bottom w:val="single" w:sz="8" w:color="EAEEF2"/>
            </w:tcBorders>
            <w:vMerge w:val="continue"/>
            <w:shd w:val="clear" w:color="auto" w:fill="EAEEF2"/>
          </w:tcPr>
          <w:p>
            <w:pPr>
              <w:spacing w:after="0"/>
              <w:rPr>
                <w:sz w:val="13"/>
                <w:szCs w:val="13"/>
                <w:color w:val="auto"/>
              </w:rPr>
            </w:pPr>
          </w:p>
        </w:tc>
        <w:tc>
          <w:tcPr>
            <w:tcW w:w="1680" w:type="dxa"/>
            <w:vAlign w:val="bottom"/>
            <w:tcBorders>
              <w:bottom w:val="single" w:sz="8" w:color="EAEEF2"/>
            </w:tcBorders>
            <w:vMerge w:val="continue"/>
            <w:shd w:val="clear" w:color="auto" w:fill="EAEEF2"/>
          </w:tcPr>
          <w:p>
            <w:pPr>
              <w:spacing w:after="0"/>
              <w:rPr>
                <w:sz w:val="13"/>
                <w:szCs w:val="13"/>
                <w:color w:val="auto"/>
              </w:rPr>
            </w:pPr>
          </w:p>
        </w:tc>
        <w:tc>
          <w:tcPr>
            <w:tcW w:w="1320" w:type="dxa"/>
            <w:vAlign w:val="bottom"/>
            <w:tcBorders>
              <w:bottom w:val="single" w:sz="8" w:color="EAEEF2"/>
            </w:tcBorders>
            <w:vMerge w:val="continue"/>
            <w:shd w:val="clear" w:color="auto" w:fill="EAEEF2"/>
          </w:tcPr>
          <w:p>
            <w:pPr>
              <w:spacing w:after="0"/>
              <w:rPr>
                <w:sz w:val="13"/>
                <w:szCs w:val="13"/>
                <w:color w:val="auto"/>
              </w:rPr>
            </w:pPr>
          </w:p>
        </w:tc>
        <w:tc>
          <w:tcPr>
            <w:tcW w:w="1060" w:type="dxa"/>
            <w:vAlign w:val="bottom"/>
            <w:tcBorders>
              <w:bottom w:val="single" w:sz="8" w:color="DFEDE5"/>
            </w:tcBorders>
            <w:vMerge w:val="continue"/>
            <w:shd w:val="clear" w:color="auto" w:fill="DFEDE5"/>
          </w:tcPr>
          <w:p>
            <w:pPr>
              <w:spacing w:after="0"/>
              <w:rPr>
                <w:sz w:val="13"/>
                <w:szCs w:val="13"/>
                <w:color w:val="auto"/>
              </w:rPr>
            </w:pPr>
          </w:p>
        </w:tc>
        <w:tc>
          <w:tcPr>
            <w:tcW w:w="100" w:type="dxa"/>
            <w:vAlign w:val="bottom"/>
            <w:tcBorders>
              <w:bottom w:val="single" w:sz="8" w:color="DFEDE5"/>
            </w:tcBorders>
            <w:shd w:val="clear" w:color="auto" w:fill="DFEDE5"/>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160" w:type="dxa"/>
            <w:vAlign w:val="bottom"/>
            <w:vMerge w:val="restart"/>
          </w:tcPr>
          <w:p>
            <w:pPr>
              <w:ind w:left="100"/>
              <w:spacing w:after="0"/>
              <w:rPr>
                <w:sz w:val="20"/>
                <w:szCs w:val="20"/>
                <w:color w:val="auto"/>
              </w:rPr>
            </w:pPr>
            <w:r>
              <w:rPr>
                <w:rFonts w:ascii="Arial" w:cs="Arial" w:eastAsia="Arial" w:hAnsi="Arial"/>
                <w:sz w:val="14"/>
                <w:szCs w:val="14"/>
                <w:b w:val="1"/>
                <w:bCs w:val="1"/>
                <w:color w:val="4D4D4F"/>
              </w:rPr>
              <w:t>Ira M. Birns</w:t>
            </w:r>
          </w:p>
        </w:tc>
        <w:tc>
          <w:tcPr>
            <w:tcW w:w="500" w:type="dxa"/>
            <w:vAlign w:val="bottom"/>
          </w:tcPr>
          <w:p>
            <w:pPr>
              <w:ind w:left="100"/>
              <w:spacing w:after="0"/>
              <w:rPr>
                <w:sz w:val="20"/>
                <w:szCs w:val="20"/>
                <w:color w:val="auto"/>
              </w:rPr>
            </w:pPr>
            <w:r>
              <w:rPr>
                <w:rFonts w:ascii="Arial" w:cs="Arial" w:eastAsia="Arial" w:hAnsi="Arial"/>
                <w:sz w:val="14"/>
                <w:szCs w:val="14"/>
                <w:color w:val="4D4D4F"/>
              </w:rPr>
              <w:t>2023</w:t>
            </w:r>
          </w:p>
        </w:tc>
        <w:tc>
          <w:tcPr>
            <w:tcW w:w="880" w:type="dxa"/>
            <w:vAlign w:val="bottom"/>
          </w:tcPr>
          <w:p>
            <w:pPr>
              <w:jc w:val="right"/>
              <w:ind w:right="8"/>
              <w:spacing w:after="0"/>
              <w:rPr>
                <w:sz w:val="20"/>
                <w:szCs w:val="20"/>
                <w:color w:val="auto"/>
              </w:rPr>
            </w:pPr>
            <w:r>
              <w:rPr>
                <w:rFonts w:ascii="Arial" w:cs="Arial" w:eastAsia="Arial" w:hAnsi="Arial"/>
                <w:sz w:val="14"/>
                <w:szCs w:val="14"/>
                <w:color w:val="4D4D4F"/>
              </w:rPr>
              <w:t>700,000</w:t>
            </w:r>
          </w:p>
        </w:tc>
        <w:tc>
          <w:tcPr>
            <w:tcW w:w="1180" w:type="dxa"/>
            <w:vAlign w:val="bottom"/>
          </w:tcPr>
          <w:p>
            <w:pPr>
              <w:jc w:val="right"/>
              <w:ind w:right="148"/>
              <w:spacing w:after="0"/>
              <w:rPr>
                <w:sz w:val="20"/>
                <w:szCs w:val="20"/>
                <w:color w:val="auto"/>
              </w:rPr>
            </w:pPr>
            <w:r>
              <w:rPr>
                <w:rFonts w:ascii="Arial" w:cs="Arial" w:eastAsia="Arial" w:hAnsi="Arial"/>
                <w:sz w:val="14"/>
                <w:szCs w:val="14"/>
                <w:color w:val="4D4D4F"/>
              </w:rPr>
              <w:t>1,550,020</w:t>
            </w:r>
          </w:p>
        </w:tc>
        <w:tc>
          <w:tcPr>
            <w:tcW w:w="700" w:type="dxa"/>
            <w:vAlign w:val="bottom"/>
          </w:tcPr>
          <w:p>
            <w:pPr>
              <w:jc w:val="right"/>
              <w:spacing w:after="0"/>
              <w:rPr>
                <w:sz w:val="20"/>
                <w:szCs w:val="20"/>
                <w:color w:val="auto"/>
              </w:rPr>
            </w:pPr>
            <w:r>
              <w:rPr>
                <w:rFonts w:ascii="Arial" w:cs="Arial" w:eastAsia="Arial" w:hAnsi="Arial"/>
                <w:sz w:val="14"/>
                <w:szCs w:val="14"/>
                <w:color w:val="4D4D4F"/>
              </w:rPr>
              <w:t>—</w:t>
            </w:r>
          </w:p>
        </w:tc>
        <w:tc>
          <w:tcPr>
            <w:tcW w:w="1660" w:type="dxa"/>
            <w:vAlign w:val="bottom"/>
          </w:tcPr>
          <w:p>
            <w:pPr>
              <w:jc w:val="right"/>
              <w:ind w:right="188"/>
              <w:spacing w:after="0"/>
              <w:rPr>
                <w:sz w:val="20"/>
                <w:szCs w:val="20"/>
                <w:color w:val="auto"/>
              </w:rPr>
            </w:pPr>
            <w:r>
              <w:rPr>
                <w:rFonts w:ascii="Arial" w:cs="Arial" w:eastAsia="Arial" w:hAnsi="Arial"/>
                <w:sz w:val="14"/>
                <w:szCs w:val="14"/>
                <w:color w:val="4D4D4F"/>
              </w:rPr>
              <w:t>543,000</w:t>
            </w:r>
          </w:p>
        </w:tc>
        <w:tc>
          <w:tcPr>
            <w:tcW w:w="1680" w:type="dxa"/>
            <w:vAlign w:val="bottom"/>
          </w:tcPr>
          <w:p>
            <w:pPr>
              <w:jc w:val="right"/>
              <w:ind w:right="108"/>
              <w:spacing w:after="0"/>
              <w:rPr>
                <w:sz w:val="20"/>
                <w:szCs w:val="20"/>
                <w:color w:val="auto"/>
              </w:rPr>
            </w:pPr>
            <w:r>
              <w:rPr>
                <w:rFonts w:ascii="Arial" w:cs="Arial" w:eastAsia="Arial" w:hAnsi="Arial"/>
                <w:sz w:val="14"/>
                <w:szCs w:val="14"/>
                <w:color w:val="4D4D4F"/>
              </w:rPr>
              <w:t>—</w:t>
            </w:r>
          </w:p>
        </w:tc>
        <w:tc>
          <w:tcPr>
            <w:tcW w:w="1320" w:type="dxa"/>
            <w:vAlign w:val="bottom"/>
          </w:tcPr>
          <w:p>
            <w:pPr>
              <w:jc w:val="right"/>
              <w:spacing w:after="0"/>
              <w:rPr>
                <w:sz w:val="20"/>
                <w:szCs w:val="20"/>
                <w:color w:val="auto"/>
              </w:rPr>
            </w:pPr>
            <w:r>
              <w:rPr>
                <w:rFonts w:ascii="Arial" w:cs="Arial" w:eastAsia="Arial" w:hAnsi="Arial"/>
                <w:sz w:val="14"/>
                <w:szCs w:val="14"/>
                <w:color w:val="4D4D4F"/>
              </w:rPr>
              <w:t>30,291</w:t>
            </w:r>
          </w:p>
        </w:tc>
        <w:tc>
          <w:tcPr>
            <w:tcW w:w="1060" w:type="dxa"/>
            <w:vAlign w:val="bottom"/>
          </w:tcPr>
          <w:p>
            <w:pPr>
              <w:jc w:val="right"/>
              <w:spacing w:after="0"/>
              <w:rPr>
                <w:sz w:val="20"/>
                <w:szCs w:val="20"/>
                <w:color w:val="auto"/>
              </w:rPr>
            </w:pPr>
            <w:r>
              <w:rPr>
                <w:rFonts w:ascii="Arial" w:cs="Arial" w:eastAsia="Arial" w:hAnsi="Arial"/>
                <w:sz w:val="14"/>
                <w:szCs w:val="14"/>
                <w:color w:val="4D4D4F"/>
              </w:rPr>
              <w:t>2,823,311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1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100"/>
              <w:spacing w:after="0"/>
              <w:rPr>
                <w:sz w:val="20"/>
                <w:szCs w:val="20"/>
                <w:color w:val="auto"/>
              </w:rPr>
            </w:pPr>
            <w:r>
              <w:rPr>
                <w:rFonts w:ascii="Arial" w:cs="Arial" w:eastAsia="Arial" w:hAnsi="Arial"/>
                <w:sz w:val="14"/>
                <w:szCs w:val="14"/>
                <w:color w:val="4D4D4F"/>
              </w:rPr>
              <w:t>Executive Vice President and</w:t>
            </w:r>
          </w:p>
        </w:tc>
        <w:tc>
          <w:tcPr>
            <w:tcW w:w="500" w:type="dxa"/>
            <w:vAlign w:val="bottom"/>
          </w:tcPr>
          <w:p>
            <w:pPr>
              <w:ind w:left="100"/>
              <w:spacing w:after="0"/>
              <w:rPr>
                <w:sz w:val="20"/>
                <w:szCs w:val="20"/>
                <w:color w:val="auto"/>
              </w:rPr>
            </w:pPr>
            <w:r>
              <w:rPr>
                <w:rFonts w:ascii="Arial" w:cs="Arial" w:eastAsia="Arial" w:hAnsi="Arial"/>
                <w:sz w:val="14"/>
                <w:szCs w:val="14"/>
                <w:color w:val="4D4D4F"/>
              </w:rPr>
              <w:t>2022</w:t>
            </w:r>
          </w:p>
        </w:tc>
        <w:tc>
          <w:tcPr>
            <w:tcW w:w="880" w:type="dxa"/>
            <w:vAlign w:val="bottom"/>
          </w:tcPr>
          <w:p>
            <w:pPr>
              <w:jc w:val="right"/>
              <w:spacing w:after="0"/>
              <w:rPr>
                <w:sz w:val="20"/>
                <w:szCs w:val="20"/>
                <w:color w:val="auto"/>
              </w:rPr>
            </w:pPr>
            <w:r>
              <w:rPr>
                <w:rFonts w:ascii="Arial" w:cs="Arial" w:eastAsia="Arial" w:hAnsi="Arial"/>
                <w:sz w:val="14"/>
                <w:szCs w:val="14"/>
                <w:color w:val="4D4D4F"/>
              </w:rPr>
              <w:t>608,333</w:t>
            </w:r>
          </w:p>
        </w:tc>
        <w:tc>
          <w:tcPr>
            <w:tcW w:w="1180" w:type="dxa"/>
            <w:vAlign w:val="bottom"/>
          </w:tcPr>
          <w:p>
            <w:pPr>
              <w:jc w:val="right"/>
              <w:ind w:right="88"/>
              <w:spacing w:after="0"/>
              <w:rPr>
                <w:sz w:val="20"/>
                <w:szCs w:val="20"/>
                <w:color w:val="auto"/>
              </w:rPr>
            </w:pPr>
            <w:r>
              <w:rPr>
                <w:rFonts w:ascii="Arial" w:cs="Arial" w:eastAsia="Arial" w:hAnsi="Arial"/>
                <w:sz w:val="14"/>
                <w:szCs w:val="14"/>
                <w:color w:val="4D4D4F"/>
              </w:rPr>
              <w:t>3,812,809</w:t>
            </w:r>
          </w:p>
        </w:tc>
        <w:tc>
          <w:tcPr>
            <w:tcW w:w="700" w:type="dxa"/>
            <w:vAlign w:val="bottom"/>
          </w:tcPr>
          <w:p>
            <w:pPr>
              <w:jc w:val="right"/>
              <w:spacing w:after="0"/>
              <w:rPr>
                <w:sz w:val="20"/>
                <w:szCs w:val="20"/>
                <w:color w:val="auto"/>
              </w:rPr>
            </w:pPr>
            <w:r>
              <w:rPr>
                <w:rFonts w:ascii="Arial" w:cs="Arial" w:eastAsia="Arial" w:hAnsi="Arial"/>
                <w:sz w:val="14"/>
                <w:szCs w:val="14"/>
                <w:color w:val="4D4D4F"/>
              </w:rPr>
              <w:t>—</w:t>
            </w:r>
          </w:p>
        </w:tc>
        <w:tc>
          <w:tcPr>
            <w:tcW w:w="1660" w:type="dxa"/>
            <w:vAlign w:val="bottom"/>
          </w:tcPr>
          <w:p>
            <w:pPr>
              <w:jc w:val="right"/>
              <w:ind w:right="128"/>
              <w:spacing w:after="0"/>
              <w:rPr>
                <w:sz w:val="20"/>
                <w:szCs w:val="20"/>
                <w:color w:val="auto"/>
              </w:rPr>
            </w:pPr>
            <w:r>
              <w:rPr>
                <w:rFonts w:ascii="Arial" w:cs="Arial" w:eastAsia="Arial" w:hAnsi="Arial"/>
                <w:sz w:val="14"/>
                <w:szCs w:val="14"/>
                <w:color w:val="4D4D4F"/>
              </w:rPr>
              <w:t>1,012,500</w:t>
            </w:r>
          </w:p>
        </w:tc>
        <w:tc>
          <w:tcPr>
            <w:tcW w:w="1680" w:type="dxa"/>
            <w:vAlign w:val="bottom"/>
          </w:tcPr>
          <w:p>
            <w:pPr>
              <w:jc w:val="right"/>
              <w:ind w:right="108"/>
              <w:spacing w:after="0"/>
              <w:rPr>
                <w:sz w:val="20"/>
                <w:szCs w:val="20"/>
                <w:color w:val="auto"/>
              </w:rPr>
            </w:pPr>
            <w:r>
              <w:rPr>
                <w:rFonts w:ascii="Arial" w:cs="Arial" w:eastAsia="Arial" w:hAnsi="Arial"/>
                <w:sz w:val="14"/>
                <w:szCs w:val="14"/>
                <w:color w:val="4D4D4F"/>
              </w:rPr>
              <w:t>—</w:t>
            </w:r>
          </w:p>
        </w:tc>
        <w:tc>
          <w:tcPr>
            <w:tcW w:w="1320" w:type="dxa"/>
            <w:vAlign w:val="bottom"/>
          </w:tcPr>
          <w:p>
            <w:pPr>
              <w:jc w:val="right"/>
              <w:spacing w:after="0"/>
              <w:rPr>
                <w:sz w:val="20"/>
                <w:szCs w:val="20"/>
                <w:color w:val="auto"/>
              </w:rPr>
            </w:pPr>
            <w:r>
              <w:rPr>
                <w:rFonts w:ascii="Arial" w:cs="Arial" w:eastAsia="Arial" w:hAnsi="Arial"/>
                <w:sz w:val="14"/>
                <w:szCs w:val="14"/>
                <w:color w:val="4D4D4F"/>
              </w:rPr>
              <w:t>28,402</w:t>
            </w:r>
          </w:p>
        </w:tc>
        <w:tc>
          <w:tcPr>
            <w:tcW w:w="1060" w:type="dxa"/>
            <w:vAlign w:val="bottom"/>
          </w:tcPr>
          <w:p>
            <w:pPr>
              <w:jc w:val="right"/>
              <w:spacing w:after="0"/>
              <w:rPr>
                <w:sz w:val="20"/>
                <w:szCs w:val="20"/>
                <w:color w:val="auto"/>
              </w:rPr>
            </w:pPr>
            <w:r>
              <w:rPr>
                <w:rFonts w:ascii="Arial" w:cs="Arial" w:eastAsia="Arial" w:hAnsi="Arial"/>
                <w:sz w:val="14"/>
                <w:szCs w:val="14"/>
                <w:color w:val="4D4D4F"/>
              </w:rPr>
              <w:t>5,462,044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100"/>
              <w:spacing w:after="0"/>
              <w:rPr>
                <w:sz w:val="20"/>
                <w:szCs w:val="20"/>
                <w:color w:val="auto"/>
              </w:rPr>
            </w:pPr>
            <w:r>
              <w:rPr>
                <w:rFonts w:ascii="Arial" w:cs="Arial" w:eastAsia="Arial" w:hAnsi="Arial"/>
                <w:sz w:val="14"/>
                <w:szCs w:val="14"/>
                <w:color w:val="4D4D4F"/>
              </w:rPr>
              <w:t>Chief Financial Officer</w:t>
            </w:r>
          </w:p>
        </w:tc>
        <w:tc>
          <w:tcPr>
            <w:tcW w:w="500" w:type="dxa"/>
            <w:vAlign w:val="bottom"/>
            <w:vMerge w:val="restart"/>
          </w:tcPr>
          <w:p>
            <w:pPr>
              <w:ind w:left="100"/>
              <w:spacing w:after="0"/>
              <w:rPr>
                <w:sz w:val="20"/>
                <w:szCs w:val="20"/>
                <w:color w:val="auto"/>
              </w:rPr>
            </w:pPr>
            <w:r>
              <w:rPr>
                <w:rFonts w:ascii="Arial" w:cs="Arial" w:eastAsia="Arial" w:hAnsi="Arial"/>
                <w:sz w:val="14"/>
                <w:szCs w:val="14"/>
                <w:color w:val="4D4D4F"/>
              </w:rPr>
              <w:t>2021</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4D4D4F"/>
              </w:rPr>
              <w:t>600,000</w:t>
            </w: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color w:val="4D4D4F"/>
              </w:rPr>
              <w:t>1,040,053</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4D4D4F"/>
              </w:rPr>
              <w:t>—</w:t>
            </w:r>
          </w:p>
        </w:tc>
        <w:tc>
          <w:tcPr>
            <w:tcW w:w="1660" w:type="dxa"/>
            <w:vAlign w:val="bottom"/>
            <w:vMerge w:val="restart"/>
          </w:tcPr>
          <w:p>
            <w:pPr>
              <w:jc w:val="right"/>
              <w:ind w:right="128"/>
              <w:spacing w:after="0"/>
              <w:rPr>
                <w:sz w:val="20"/>
                <w:szCs w:val="20"/>
                <w:color w:val="auto"/>
              </w:rPr>
            </w:pPr>
            <w:r>
              <w:rPr>
                <w:rFonts w:ascii="Arial" w:cs="Arial" w:eastAsia="Arial" w:hAnsi="Arial"/>
                <w:sz w:val="14"/>
                <w:szCs w:val="14"/>
                <w:color w:val="4D4D4F"/>
              </w:rPr>
              <w:t>614,000</w:t>
            </w:r>
          </w:p>
        </w:tc>
        <w:tc>
          <w:tcPr>
            <w:tcW w:w="1680" w:type="dxa"/>
            <w:vAlign w:val="bottom"/>
            <w:vMerge w:val="restart"/>
          </w:tcPr>
          <w:p>
            <w:pPr>
              <w:jc w:val="right"/>
              <w:ind w:right="108"/>
              <w:spacing w:after="0"/>
              <w:rPr>
                <w:sz w:val="20"/>
                <w:szCs w:val="20"/>
                <w:color w:val="auto"/>
              </w:rPr>
            </w:pPr>
            <w:r>
              <w:rPr>
                <w:rFonts w:ascii="Arial" w:cs="Arial" w:eastAsia="Arial" w:hAnsi="Arial"/>
                <w:sz w:val="14"/>
                <w:szCs w:val="14"/>
                <w:color w:val="4D4D4F"/>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4D4D4F"/>
              </w:rPr>
              <w:t>31,019</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4D4D4F"/>
              </w:rPr>
              <w:t>2,285,071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1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16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John P. Rau</w:t>
            </w:r>
          </w:p>
        </w:tc>
        <w:tc>
          <w:tcPr>
            <w:tcW w:w="50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2023</w:t>
            </w:r>
          </w:p>
        </w:tc>
        <w:tc>
          <w:tcPr>
            <w:tcW w:w="880" w:type="dxa"/>
            <w:vAlign w:val="bottom"/>
            <w:shd w:val="clear" w:color="auto" w:fill="EAEEF2"/>
          </w:tcPr>
          <w:p>
            <w:pPr>
              <w:jc w:val="right"/>
              <w:ind w:right="8"/>
              <w:spacing w:after="0"/>
              <w:rPr>
                <w:sz w:val="20"/>
                <w:szCs w:val="20"/>
                <w:color w:val="auto"/>
              </w:rPr>
            </w:pPr>
            <w:r>
              <w:rPr>
                <w:rFonts w:ascii="Arial" w:cs="Arial" w:eastAsia="Arial" w:hAnsi="Arial"/>
                <w:sz w:val="14"/>
                <w:szCs w:val="14"/>
                <w:color w:val="4D4D4F"/>
              </w:rPr>
              <w:t>700,000</w:t>
            </w:r>
          </w:p>
        </w:tc>
        <w:tc>
          <w:tcPr>
            <w:tcW w:w="1180" w:type="dxa"/>
            <w:vAlign w:val="bottom"/>
            <w:shd w:val="clear" w:color="auto" w:fill="EAEEF2"/>
          </w:tcPr>
          <w:p>
            <w:pPr>
              <w:jc w:val="right"/>
              <w:ind w:right="148"/>
              <w:spacing w:after="0"/>
              <w:rPr>
                <w:sz w:val="20"/>
                <w:szCs w:val="20"/>
                <w:color w:val="auto"/>
              </w:rPr>
            </w:pPr>
            <w:r>
              <w:rPr>
                <w:rFonts w:ascii="Arial" w:cs="Arial" w:eastAsia="Arial" w:hAnsi="Arial"/>
                <w:sz w:val="14"/>
                <w:szCs w:val="14"/>
                <w:color w:val="4D4D4F"/>
              </w:rPr>
              <w:t>1,550,020</w:t>
            </w:r>
          </w:p>
        </w:tc>
        <w:tc>
          <w:tcPr>
            <w:tcW w:w="700" w:type="dxa"/>
            <w:vAlign w:val="bottom"/>
            <w:shd w:val="clear" w:color="auto" w:fill="EAEEF2"/>
          </w:tcPr>
          <w:p>
            <w:pPr>
              <w:jc w:val="right"/>
              <w:spacing w:after="0"/>
              <w:rPr>
                <w:sz w:val="20"/>
                <w:szCs w:val="20"/>
                <w:color w:val="auto"/>
              </w:rPr>
            </w:pPr>
            <w:r>
              <w:rPr>
                <w:rFonts w:ascii="Arial" w:cs="Arial" w:eastAsia="Arial" w:hAnsi="Arial"/>
                <w:sz w:val="14"/>
                <w:szCs w:val="14"/>
                <w:color w:val="4D4D4F"/>
              </w:rPr>
              <w:t>—</w:t>
            </w:r>
          </w:p>
        </w:tc>
        <w:tc>
          <w:tcPr>
            <w:tcW w:w="1660" w:type="dxa"/>
            <w:vAlign w:val="bottom"/>
            <w:shd w:val="clear" w:color="auto" w:fill="EAEEF2"/>
          </w:tcPr>
          <w:p>
            <w:pPr>
              <w:jc w:val="right"/>
              <w:ind w:right="188"/>
              <w:spacing w:after="0"/>
              <w:rPr>
                <w:sz w:val="20"/>
                <w:szCs w:val="20"/>
                <w:color w:val="auto"/>
              </w:rPr>
            </w:pPr>
            <w:r>
              <w:rPr>
                <w:rFonts w:ascii="Arial" w:cs="Arial" w:eastAsia="Arial" w:hAnsi="Arial"/>
                <w:sz w:val="14"/>
                <w:szCs w:val="14"/>
                <w:color w:val="4D4D4F"/>
              </w:rPr>
              <w:t>543,000</w:t>
            </w:r>
          </w:p>
        </w:tc>
        <w:tc>
          <w:tcPr>
            <w:tcW w:w="1680" w:type="dxa"/>
            <w:vAlign w:val="bottom"/>
            <w:shd w:val="clear" w:color="auto" w:fill="EAEEF2"/>
          </w:tcPr>
          <w:p>
            <w:pPr>
              <w:jc w:val="right"/>
              <w:ind w:right="108"/>
              <w:spacing w:after="0"/>
              <w:rPr>
                <w:sz w:val="20"/>
                <w:szCs w:val="20"/>
                <w:color w:val="auto"/>
              </w:rPr>
            </w:pPr>
            <w:r>
              <w:rPr>
                <w:rFonts w:ascii="Arial" w:cs="Arial" w:eastAsia="Arial" w:hAnsi="Arial"/>
                <w:sz w:val="14"/>
                <w:szCs w:val="14"/>
                <w:color w:val="4D4D4F"/>
              </w:rPr>
              <w:t>—</w:t>
            </w:r>
          </w:p>
        </w:tc>
        <w:tc>
          <w:tcPr>
            <w:tcW w:w="1320" w:type="dxa"/>
            <w:vAlign w:val="bottom"/>
            <w:shd w:val="clear" w:color="auto" w:fill="EAEEF2"/>
          </w:tcPr>
          <w:p>
            <w:pPr>
              <w:jc w:val="right"/>
              <w:spacing w:after="0"/>
              <w:rPr>
                <w:sz w:val="20"/>
                <w:szCs w:val="20"/>
                <w:color w:val="auto"/>
              </w:rPr>
            </w:pPr>
            <w:r>
              <w:rPr>
                <w:rFonts w:ascii="Arial" w:cs="Arial" w:eastAsia="Arial" w:hAnsi="Arial"/>
                <w:sz w:val="14"/>
                <w:szCs w:val="14"/>
                <w:color w:val="4D4D4F"/>
              </w:rPr>
              <w:t>27,411</w:t>
            </w:r>
          </w:p>
        </w:tc>
        <w:tc>
          <w:tcPr>
            <w:tcW w:w="1060" w:type="dxa"/>
            <w:vAlign w:val="bottom"/>
            <w:shd w:val="clear" w:color="auto" w:fill="DFEDE5"/>
          </w:tcPr>
          <w:p>
            <w:pPr>
              <w:jc w:val="right"/>
              <w:spacing w:after="0"/>
              <w:rPr>
                <w:sz w:val="20"/>
                <w:szCs w:val="20"/>
                <w:color w:val="auto"/>
              </w:rPr>
            </w:pPr>
            <w:r>
              <w:rPr>
                <w:rFonts w:ascii="Arial" w:cs="Arial" w:eastAsia="Arial" w:hAnsi="Arial"/>
                <w:sz w:val="14"/>
                <w:szCs w:val="14"/>
                <w:color w:val="4D4D4F"/>
              </w:rPr>
              <w:t>2,820,431</w:t>
            </w:r>
          </w:p>
        </w:tc>
        <w:tc>
          <w:tcPr>
            <w:tcW w:w="100" w:type="dxa"/>
            <w:vAlign w:val="bottom"/>
            <w:shd w:val="clear" w:color="auto" w:fill="DFED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Executive Vice President,</w:t>
            </w:r>
          </w:p>
        </w:tc>
        <w:tc>
          <w:tcPr>
            <w:tcW w:w="50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2022</w:t>
            </w:r>
          </w:p>
        </w:tc>
        <w:tc>
          <w:tcPr>
            <w:tcW w:w="880" w:type="dxa"/>
            <w:vAlign w:val="bottom"/>
            <w:vMerge w:val="restart"/>
            <w:shd w:val="clear" w:color="auto" w:fill="EAEEF2"/>
          </w:tcPr>
          <w:p>
            <w:pPr>
              <w:jc w:val="right"/>
              <w:spacing w:after="0"/>
              <w:rPr>
                <w:sz w:val="20"/>
                <w:szCs w:val="20"/>
                <w:color w:val="auto"/>
              </w:rPr>
            </w:pPr>
            <w:r>
              <w:rPr>
                <w:rFonts w:ascii="Arial" w:cs="Arial" w:eastAsia="Arial" w:hAnsi="Arial"/>
                <w:sz w:val="14"/>
                <w:szCs w:val="14"/>
                <w:color w:val="4D4D4F"/>
              </w:rPr>
              <w:t>608,333</w:t>
            </w:r>
          </w:p>
        </w:tc>
        <w:tc>
          <w:tcPr>
            <w:tcW w:w="1180" w:type="dxa"/>
            <w:vAlign w:val="bottom"/>
            <w:vMerge w:val="restart"/>
            <w:shd w:val="clear" w:color="auto" w:fill="EAEEF2"/>
          </w:tcPr>
          <w:p>
            <w:pPr>
              <w:jc w:val="right"/>
              <w:ind w:right="88"/>
              <w:spacing w:after="0"/>
              <w:rPr>
                <w:sz w:val="20"/>
                <w:szCs w:val="20"/>
                <w:color w:val="auto"/>
              </w:rPr>
            </w:pPr>
            <w:r>
              <w:rPr>
                <w:rFonts w:ascii="Arial" w:cs="Arial" w:eastAsia="Arial" w:hAnsi="Arial"/>
                <w:sz w:val="14"/>
                <w:szCs w:val="14"/>
                <w:color w:val="4D4D4F"/>
              </w:rPr>
              <w:t>3,299,397</w:t>
            </w:r>
          </w:p>
        </w:tc>
        <w:tc>
          <w:tcPr>
            <w:tcW w:w="700" w:type="dxa"/>
            <w:vAlign w:val="bottom"/>
            <w:vMerge w:val="restart"/>
            <w:shd w:val="clear" w:color="auto" w:fill="EAEEF2"/>
          </w:tcPr>
          <w:p>
            <w:pPr>
              <w:jc w:val="right"/>
              <w:spacing w:after="0"/>
              <w:rPr>
                <w:sz w:val="20"/>
                <w:szCs w:val="20"/>
                <w:color w:val="auto"/>
              </w:rPr>
            </w:pPr>
            <w:r>
              <w:rPr>
                <w:rFonts w:ascii="Arial" w:cs="Arial" w:eastAsia="Arial" w:hAnsi="Arial"/>
                <w:sz w:val="14"/>
                <w:szCs w:val="14"/>
                <w:color w:val="4D4D4F"/>
              </w:rPr>
              <w:t>—</w:t>
            </w:r>
          </w:p>
        </w:tc>
        <w:tc>
          <w:tcPr>
            <w:tcW w:w="1660" w:type="dxa"/>
            <w:vAlign w:val="bottom"/>
            <w:vMerge w:val="restart"/>
            <w:shd w:val="clear" w:color="auto" w:fill="EAEEF2"/>
          </w:tcPr>
          <w:p>
            <w:pPr>
              <w:jc w:val="right"/>
              <w:ind w:right="128"/>
              <w:spacing w:after="0"/>
              <w:rPr>
                <w:sz w:val="20"/>
                <w:szCs w:val="20"/>
                <w:color w:val="auto"/>
              </w:rPr>
            </w:pPr>
            <w:r>
              <w:rPr>
                <w:rFonts w:ascii="Arial" w:cs="Arial" w:eastAsia="Arial" w:hAnsi="Arial"/>
                <w:sz w:val="14"/>
                <w:szCs w:val="14"/>
                <w:color w:val="4D4D4F"/>
              </w:rPr>
              <w:t>1,005,000</w:t>
            </w:r>
          </w:p>
        </w:tc>
        <w:tc>
          <w:tcPr>
            <w:tcW w:w="1680" w:type="dxa"/>
            <w:vAlign w:val="bottom"/>
            <w:vMerge w:val="restart"/>
            <w:shd w:val="clear" w:color="auto" w:fill="EAEEF2"/>
          </w:tcPr>
          <w:p>
            <w:pPr>
              <w:jc w:val="right"/>
              <w:ind w:right="108"/>
              <w:spacing w:after="0"/>
              <w:rPr>
                <w:sz w:val="20"/>
                <w:szCs w:val="20"/>
                <w:color w:val="auto"/>
              </w:rPr>
            </w:pPr>
            <w:r>
              <w:rPr>
                <w:rFonts w:ascii="Arial" w:cs="Arial" w:eastAsia="Arial" w:hAnsi="Arial"/>
                <w:sz w:val="14"/>
                <w:szCs w:val="14"/>
                <w:color w:val="4D4D4F"/>
              </w:rPr>
              <w:t>—</w:t>
            </w:r>
          </w:p>
        </w:tc>
        <w:tc>
          <w:tcPr>
            <w:tcW w:w="1320" w:type="dxa"/>
            <w:vAlign w:val="bottom"/>
            <w:vMerge w:val="restart"/>
            <w:shd w:val="clear" w:color="auto" w:fill="EAEEF2"/>
          </w:tcPr>
          <w:p>
            <w:pPr>
              <w:jc w:val="right"/>
              <w:spacing w:after="0"/>
              <w:rPr>
                <w:sz w:val="20"/>
                <w:szCs w:val="20"/>
                <w:color w:val="auto"/>
              </w:rPr>
            </w:pPr>
            <w:r>
              <w:rPr>
                <w:rFonts w:ascii="Arial" w:cs="Arial" w:eastAsia="Arial" w:hAnsi="Arial"/>
                <w:sz w:val="14"/>
                <w:szCs w:val="14"/>
                <w:color w:val="4D4D4F"/>
              </w:rPr>
              <w:t>25,288</w:t>
            </w:r>
          </w:p>
        </w:tc>
        <w:tc>
          <w:tcPr>
            <w:tcW w:w="1060" w:type="dxa"/>
            <w:vAlign w:val="bottom"/>
            <w:vMerge w:val="restart"/>
            <w:shd w:val="clear" w:color="auto" w:fill="DFEDE5"/>
          </w:tcPr>
          <w:p>
            <w:pPr>
              <w:jc w:val="right"/>
              <w:spacing w:after="0"/>
              <w:rPr>
                <w:sz w:val="20"/>
                <w:szCs w:val="20"/>
                <w:color w:val="auto"/>
              </w:rPr>
            </w:pPr>
            <w:r>
              <w:rPr>
                <w:rFonts w:ascii="Arial" w:cs="Arial" w:eastAsia="Arial" w:hAnsi="Arial"/>
                <w:sz w:val="14"/>
                <w:szCs w:val="14"/>
                <w:color w:val="4D4D4F"/>
              </w:rPr>
              <w:t>4,938,018</w:t>
            </w:r>
          </w:p>
        </w:tc>
        <w:tc>
          <w:tcPr>
            <w:tcW w:w="100" w:type="dxa"/>
            <w:vAlign w:val="bottom"/>
            <w:shd w:val="clear" w:color="auto" w:fill="DFEDE5"/>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16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Global Aviation, Land and</w:t>
            </w:r>
          </w:p>
        </w:tc>
        <w:tc>
          <w:tcPr>
            <w:tcW w:w="500" w:type="dxa"/>
            <w:vAlign w:val="bottom"/>
            <w:vMerge w:val="continue"/>
            <w:shd w:val="clear" w:color="auto" w:fill="EAEEF2"/>
          </w:tcPr>
          <w:p>
            <w:pPr>
              <w:spacing w:after="0"/>
              <w:rPr>
                <w:sz w:val="10"/>
                <w:szCs w:val="10"/>
                <w:color w:val="auto"/>
              </w:rPr>
            </w:pPr>
          </w:p>
        </w:tc>
        <w:tc>
          <w:tcPr>
            <w:tcW w:w="880" w:type="dxa"/>
            <w:vAlign w:val="bottom"/>
            <w:vMerge w:val="continue"/>
            <w:shd w:val="clear" w:color="auto" w:fill="EAEEF2"/>
          </w:tcPr>
          <w:p>
            <w:pPr>
              <w:spacing w:after="0"/>
              <w:rPr>
                <w:sz w:val="10"/>
                <w:szCs w:val="10"/>
                <w:color w:val="auto"/>
              </w:rPr>
            </w:pPr>
          </w:p>
        </w:tc>
        <w:tc>
          <w:tcPr>
            <w:tcW w:w="1180" w:type="dxa"/>
            <w:vAlign w:val="bottom"/>
            <w:vMerge w:val="continue"/>
            <w:shd w:val="clear" w:color="auto" w:fill="EAEEF2"/>
          </w:tcPr>
          <w:p>
            <w:pPr>
              <w:spacing w:after="0"/>
              <w:rPr>
                <w:sz w:val="10"/>
                <w:szCs w:val="10"/>
                <w:color w:val="auto"/>
              </w:rPr>
            </w:pPr>
          </w:p>
        </w:tc>
        <w:tc>
          <w:tcPr>
            <w:tcW w:w="700" w:type="dxa"/>
            <w:vAlign w:val="bottom"/>
            <w:vMerge w:val="continue"/>
            <w:shd w:val="clear" w:color="auto" w:fill="EAEEF2"/>
          </w:tcPr>
          <w:p>
            <w:pPr>
              <w:spacing w:after="0"/>
              <w:rPr>
                <w:sz w:val="10"/>
                <w:szCs w:val="10"/>
                <w:color w:val="auto"/>
              </w:rPr>
            </w:pPr>
          </w:p>
        </w:tc>
        <w:tc>
          <w:tcPr>
            <w:tcW w:w="1660" w:type="dxa"/>
            <w:vAlign w:val="bottom"/>
            <w:vMerge w:val="continue"/>
            <w:shd w:val="clear" w:color="auto" w:fill="EAEEF2"/>
          </w:tcPr>
          <w:p>
            <w:pPr>
              <w:spacing w:after="0"/>
              <w:rPr>
                <w:sz w:val="10"/>
                <w:szCs w:val="10"/>
                <w:color w:val="auto"/>
              </w:rPr>
            </w:pPr>
          </w:p>
        </w:tc>
        <w:tc>
          <w:tcPr>
            <w:tcW w:w="1680" w:type="dxa"/>
            <w:vAlign w:val="bottom"/>
            <w:vMerge w:val="continue"/>
            <w:shd w:val="clear" w:color="auto" w:fill="EAEEF2"/>
          </w:tcPr>
          <w:p>
            <w:pPr>
              <w:spacing w:after="0"/>
              <w:rPr>
                <w:sz w:val="10"/>
                <w:szCs w:val="10"/>
                <w:color w:val="auto"/>
              </w:rPr>
            </w:pPr>
          </w:p>
        </w:tc>
        <w:tc>
          <w:tcPr>
            <w:tcW w:w="1320" w:type="dxa"/>
            <w:vAlign w:val="bottom"/>
            <w:vMerge w:val="continue"/>
            <w:shd w:val="clear" w:color="auto" w:fill="EAEEF2"/>
          </w:tcPr>
          <w:p>
            <w:pPr>
              <w:spacing w:after="0"/>
              <w:rPr>
                <w:sz w:val="10"/>
                <w:szCs w:val="10"/>
                <w:color w:val="auto"/>
              </w:rPr>
            </w:pPr>
          </w:p>
        </w:tc>
        <w:tc>
          <w:tcPr>
            <w:tcW w:w="1060" w:type="dxa"/>
            <w:vAlign w:val="bottom"/>
            <w:vMerge w:val="continue"/>
            <w:shd w:val="clear" w:color="auto" w:fill="DFEDE5"/>
          </w:tcPr>
          <w:p>
            <w:pPr>
              <w:spacing w:after="0"/>
              <w:rPr>
                <w:sz w:val="10"/>
                <w:szCs w:val="10"/>
                <w:color w:val="auto"/>
              </w:rPr>
            </w:pPr>
          </w:p>
        </w:tc>
        <w:tc>
          <w:tcPr>
            <w:tcW w:w="100" w:type="dxa"/>
            <w:vAlign w:val="bottom"/>
            <w:shd w:val="clear" w:color="auto" w:fill="DFEDE5"/>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160" w:type="dxa"/>
            <w:vAlign w:val="bottom"/>
            <w:vMerge w:val="continue"/>
            <w:shd w:val="clear" w:color="auto" w:fill="EAEEF2"/>
          </w:tcPr>
          <w:p>
            <w:pPr>
              <w:spacing w:after="0"/>
              <w:rPr>
                <w:sz w:val="5"/>
                <w:szCs w:val="5"/>
                <w:color w:val="auto"/>
              </w:rPr>
            </w:pPr>
          </w:p>
        </w:tc>
        <w:tc>
          <w:tcPr>
            <w:tcW w:w="500" w:type="dxa"/>
            <w:vAlign w:val="bottom"/>
            <w:shd w:val="clear" w:color="auto" w:fill="EAEEF2"/>
          </w:tcPr>
          <w:p>
            <w:pPr>
              <w:spacing w:after="0"/>
              <w:rPr>
                <w:sz w:val="5"/>
                <w:szCs w:val="5"/>
                <w:color w:val="auto"/>
              </w:rPr>
            </w:pPr>
          </w:p>
        </w:tc>
        <w:tc>
          <w:tcPr>
            <w:tcW w:w="880" w:type="dxa"/>
            <w:vAlign w:val="bottom"/>
            <w:shd w:val="clear" w:color="auto" w:fill="EAEEF2"/>
          </w:tcPr>
          <w:p>
            <w:pPr>
              <w:spacing w:after="0"/>
              <w:rPr>
                <w:sz w:val="5"/>
                <w:szCs w:val="5"/>
                <w:color w:val="auto"/>
              </w:rPr>
            </w:pPr>
          </w:p>
        </w:tc>
        <w:tc>
          <w:tcPr>
            <w:tcW w:w="1180" w:type="dxa"/>
            <w:vAlign w:val="bottom"/>
            <w:shd w:val="clear" w:color="auto" w:fill="EAEEF2"/>
          </w:tcPr>
          <w:p>
            <w:pPr>
              <w:spacing w:after="0"/>
              <w:rPr>
                <w:sz w:val="5"/>
                <w:szCs w:val="5"/>
                <w:color w:val="auto"/>
              </w:rPr>
            </w:pPr>
          </w:p>
        </w:tc>
        <w:tc>
          <w:tcPr>
            <w:tcW w:w="700" w:type="dxa"/>
            <w:vAlign w:val="bottom"/>
            <w:shd w:val="clear" w:color="auto" w:fill="EAEEF2"/>
          </w:tcPr>
          <w:p>
            <w:pPr>
              <w:spacing w:after="0"/>
              <w:rPr>
                <w:sz w:val="5"/>
                <w:szCs w:val="5"/>
                <w:color w:val="auto"/>
              </w:rPr>
            </w:pPr>
          </w:p>
        </w:tc>
        <w:tc>
          <w:tcPr>
            <w:tcW w:w="1660" w:type="dxa"/>
            <w:vAlign w:val="bottom"/>
            <w:shd w:val="clear" w:color="auto" w:fill="EAEEF2"/>
          </w:tcPr>
          <w:p>
            <w:pPr>
              <w:spacing w:after="0"/>
              <w:rPr>
                <w:sz w:val="5"/>
                <w:szCs w:val="5"/>
                <w:color w:val="auto"/>
              </w:rPr>
            </w:pPr>
          </w:p>
        </w:tc>
        <w:tc>
          <w:tcPr>
            <w:tcW w:w="1680" w:type="dxa"/>
            <w:vAlign w:val="bottom"/>
            <w:shd w:val="clear" w:color="auto" w:fill="EAEEF2"/>
          </w:tcPr>
          <w:p>
            <w:pPr>
              <w:spacing w:after="0"/>
              <w:rPr>
                <w:sz w:val="5"/>
                <w:szCs w:val="5"/>
                <w:color w:val="auto"/>
              </w:rPr>
            </w:pPr>
          </w:p>
        </w:tc>
        <w:tc>
          <w:tcPr>
            <w:tcW w:w="1320" w:type="dxa"/>
            <w:vAlign w:val="bottom"/>
            <w:shd w:val="clear" w:color="auto" w:fill="EAEEF2"/>
          </w:tcPr>
          <w:p>
            <w:pPr>
              <w:spacing w:after="0"/>
              <w:rPr>
                <w:sz w:val="5"/>
                <w:szCs w:val="5"/>
                <w:color w:val="auto"/>
              </w:rPr>
            </w:pPr>
          </w:p>
        </w:tc>
        <w:tc>
          <w:tcPr>
            <w:tcW w:w="1060" w:type="dxa"/>
            <w:vAlign w:val="bottom"/>
            <w:shd w:val="clear" w:color="auto" w:fill="DFEDE5"/>
          </w:tcPr>
          <w:p>
            <w:pPr>
              <w:spacing w:after="0"/>
              <w:rPr>
                <w:sz w:val="5"/>
                <w:szCs w:val="5"/>
                <w:color w:val="auto"/>
              </w:rPr>
            </w:pPr>
          </w:p>
        </w:tc>
        <w:tc>
          <w:tcPr>
            <w:tcW w:w="100" w:type="dxa"/>
            <w:vAlign w:val="bottom"/>
            <w:shd w:val="clear" w:color="auto" w:fill="DFEDE5"/>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16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Marine</w:t>
            </w:r>
          </w:p>
        </w:tc>
        <w:tc>
          <w:tcPr>
            <w:tcW w:w="50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2021</w:t>
            </w:r>
          </w:p>
        </w:tc>
        <w:tc>
          <w:tcPr>
            <w:tcW w:w="880" w:type="dxa"/>
            <w:vAlign w:val="bottom"/>
            <w:tcBorders>
              <w:bottom w:val="single" w:sz="8" w:color="EAEEF2"/>
            </w:tcBorders>
            <w:shd w:val="clear" w:color="auto" w:fill="EAEEF2"/>
          </w:tcPr>
          <w:p>
            <w:pPr>
              <w:jc w:val="right"/>
              <w:ind w:right="8"/>
              <w:spacing w:after="0"/>
              <w:rPr>
                <w:sz w:val="20"/>
                <w:szCs w:val="20"/>
                <w:color w:val="auto"/>
              </w:rPr>
            </w:pPr>
            <w:r>
              <w:rPr>
                <w:rFonts w:ascii="Arial" w:cs="Arial" w:eastAsia="Arial" w:hAnsi="Arial"/>
                <w:sz w:val="14"/>
                <w:szCs w:val="14"/>
                <w:color w:val="4D4D4F"/>
              </w:rPr>
              <w:t>600,000</w:t>
            </w:r>
          </w:p>
        </w:tc>
        <w:tc>
          <w:tcPr>
            <w:tcW w:w="1180" w:type="dxa"/>
            <w:vAlign w:val="bottom"/>
            <w:tcBorders>
              <w:bottom w:val="single" w:sz="8" w:color="EAEEF2"/>
            </w:tcBorders>
            <w:shd w:val="clear" w:color="auto" w:fill="EAEEF2"/>
          </w:tcPr>
          <w:p>
            <w:pPr>
              <w:jc w:val="right"/>
              <w:ind w:right="148"/>
              <w:spacing w:after="0"/>
              <w:rPr>
                <w:sz w:val="20"/>
                <w:szCs w:val="20"/>
                <w:color w:val="auto"/>
              </w:rPr>
            </w:pPr>
            <w:r>
              <w:rPr>
                <w:rFonts w:ascii="Arial" w:cs="Arial" w:eastAsia="Arial" w:hAnsi="Arial"/>
                <w:sz w:val="14"/>
                <w:szCs w:val="14"/>
                <w:color w:val="4D4D4F"/>
              </w:rPr>
              <w:t>590,061</w:t>
            </w:r>
          </w:p>
        </w:tc>
        <w:tc>
          <w:tcPr>
            <w:tcW w:w="700" w:type="dxa"/>
            <w:vAlign w:val="bottom"/>
            <w:tcBorders>
              <w:bottom w:val="single" w:sz="8" w:color="EAEEF2"/>
            </w:tcBorders>
            <w:shd w:val="clear" w:color="auto" w:fill="EAEEF2"/>
          </w:tcPr>
          <w:p>
            <w:pPr>
              <w:jc w:val="right"/>
              <w:spacing w:after="0"/>
              <w:rPr>
                <w:sz w:val="20"/>
                <w:szCs w:val="20"/>
                <w:color w:val="auto"/>
              </w:rPr>
            </w:pPr>
            <w:r>
              <w:rPr>
                <w:rFonts w:ascii="Arial" w:cs="Arial" w:eastAsia="Arial" w:hAnsi="Arial"/>
                <w:sz w:val="14"/>
                <w:szCs w:val="14"/>
                <w:color w:val="4D4D4F"/>
              </w:rPr>
              <w:t>—</w:t>
            </w:r>
          </w:p>
        </w:tc>
        <w:tc>
          <w:tcPr>
            <w:tcW w:w="1660" w:type="dxa"/>
            <w:vAlign w:val="bottom"/>
            <w:tcBorders>
              <w:bottom w:val="single" w:sz="8" w:color="EAEEF2"/>
            </w:tcBorders>
            <w:shd w:val="clear" w:color="auto" w:fill="EAEEF2"/>
          </w:tcPr>
          <w:p>
            <w:pPr>
              <w:jc w:val="right"/>
              <w:ind w:right="188"/>
              <w:spacing w:after="0"/>
              <w:rPr>
                <w:sz w:val="20"/>
                <w:szCs w:val="20"/>
                <w:color w:val="auto"/>
              </w:rPr>
            </w:pPr>
            <w:r>
              <w:rPr>
                <w:rFonts w:ascii="Arial" w:cs="Arial" w:eastAsia="Arial" w:hAnsi="Arial"/>
                <w:sz w:val="14"/>
                <w:szCs w:val="14"/>
                <w:color w:val="4D4D4F"/>
              </w:rPr>
              <w:t>534,875</w:t>
            </w:r>
          </w:p>
        </w:tc>
        <w:tc>
          <w:tcPr>
            <w:tcW w:w="1680" w:type="dxa"/>
            <w:vAlign w:val="bottom"/>
            <w:tcBorders>
              <w:bottom w:val="single" w:sz="8" w:color="EAEEF2"/>
            </w:tcBorders>
            <w:shd w:val="clear" w:color="auto" w:fill="EAEEF2"/>
          </w:tcPr>
          <w:p>
            <w:pPr>
              <w:jc w:val="right"/>
              <w:ind w:right="148"/>
              <w:spacing w:after="0"/>
              <w:rPr>
                <w:sz w:val="20"/>
                <w:szCs w:val="20"/>
                <w:color w:val="auto"/>
              </w:rPr>
            </w:pPr>
            <w:r>
              <w:rPr>
                <w:rFonts w:ascii="Arial" w:cs="Arial" w:eastAsia="Arial" w:hAnsi="Arial"/>
                <w:sz w:val="14"/>
                <w:szCs w:val="14"/>
                <w:color w:val="4D4D4F"/>
              </w:rPr>
              <w:t>—</w:t>
            </w:r>
          </w:p>
        </w:tc>
        <w:tc>
          <w:tcPr>
            <w:tcW w:w="1320" w:type="dxa"/>
            <w:vAlign w:val="bottom"/>
            <w:tcBorders>
              <w:bottom w:val="single" w:sz="8" w:color="EAEEF2"/>
            </w:tcBorders>
            <w:shd w:val="clear" w:color="auto" w:fill="EAEEF2"/>
          </w:tcPr>
          <w:p>
            <w:pPr>
              <w:jc w:val="right"/>
              <w:spacing w:after="0"/>
              <w:rPr>
                <w:sz w:val="20"/>
                <w:szCs w:val="20"/>
                <w:color w:val="auto"/>
              </w:rPr>
            </w:pPr>
            <w:r>
              <w:rPr>
                <w:rFonts w:ascii="Arial" w:cs="Arial" w:eastAsia="Arial" w:hAnsi="Arial"/>
                <w:sz w:val="14"/>
                <w:szCs w:val="14"/>
                <w:color w:val="4D4D4F"/>
              </w:rPr>
              <w:t>24,374</w:t>
            </w:r>
          </w:p>
        </w:tc>
        <w:tc>
          <w:tcPr>
            <w:tcW w:w="1060" w:type="dxa"/>
            <w:vAlign w:val="bottom"/>
            <w:tcBorders>
              <w:bottom w:val="single" w:sz="8" w:color="DFEDE5"/>
            </w:tcBorders>
            <w:shd w:val="clear" w:color="auto" w:fill="DFEDE5"/>
          </w:tcPr>
          <w:p>
            <w:pPr>
              <w:jc w:val="right"/>
              <w:spacing w:after="0"/>
              <w:rPr>
                <w:sz w:val="20"/>
                <w:szCs w:val="20"/>
                <w:color w:val="auto"/>
              </w:rPr>
            </w:pPr>
            <w:r>
              <w:rPr>
                <w:rFonts w:ascii="Arial" w:cs="Arial" w:eastAsia="Arial" w:hAnsi="Arial"/>
                <w:sz w:val="14"/>
                <w:szCs w:val="14"/>
                <w:color w:val="4D4D4F"/>
              </w:rPr>
              <w:t>1,749,310</w:t>
            </w:r>
          </w:p>
        </w:tc>
        <w:tc>
          <w:tcPr>
            <w:tcW w:w="100" w:type="dxa"/>
            <w:vAlign w:val="bottom"/>
            <w:tcBorders>
              <w:bottom w:val="single" w:sz="8" w:color="DFEDE5"/>
            </w:tcBorders>
            <w:shd w:val="clear" w:color="auto" w:fill="DFEDE5"/>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298655"/>
          </w:tcPr>
          <w:p>
            <w:pPr>
              <w:spacing w:after="0" w:line="20" w:lineRule="exact"/>
              <w:rPr>
                <w:sz w:val="1"/>
                <w:szCs w:val="1"/>
                <w:color w:val="auto"/>
              </w:rPr>
            </w:pPr>
          </w:p>
        </w:tc>
        <w:tc>
          <w:tcPr>
            <w:tcW w:w="500" w:type="dxa"/>
            <w:vAlign w:val="bottom"/>
            <w:shd w:val="clear" w:color="auto" w:fill="298655"/>
          </w:tcPr>
          <w:p>
            <w:pPr>
              <w:spacing w:after="0" w:line="20" w:lineRule="exact"/>
              <w:rPr>
                <w:sz w:val="1"/>
                <w:szCs w:val="1"/>
                <w:color w:val="auto"/>
              </w:rPr>
            </w:pPr>
          </w:p>
        </w:tc>
        <w:tc>
          <w:tcPr>
            <w:tcW w:w="880" w:type="dxa"/>
            <w:vAlign w:val="bottom"/>
            <w:shd w:val="clear" w:color="auto" w:fill="298655"/>
          </w:tcPr>
          <w:p>
            <w:pPr>
              <w:spacing w:after="0" w:line="20" w:lineRule="exact"/>
              <w:rPr>
                <w:sz w:val="1"/>
                <w:szCs w:val="1"/>
                <w:color w:val="auto"/>
              </w:rPr>
            </w:pPr>
          </w:p>
        </w:tc>
        <w:tc>
          <w:tcPr>
            <w:tcW w:w="1180" w:type="dxa"/>
            <w:vAlign w:val="bottom"/>
            <w:shd w:val="clear" w:color="auto" w:fill="298655"/>
          </w:tcPr>
          <w:p>
            <w:pPr>
              <w:spacing w:after="0" w:line="20" w:lineRule="exact"/>
              <w:rPr>
                <w:sz w:val="1"/>
                <w:szCs w:val="1"/>
                <w:color w:val="auto"/>
              </w:rPr>
            </w:pPr>
          </w:p>
        </w:tc>
        <w:tc>
          <w:tcPr>
            <w:tcW w:w="700" w:type="dxa"/>
            <w:vAlign w:val="bottom"/>
            <w:shd w:val="clear" w:color="auto" w:fill="298655"/>
          </w:tcPr>
          <w:p>
            <w:pPr>
              <w:spacing w:after="0" w:line="20" w:lineRule="exact"/>
              <w:rPr>
                <w:sz w:val="1"/>
                <w:szCs w:val="1"/>
                <w:color w:val="auto"/>
              </w:rPr>
            </w:pPr>
          </w:p>
        </w:tc>
        <w:tc>
          <w:tcPr>
            <w:tcW w:w="1660" w:type="dxa"/>
            <w:vAlign w:val="bottom"/>
            <w:shd w:val="clear" w:color="auto" w:fill="298655"/>
          </w:tcPr>
          <w:p>
            <w:pPr>
              <w:spacing w:after="0" w:line="20" w:lineRule="exact"/>
              <w:rPr>
                <w:sz w:val="1"/>
                <w:szCs w:val="1"/>
                <w:color w:val="auto"/>
              </w:rPr>
            </w:pPr>
          </w:p>
        </w:tc>
        <w:tc>
          <w:tcPr>
            <w:tcW w:w="1680" w:type="dxa"/>
            <w:vAlign w:val="bottom"/>
            <w:shd w:val="clear" w:color="auto" w:fill="298655"/>
          </w:tcPr>
          <w:p>
            <w:pPr>
              <w:spacing w:after="0" w:line="20" w:lineRule="exact"/>
              <w:rPr>
                <w:sz w:val="1"/>
                <w:szCs w:val="1"/>
                <w:color w:val="auto"/>
              </w:rPr>
            </w:pPr>
          </w:p>
        </w:tc>
        <w:tc>
          <w:tcPr>
            <w:tcW w:w="1320" w:type="dxa"/>
            <w:vAlign w:val="bottom"/>
            <w:shd w:val="clear" w:color="auto" w:fill="298655"/>
          </w:tcPr>
          <w:p>
            <w:pPr>
              <w:spacing w:after="0" w:line="20" w:lineRule="exact"/>
              <w:rPr>
                <w:sz w:val="1"/>
                <w:szCs w:val="1"/>
                <w:color w:val="auto"/>
              </w:rPr>
            </w:pPr>
          </w:p>
        </w:tc>
        <w:tc>
          <w:tcPr>
            <w:tcW w:w="1060" w:type="dxa"/>
            <w:vAlign w:val="bottom"/>
            <w:shd w:val="clear" w:color="auto" w:fill="298655"/>
          </w:tcPr>
          <w:p>
            <w:pPr>
              <w:spacing w:after="0" w:line="20" w:lineRule="exact"/>
              <w:rPr>
                <w:sz w:val="1"/>
                <w:szCs w:val="1"/>
                <w:color w:val="auto"/>
              </w:rPr>
            </w:pPr>
          </w:p>
        </w:tc>
        <w:tc>
          <w:tcPr>
            <w:tcW w:w="100" w:type="dxa"/>
            <w:vAlign w:val="bottom"/>
            <w:shd w:val="clear" w:color="auto" w:fill="29865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500" w:hanging="330"/>
        <w:spacing w:after="0"/>
        <w:tabs>
          <w:tab w:leader="none" w:pos="500" w:val="left"/>
        </w:tabs>
        <w:numPr>
          <w:ilvl w:val="0"/>
          <w:numId w:val="96"/>
        </w:numPr>
        <w:rPr>
          <w:rFonts w:ascii="Arial" w:cs="Arial" w:eastAsia="Arial" w:hAnsi="Arial"/>
          <w:sz w:val="14"/>
          <w:szCs w:val="14"/>
          <w:color w:val="4D4D4F"/>
        </w:rPr>
      </w:pPr>
      <w:r>
        <w:rPr>
          <w:rFonts w:ascii="Arial" w:cs="Arial" w:eastAsia="Arial" w:hAnsi="Arial"/>
          <w:sz w:val="14"/>
          <w:szCs w:val="14"/>
          <w:color w:val="4D4D4F"/>
        </w:rPr>
        <w:t>For Mr. Kasbar, the 2022 salary reflects a prorated amount of salary increase to $1.0 million effective March 1, 2022.</w:t>
      </w:r>
    </w:p>
    <w:p>
      <w:pPr>
        <w:spacing w:after="0" w:line="68" w:lineRule="exact"/>
        <w:rPr>
          <w:rFonts w:ascii="Arial" w:cs="Arial" w:eastAsia="Arial" w:hAnsi="Arial"/>
          <w:sz w:val="14"/>
          <w:szCs w:val="14"/>
          <w:color w:val="4D4D4F"/>
        </w:rPr>
      </w:pPr>
    </w:p>
    <w:p>
      <w:pPr>
        <w:ind w:left="500" w:right="160" w:hanging="330"/>
        <w:spacing w:after="0" w:line="267" w:lineRule="auto"/>
        <w:tabs>
          <w:tab w:leader="none" w:pos="498" w:val="left"/>
        </w:tabs>
        <w:numPr>
          <w:ilvl w:val="0"/>
          <w:numId w:val="96"/>
        </w:numPr>
        <w:rPr>
          <w:rFonts w:ascii="Arial" w:cs="Arial" w:eastAsia="Arial" w:hAnsi="Arial"/>
          <w:sz w:val="14"/>
          <w:szCs w:val="14"/>
          <w:color w:val="4D4D4F"/>
        </w:rPr>
      </w:pPr>
      <w:r>
        <w:rPr>
          <w:rFonts w:ascii="Arial" w:cs="Arial" w:eastAsia="Arial" w:hAnsi="Arial"/>
          <w:sz w:val="14"/>
          <w:szCs w:val="14"/>
          <w:color w:val="4D4D4F"/>
        </w:rPr>
        <w:t>The amounts shown represent the estimated aggregate grant date fair value of the awards made in the year indicated relating to RSUs granted to the NEOs. The estimated grant date fair value of these awards is based on the grant date market value of our common stock as defined in our 2021 Omnibus Plan and is computed in accordance with FASB ASC Topic 718. Assumptions used in determining the aggregate grant date fair value of awards are set forth in Note 10 to the consolidated financial statements for the 2021 fiscal year and Note 12 to the consolidated financial statements for the 2022 and 2023 fiscal years, in each case in Item 15 of the respective Annual Reports on Form 10-K.</w:t>
      </w:r>
    </w:p>
    <w:p>
      <w:pPr>
        <w:spacing w:after="0" w:line="22" w:lineRule="exact"/>
        <w:rPr>
          <w:rFonts w:ascii="Arial" w:cs="Arial" w:eastAsia="Arial" w:hAnsi="Arial"/>
          <w:sz w:val="14"/>
          <w:szCs w:val="14"/>
          <w:color w:val="4D4D4F"/>
        </w:rPr>
      </w:pPr>
    </w:p>
    <w:p>
      <w:pPr>
        <w:ind w:left="500" w:hanging="330"/>
        <w:spacing w:after="0" w:line="265" w:lineRule="auto"/>
        <w:tabs>
          <w:tab w:leader="none" w:pos="498" w:val="left"/>
        </w:tabs>
        <w:numPr>
          <w:ilvl w:val="0"/>
          <w:numId w:val="96"/>
        </w:numPr>
        <w:rPr>
          <w:rFonts w:ascii="Arial" w:cs="Arial" w:eastAsia="Arial" w:hAnsi="Arial"/>
          <w:sz w:val="14"/>
          <w:szCs w:val="14"/>
          <w:color w:val="4D4D4F"/>
        </w:rPr>
      </w:pPr>
      <w:r>
        <w:rPr>
          <w:rFonts w:ascii="Arial" w:cs="Arial" w:eastAsia="Arial" w:hAnsi="Arial"/>
          <w:sz w:val="14"/>
          <w:szCs w:val="14"/>
          <w:color w:val="4D4D4F"/>
        </w:rPr>
        <w:t>For 2023, the Stock Awards column for the NEOs reflects the service-based RSUs and the three-year PRSUs that were awarded in March 2023, and reflects an assumption that the required performance goals for the PRSUs will be achieved at target levels. The grant date fair values for the PRSUs issued to the NEOs in 2023, assuming achievement of maximum performance are as follows: for Mr. Kasbar, $5,400,010; for Mr. Birns, $1,860,024; and for Mr. Rau, $1,860,024. A determination of the amount of the PRSUs, if any, that will be earned will be made in March 2026. See “Grants of Plan Based Awards Table” for more information. For 2022, the column includes the Transformational Awards that were granted in November 2022 ($6,059,802 for Mr. Kasbar; and $1,696,751 each for Messrs. Birns and Rau). For accounting purposes, the grant date fair value of the Transformation Awards is based on a Monte Carlo valuation. Consequently, the grant date fair values included in the Summary Compensation Table differ from the target values approved by the Compensation Committee.</w:t>
      </w:r>
    </w:p>
    <w:p>
      <w:pPr>
        <w:spacing w:after="0" w:line="11" w:lineRule="exact"/>
        <w:rPr>
          <w:rFonts w:ascii="Arial" w:cs="Arial" w:eastAsia="Arial" w:hAnsi="Arial"/>
          <w:sz w:val="14"/>
          <w:szCs w:val="14"/>
          <w:color w:val="4D4D4F"/>
        </w:rPr>
      </w:pPr>
    </w:p>
    <w:p>
      <w:pPr>
        <w:ind w:left="500" w:hanging="330"/>
        <w:spacing w:after="0"/>
        <w:tabs>
          <w:tab w:leader="none" w:pos="500" w:val="left"/>
        </w:tabs>
        <w:numPr>
          <w:ilvl w:val="0"/>
          <w:numId w:val="96"/>
        </w:numPr>
        <w:rPr>
          <w:rFonts w:ascii="Arial" w:cs="Arial" w:eastAsia="Arial" w:hAnsi="Arial"/>
          <w:sz w:val="14"/>
          <w:szCs w:val="14"/>
          <w:color w:val="4D4D4F"/>
        </w:rPr>
      </w:pPr>
      <w:r>
        <w:rPr>
          <w:rFonts w:ascii="Arial" w:cs="Arial" w:eastAsia="Arial" w:hAnsi="Arial"/>
          <w:sz w:val="14"/>
          <w:szCs w:val="14"/>
          <w:color w:val="4D4D4F"/>
        </w:rPr>
        <w:t>For 2023, this amount reflects an annual cash incentive award earned by each NEO.</w:t>
      </w:r>
    </w:p>
    <w:p>
      <w:pPr>
        <w:spacing w:after="0" w:line="68" w:lineRule="exact"/>
        <w:rPr>
          <w:rFonts w:ascii="Arial" w:cs="Arial" w:eastAsia="Arial" w:hAnsi="Arial"/>
          <w:sz w:val="14"/>
          <w:szCs w:val="14"/>
          <w:color w:val="4D4D4F"/>
        </w:rPr>
      </w:pPr>
    </w:p>
    <w:p>
      <w:pPr>
        <w:ind w:left="500" w:right="140" w:hanging="330"/>
        <w:spacing w:after="0" w:line="267" w:lineRule="auto"/>
        <w:tabs>
          <w:tab w:leader="none" w:pos="498" w:val="left"/>
        </w:tabs>
        <w:numPr>
          <w:ilvl w:val="0"/>
          <w:numId w:val="96"/>
        </w:numPr>
        <w:rPr>
          <w:rFonts w:ascii="Arial" w:cs="Arial" w:eastAsia="Arial" w:hAnsi="Arial"/>
          <w:sz w:val="14"/>
          <w:szCs w:val="14"/>
          <w:color w:val="4D4D4F"/>
        </w:rPr>
      </w:pPr>
      <w:r>
        <w:rPr>
          <w:rFonts w:ascii="Arial" w:cs="Arial" w:eastAsia="Arial" w:hAnsi="Arial"/>
          <w:sz w:val="14"/>
          <w:szCs w:val="14"/>
          <w:color w:val="4D4D4F"/>
        </w:rPr>
        <w:t>For 2023, reflects interest accrued for 2023 in connection with a portion of the bonus earned by Mr. Kasbar for the 2002 fiscal year, which was deferred pursuant to a provision of his previous employment agreement that provided that any amount so deferred would be credited with interest at the prime rate as published in the Wall Street Journal (the “Kasbar Accrued Interest”). The portion reflected in this column for 2023 is the portion of the Kasbar Accrued Interest that constitutes “above market earnings” within the meaning of the applicable SEC rules for 2023. The full amount of the Kasbar Accrued Interest is reflected in the “Non-Qualified Deferred Compensation” table” on page 67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60" w:hanging="534"/>
        <w:spacing w:after="0"/>
        <w:tabs>
          <w:tab w:leader="none" w:pos="560" w:val="left"/>
        </w:tabs>
        <w:numPr>
          <w:ilvl w:val="0"/>
          <w:numId w:val="97"/>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67" w:name="page68"/>
    <w:bookmarkEnd w:id="67"/>
    <w:p>
      <w:pPr>
        <w:ind w:left="20"/>
        <w:spacing w:after="0"/>
        <w:rPr>
          <w:sz w:val="20"/>
          <w:szCs w:val="20"/>
          <w:color w:val="auto"/>
        </w:rPr>
      </w:pPr>
      <w:r>
        <w:rPr>
          <w:rFonts w:ascii="Arial" w:cs="Arial" w:eastAsia="Arial" w:hAnsi="Arial"/>
          <w:sz w:val="14"/>
          <w:szCs w:val="14"/>
          <w:b w:val="1"/>
          <w:bCs w:val="1"/>
          <w:color w:val="5B6770"/>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500" w:hanging="330"/>
        <w:spacing w:after="0"/>
        <w:tabs>
          <w:tab w:leader="none" w:pos="500" w:val="left"/>
        </w:tabs>
        <w:numPr>
          <w:ilvl w:val="0"/>
          <w:numId w:val="98"/>
        </w:numPr>
        <w:rPr>
          <w:rFonts w:ascii="Arial" w:cs="Arial" w:eastAsia="Arial" w:hAnsi="Arial"/>
          <w:sz w:val="14"/>
          <w:szCs w:val="14"/>
          <w:color w:val="4D4D4F"/>
        </w:rPr>
      </w:pPr>
      <w:r>
        <w:rPr>
          <w:rFonts w:ascii="Arial" w:cs="Arial" w:eastAsia="Arial" w:hAnsi="Arial"/>
          <w:sz w:val="14"/>
          <w:szCs w:val="14"/>
          <w:color w:val="4D4D4F"/>
        </w:rPr>
        <w:t>Details of the 2023 amounts are set forth below in the “All Other Compensation Table”.</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00529B"/>
        </w:rPr>
        <w:t>All Other Compensation Table</w:t>
      </w:r>
    </w:p>
    <w:p>
      <w:pPr>
        <w:spacing w:after="0" w:line="185" w:lineRule="exact"/>
        <w:rPr>
          <w:sz w:val="20"/>
          <w:szCs w:val="20"/>
          <w:color w:val="auto"/>
        </w:rPr>
      </w:pPr>
    </w:p>
    <w:tbl>
      <w:tblPr>
        <w:tblLayout w:type="fixed"/>
        <w:tblInd w:w="500" w:type="dxa"/>
        <w:tblCellMar>
          <w:top w:w="0" w:type="dxa"/>
          <w:left w:w="0" w:type="dxa"/>
          <w:bottom w:w="0" w:type="dxa"/>
          <w:right w:w="0" w:type="dxa"/>
        </w:tblCellMar>
      </w:tblPr>
      <w:tr>
        <w:trPr>
          <w:trHeight w:val="191"/>
        </w:trPr>
        <w:tc>
          <w:tcPr>
            <w:tcW w:w="2500" w:type="dxa"/>
            <w:vAlign w:val="bottom"/>
            <w:shd w:val="clear" w:color="auto" w:fill="132440"/>
          </w:tcPr>
          <w:p>
            <w:pPr>
              <w:spacing w:after="0"/>
              <w:rPr>
                <w:sz w:val="16"/>
                <w:szCs w:val="16"/>
                <w:color w:val="auto"/>
              </w:rPr>
            </w:pPr>
          </w:p>
        </w:tc>
        <w:tc>
          <w:tcPr>
            <w:tcW w:w="2780" w:type="dxa"/>
            <w:vAlign w:val="bottom"/>
            <w:shd w:val="clear" w:color="auto" w:fill="132440"/>
          </w:tcPr>
          <w:p>
            <w:pPr>
              <w:jc w:val="right"/>
              <w:ind w:right="228"/>
              <w:spacing w:after="0"/>
              <w:rPr>
                <w:sz w:val="20"/>
                <w:szCs w:val="20"/>
                <w:color w:val="auto"/>
              </w:rPr>
            </w:pPr>
            <w:r>
              <w:rPr>
                <w:rFonts w:ascii="Arial" w:cs="Arial" w:eastAsia="Arial" w:hAnsi="Arial"/>
                <w:sz w:val="14"/>
                <w:szCs w:val="14"/>
                <w:b w:val="1"/>
                <w:bCs w:val="1"/>
                <w:color w:val="FFFFFF"/>
              </w:rPr>
              <w:t>Insurance &amp; Health</w:t>
            </w:r>
          </w:p>
        </w:tc>
        <w:tc>
          <w:tcPr>
            <w:tcW w:w="1900" w:type="dxa"/>
            <w:vAlign w:val="bottom"/>
            <w:shd w:val="clear" w:color="auto" w:fill="132440"/>
          </w:tcPr>
          <w:p>
            <w:pPr>
              <w:jc w:val="right"/>
              <w:ind w:right="308"/>
              <w:spacing w:after="0"/>
              <w:rPr>
                <w:sz w:val="20"/>
                <w:szCs w:val="20"/>
                <w:color w:val="auto"/>
              </w:rPr>
            </w:pPr>
            <w:r>
              <w:rPr>
                <w:rFonts w:ascii="Arial" w:cs="Arial" w:eastAsia="Arial" w:hAnsi="Arial"/>
                <w:sz w:val="14"/>
                <w:szCs w:val="14"/>
                <w:b w:val="1"/>
                <w:bCs w:val="1"/>
                <w:color w:val="FFFFFF"/>
              </w:rPr>
              <w:t>Country Club</w:t>
            </w:r>
          </w:p>
        </w:tc>
        <w:tc>
          <w:tcPr>
            <w:tcW w:w="200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Matching Contributions</w:t>
            </w:r>
          </w:p>
        </w:tc>
        <w:tc>
          <w:tcPr>
            <w:tcW w:w="1460" w:type="dxa"/>
            <w:vAlign w:val="bottom"/>
            <w:vMerge w:val="restart"/>
            <w:shd w:val="clear" w:color="auto" w:fill="298655"/>
          </w:tcPr>
          <w:p>
            <w:pPr>
              <w:jc w:val="right"/>
              <w:ind w:right="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4"/>
        </w:trPr>
        <w:tc>
          <w:tcPr>
            <w:tcW w:w="2500" w:type="dxa"/>
            <w:vAlign w:val="bottom"/>
            <w:shd w:val="clear" w:color="auto" w:fill="132440"/>
          </w:tcPr>
          <w:p>
            <w:pPr>
              <w:spacing w:after="0"/>
              <w:rPr>
                <w:sz w:val="14"/>
                <w:szCs w:val="14"/>
                <w:color w:val="auto"/>
              </w:rPr>
            </w:pPr>
          </w:p>
        </w:tc>
        <w:tc>
          <w:tcPr>
            <w:tcW w:w="2780" w:type="dxa"/>
            <w:vAlign w:val="bottom"/>
            <w:shd w:val="clear" w:color="auto" w:fill="132440"/>
          </w:tcPr>
          <w:p>
            <w:pPr>
              <w:jc w:val="right"/>
              <w:ind w:right="228"/>
              <w:spacing w:after="0" w:line="164" w:lineRule="exact"/>
              <w:rPr>
                <w:sz w:val="20"/>
                <w:szCs w:val="20"/>
                <w:color w:val="auto"/>
              </w:rPr>
            </w:pPr>
            <w:r>
              <w:rPr>
                <w:rFonts w:ascii="Arial" w:cs="Arial" w:eastAsia="Arial" w:hAnsi="Arial"/>
                <w:sz w:val="14"/>
                <w:szCs w:val="14"/>
                <w:b w:val="1"/>
                <w:bCs w:val="1"/>
                <w:color w:val="FFFFFF"/>
              </w:rPr>
              <w:t>Benefits</w:t>
            </w:r>
            <w:r>
              <w:rPr>
                <w:rFonts w:ascii="Arial" w:cs="Arial" w:eastAsia="Arial" w:hAnsi="Arial"/>
                <w:sz w:val="18"/>
                <w:szCs w:val="18"/>
                <w:b w:val="1"/>
                <w:bCs w:val="1"/>
                <w:color w:val="FFFFFF"/>
                <w:vertAlign w:val="superscript"/>
              </w:rPr>
              <w:t>(1)</w:t>
            </w:r>
          </w:p>
        </w:tc>
        <w:tc>
          <w:tcPr>
            <w:tcW w:w="1900" w:type="dxa"/>
            <w:vAlign w:val="bottom"/>
            <w:shd w:val="clear" w:color="auto" w:fill="132440"/>
          </w:tcPr>
          <w:p>
            <w:pPr>
              <w:jc w:val="right"/>
              <w:ind w:right="308"/>
              <w:spacing w:after="0"/>
              <w:rPr>
                <w:sz w:val="20"/>
                <w:szCs w:val="20"/>
                <w:color w:val="auto"/>
              </w:rPr>
            </w:pPr>
            <w:r>
              <w:rPr>
                <w:rFonts w:ascii="Arial" w:cs="Arial" w:eastAsia="Arial" w:hAnsi="Arial"/>
                <w:sz w:val="14"/>
                <w:szCs w:val="14"/>
                <w:b w:val="1"/>
                <w:bCs w:val="1"/>
                <w:color w:val="FFFFFF"/>
              </w:rPr>
              <w:t>Membership Dues</w:t>
            </w:r>
          </w:p>
        </w:tc>
        <w:tc>
          <w:tcPr>
            <w:tcW w:w="2000" w:type="dxa"/>
            <w:vAlign w:val="bottom"/>
            <w:shd w:val="clear" w:color="auto" w:fill="132440"/>
          </w:tcPr>
          <w:p>
            <w:pPr>
              <w:jc w:val="right"/>
              <w:spacing w:after="0" w:line="164" w:lineRule="exact"/>
              <w:rPr>
                <w:sz w:val="20"/>
                <w:szCs w:val="20"/>
                <w:color w:val="auto"/>
              </w:rPr>
            </w:pPr>
            <w:r>
              <w:rPr>
                <w:rFonts w:ascii="Arial" w:cs="Arial" w:eastAsia="Arial" w:hAnsi="Arial"/>
                <w:sz w:val="14"/>
                <w:szCs w:val="14"/>
                <w:b w:val="1"/>
                <w:bCs w:val="1"/>
                <w:color w:val="FFFFFF"/>
              </w:rPr>
              <w:t>to 401(k)</w:t>
            </w:r>
            <w:r>
              <w:rPr>
                <w:rFonts w:ascii="Arial" w:cs="Arial" w:eastAsia="Arial" w:hAnsi="Arial"/>
                <w:sz w:val="18"/>
                <w:szCs w:val="18"/>
                <w:b w:val="1"/>
                <w:bCs w:val="1"/>
                <w:color w:val="FFFFFF"/>
                <w:vertAlign w:val="superscript"/>
              </w:rPr>
              <w:t>(2)</w:t>
            </w:r>
          </w:p>
        </w:tc>
        <w:tc>
          <w:tcPr>
            <w:tcW w:w="1460" w:type="dxa"/>
            <w:vAlign w:val="bottom"/>
            <w:vMerge w:val="continue"/>
            <w:shd w:val="clear" w:color="auto" w:fill="298655"/>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0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Name</w:t>
            </w:r>
          </w:p>
        </w:tc>
        <w:tc>
          <w:tcPr>
            <w:tcW w:w="2780" w:type="dxa"/>
            <w:vAlign w:val="bottom"/>
            <w:shd w:val="clear" w:color="auto" w:fill="132440"/>
          </w:tcPr>
          <w:p>
            <w:pPr>
              <w:jc w:val="right"/>
              <w:ind w:right="228"/>
              <w:spacing w:after="0"/>
              <w:rPr>
                <w:sz w:val="20"/>
                <w:szCs w:val="20"/>
                <w:color w:val="auto"/>
              </w:rPr>
            </w:pPr>
            <w:r>
              <w:rPr>
                <w:rFonts w:ascii="Arial" w:cs="Arial" w:eastAsia="Arial" w:hAnsi="Arial"/>
                <w:sz w:val="14"/>
                <w:szCs w:val="14"/>
                <w:b w:val="1"/>
                <w:bCs w:val="1"/>
                <w:color w:val="FFFFFF"/>
              </w:rPr>
              <w:t>($)</w:t>
            </w:r>
          </w:p>
        </w:tc>
        <w:tc>
          <w:tcPr>
            <w:tcW w:w="1900" w:type="dxa"/>
            <w:vAlign w:val="bottom"/>
            <w:shd w:val="clear" w:color="auto" w:fill="132440"/>
          </w:tcPr>
          <w:p>
            <w:pPr>
              <w:jc w:val="right"/>
              <w:ind w:right="308"/>
              <w:spacing w:after="0"/>
              <w:rPr>
                <w:sz w:val="20"/>
                <w:szCs w:val="20"/>
                <w:color w:val="auto"/>
              </w:rPr>
            </w:pPr>
            <w:r>
              <w:rPr>
                <w:rFonts w:ascii="Arial" w:cs="Arial" w:eastAsia="Arial" w:hAnsi="Arial"/>
                <w:sz w:val="14"/>
                <w:szCs w:val="14"/>
                <w:b w:val="1"/>
                <w:bCs w:val="1"/>
                <w:color w:val="FFFFFF"/>
              </w:rPr>
              <w:t>($)</w:t>
            </w:r>
          </w:p>
        </w:tc>
        <w:tc>
          <w:tcPr>
            <w:tcW w:w="200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298655"/>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250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Michael J. Kasbar</w:t>
            </w:r>
          </w:p>
        </w:tc>
        <w:tc>
          <w:tcPr>
            <w:tcW w:w="2780" w:type="dxa"/>
            <w:vAlign w:val="bottom"/>
            <w:shd w:val="clear" w:color="auto" w:fill="EAEEF2"/>
          </w:tcPr>
          <w:p>
            <w:pPr>
              <w:jc w:val="right"/>
              <w:ind w:right="268"/>
              <w:spacing w:after="0"/>
              <w:rPr>
                <w:sz w:val="20"/>
                <w:szCs w:val="20"/>
                <w:color w:val="auto"/>
              </w:rPr>
            </w:pPr>
            <w:r>
              <w:rPr>
                <w:rFonts w:ascii="Arial" w:cs="Arial" w:eastAsia="Arial" w:hAnsi="Arial"/>
                <w:sz w:val="14"/>
                <w:szCs w:val="14"/>
                <w:color w:val="4D4D4F"/>
              </w:rPr>
              <w:t>15,894</w:t>
            </w:r>
          </w:p>
        </w:tc>
        <w:tc>
          <w:tcPr>
            <w:tcW w:w="1900" w:type="dxa"/>
            <w:vAlign w:val="bottom"/>
            <w:shd w:val="clear" w:color="auto" w:fill="EAEEF2"/>
          </w:tcPr>
          <w:p>
            <w:pPr>
              <w:jc w:val="right"/>
              <w:ind w:right="348"/>
              <w:spacing w:after="0"/>
              <w:rPr>
                <w:sz w:val="20"/>
                <w:szCs w:val="20"/>
                <w:color w:val="auto"/>
              </w:rPr>
            </w:pPr>
            <w:r>
              <w:rPr>
                <w:rFonts w:ascii="Arial" w:cs="Arial" w:eastAsia="Arial" w:hAnsi="Arial"/>
                <w:sz w:val="14"/>
                <w:szCs w:val="14"/>
                <w:color w:val="4D4D4F"/>
              </w:rPr>
              <w:t>17,013</w:t>
            </w:r>
          </w:p>
        </w:tc>
        <w:tc>
          <w:tcPr>
            <w:tcW w:w="2000" w:type="dxa"/>
            <w:vAlign w:val="bottom"/>
            <w:shd w:val="clear" w:color="auto" w:fill="EAEEF2"/>
          </w:tcPr>
          <w:p>
            <w:pPr>
              <w:jc w:val="right"/>
              <w:ind w:right="8"/>
              <w:spacing w:after="0"/>
              <w:rPr>
                <w:sz w:val="20"/>
                <w:szCs w:val="20"/>
                <w:color w:val="auto"/>
              </w:rPr>
            </w:pPr>
            <w:r>
              <w:rPr>
                <w:rFonts w:ascii="Arial" w:cs="Arial" w:eastAsia="Arial" w:hAnsi="Arial"/>
                <w:sz w:val="14"/>
                <w:szCs w:val="14"/>
                <w:color w:val="4D4D4F"/>
              </w:rPr>
              <w:t>9,900</w:t>
            </w:r>
          </w:p>
        </w:tc>
        <w:tc>
          <w:tcPr>
            <w:tcW w:w="1460" w:type="dxa"/>
            <w:vAlign w:val="bottom"/>
            <w:shd w:val="clear" w:color="auto" w:fill="DFEDE5"/>
          </w:tcPr>
          <w:p>
            <w:pPr>
              <w:jc w:val="right"/>
              <w:ind w:right="88"/>
              <w:spacing w:after="0"/>
              <w:rPr>
                <w:sz w:val="20"/>
                <w:szCs w:val="20"/>
                <w:color w:val="auto"/>
              </w:rPr>
            </w:pPr>
            <w:r>
              <w:rPr>
                <w:rFonts w:ascii="Arial" w:cs="Arial" w:eastAsia="Arial" w:hAnsi="Arial"/>
                <w:sz w:val="14"/>
                <w:szCs w:val="14"/>
                <w:color w:val="4D4D4F"/>
              </w:rPr>
              <w:t>42,807</w:t>
            </w:r>
          </w:p>
        </w:tc>
        <w:tc>
          <w:tcPr>
            <w:tcW w:w="0" w:type="dxa"/>
            <w:vAlign w:val="bottom"/>
          </w:tcPr>
          <w:p>
            <w:pPr>
              <w:spacing w:after="0"/>
              <w:rPr>
                <w:sz w:val="1"/>
                <w:szCs w:val="1"/>
                <w:color w:val="auto"/>
              </w:rPr>
            </w:pPr>
          </w:p>
        </w:tc>
      </w:tr>
      <w:tr>
        <w:trPr>
          <w:trHeight w:val="222"/>
        </w:trPr>
        <w:tc>
          <w:tcPr>
            <w:tcW w:w="2500" w:type="dxa"/>
            <w:vAlign w:val="bottom"/>
          </w:tcPr>
          <w:p>
            <w:pPr>
              <w:ind w:left="100"/>
              <w:spacing w:after="0"/>
              <w:rPr>
                <w:sz w:val="20"/>
                <w:szCs w:val="20"/>
                <w:color w:val="auto"/>
              </w:rPr>
            </w:pPr>
            <w:r>
              <w:rPr>
                <w:rFonts w:ascii="Arial" w:cs="Arial" w:eastAsia="Arial" w:hAnsi="Arial"/>
                <w:sz w:val="14"/>
                <w:szCs w:val="14"/>
                <w:b w:val="1"/>
                <w:bCs w:val="1"/>
                <w:color w:val="4D4D4F"/>
              </w:rPr>
              <w:t>Ira M. Birns</w:t>
            </w:r>
          </w:p>
        </w:tc>
        <w:tc>
          <w:tcPr>
            <w:tcW w:w="2780" w:type="dxa"/>
            <w:vAlign w:val="bottom"/>
          </w:tcPr>
          <w:p>
            <w:pPr>
              <w:jc w:val="right"/>
              <w:ind w:right="268"/>
              <w:spacing w:after="0"/>
              <w:rPr>
                <w:sz w:val="20"/>
                <w:szCs w:val="20"/>
                <w:color w:val="auto"/>
              </w:rPr>
            </w:pPr>
            <w:r>
              <w:rPr>
                <w:rFonts w:ascii="Arial" w:cs="Arial" w:eastAsia="Arial" w:hAnsi="Arial"/>
                <w:sz w:val="14"/>
                <w:szCs w:val="14"/>
                <w:color w:val="4D4D4F"/>
              </w:rPr>
              <w:t>13,008</w:t>
            </w:r>
          </w:p>
        </w:tc>
        <w:tc>
          <w:tcPr>
            <w:tcW w:w="1900" w:type="dxa"/>
            <w:vAlign w:val="bottom"/>
          </w:tcPr>
          <w:p>
            <w:pPr>
              <w:jc w:val="right"/>
              <w:ind w:right="348"/>
              <w:spacing w:after="0"/>
              <w:rPr>
                <w:sz w:val="20"/>
                <w:szCs w:val="20"/>
                <w:color w:val="auto"/>
              </w:rPr>
            </w:pPr>
            <w:r>
              <w:rPr>
                <w:rFonts w:ascii="Arial" w:cs="Arial" w:eastAsia="Arial" w:hAnsi="Arial"/>
                <w:sz w:val="14"/>
                <w:szCs w:val="14"/>
                <w:color w:val="4D4D4F"/>
              </w:rPr>
              <w:t>7,383</w:t>
            </w:r>
          </w:p>
        </w:tc>
        <w:tc>
          <w:tcPr>
            <w:tcW w:w="2000" w:type="dxa"/>
            <w:vAlign w:val="bottom"/>
          </w:tcPr>
          <w:p>
            <w:pPr>
              <w:jc w:val="right"/>
              <w:ind w:right="8"/>
              <w:spacing w:after="0"/>
              <w:rPr>
                <w:sz w:val="20"/>
                <w:szCs w:val="20"/>
                <w:color w:val="auto"/>
              </w:rPr>
            </w:pPr>
            <w:r>
              <w:rPr>
                <w:rFonts w:ascii="Arial" w:cs="Arial" w:eastAsia="Arial" w:hAnsi="Arial"/>
                <w:sz w:val="14"/>
                <w:szCs w:val="14"/>
                <w:color w:val="4D4D4F"/>
              </w:rPr>
              <w:t>9,900</w:t>
            </w:r>
          </w:p>
        </w:tc>
        <w:tc>
          <w:tcPr>
            <w:tcW w:w="1460" w:type="dxa"/>
            <w:vAlign w:val="bottom"/>
          </w:tcPr>
          <w:p>
            <w:pPr>
              <w:jc w:val="right"/>
              <w:ind w:right="88"/>
              <w:spacing w:after="0"/>
              <w:rPr>
                <w:sz w:val="20"/>
                <w:szCs w:val="20"/>
                <w:color w:val="auto"/>
              </w:rPr>
            </w:pPr>
            <w:r>
              <w:rPr>
                <w:rFonts w:ascii="Arial" w:cs="Arial" w:eastAsia="Arial" w:hAnsi="Arial"/>
                <w:sz w:val="14"/>
                <w:szCs w:val="14"/>
                <w:color w:val="4D4D4F"/>
              </w:rPr>
              <w:t>30,291</w:t>
            </w:r>
          </w:p>
        </w:tc>
        <w:tc>
          <w:tcPr>
            <w:tcW w:w="0" w:type="dxa"/>
            <w:vAlign w:val="bottom"/>
          </w:tcPr>
          <w:p>
            <w:pPr>
              <w:spacing w:after="0"/>
              <w:rPr>
                <w:sz w:val="1"/>
                <w:szCs w:val="1"/>
                <w:color w:val="auto"/>
              </w:rPr>
            </w:pPr>
          </w:p>
        </w:tc>
      </w:tr>
      <w:tr>
        <w:trPr>
          <w:trHeight w:val="231"/>
        </w:trPr>
        <w:tc>
          <w:tcPr>
            <w:tcW w:w="2500" w:type="dxa"/>
            <w:vAlign w:val="bottom"/>
            <w:tcBorders>
              <w:bottom w:val="single" w:sz="8" w:color="298655"/>
            </w:tcBorders>
            <w:shd w:val="clear" w:color="auto" w:fill="EAEEF2"/>
          </w:tcPr>
          <w:p>
            <w:pPr>
              <w:ind w:left="100"/>
              <w:spacing w:after="0"/>
              <w:rPr>
                <w:sz w:val="20"/>
                <w:szCs w:val="20"/>
                <w:color w:val="auto"/>
              </w:rPr>
            </w:pPr>
            <w:r>
              <w:rPr>
                <w:rFonts w:ascii="Arial" w:cs="Arial" w:eastAsia="Arial" w:hAnsi="Arial"/>
                <w:sz w:val="14"/>
                <w:szCs w:val="14"/>
                <w:b w:val="1"/>
                <w:bCs w:val="1"/>
                <w:color w:val="4D4D4F"/>
              </w:rPr>
              <w:t>John P. Rau</w:t>
            </w:r>
          </w:p>
        </w:tc>
        <w:tc>
          <w:tcPr>
            <w:tcW w:w="2780" w:type="dxa"/>
            <w:vAlign w:val="bottom"/>
            <w:tcBorders>
              <w:bottom w:val="single" w:sz="8" w:color="298655"/>
            </w:tcBorders>
            <w:shd w:val="clear" w:color="auto" w:fill="EAEEF2"/>
          </w:tcPr>
          <w:p>
            <w:pPr>
              <w:jc w:val="right"/>
              <w:ind w:right="268"/>
              <w:spacing w:after="0"/>
              <w:rPr>
                <w:sz w:val="20"/>
                <w:szCs w:val="20"/>
                <w:color w:val="auto"/>
              </w:rPr>
            </w:pPr>
            <w:r>
              <w:rPr>
                <w:rFonts w:ascii="Arial" w:cs="Arial" w:eastAsia="Arial" w:hAnsi="Arial"/>
                <w:sz w:val="14"/>
                <w:szCs w:val="14"/>
                <w:color w:val="4D4D4F"/>
              </w:rPr>
              <w:t>10,128</w:t>
            </w:r>
          </w:p>
        </w:tc>
        <w:tc>
          <w:tcPr>
            <w:tcW w:w="1900" w:type="dxa"/>
            <w:vAlign w:val="bottom"/>
            <w:tcBorders>
              <w:bottom w:val="single" w:sz="8" w:color="298655"/>
            </w:tcBorders>
            <w:shd w:val="clear" w:color="auto" w:fill="EAEEF2"/>
          </w:tcPr>
          <w:p>
            <w:pPr>
              <w:jc w:val="right"/>
              <w:ind w:right="348"/>
              <w:spacing w:after="0"/>
              <w:rPr>
                <w:sz w:val="20"/>
                <w:szCs w:val="20"/>
                <w:color w:val="auto"/>
              </w:rPr>
            </w:pPr>
            <w:r>
              <w:rPr>
                <w:rFonts w:ascii="Arial" w:cs="Arial" w:eastAsia="Arial" w:hAnsi="Arial"/>
                <w:sz w:val="14"/>
                <w:szCs w:val="14"/>
                <w:color w:val="4D4D4F"/>
              </w:rPr>
              <w:t>7,383</w:t>
            </w:r>
          </w:p>
        </w:tc>
        <w:tc>
          <w:tcPr>
            <w:tcW w:w="2000" w:type="dxa"/>
            <w:vAlign w:val="bottom"/>
            <w:tcBorders>
              <w:bottom w:val="single" w:sz="8" w:color="298655"/>
            </w:tcBorders>
            <w:shd w:val="clear" w:color="auto" w:fill="EAEEF2"/>
          </w:tcPr>
          <w:p>
            <w:pPr>
              <w:jc w:val="right"/>
              <w:ind w:right="8"/>
              <w:spacing w:after="0"/>
              <w:rPr>
                <w:sz w:val="20"/>
                <w:szCs w:val="20"/>
                <w:color w:val="auto"/>
              </w:rPr>
            </w:pPr>
            <w:r>
              <w:rPr>
                <w:rFonts w:ascii="Arial" w:cs="Arial" w:eastAsia="Arial" w:hAnsi="Arial"/>
                <w:sz w:val="14"/>
                <w:szCs w:val="14"/>
                <w:color w:val="4D4D4F"/>
              </w:rPr>
              <w:t>9,900</w:t>
            </w:r>
          </w:p>
        </w:tc>
        <w:tc>
          <w:tcPr>
            <w:tcW w:w="1460" w:type="dxa"/>
            <w:vAlign w:val="bottom"/>
            <w:tcBorders>
              <w:bottom w:val="single" w:sz="8" w:color="298655"/>
            </w:tcBorders>
            <w:shd w:val="clear" w:color="auto" w:fill="DFEDE5"/>
          </w:tcPr>
          <w:p>
            <w:pPr>
              <w:jc w:val="right"/>
              <w:ind w:right="88"/>
              <w:spacing w:after="0"/>
              <w:rPr>
                <w:sz w:val="20"/>
                <w:szCs w:val="20"/>
                <w:color w:val="auto"/>
              </w:rPr>
            </w:pPr>
            <w:r>
              <w:rPr>
                <w:rFonts w:ascii="Arial" w:cs="Arial" w:eastAsia="Arial" w:hAnsi="Arial"/>
                <w:sz w:val="14"/>
                <w:szCs w:val="14"/>
                <w:color w:val="4D4D4F"/>
              </w:rPr>
              <w:t>27,411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820" w:right="380" w:hanging="326"/>
        <w:spacing w:after="0" w:line="301" w:lineRule="auto"/>
        <w:tabs>
          <w:tab w:leader="none" w:pos="818" w:val="left"/>
        </w:tabs>
        <w:numPr>
          <w:ilvl w:val="0"/>
          <w:numId w:val="99"/>
        </w:numPr>
        <w:rPr>
          <w:rFonts w:ascii="Arial" w:cs="Arial" w:eastAsia="Arial" w:hAnsi="Arial"/>
          <w:sz w:val="14"/>
          <w:szCs w:val="14"/>
          <w:color w:val="4D4D4F"/>
        </w:rPr>
      </w:pPr>
      <w:r>
        <w:rPr>
          <w:rFonts w:ascii="Arial" w:cs="Arial" w:eastAsia="Arial" w:hAnsi="Arial"/>
          <w:sz w:val="14"/>
          <w:szCs w:val="14"/>
          <w:color w:val="4D4D4F"/>
        </w:rPr>
        <w:t>The amounts shown in this column reflect premiums associated with individual disability insurance and executive life insurance, both of which are available for Company management-level employees, and for Messrs. Kasbar and Birns, certain health insurance reimbursements.</w:t>
      </w:r>
    </w:p>
    <w:p>
      <w:pPr>
        <w:spacing w:after="0" w:line="1" w:lineRule="exact"/>
        <w:rPr>
          <w:rFonts w:ascii="Arial" w:cs="Arial" w:eastAsia="Arial" w:hAnsi="Arial"/>
          <w:sz w:val="14"/>
          <w:szCs w:val="14"/>
          <w:color w:val="4D4D4F"/>
        </w:rPr>
      </w:pPr>
    </w:p>
    <w:p>
      <w:pPr>
        <w:ind w:left="820" w:right="240" w:hanging="326"/>
        <w:spacing w:after="0" w:line="305" w:lineRule="auto"/>
        <w:tabs>
          <w:tab w:leader="none" w:pos="818" w:val="left"/>
        </w:tabs>
        <w:numPr>
          <w:ilvl w:val="0"/>
          <w:numId w:val="99"/>
        </w:numPr>
        <w:rPr>
          <w:rFonts w:ascii="Arial" w:cs="Arial" w:eastAsia="Arial" w:hAnsi="Arial"/>
          <w:sz w:val="14"/>
          <w:szCs w:val="14"/>
          <w:color w:val="4D4D4F"/>
        </w:rPr>
      </w:pPr>
      <w:r>
        <w:rPr>
          <w:rFonts w:ascii="Arial" w:cs="Arial" w:eastAsia="Arial" w:hAnsi="Arial"/>
          <w:sz w:val="14"/>
          <w:szCs w:val="14"/>
          <w:color w:val="4D4D4F"/>
        </w:rPr>
        <w:t>The amounts shown in this column reflect our matching contributions under our 401(k) plan, which is available for all our employees. For more information about our 401(k) Plan, please see the discussion under “Retirement and Deferred Compensation” on page 61 of this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Grants of Plan-Based Awards</w:t>
      </w:r>
    </w:p>
    <w:p>
      <w:pPr>
        <w:spacing w:after="0" w:line="141"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4D4D4F"/>
        </w:rPr>
        <w:t>The following table provides additional information about stock awards and equity and non-equity incentive plan awards granted to our NEOs during the year ended December 31,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20" w:type="dxa"/>
            <w:vAlign w:val="bottom"/>
            <w:gridSpan w:val="3"/>
            <w:shd w:val="clear" w:color="auto" w:fill="578EB1"/>
          </w:tcPr>
          <w:p>
            <w:pPr>
              <w:jc w:val="right"/>
              <w:ind w:right="37"/>
              <w:spacing w:after="0"/>
              <w:rPr>
                <w:sz w:val="20"/>
                <w:szCs w:val="20"/>
                <w:color w:val="auto"/>
              </w:rPr>
            </w:pPr>
            <w:r>
              <w:rPr>
                <w:rFonts w:ascii="Arial" w:cs="Arial" w:eastAsia="Arial" w:hAnsi="Arial"/>
                <w:sz w:val="13"/>
                <w:szCs w:val="13"/>
                <w:b w:val="1"/>
                <w:bCs w:val="1"/>
                <w:color w:val="FFFFFF"/>
              </w:rPr>
              <w:t>Estimated Possible Payouts Under Non-</w:t>
            </w:r>
          </w:p>
        </w:tc>
        <w:tc>
          <w:tcPr>
            <w:tcW w:w="800" w:type="dxa"/>
            <w:vAlign w:val="bottom"/>
          </w:tcPr>
          <w:p>
            <w:pPr>
              <w:spacing w:after="0"/>
              <w:rPr>
                <w:sz w:val="13"/>
                <w:szCs w:val="13"/>
                <w:color w:val="auto"/>
              </w:rPr>
            </w:pPr>
          </w:p>
        </w:tc>
        <w:tc>
          <w:tcPr>
            <w:tcW w:w="2480" w:type="dxa"/>
            <w:vAlign w:val="bottom"/>
            <w:gridSpan w:val="3"/>
            <w:shd w:val="clear" w:color="auto" w:fill="578EB1"/>
          </w:tcPr>
          <w:p>
            <w:pPr>
              <w:jc w:val="right"/>
              <w:spacing w:after="0"/>
              <w:rPr>
                <w:sz w:val="20"/>
                <w:szCs w:val="20"/>
                <w:color w:val="auto"/>
              </w:rPr>
            </w:pPr>
            <w:r>
              <w:rPr>
                <w:rFonts w:ascii="Arial" w:cs="Arial" w:eastAsia="Arial" w:hAnsi="Arial"/>
                <w:sz w:val="13"/>
                <w:szCs w:val="13"/>
                <w:b w:val="1"/>
                <w:bCs w:val="1"/>
                <w:color w:val="FFFFFF"/>
                <w:w w:val="98"/>
              </w:rPr>
              <w:t>Estimated Future Payouts Under Equity</w:t>
            </w:r>
          </w:p>
        </w:tc>
        <w:tc>
          <w:tcPr>
            <w:tcW w:w="1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20" w:type="dxa"/>
            <w:vAlign w:val="bottom"/>
            <w:tcBorders>
              <w:bottom w:val="single" w:sz="8" w:color="578EB1"/>
            </w:tcBorders>
            <w:gridSpan w:val="3"/>
            <w:shd w:val="clear" w:color="auto" w:fill="578EB1"/>
          </w:tcPr>
          <w:p>
            <w:pPr>
              <w:jc w:val="right"/>
              <w:ind w:right="377"/>
              <w:spacing w:after="0"/>
              <w:rPr>
                <w:sz w:val="20"/>
                <w:szCs w:val="20"/>
                <w:color w:val="auto"/>
              </w:rPr>
            </w:pPr>
            <w:r>
              <w:rPr>
                <w:rFonts w:ascii="Arial" w:cs="Arial" w:eastAsia="Arial" w:hAnsi="Arial"/>
                <w:sz w:val="13"/>
                <w:szCs w:val="13"/>
                <w:b w:val="1"/>
                <w:bCs w:val="1"/>
                <w:color w:val="FFFFFF"/>
              </w:rPr>
              <w:t>Equity Incentive Plan Awards</w:t>
            </w:r>
          </w:p>
        </w:tc>
        <w:tc>
          <w:tcPr>
            <w:tcW w:w="800" w:type="dxa"/>
            <w:vAlign w:val="bottom"/>
          </w:tcPr>
          <w:p>
            <w:pPr>
              <w:spacing w:after="0"/>
              <w:rPr>
                <w:sz w:val="15"/>
                <w:szCs w:val="15"/>
                <w:color w:val="auto"/>
              </w:rPr>
            </w:pPr>
          </w:p>
        </w:tc>
        <w:tc>
          <w:tcPr>
            <w:tcW w:w="2480" w:type="dxa"/>
            <w:vAlign w:val="bottom"/>
            <w:tcBorders>
              <w:bottom w:val="single" w:sz="8" w:color="578EB1"/>
            </w:tcBorders>
            <w:gridSpan w:val="3"/>
            <w:shd w:val="clear" w:color="auto" w:fill="578EB1"/>
          </w:tcPr>
          <w:p>
            <w:pPr>
              <w:jc w:val="right"/>
              <w:ind w:right="497"/>
              <w:spacing w:after="0"/>
              <w:rPr>
                <w:sz w:val="20"/>
                <w:szCs w:val="20"/>
                <w:color w:val="auto"/>
              </w:rPr>
            </w:pPr>
            <w:r>
              <w:rPr>
                <w:rFonts w:ascii="Arial" w:cs="Arial" w:eastAsia="Arial" w:hAnsi="Arial"/>
                <w:sz w:val="13"/>
                <w:szCs w:val="13"/>
                <w:b w:val="1"/>
                <w:bCs w:val="1"/>
                <w:color w:val="FFFFFF"/>
              </w:rPr>
              <w:t>Incentive Plan Awards</w:t>
            </w:r>
          </w:p>
        </w:tc>
        <w:tc>
          <w:tcPr>
            <w:tcW w:w="1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040" w:type="dxa"/>
            <w:vAlign w:val="bottom"/>
            <w:shd w:val="clear" w:color="auto" w:fill="132440"/>
          </w:tcPr>
          <w:p>
            <w:pPr>
              <w:spacing w:after="0"/>
              <w:rPr>
                <w:sz w:val="13"/>
                <w:szCs w:val="13"/>
                <w:color w:val="auto"/>
              </w:rPr>
            </w:pPr>
          </w:p>
        </w:tc>
        <w:tc>
          <w:tcPr>
            <w:tcW w:w="860" w:type="dxa"/>
            <w:vAlign w:val="bottom"/>
            <w:shd w:val="clear" w:color="auto" w:fill="132440"/>
          </w:tcPr>
          <w:p>
            <w:pPr>
              <w:spacing w:after="0"/>
              <w:rPr>
                <w:sz w:val="13"/>
                <w:szCs w:val="13"/>
                <w:color w:val="auto"/>
              </w:rPr>
            </w:pPr>
          </w:p>
        </w:tc>
        <w:tc>
          <w:tcPr>
            <w:tcW w:w="880" w:type="dxa"/>
            <w:vAlign w:val="bottom"/>
            <w:shd w:val="clear" w:color="auto" w:fill="132440"/>
          </w:tcPr>
          <w:p>
            <w:pPr>
              <w:spacing w:after="0"/>
              <w:rPr>
                <w:sz w:val="13"/>
                <w:szCs w:val="13"/>
                <w:color w:val="auto"/>
              </w:rPr>
            </w:pPr>
          </w:p>
        </w:tc>
        <w:tc>
          <w:tcPr>
            <w:tcW w:w="880" w:type="dxa"/>
            <w:vAlign w:val="bottom"/>
            <w:shd w:val="clear" w:color="auto" w:fill="132440"/>
          </w:tcPr>
          <w:p>
            <w:pPr>
              <w:spacing w:after="0"/>
              <w:rPr>
                <w:sz w:val="13"/>
                <w:szCs w:val="13"/>
                <w:color w:val="auto"/>
              </w:rPr>
            </w:pPr>
          </w:p>
        </w:tc>
        <w:tc>
          <w:tcPr>
            <w:tcW w:w="980" w:type="dxa"/>
            <w:vAlign w:val="bottom"/>
            <w:shd w:val="clear" w:color="auto" w:fill="132440"/>
          </w:tcPr>
          <w:p>
            <w:pPr>
              <w:spacing w:after="0"/>
              <w:rPr>
                <w:sz w:val="13"/>
                <w:szCs w:val="13"/>
                <w:color w:val="auto"/>
              </w:rPr>
            </w:pPr>
          </w:p>
        </w:tc>
        <w:tc>
          <w:tcPr>
            <w:tcW w:w="760" w:type="dxa"/>
            <w:vAlign w:val="bottom"/>
            <w:shd w:val="clear" w:color="auto" w:fill="132440"/>
          </w:tcPr>
          <w:p>
            <w:pPr>
              <w:spacing w:after="0"/>
              <w:rPr>
                <w:sz w:val="13"/>
                <w:szCs w:val="13"/>
                <w:color w:val="auto"/>
              </w:rPr>
            </w:pPr>
          </w:p>
        </w:tc>
        <w:tc>
          <w:tcPr>
            <w:tcW w:w="800" w:type="dxa"/>
            <w:vAlign w:val="bottom"/>
            <w:shd w:val="clear" w:color="auto" w:fill="132440"/>
          </w:tcPr>
          <w:p>
            <w:pPr>
              <w:spacing w:after="0"/>
              <w:rPr>
                <w:sz w:val="13"/>
                <w:szCs w:val="13"/>
                <w:color w:val="auto"/>
              </w:rPr>
            </w:pPr>
          </w:p>
        </w:tc>
        <w:tc>
          <w:tcPr>
            <w:tcW w:w="1000" w:type="dxa"/>
            <w:vAlign w:val="bottom"/>
            <w:shd w:val="clear" w:color="auto" w:fill="132440"/>
          </w:tcPr>
          <w:p>
            <w:pPr>
              <w:spacing w:after="0"/>
              <w:rPr>
                <w:sz w:val="13"/>
                <w:szCs w:val="13"/>
                <w:color w:val="auto"/>
              </w:rPr>
            </w:pPr>
          </w:p>
        </w:tc>
        <w:tc>
          <w:tcPr>
            <w:tcW w:w="720" w:type="dxa"/>
            <w:vAlign w:val="bottom"/>
            <w:shd w:val="clear" w:color="auto" w:fill="132440"/>
          </w:tcPr>
          <w:p>
            <w:pPr>
              <w:spacing w:after="0"/>
              <w:rPr>
                <w:sz w:val="13"/>
                <w:szCs w:val="13"/>
                <w:color w:val="auto"/>
              </w:rPr>
            </w:pPr>
          </w:p>
        </w:tc>
        <w:tc>
          <w:tcPr>
            <w:tcW w:w="760" w:type="dxa"/>
            <w:vAlign w:val="bottom"/>
            <w:shd w:val="clear" w:color="auto" w:fill="132440"/>
          </w:tcPr>
          <w:p>
            <w:pPr>
              <w:spacing w:after="0"/>
              <w:rPr>
                <w:sz w:val="13"/>
                <w:szCs w:val="13"/>
                <w:color w:val="auto"/>
              </w:rPr>
            </w:pPr>
          </w:p>
        </w:tc>
        <w:tc>
          <w:tcPr>
            <w:tcW w:w="1440" w:type="dxa"/>
            <w:vAlign w:val="bottom"/>
            <w:shd w:val="clear" w:color="auto" w:fill="132440"/>
          </w:tcPr>
          <w:p>
            <w:pPr>
              <w:jc w:val="right"/>
              <w:ind w:right="37"/>
              <w:spacing w:after="0"/>
              <w:rPr>
                <w:sz w:val="20"/>
                <w:szCs w:val="20"/>
                <w:color w:val="auto"/>
              </w:rPr>
            </w:pPr>
            <w:r>
              <w:rPr>
                <w:rFonts w:ascii="Arial" w:cs="Arial" w:eastAsia="Arial" w:hAnsi="Arial"/>
                <w:sz w:val="13"/>
                <w:szCs w:val="13"/>
                <w:b w:val="1"/>
                <w:bCs w:val="1"/>
                <w:color w:val="FFFFFF"/>
              </w:rPr>
              <w:t>All Other Stock</w:t>
            </w:r>
          </w:p>
        </w:tc>
        <w:tc>
          <w:tcPr>
            <w:tcW w:w="1120" w:type="dxa"/>
            <w:vAlign w:val="bottom"/>
            <w:shd w:val="clear" w:color="auto" w:fill="132440"/>
          </w:tcPr>
          <w:p>
            <w:pPr>
              <w:jc w:val="right"/>
              <w:ind w:right="57"/>
              <w:spacing w:after="0"/>
              <w:rPr>
                <w:sz w:val="20"/>
                <w:szCs w:val="20"/>
                <w:color w:val="auto"/>
              </w:rPr>
            </w:pPr>
            <w:r>
              <w:rPr>
                <w:rFonts w:ascii="Arial" w:cs="Arial" w:eastAsia="Arial" w:hAnsi="Arial"/>
                <w:sz w:val="13"/>
                <w:szCs w:val="13"/>
                <w:b w:val="1"/>
                <w:bCs w:val="1"/>
                <w:color w:val="FFFFFF"/>
              </w:rPr>
              <w:t>Grant Date Fair</w:t>
            </w:r>
          </w:p>
        </w:tc>
        <w:tc>
          <w:tcPr>
            <w:tcW w:w="0" w:type="dxa"/>
            <w:vAlign w:val="bottom"/>
          </w:tcPr>
          <w:p>
            <w:pPr>
              <w:spacing w:after="0"/>
              <w:rPr>
                <w:sz w:val="1"/>
                <w:szCs w:val="1"/>
                <w:color w:val="auto"/>
              </w:rPr>
            </w:pPr>
          </w:p>
        </w:tc>
      </w:tr>
      <w:tr>
        <w:trPr>
          <w:trHeight w:val="162"/>
        </w:trPr>
        <w:tc>
          <w:tcPr>
            <w:tcW w:w="1040" w:type="dxa"/>
            <w:vAlign w:val="bottom"/>
            <w:shd w:val="clear" w:color="auto" w:fill="132440"/>
          </w:tcPr>
          <w:p>
            <w:pPr>
              <w:spacing w:after="0"/>
              <w:rPr>
                <w:sz w:val="14"/>
                <w:szCs w:val="14"/>
                <w:color w:val="auto"/>
              </w:rPr>
            </w:pPr>
          </w:p>
        </w:tc>
        <w:tc>
          <w:tcPr>
            <w:tcW w:w="860" w:type="dxa"/>
            <w:vAlign w:val="bottom"/>
            <w:shd w:val="clear" w:color="auto" w:fill="132440"/>
          </w:tcPr>
          <w:p>
            <w:pPr>
              <w:spacing w:after="0"/>
              <w:rPr>
                <w:sz w:val="14"/>
                <w:szCs w:val="14"/>
                <w:color w:val="auto"/>
              </w:rPr>
            </w:pPr>
          </w:p>
        </w:tc>
        <w:tc>
          <w:tcPr>
            <w:tcW w:w="880" w:type="dxa"/>
            <w:vAlign w:val="bottom"/>
            <w:shd w:val="clear" w:color="auto" w:fill="132440"/>
          </w:tcPr>
          <w:p>
            <w:pPr>
              <w:spacing w:after="0"/>
              <w:rPr>
                <w:sz w:val="14"/>
                <w:szCs w:val="14"/>
                <w:color w:val="auto"/>
              </w:rPr>
            </w:pPr>
          </w:p>
        </w:tc>
        <w:tc>
          <w:tcPr>
            <w:tcW w:w="880" w:type="dxa"/>
            <w:vAlign w:val="bottom"/>
            <w:shd w:val="clear" w:color="auto" w:fill="132440"/>
          </w:tcPr>
          <w:p>
            <w:pPr>
              <w:spacing w:after="0"/>
              <w:rPr>
                <w:sz w:val="14"/>
                <w:szCs w:val="14"/>
                <w:color w:val="auto"/>
              </w:rPr>
            </w:pPr>
          </w:p>
        </w:tc>
        <w:tc>
          <w:tcPr>
            <w:tcW w:w="980" w:type="dxa"/>
            <w:vAlign w:val="bottom"/>
            <w:shd w:val="clear" w:color="auto" w:fill="132440"/>
          </w:tcPr>
          <w:p>
            <w:pPr>
              <w:spacing w:after="0"/>
              <w:rPr>
                <w:sz w:val="14"/>
                <w:szCs w:val="14"/>
                <w:color w:val="auto"/>
              </w:rPr>
            </w:pPr>
          </w:p>
        </w:tc>
        <w:tc>
          <w:tcPr>
            <w:tcW w:w="760" w:type="dxa"/>
            <w:vAlign w:val="bottom"/>
            <w:shd w:val="clear" w:color="auto" w:fill="132440"/>
          </w:tcPr>
          <w:p>
            <w:pPr>
              <w:spacing w:after="0"/>
              <w:rPr>
                <w:sz w:val="14"/>
                <w:szCs w:val="14"/>
                <w:color w:val="auto"/>
              </w:rPr>
            </w:pPr>
          </w:p>
        </w:tc>
        <w:tc>
          <w:tcPr>
            <w:tcW w:w="800" w:type="dxa"/>
            <w:vAlign w:val="bottom"/>
            <w:shd w:val="clear" w:color="auto" w:fill="132440"/>
          </w:tcPr>
          <w:p>
            <w:pPr>
              <w:spacing w:after="0"/>
              <w:rPr>
                <w:sz w:val="14"/>
                <w:szCs w:val="14"/>
                <w:color w:val="auto"/>
              </w:rPr>
            </w:pPr>
          </w:p>
        </w:tc>
        <w:tc>
          <w:tcPr>
            <w:tcW w:w="1000" w:type="dxa"/>
            <w:vAlign w:val="bottom"/>
            <w:shd w:val="clear" w:color="auto" w:fill="132440"/>
          </w:tcPr>
          <w:p>
            <w:pPr>
              <w:spacing w:after="0"/>
              <w:rPr>
                <w:sz w:val="14"/>
                <w:szCs w:val="14"/>
                <w:color w:val="auto"/>
              </w:rPr>
            </w:pPr>
          </w:p>
        </w:tc>
        <w:tc>
          <w:tcPr>
            <w:tcW w:w="720" w:type="dxa"/>
            <w:vAlign w:val="bottom"/>
            <w:shd w:val="clear" w:color="auto" w:fill="132440"/>
          </w:tcPr>
          <w:p>
            <w:pPr>
              <w:spacing w:after="0"/>
              <w:rPr>
                <w:sz w:val="14"/>
                <w:szCs w:val="14"/>
                <w:color w:val="auto"/>
              </w:rPr>
            </w:pPr>
          </w:p>
        </w:tc>
        <w:tc>
          <w:tcPr>
            <w:tcW w:w="760" w:type="dxa"/>
            <w:vAlign w:val="bottom"/>
            <w:shd w:val="clear" w:color="auto" w:fill="132440"/>
          </w:tcPr>
          <w:p>
            <w:pPr>
              <w:spacing w:after="0"/>
              <w:rPr>
                <w:sz w:val="14"/>
                <w:szCs w:val="14"/>
                <w:color w:val="auto"/>
              </w:rPr>
            </w:pPr>
          </w:p>
        </w:tc>
        <w:tc>
          <w:tcPr>
            <w:tcW w:w="1440" w:type="dxa"/>
            <w:vAlign w:val="bottom"/>
            <w:shd w:val="clear" w:color="auto" w:fill="132440"/>
          </w:tcPr>
          <w:p>
            <w:pPr>
              <w:jc w:val="right"/>
              <w:ind w:right="37"/>
              <w:spacing w:after="0"/>
              <w:rPr>
                <w:sz w:val="20"/>
                <w:szCs w:val="20"/>
                <w:color w:val="auto"/>
              </w:rPr>
            </w:pPr>
            <w:r>
              <w:rPr>
                <w:rFonts w:ascii="Arial" w:cs="Arial" w:eastAsia="Arial" w:hAnsi="Arial"/>
                <w:sz w:val="13"/>
                <w:szCs w:val="13"/>
                <w:b w:val="1"/>
                <w:bCs w:val="1"/>
                <w:color w:val="FFFFFF"/>
              </w:rPr>
              <w:t>Awards: Number of</w:t>
            </w:r>
          </w:p>
        </w:tc>
        <w:tc>
          <w:tcPr>
            <w:tcW w:w="1120" w:type="dxa"/>
            <w:vAlign w:val="bottom"/>
            <w:shd w:val="clear" w:color="auto" w:fill="132440"/>
          </w:tcPr>
          <w:p>
            <w:pPr>
              <w:jc w:val="right"/>
              <w:ind w:right="57"/>
              <w:spacing w:after="0"/>
              <w:rPr>
                <w:sz w:val="20"/>
                <w:szCs w:val="20"/>
                <w:color w:val="auto"/>
              </w:rPr>
            </w:pPr>
            <w:r>
              <w:rPr>
                <w:rFonts w:ascii="Arial" w:cs="Arial" w:eastAsia="Arial" w:hAnsi="Arial"/>
                <w:sz w:val="13"/>
                <w:szCs w:val="13"/>
                <w:b w:val="1"/>
                <w:bCs w:val="1"/>
                <w:color w:val="FFFFFF"/>
              </w:rPr>
              <w:t>Value of Stock</w:t>
            </w:r>
          </w:p>
        </w:tc>
        <w:tc>
          <w:tcPr>
            <w:tcW w:w="0" w:type="dxa"/>
            <w:vAlign w:val="bottom"/>
          </w:tcPr>
          <w:p>
            <w:pPr>
              <w:spacing w:after="0"/>
              <w:rPr>
                <w:sz w:val="1"/>
                <w:szCs w:val="1"/>
                <w:color w:val="auto"/>
              </w:rPr>
            </w:pPr>
          </w:p>
        </w:tc>
      </w:tr>
      <w:tr>
        <w:trPr>
          <w:trHeight w:val="148"/>
        </w:trPr>
        <w:tc>
          <w:tcPr>
            <w:tcW w:w="1040" w:type="dxa"/>
            <w:vAlign w:val="bottom"/>
            <w:shd w:val="clear" w:color="auto" w:fill="132440"/>
          </w:tcPr>
          <w:p>
            <w:pPr>
              <w:spacing w:after="0"/>
              <w:rPr>
                <w:sz w:val="12"/>
                <w:szCs w:val="12"/>
                <w:color w:val="auto"/>
              </w:rPr>
            </w:pPr>
          </w:p>
        </w:tc>
        <w:tc>
          <w:tcPr>
            <w:tcW w:w="860" w:type="dxa"/>
            <w:vAlign w:val="bottom"/>
            <w:shd w:val="clear" w:color="auto" w:fill="132440"/>
          </w:tcPr>
          <w:p>
            <w:pPr>
              <w:spacing w:after="0"/>
              <w:rPr>
                <w:sz w:val="12"/>
                <w:szCs w:val="12"/>
                <w:color w:val="auto"/>
              </w:rPr>
            </w:pPr>
          </w:p>
        </w:tc>
        <w:tc>
          <w:tcPr>
            <w:tcW w:w="880" w:type="dxa"/>
            <w:vAlign w:val="bottom"/>
            <w:shd w:val="clear" w:color="auto" w:fill="132440"/>
          </w:tcPr>
          <w:p>
            <w:pPr>
              <w:spacing w:after="0"/>
              <w:rPr>
                <w:sz w:val="12"/>
                <w:szCs w:val="12"/>
                <w:color w:val="auto"/>
              </w:rPr>
            </w:pPr>
          </w:p>
        </w:tc>
        <w:tc>
          <w:tcPr>
            <w:tcW w:w="880" w:type="dxa"/>
            <w:vAlign w:val="bottom"/>
            <w:shd w:val="clear" w:color="auto" w:fill="132440"/>
          </w:tcPr>
          <w:p>
            <w:pPr>
              <w:spacing w:after="0"/>
              <w:rPr>
                <w:sz w:val="12"/>
                <w:szCs w:val="12"/>
                <w:color w:val="auto"/>
              </w:rPr>
            </w:pPr>
          </w:p>
        </w:tc>
        <w:tc>
          <w:tcPr>
            <w:tcW w:w="980" w:type="dxa"/>
            <w:vAlign w:val="bottom"/>
            <w:shd w:val="clear" w:color="auto" w:fill="132440"/>
          </w:tcPr>
          <w:p>
            <w:pPr>
              <w:spacing w:after="0"/>
              <w:rPr>
                <w:sz w:val="12"/>
                <w:szCs w:val="12"/>
                <w:color w:val="auto"/>
              </w:rPr>
            </w:pPr>
          </w:p>
        </w:tc>
        <w:tc>
          <w:tcPr>
            <w:tcW w:w="760" w:type="dxa"/>
            <w:vAlign w:val="bottom"/>
            <w:shd w:val="clear" w:color="auto" w:fill="132440"/>
          </w:tcPr>
          <w:p>
            <w:pPr>
              <w:spacing w:after="0"/>
              <w:rPr>
                <w:sz w:val="12"/>
                <w:szCs w:val="12"/>
                <w:color w:val="auto"/>
              </w:rPr>
            </w:pPr>
          </w:p>
        </w:tc>
        <w:tc>
          <w:tcPr>
            <w:tcW w:w="800" w:type="dxa"/>
            <w:vAlign w:val="bottom"/>
            <w:shd w:val="clear" w:color="auto" w:fill="132440"/>
          </w:tcPr>
          <w:p>
            <w:pPr>
              <w:spacing w:after="0"/>
              <w:rPr>
                <w:sz w:val="12"/>
                <w:szCs w:val="12"/>
                <w:color w:val="auto"/>
              </w:rPr>
            </w:pPr>
          </w:p>
        </w:tc>
        <w:tc>
          <w:tcPr>
            <w:tcW w:w="1000" w:type="dxa"/>
            <w:vAlign w:val="bottom"/>
            <w:shd w:val="clear" w:color="auto" w:fill="132440"/>
          </w:tcPr>
          <w:p>
            <w:pPr>
              <w:spacing w:after="0"/>
              <w:rPr>
                <w:sz w:val="12"/>
                <w:szCs w:val="12"/>
                <w:color w:val="auto"/>
              </w:rPr>
            </w:pPr>
          </w:p>
        </w:tc>
        <w:tc>
          <w:tcPr>
            <w:tcW w:w="720" w:type="dxa"/>
            <w:vAlign w:val="bottom"/>
            <w:shd w:val="clear" w:color="auto" w:fill="132440"/>
          </w:tcPr>
          <w:p>
            <w:pPr>
              <w:spacing w:after="0"/>
              <w:rPr>
                <w:sz w:val="12"/>
                <w:szCs w:val="12"/>
                <w:color w:val="auto"/>
              </w:rPr>
            </w:pPr>
          </w:p>
        </w:tc>
        <w:tc>
          <w:tcPr>
            <w:tcW w:w="760" w:type="dxa"/>
            <w:vAlign w:val="bottom"/>
            <w:shd w:val="clear" w:color="auto" w:fill="132440"/>
          </w:tcPr>
          <w:p>
            <w:pPr>
              <w:spacing w:after="0"/>
              <w:rPr>
                <w:sz w:val="12"/>
                <w:szCs w:val="12"/>
                <w:color w:val="auto"/>
              </w:rPr>
            </w:pPr>
          </w:p>
        </w:tc>
        <w:tc>
          <w:tcPr>
            <w:tcW w:w="1440" w:type="dxa"/>
            <w:vAlign w:val="bottom"/>
            <w:shd w:val="clear" w:color="auto" w:fill="132440"/>
          </w:tcPr>
          <w:p>
            <w:pPr>
              <w:jc w:val="right"/>
              <w:ind w:right="37"/>
              <w:spacing w:after="0"/>
              <w:rPr>
                <w:sz w:val="20"/>
                <w:szCs w:val="20"/>
                <w:color w:val="auto"/>
              </w:rPr>
            </w:pPr>
            <w:r>
              <w:rPr>
                <w:rFonts w:ascii="Arial" w:cs="Arial" w:eastAsia="Arial" w:hAnsi="Arial"/>
                <w:sz w:val="13"/>
                <w:szCs w:val="13"/>
                <w:b w:val="1"/>
                <w:bCs w:val="1"/>
                <w:color w:val="FFFFFF"/>
              </w:rPr>
              <w:t>Shares of Stock or</w:t>
            </w:r>
          </w:p>
        </w:tc>
        <w:tc>
          <w:tcPr>
            <w:tcW w:w="1120" w:type="dxa"/>
            <w:vAlign w:val="bottom"/>
            <w:shd w:val="clear" w:color="auto" w:fill="132440"/>
          </w:tcPr>
          <w:p>
            <w:pPr>
              <w:jc w:val="right"/>
              <w:ind w:right="57"/>
              <w:spacing w:after="0"/>
              <w:rPr>
                <w:sz w:val="20"/>
                <w:szCs w:val="20"/>
                <w:color w:val="auto"/>
              </w:rPr>
            </w:pPr>
            <w:r>
              <w:rPr>
                <w:rFonts w:ascii="Arial" w:cs="Arial" w:eastAsia="Arial" w:hAnsi="Arial"/>
                <w:sz w:val="13"/>
                <w:szCs w:val="13"/>
                <w:b w:val="1"/>
                <w:bCs w:val="1"/>
                <w:color w:val="FFFFFF"/>
              </w:rPr>
              <w:t>and Option</w:t>
            </w:r>
          </w:p>
        </w:tc>
        <w:tc>
          <w:tcPr>
            <w:tcW w:w="0" w:type="dxa"/>
            <w:vAlign w:val="bottom"/>
          </w:tcPr>
          <w:p>
            <w:pPr>
              <w:spacing w:after="0"/>
              <w:rPr>
                <w:sz w:val="1"/>
                <w:szCs w:val="1"/>
                <w:color w:val="auto"/>
              </w:rPr>
            </w:pPr>
          </w:p>
        </w:tc>
      </w:tr>
      <w:tr>
        <w:trPr>
          <w:trHeight w:val="148"/>
        </w:trPr>
        <w:tc>
          <w:tcPr>
            <w:tcW w:w="1040" w:type="dxa"/>
            <w:vAlign w:val="bottom"/>
            <w:shd w:val="clear" w:color="auto" w:fill="132440"/>
          </w:tcPr>
          <w:p>
            <w:pPr>
              <w:spacing w:after="0"/>
              <w:rPr>
                <w:sz w:val="12"/>
                <w:szCs w:val="12"/>
                <w:color w:val="auto"/>
              </w:rPr>
            </w:pPr>
          </w:p>
        </w:tc>
        <w:tc>
          <w:tcPr>
            <w:tcW w:w="860" w:type="dxa"/>
            <w:vAlign w:val="bottom"/>
            <w:shd w:val="clear" w:color="auto" w:fill="132440"/>
          </w:tcPr>
          <w:p>
            <w:pPr>
              <w:spacing w:after="0"/>
              <w:rPr>
                <w:sz w:val="12"/>
                <w:szCs w:val="12"/>
                <w:color w:val="auto"/>
              </w:rPr>
            </w:pPr>
          </w:p>
        </w:tc>
        <w:tc>
          <w:tcPr>
            <w:tcW w:w="880" w:type="dxa"/>
            <w:vAlign w:val="bottom"/>
            <w:shd w:val="clear" w:color="auto" w:fill="132440"/>
          </w:tcPr>
          <w:p>
            <w:pPr>
              <w:jc w:val="center"/>
              <w:spacing w:after="0"/>
              <w:rPr>
                <w:sz w:val="20"/>
                <w:szCs w:val="20"/>
                <w:color w:val="auto"/>
              </w:rPr>
            </w:pPr>
            <w:r>
              <w:rPr>
                <w:rFonts w:ascii="Arial" w:cs="Arial" w:eastAsia="Arial" w:hAnsi="Arial"/>
                <w:sz w:val="13"/>
                <w:szCs w:val="13"/>
                <w:b w:val="1"/>
                <w:bCs w:val="1"/>
                <w:color w:val="FFFFFF"/>
                <w:w w:val="95"/>
              </w:rPr>
              <w:t>Committee</w:t>
            </w:r>
          </w:p>
        </w:tc>
        <w:tc>
          <w:tcPr>
            <w:tcW w:w="880" w:type="dxa"/>
            <w:vAlign w:val="bottom"/>
            <w:shd w:val="clear" w:color="auto" w:fill="132440"/>
          </w:tcPr>
          <w:p>
            <w:pPr>
              <w:jc w:val="right"/>
              <w:spacing w:after="0"/>
              <w:rPr>
                <w:sz w:val="20"/>
                <w:szCs w:val="20"/>
                <w:color w:val="auto"/>
              </w:rPr>
            </w:pPr>
            <w:r>
              <w:rPr>
                <w:rFonts w:ascii="Arial" w:cs="Arial" w:eastAsia="Arial" w:hAnsi="Arial"/>
                <w:sz w:val="13"/>
                <w:szCs w:val="13"/>
                <w:b w:val="1"/>
                <w:bCs w:val="1"/>
                <w:color w:val="FFFFFF"/>
              </w:rPr>
              <w:t>Threshold</w:t>
            </w:r>
          </w:p>
        </w:tc>
        <w:tc>
          <w:tcPr>
            <w:tcW w:w="980" w:type="dxa"/>
            <w:vAlign w:val="bottom"/>
            <w:shd w:val="clear" w:color="auto" w:fill="132440"/>
          </w:tcPr>
          <w:p>
            <w:pPr>
              <w:jc w:val="right"/>
              <w:ind w:right="117"/>
              <w:spacing w:after="0"/>
              <w:rPr>
                <w:sz w:val="20"/>
                <w:szCs w:val="20"/>
                <w:color w:val="auto"/>
              </w:rPr>
            </w:pPr>
            <w:r>
              <w:rPr>
                <w:rFonts w:ascii="Arial" w:cs="Arial" w:eastAsia="Arial" w:hAnsi="Arial"/>
                <w:sz w:val="13"/>
                <w:szCs w:val="13"/>
                <w:b w:val="1"/>
                <w:bCs w:val="1"/>
                <w:color w:val="FFFFFF"/>
              </w:rPr>
              <w:t>Target</w:t>
            </w:r>
          </w:p>
        </w:tc>
        <w:tc>
          <w:tcPr>
            <w:tcW w:w="760" w:type="dxa"/>
            <w:vAlign w:val="bottom"/>
            <w:shd w:val="clear" w:color="auto" w:fill="132440"/>
          </w:tcPr>
          <w:p>
            <w:pPr>
              <w:jc w:val="right"/>
              <w:spacing w:after="0"/>
              <w:rPr>
                <w:sz w:val="20"/>
                <w:szCs w:val="20"/>
                <w:color w:val="auto"/>
              </w:rPr>
            </w:pPr>
            <w:r>
              <w:rPr>
                <w:rFonts w:ascii="Arial" w:cs="Arial" w:eastAsia="Arial" w:hAnsi="Arial"/>
                <w:sz w:val="13"/>
                <w:szCs w:val="13"/>
                <w:b w:val="1"/>
                <w:bCs w:val="1"/>
                <w:color w:val="FFFFFF"/>
              </w:rPr>
              <w:t>Maximum</w:t>
            </w:r>
          </w:p>
        </w:tc>
        <w:tc>
          <w:tcPr>
            <w:tcW w:w="800" w:type="dxa"/>
            <w:vAlign w:val="bottom"/>
            <w:shd w:val="clear" w:color="auto" w:fill="132440"/>
          </w:tcPr>
          <w:p>
            <w:pPr>
              <w:ind w:left="160"/>
              <w:spacing w:after="0"/>
              <w:rPr>
                <w:sz w:val="20"/>
                <w:szCs w:val="20"/>
                <w:color w:val="auto"/>
              </w:rPr>
            </w:pPr>
            <w:r>
              <w:rPr>
                <w:rFonts w:ascii="Arial" w:cs="Arial" w:eastAsia="Arial" w:hAnsi="Arial"/>
                <w:sz w:val="13"/>
                <w:szCs w:val="13"/>
                <w:b w:val="1"/>
                <w:bCs w:val="1"/>
                <w:color w:val="FFFFFF"/>
              </w:rPr>
              <w:t>Award</w:t>
            </w:r>
          </w:p>
        </w:tc>
        <w:tc>
          <w:tcPr>
            <w:tcW w:w="1000" w:type="dxa"/>
            <w:vAlign w:val="bottom"/>
            <w:shd w:val="clear" w:color="auto" w:fill="132440"/>
          </w:tcPr>
          <w:p>
            <w:pPr>
              <w:jc w:val="right"/>
              <w:ind w:right="77"/>
              <w:spacing w:after="0"/>
              <w:rPr>
                <w:sz w:val="20"/>
                <w:szCs w:val="20"/>
                <w:color w:val="auto"/>
              </w:rPr>
            </w:pPr>
            <w:r>
              <w:rPr>
                <w:rFonts w:ascii="Arial" w:cs="Arial" w:eastAsia="Arial" w:hAnsi="Arial"/>
                <w:sz w:val="13"/>
                <w:szCs w:val="13"/>
                <w:b w:val="1"/>
                <w:bCs w:val="1"/>
                <w:color w:val="FFFFFF"/>
              </w:rPr>
              <w:t>Threshold</w:t>
            </w:r>
          </w:p>
        </w:tc>
        <w:tc>
          <w:tcPr>
            <w:tcW w:w="720" w:type="dxa"/>
            <w:vAlign w:val="bottom"/>
            <w:shd w:val="clear" w:color="auto" w:fill="132440"/>
          </w:tcPr>
          <w:p>
            <w:pPr>
              <w:jc w:val="right"/>
              <w:ind w:right="97"/>
              <w:spacing w:after="0"/>
              <w:rPr>
                <w:sz w:val="20"/>
                <w:szCs w:val="20"/>
                <w:color w:val="auto"/>
              </w:rPr>
            </w:pPr>
            <w:r>
              <w:rPr>
                <w:rFonts w:ascii="Arial" w:cs="Arial" w:eastAsia="Arial" w:hAnsi="Arial"/>
                <w:sz w:val="13"/>
                <w:szCs w:val="13"/>
                <w:b w:val="1"/>
                <w:bCs w:val="1"/>
                <w:color w:val="FFFFFF"/>
              </w:rPr>
              <w:t>Target</w:t>
            </w:r>
          </w:p>
        </w:tc>
        <w:tc>
          <w:tcPr>
            <w:tcW w:w="760" w:type="dxa"/>
            <w:vAlign w:val="bottom"/>
            <w:shd w:val="clear" w:color="auto" w:fill="132440"/>
          </w:tcPr>
          <w:p>
            <w:pPr>
              <w:jc w:val="right"/>
              <w:spacing w:after="0"/>
              <w:rPr>
                <w:sz w:val="20"/>
                <w:szCs w:val="20"/>
                <w:color w:val="auto"/>
              </w:rPr>
            </w:pPr>
            <w:r>
              <w:rPr>
                <w:rFonts w:ascii="Arial" w:cs="Arial" w:eastAsia="Arial" w:hAnsi="Arial"/>
                <w:sz w:val="13"/>
                <w:szCs w:val="13"/>
                <w:b w:val="1"/>
                <w:bCs w:val="1"/>
                <w:color w:val="FFFFFF"/>
              </w:rPr>
              <w:t>Maximum</w:t>
            </w:r>
          </w:p>
        </w:tc>
        <w:tc>
          <w:tcPr>
            <w:tcW w:w="1440" w:type="dxa"/>
            <w:vAlign w:val="bottom"/>
            <w:shd w:val="clear" w:color="auto" w:fill="132440"/>
          </w:tcPr>
          <w:p>
            <w:pPr>
              <w:jc w:val="right"/>
              <w:ind w:right="37"/>
              <w:spacing w:after="0"/>
              <w:rPr>
                <w:sz w:val="20"/>
                <w:szCs w:val="20"/>
                <w:color w:val="auto"/>
              </w:rPr>
            </w:pPr>
            <w:r>
              <w:rPr>
                <w:rFonts w:ascii="Arial" w:cs="Arial" w:eastAsia="Arial" w:hAnsi="Arial"/>
                <w:sz w:val="13"/>
                <w:szCs w:val="13"/>
                <w:b w:val="1"/>
                <w:bCs w:val="1"/>
                <w:color w:val="FFFFFF"/>
              </w:rPr>
              <w:t>Units</w:t>
            </w:r>
          </w:p>
        </w:tc>
        <w:tc>
          <w:tcPr>
            <w:tcW w:w="1120" w:type="dxa"/>
            <w:vAlign w:val="bottom"/>
            <w:shd w:val="clear" w:color="auto" w:fill="132440"/>
          </w:tcPr>
          <w:p>
            <w:pPr>
              <w:jc w:val="right"/>
              <w:ind w:right="57"/>
              <w:spacing w:after="0" w:line="148"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16"/>
                <w:szCs w:val="16"/>
                <w:b w:val="1"/>
                <w:bCs w:val="1"/>
                <w:color w:val="FFFFFF"/>
                <w:vertAlign w:val="superscript"/>
              </w:rPr>
              <w:t>(5)</w:t>
            </w:r>
          </w:p>
        </w:tc>
        <w:tc>
          <w:tcPr>
            <w:tcW w:w="0" w:type="dxa"/>
            <w:vAlign w:val="bottom"/>
          </w:tcPr>
          <w:p>
            <w:pPr>
              <w:spacing w:after="0"/>
              <w:rPr>
                <w:sz w:val="1"/>
                <w:szCs w:val="1"/>
                <w:color w:val="auto"/>
              </w:rPr>
            </w:pPr>
          </w:p>
        </w:tc>
      </w:tr>
      <w:tr>
        <w:trPr>
          <w:trHeight w:val="173"/>
        </w:trPr>
        <w:tc>
          <w:tcPr>
            <w:tcW w:w="1040" w:type="dxa"/>
            <w:vAlign w:val="bottom"/>
            <w:tcBorders>
              <w:bottom w:val="single" w:sz="8" w:color="132440"/>
            </w:tcBorders>
            <w:shd w:val="clear" w:color="auto" w:fill="132440"/>
          </w:tcPr>
          <w:p>
            <w:pPr>
              <w:ind w:left="100"/>
              <w:spacing w:after="0"/>
              <w:rPr>
                <w:sz w:val="20"/>
                <w:szCs w:val="20"/>
                <w:color w:val="auto"/>
              </w:rPr>
            </w:pPr>
            <w:r>
              <w:rPr>
                <w:rFonts w:ascii="Arial" w:cs="Arial" w:eastAsia="Arial" w:hAnsi="Arial"/>
                <w:sz w:val="13"/>
                <w:szCs w:val="13"/>
                <w:b w:val="1"/>
                <w:bCs w:val="1"/>
                <w:color w:val="FFFFFF"/>
              </w:rPr>
              <w:t>Name</w:t>
            </w:r>
          </w:p>
        </w:tc>
        <w:tc>
          <w:tcPr>
            <w:tcW w:w="860" w:type="dxa"/>
            <w:vAlign w:val="bottom"/>
            <w:tcBorders>
              <w:bottom w:val="single" w:sz="8" w:color="132440"/>
            </w:tcBorders>
            <w:shd w:val="clear" w:color="auto" w:fill="132440"/>
          </w:tcPr>
          <w:p>
            <w:pPr>
              <w:jc w:val="center"/>
              <w:spacing w:after="0"/>
              <w:rPr>
                <w:sz w:val="20"/>
                <w:szCs w:val="20"/>
                <w:color w:val="auto"/>
              </w:rPr>
            </w:pPr>
            <w:r>
              <w:rPr>
                <w:rFonts w:ascii="Arial" w:cs="Arial" w:eastAsia="Arial" w:hAnsi="Arial"/>
                <w:sz w:val="13"/>
                <w:szCs w:val="13"/>
                <w:b w:val="1"/>
                <w:bCs w:val="1"/>
                <w:color w:val="FFFFFF"/>
                <w:w w:val="96"/>
              </w:rPr>
              <w:t>Grant Date</w:t>
            </w:r>
          </w:p>
        </w:tc>
        <w:tc>
          <w:tcPr>
            <w:tcW w:w="880" w:type="dxa"/>
            <w:vAlign w:val="bottom"/>
            <w:tcBorders>
              <w:bottom w:val="single" w:sz="8" w:color="132440"/>
            </w:tcBorders>
            <w:shd w:val="clear" w:color="auto" w:fill="132440"/>
          </w:tcPr>
          <w:p>
            <w:pPr>
              <w:jc w:val="center"/>
              <w:spacing w:after="0"/>
              <w:rPr>
                <w:sz w:val="20"/>
                <w:szCs w:val="20"/>
                <w:color w:val="auto"/>
              </w:rPr>
            </w:pPr>
            <w:r>
              <w:rPr>
                <w:rFonts w:ascii="Arial" w:cs="Arial" w:eastAsia="Arial" w:hAnsi="Arial"/>
                <w:sz w:val="13"/>
                <w:szCs w:val="13"/>
                <w:b w:val="1"/>
                <w:bCs w:val="1"/>
                <w:color w:val="FFFFFF"/>
                <w:w w:val="95"/>
              </w:rPr>
              <w:t>Approval</w:t>
            </w:r>
          </w:p>
        </w:tc>
        <w:tc>
          <w:tcPr>
            <w:tcW w:w="880" w:type="dxa"/>
            <w:vAlign w:val="bottom"/>
            <w:tcBorders>
              <w:bottom w:val="single" w:sz="8" w:color="132440"/>
            </w:tcBorders>
            <w:shd w:val="clear" w:color="auto" w:fill="132440"/>
          </w:tcPr>
          <w:p>
            <w:pPr>
              <w:jc w:val="right"/>
              <w:spacing w:after="0"/>
              <w:rPr>
                <w:sz w:val="20"/>
                <w:szCs w:val="20"/>
                <w:color w:val="auto"/>
              </w:rPr>
            </w:pPr>
            <w:r>
              <w:rPr>
                <w:rFonts w:ascii="Arial" w:cs="Arial" w:eastAsia="Arial" w:hAnsi="Arial"/>
                <w:sz w:val="13"/>
                <w:szCs w:val="13"/>
                <w:b w:val="1"/>
                <w:bCs w:val="1"/>
                <w:color w:val="FFFFFF"/>
              </w:rPr>
              <w:t>($)</w:t>
            </w:r>
          </w:p>
        </w:tc>
        <w:tc>
          <w:tcPr>
            <w:tcW w:w="980" w:type="dxa"/>
            <w:vAlign w:val="bottom"/>
            <w:tcBorders>
              <w:bottom w:val="single" w:sz="8" w:color="132440"/>
            </w:tcBorders>
            <w:shd w:val="clear" w:color="auto" w:fill="132440"/>
          </w:tcPr>
          <w:p>
            <w:pPr>
              <w:jc w:val="right"/>
              <w:ind w:right="77"/>
              <w:spacing w:after="0"/>
              <w:rPr>
                <w:sz w:val="20"/>
                <w:szCs w:val="20"/>
                <w:color w:val="auto"/>
              </w:rPr>
            </w:pPr>
            <w:r>
              <w:rPr>
                <w:rFonts w:ascii="Arial" w:cs="Arial" w:eastAsia="Arial" w:hAnsi="Arial"/>
                <w:sz w:val="13"/>
                <w:szCs w:val="13"/>
                <w:b w:val="1"/>
                <w:bCs w:val="1"/>
                <w:color w:val="FFFFFF"/>
              </w:rPr>
              <w:t>($)</w:t>
            </w:r>
          </w:p>
        </w:tc>
        <w:tc>
          <w:tcPr>
            <w:tcW w:w="760" w:type="dxa"/>
            <w:vAlign w:val="bottom"/>
            <w:tcBorders>
              <w:bottom w:val="single" w:sz="8" w:color="132440"/>
            </w:tcBorders>
            <w:shd w:val="clear" w:color="auto" w:fill="132440"/>
          </w:tcPr>
          <w:p>
            <w:pPr>
              <w:jc w:val="right"/>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bottom w:val="single" w:sz="8" w:color="132440"/>
            </w:tcBorders>
            <w:shd w:val="clear" w:color="auto" w:fill="132440"/>
          </w:tcPr>
          <w:p>
            <w:pPr>
              <w:ind w:left="160"/>
              <w:spacing w:after="0"/>
              <w:rPr>
                <w:sz w:val="20"/>
                <w:szCs w:val="20"/>
                <w:color w:val="auto"/>
              </w:rPr>
            </w:pPr>
            <w:r>
              <w:rPr>
                <w:rFonts w:ascii="Arial" w:cs="Arial" w:eastAsia="Arial" w:hAnsi="Arial"/>
                <w:sz w:val="13"/>
                <w:szCs w:val="13"/>
                <w:b w:val="1"/>
                <w:bCs w:val="1"/>
                <w:color w:val="FFFFFF"/>
              </w:rPr>
              <w:t>Type</w:t>
            </w:r>
          </w:p>
        </w:tc>
        <w:tc>
          <w:tcPr>
            <w:tcW w:w="1000" w:type="dxa"/>
            <w:vAlign w:val="bottom"/>
            <w:tcBorders>
              <w:bottom w:val="single" w:sz="8" w:color="132440"/>
            </w:tcBorders>
            <w:shd w:val="clear" w:color="auto" w:fill="132440"/>
          </w:tcPr>
          <w:p>
            <w:pPr>
              <w:jc w:val="right"/>
              <w:ind w:right="37"/>
              <w:spacing w:after="0"/>
              <w:rPr>
                <w:sz w:val="20"/>
                <w:szCs w:val="20"/>
                <w:color w:val="auto"/>
              </w:rPr>
            </w:pPr>
            <w:r>
              <w:rPr>
                <w:rFonts w:ascii="Arial" w:cs="Arial" w:eastAsia="Arial" w:hAnsi="Arial"/>
                <w:sz w:val="13"/>
                <w:szCs w:val="13"/>
                <w:b w:val="1"/>
                <w:bCs w:val="1"/>
                <w:color w:val="FFFFFF"/>
              </w:rPr>
              <w:t>(#)</w:t>
            </w:r>
          </w:p>
        </w:tc>
        <w:tc>
          <w:tcPr>
            <w:tcW w:w="720" w:type="dxa"/>
            <w:vAlign w:val="bottom"/>
            <w:tcBorders>
              <w:bottom w:val="single" w:sz="8" w:color="132440"/>
            </w:tcBorders>
            <w:shd w:val="clear" w:color="auto" w:fill="132440"/>
          </w:tcPr>
          <w:p>
            <w:pPr>
              <w:jc w:val="right"/>
              <w:ind w:right="57"/>
              <w:spacing w:after="0"/>
              <w:rPr>
                <w:sz w:val="20"/>
                <w:szCs w:val="20"/>
                <w:color w:val="auto"/>
              </w:rPr>
            </w:pPr>
            <w:r>
              <w:rPr>
                <w:rFonts w:ascii="Arial" w:cs="Arial" w:eastAsia="Arial" w:hAnsi="Arial"/>
                <w:sz w:val="13"/>
                <w:szCs w:val="13"/>
                <w:b w:val="1"/>
                <w:bCs w:val="1"/>
                <w:color w:val="FFFFFF"/>
              </w:rPr>
              <w:t>(#)</w:t>
            </w:r>
          </w:p>
        </w:tc>
        <w:tc>
          <w:tcPr>
            <w:tcW w:w="760" w:type="dxa"/>
            <w:vAlign w:val="bottom"/>
            <w:tcBorders>
              <w:bottom w:val="single" w:sz="8" w:color="132440"/>
            </w:tcBorders>
            <w:shd w:val="clear" w:color="auto" w:fill="132440"/>
          </w:tcPr>
          <w:p>
            <w:pPr>
              <w:jc w:val="right"/>
              <w:spacing w:after="0"/>
              <w:rPr>
                <w:sz w:val="20"/>
                <w:szCs w:val="20"/>
                <w:color w:val="auto"/>
              </w:rPr>
            </w:pPr>
            <w:r>
              <w:rPr>
                <w:rFonts w:ascii="Arial" w:cs="Arial" w:eastAsia="Arial" w:hAnsi="Arial"/>
                <w:sz w:val="13"/>
                <w:szCs w:val="13"/>
                <w:b w:val="1"/>
                <w:bCs w:val="1"/>
                <w:color w:val="FFFFFF"/>
              </w:rPr>
              <w:t>(#)</w:t>
            </w:r>
          </w:p>
        </w:tc>
        <w:tc>
          <w:tcPr>
            <w:tcW w:w="1440" w:type="dxa"/>
            <w:vAlign w:val="bottom"/>
            <w:tcBorders>
              <w:bottom w:val="single" w:sz="8" w:color="132440"/>
            </w:tcBorders>
            <w:shd w:val="clear" w:color="auto" w:fill="132440"/>
          </w:tcPr>
          <w:p>
            <w:pPr>
              <w:jc w:val="right"/>
              <w:ind w:right="37"/>
              <w:spacing w:after="0"/>
              <w:rPr>
                <w:sz w:val="20"/>
                <w:szCs w:val="20"/>
                <w:color w:val="auto"/>
              </w:rPr>
            </w:pPr>
            <w:r>
              <w:rPr>
                <w:rFonts w:ascii="Arial" w:cs="Arial" w:eastAsia="Arial" w:hAnsi="Arial"/>
                <w:sz w:val="13"/>
                <w:szCs w:val="13"/>
                <w:b w:val="1"/>
                <w:bCs w:val="1"/>
                <w:color w:val="FFFFFF"/>
              </w:rPr>
              <w:t>(#)</w:t>
            </w:r>
          </w:p>
        </w:tc>
        <w:tc>
          <w:tcPr>
            <w:tcW w:w="1120" w:type="dxa"/>
            <w:vAlign w:val="bottom"/>
            <w:tcBorders>
              <w:bottom w:val="single" w:sz="8" w:color="132440"/>
            </w:tcBorders>
            <w:shd w:val="clear" w:color="auto" w:fill="132440"/>
          </w:tcPr>
          <w:p>
            <w:pPr>
              <w:jc w:val="right"/>
              <w:ind w:right="5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62"/>
        </w:trPr>
        <w:tc>
          <w:tcPr>
            <w:tcW w:w="1040" w:type="dxa"/>
            <w:vAlign w:val="bottom"/>
            <w:shd w:val="clear" w:color="auto" w:fill="EAEEF2"/>
          </w:tcPr>
          <w:p>
            <w:pPr>
              <w:ind w:left="100"/>
              <w:spacing w:after="0"/>
              <w:rPr>
                <w:sz w:val="20"/>
                <w:szCs w:val="20"/>
                <w:color w:val="auto"/>
              </w:rPr>
            </w:pPr>
            <w:r>
              <w:rPr>
                <w:rFonts w:ascii="Arial" w:cs="Arial" w:eastAsia="Arial" w:hAnsi="Arial"/>
                <w:sz w:val="13"/>
                <w:szCs w:val="13"/>
                <w:b w:val="1"/>
                <w:bCs w:val="1"/>
                <w:color w:val="4D4D4F"/>
              </w:rPr>
              <w:t>Michael J.</w:t>
            </w:r>
          </w:p>
        </w:tc>
        <w:tc>
          <w:tcPr>
            <w:tcW w:w="86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9"/>
              </w:rPr>
              <w:t>n/a</w:t>
            </w: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8"/>
              </w:rPr>
              <w:t>02/22/2023</w:t>
            </w: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367,500</w:t>
            </w:r>
          </w:p>
        </w:tc>
        <w:tc>
          <w:tcPr>
            <w:tcW w:w="980" w:type="dxa"/>
            <w:vAlign w:val="bottom"/>
            <w:shd w:val="clear" w:color="auto" w:fill="EAEEF2"/>
          </w:tcPr>
          <w:p>
            <w:pPr>
              <w:jc w:val="right"/>
              <w:ind w:right="117"/>
              <w:spacing w:after="0"/>
              <w:rPr>
                <w:sz w:val="20"/>
                <w:szCs w:val="20"/>
                <w:color w:val="auto"/>
              </w:rPr>
            </w:pPr>
            <w:r>
              <w:rPr>
                <w:rFonts w:ascii="Arial" w:cs="Arial" w:eastAsia="Arial" w:hAnsi="Arial"/>
                <w:sz w:val="13"/>
                <w:szCs w:val="13"/>
                <w:color w:val="4D4D4F"/>
              </w:rPr>
              <w:t>1,050,000</w:t>
            </w:r>
          </w:p>
        </w:tc>
        <w:tc>
          <w:tcPr>
            <w:tcW w:w="76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2,100,000</w:t>
            </w:r>
          </w:p>
        </w:tc>
        <w:tc>
          <w:tcPr>
            <w:tcW w:w="800" w:type="dxa"/>
            <w:vAlign w:val="bottom"/>
            <w:shd w:val="clear" w:color="auto" w:fill="EAEEF2"/>
          </w:tcPr>
          <w:p>
            <w:pPr>
              <w:ind w:left="160"/>
              <w:spacing w:after="0"/>
              <w:rPr>
                <w:sz w:val="20"/>
                <w:szCs w:val="20"/>
                <w:color w:val="auto"/>
              </w:rPr>
            </w:pPr>
            <w:r>
              <w:rPr>
                <w:rFonts w:ascii="Arial" w:cs="Arial" w:eastAsia="Arial" w:hAnsi="Arial"/>
                <w:sz w:val="13"/>
                <w:szCs w:val="13"/>
                <w:color w:val="4D4D4F"/>
              </w:rPr>
              <w:t>(1)</w:t>
            </w:r>
          </w:p>
        </w:tc>
        <w:tc>
          <w:tcPr>
            <w:tcW w:w="1000" w:type="dxa"/>
            <w:vAlign w:val="bottom"/>
            <w:shd w:val="clear" w:color="auto" w:fill="EAEEF2"/>
          </w:tcPr>
          <w:p>
            <w:pPr>
              <w:spacing w:after="0"/>
              <w:rPr>
                <w:sz w:val="14"/>
                <w:szCs w:val="14"/>
                <w:color w:val="auto"/>
              </w:rPr>
            </w:pPr>
          </w:p>
        </w:tc>
        <w:tc>
          <w:tcPr>
            <w:tcW w:w="720" w:type="dxa"/>
            <w:vAlign w:val="bottom"/>
            <w:shd w:val="clear" w:color="auto" w:fill="EAEEF2"/>
          </w:tcPr>
          <w:p>
            <w:pPr>
              <w:spacing w:after="0"/>
              <w:rPr>
                <w:sz w:val="14"/>
                <w:szCs w:val="14"/>
                <w:color w:val="auto"/>
              </w:rPr>
            </w:pPr>
          </w:p>
        </w:tc>
        <w:tc>
          <w:tcPr>
            <w:tcW w:w="760" w:type="dxa"/>
            <w:vAlign w:val="bottom"/>
            <w:shd w:val="clear" w:color="auto" w:fill="EAEEF2"/>
          </w:tcPr>
          <w:p>
            <w:pPr>
              <w:spacing w:after="0"/>
              <w:rPr>
                <w:sz w:val="14"/>
                <w:szCs w:val="14"/>
                <w:color w:val="auto"/>
              </w:rPr>
            </w:pPr>
          </w:p>
        </w:tc>
        <w:tc>
          <w:tcPr>
            <w:tcW w:w="1440" w:type="dxa"/>
            <w:vAlign w:val="bottom"/>
            <w:shd w:val="clear" w:color="auto" w:fill="EAEEF2"/>
          </w:tcPr>
          <w:p>
            <w:pPr>
              <w:spacing w:after="0"/>
              <w:rPr>
                <w:sz w:val="14"/>
                <w:szCs w:val="14"/>
                <w:color w:val="auto"/>
              </w:rPr>
            </w:pPr>
          </w:p>
        </w:tc>
        <w:tc>
          <w:tcPr>
            <w:tcW w:w="1120" w:type="dxa"/>
            <w:vAlign w:val="bottom"/>
            <w:shd w:val="clear" w:color="auto" w:fill="EAEEF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EAEEF2"/>
          </w:tcPr>
          <w:p>
            <w:pPr>
              <w:ind w:left="100"/>
              <w:spacing w:after="0"/>
              <w:rPr>
                <w:sz w:val="20"/>
                <w:szCs w:val="20"/>
                <w:color w:val="auto"/>
              </w:rPr>
            </w:pPr>
            <w:r>
              <w:rPr>
                <w:rFonts w:ascii="Arial" w:cs="Arial" w:eastAsia="Arial" w:hAnsi="Arial"/>
                <w:sz w:val="13"/>
                <w:szCs w:val="13"/>
                <w:b w:val="1"/>
                <w:bCs w:val="1"/>
                <w:color w:val="4D4D4F"/>
              </w:rPr>
              <w:t>Kasbar</w:t>
            </w:r>
          </w:p>
        </w:tc>
        <w:tc>
          <w:tcPr>
            <w:tcW w:w="860" w:type="dxa"/>
            <w:vAlign w:val="bottom"/>
            <w:vMerge w:val="restart"/>
            <w:shd w:val="clear" w:color="auto" w:fill="EAEEF2"/>
          </w:tcPr>
          <w:p>
            <w:pPr>
              <w:jc w:val="center"/>
              <w:spacing w:after="0"/>
              <w:rPr>
                <w:sz w:val="20"/>
                <w:szCs w:val="20"/>
                <w:color w:val="auto"/>
              </w:rPr>
            </w:pPr>
            <w:r>
              <w:rPr>
                <w:rFonts w:ascii="Arial" w:cs="Arial" w:eastAsia="Arial" w:hAnsi="Arial"/>
                <w:sz w:val="13"/>
                <w:szCs w:val="13"/>
                <w:color w:val="4D4D4F"/>
                <w:w w:val="99"/>
              </w:rPr>
              <w:t>n/a</w:t>
            </w:r>
          </w:p>
        </w:tc>
        <w:tc>
          <w:tcPr>
            <w:tcW w:w="880" w:type="dxa"/>
            <w:vAlign w:val="bottom"/>
            <w:vMerge w:val="restart"/>
            <w:shd w:val="clear" w:color="auto" w:fill="EAEEF2"/>
          </w:tcPr>
          <w:p>
            <w:pPr>
              <w:jc w:val="center"/>
              <w:spacing w:after="0"/>
              <w:rPr>
                <w:sz w:val="20"/>
                <w:szCs w:val="20"/>
                <w:color w:val="auto"/>
              </w:rPr>
            </w:pPr>
            <w:r>
              <w:rPr>
                <w:rFonts w:ascii="Arial" w:cs="Arial" w:eastAsia="Arial" w:hAnsi="Arial"/>
                <w:sz w:val="13"/>
                <w:szCs w:val="13"/>
                <w:color w:val="4D4D4F"/>
                <w:w w:val="98"/>
              </w:rPr>
              <w:t>02/22/2023</w:t>
            </w:r>
          </w:p>
        </w:tc>
        <w:tc>
          <w:tcPr>
            <w:tcW w:w="880" w:type="dxa"/>
            <w:vAlign w:val="bottom"/>
            <w:vMerge w:val="restart"/>
            <w:shd w:val="clear" w:color="auto" w:fill="EAEEF2"/>
          </w:tcPr>
          <w:p>
            <w:pPr>
              <w:jc w:val="right"/>
              <w:spacing w:after="0"/>
              <w:rPr>
                <w:sz w:val="20"/>
                <w:szCs w:val="20"/>
                <w:color w:val="auto"/>
              </w:rPr>
            </w:pPr>
            <w:r>
              <w:rPr>
                <w:rFonts w:ascii="Arial" w:cs="Arial" w:eastAsia="Arial" w:hAnsi="Arial"/>
                <w:sz w:val="13"/>
                <w:szCs w:val="13"/>
                <w:color w:val="4D4D4F"/>
              </w:rPr>
              <w:t>—</w:t>
            </w:r>
          </w:p>
        </w:tc>
        <w:tc>
          <w:tcPr>
            <w:tcW w:w="980" w:type="dxa"/>
            <w:vAlign w:val="bottom"/>
            <w:shd w:val="clear" w:color="auto" w:fill="EAEEF2"/>
          </w:tcPr>
          <w:p>
            <w:pPr>
              <w:spacing w:after="0"/>
              <w:rPr>
                <w:sz w:val="14"/>
                <w:szCs w:val="14"/>
                <w:color w:val="auto"/>
              </w:rPr>
            </w:pPr>
          </w:p>
        </w:tc>
        <w:tc>
          <w:tcPr>
            <w:tcW w:w="760" w:type="dxa"/>
            <w:vAlign w:val="bottom"/>
            <w:vMerge w:val="restart"/>
            <w:shd w:val="clear" w:color="auto" w:fill="EAEEF2"/>
          </w:tcPr>
          <w:p>
            <w:pPr>
              <w:jc w:val="right"/>
              <w:spacing w:after="0"/>
              <w:rPr>
                <w:sz w:val="20"/>
                <w:szCs w:val="20"/>
                <w:color w:val="auto"/>
              </w:rPr>
            </w:pPr>
            <w:r>
              <w:rPr>
                <w:rFonts w:ascii="Arial" w:cs="Arial" w:eastAsia="Arial" w:hAnsi="Arial"/>
                <w:sz w:val="13"/>
                <w:szCs w:val="13"/>
                <w:color w:val="4D4D4F"/>
              </w:rPr>
              <w:t>700,000</w:t>
            </w:r>
          </w:p>
        </w:tc>
        <w:tc>
          <w:tcPr>
            <w:tcW w:w="800" w:type="dxa"/>
            <w:vAlign w:val="bottom"/>
            <w:vMerge w:val="restart"/>
            <w:shd w:val="clear" w:color="auto" w:fill="EAEEF2"/>
          </w:tcPr>
          <w:p>
            <w:pPr>
              <w:ind w:left="160"/>
              <w:spacing w:after="0"/>
              <w:rPr>
                <w:sz w:val="20"/>
                <w:szCs w:val="20"/>
                <w:color w:val="auto"/>
              </w:rPr>
            </w:pPr>
            <w:r>
              <w:rPr>
                <w:rFonts w:ascii="Arial" w:cs="Arial" w:eastAsia="Arial" w:hAnsi="Arial"/>
                <w:sz w:val="13"/>
                <w:szCs w:val="13"/>
                <w:color w:val="4D4D4F"/>
              </w:rPr>
              <w:t>(2)</w:t>
            </w:r>
          </w:p>
        </w:tc>
        <w:tc>
          <w:tcPr>
            <w:tcW w:w="1000" w:type="dxa"/>
            <w:vAlign w:val="bottom"/>
            <w:shd w:val="clear" w:color="auto" w:fill="EAEEF2"/>
          </w:tcPr>
          <w:p>
            <w:pPr>
              <w:spacing w:after="0"/>
              <w:rPr>
                <w:sz w:val="14"/>
                <w:szCs w:val="14"/>
                <w:color w:val="auto"/>
              </w:rPr>
            </w:pPr>
          </w:p>
        </w:tc>
        <w:tc>
          <w:tcPr>
            <w:tcW w:w="720" w:type="dxa"/>
            <w:vAlign w:val="bottom"/>
            <w:shd w:val="clear" w:color="auto" w:fill="EAEEF2"/>
          </w:tcPr>
          <w:p>
            <w:pPr>
              <w:spacing w:after="0"/>
              <w:rPr>
                <w:sz w:val="14"/>
                <w:szCs w:val="14"/>
                <w:color w:val="auto"/>
              </w:rPr>
            </w:pPr>
          </w:p>
        </w:tc>
        <w:tc>
          <w:tcPr>
            <w:tcW w:w="760" w:type="dxa"/>
            <w:vAlign w:val="bottom"/>
            <w:shd w:val="clear" w:color="auto" w:fill="EAEEF2"/>
          </w:tcPr>
          <w:p>
            <w:pPr>
              <w:spacing w:after="0"/>
              <w:rPr>
                <w:sz w:val="14"/>
                <w:szCs w:val="14"/>
                <w:color w:val="auto"/>
              </w:rPr>
            </w:pPr>
          </w:p>
        </w:tc>
        <w:tc>
          <w:tcPr>
            <w:tcW w:w="1440" w:type="dxa"/>
            <w:vAlign w:val="bottom"/>
            <w:shd w:val="clear" w:color="auto" w:fill="EAEEF2"/>
          </w:tcPr>
          <w:p>
            <w:pPr>
              <w:spacing w:after="0"/>
              <w:rPr>
                <w:sz w:val="14"/>
                <w:szCs w:val="14"/>
                <w:color w:val="auto"/>
              </w:rPr>
            </w:pPr>
          </w:p>
        </w:tc>
        <w:tc>
          <w:tcPr>
            <w:tcW w:w="1120" w:type="dxa"/>
            <w:vAlign w:val="bottom"/>
            <w:shd w:val="clear" w:color="auto" w:fill="EAEEF2"/>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040" w:type="dxa"/>
            <w:vAlign w:val="bottom"/>
            <w:shd w:val="clear" w:color="auto" w:fill="EAEEF2"/>
          </w:tcPr>
          <w:p>
            <w:pPr>
              <w:spacing w:after="0"/>
              <w:rPr>
                <w:sz w:val="12"/>
                <w:szCs w:val="12"/>
                <w:color w:val="auto"/>
              </w:rPr>
            </w:pPr>
          </w:p>
        </w:tc>
        <w:tc>
          <w:tcPr>
            <w:tcW w:w="860" w:type="dxa"/>
            <w:vAlign w:val="bottom"/>
            <w:vMerge w:val="continue"/>
            <w:shd w:val="clear" w:color="auto" w:fill="EAEEF2"/>
          </w:tcPr>
          <w:p>
            <w:pPr>
              <w:spacing w:after="0"/>
              <w:rPr>
                <w:sz w:val="12"/>
                <w:szCs w:val="12"/>
                <w:color w:val="auto"/>
              </w:rPr>
            </w:pPr>
          </w:p>
        </w:tc>
        <w:tc>
          <w:tcPr>
            <w:tcW w:w="880" w:type="dxa"/>
            <w:vAlign w:val="bottom"/>
            <w:vMerge w:val="continue"/>
            <w:shd w:val="clear" w:color="auto" w:fill="EAEEF2"/>
          </w:tcPr>
          <w:p>
            <w:pPr>
              <w:spacing w:after="0"/>
              <w:rPr>
                <w:sz w:val="12"/>
                <w:szCs w:val="12"/>
                <w:color w:val="auto"/>
              </w:rPr>
            </w:pPr>
          </w:p>
        </w:tc>
        <w:tc>
          <w:tcPr>
            <w:tcW w:w="880" w:type="dxa"/>
            <w:vAlign w:val="bottom"/>
            <w:vMerge w:val="continue"/>
            <w:shd w:val="clear" w:color="auto" w:fill="EAEEF2"/>
          </w:tcPr>
          <w:p>
            <w:pPr>
              <w:spacing w:after="0"/>
              <w:rPr>
                <w:sz w:val="12"/>
                <w:szCs w:val="12"/>
                <w:color w:val="auto"/>
              </w:rPr>
            </w:pPr>
          </w:p>
        </w:tc>
        <w:tc>
          <w:tcPr>
            <w:tcW w:w="980" w:type="dxa"/>
            <w:vAlign w:val="bottom"/>
            <w:shd w:val="clear" w:color="auto" w:fill="EAEEF2"/>
          </w:tcPr>
          <w:p>
            <w:pPr>
              <w:spacing w:after="0"/>
              <w:rPr>
                <w:sz w:val="12"/>
                <w:szCs w:val="12"/>
                <w:color w:val="auto"/>
              </w:rPr>
            </w:pPr>
          </w:p>
        </w:tc>
        <w:tc>
          <w:tcPr>
            <w:tcW w:w="760" w:type="dxa"/>
            <w:vAlign w:val="bottom"/>
            <w:vMerge w:val="continue"/>
            <w:shd w:val="clear" w:color="auto" w:fill="EAEEF2"/>
          </w:tcPr>
          <w:p>
            <w:pPr>
              <w:spacing w:after="0"/>
              <w:rPr>
                <w:sz w:val="12"/>
                <w:szCs w:val="12"/>
                <w:color w:val="auto"/>
              </w:rPr>
            </w:pPr>
          </w:p>
        </w:tc>
        <w:tc>
          <w:tcPr>
            <w:tcW w:w="800" w:type="dxa"/>
            <w:vAlign w:val="bottom"/>
            <w:vMerge w:val="continue"/>
            <w:shd w:val="clear" w:color="auto" w:fill="EAEEF2"/>
          </w:tcPr>
          <w:p>
            <w:pPr>
              <w:spacing w:after="0"/>
              <w:rPr>
                <w:sz w:val="12"/>
                <w:szCs w:val="12"/>
                <w:color w:val="auto"/>
              </w:rPr>
            </w:pPr>
          </w:p>
        </w:tc>
        <w:tc>
          <w:tcPr>
            <w:tcW w:w="1000" w:type="dxa"/>
            <w:vAlign w:val="bottom"/>
            <w:shd w:val="clear" w:color="auto" w:fill="EAEEF2"/>
          </w:tcPr>
          <w:p>
            <w:pPr>
              <w:spacing w:after="0"/>
              <w:rPr>
                <w:sz w:val="12"/>
                <w:szCs w:val="12"/>
                <w:color w:val="auto"/>
              </w:rPr>
            </w:pPr>
          </w:p>
        </w:tc>
        <w:tc>
          <w:tcPr>
            <w:tcW w:w="720" w:type="dxa"/>
            <w:vAlign w:val="bottom"/>
            <w:shd w:val="clear" w:color="auto" w:fill="EAEEF2"/>
          </w:tcPr>
          <w:p>
            <w:pPr>
              <w:spacing w:after="0"/>
              <w:rPr>
                <w:sz w:val="12"/>
                <w:szCs w:val="12"/>
                <w:color w:val="auto"/>
              </w:rPr>
            </w:pPr>
          </w:p>
        </w:tc>
        <w:tc>
          <w:tcPr>
            <w:tcW w:w="760" w:type="dxa"/>
            <w:vAlign w:val="bottom"/>
            <w:shd w:val="clear" w:color="auto" w:fill="EAEEF2"/>
          </w:tcPr>
          <w:p>
            <w:pPr>
              <w:spacing w:after="0"/>
              <w:rPr>
                <w:sz w:val="12"/>
                <w:szCs w:val="12"/>
                <w:color w:val="auto"/>
              </w:rPr>
            </w:pPr>
          </w:p>
        </w:tc>
        <w:tc>
          <w:tcPr>
            <w:tcW w:w="1440" w:type="dxa"/>
            <w:vAlign w:val="bottom"/>
            <w:shd w:val="clear" w:color="auto" w:fill="EAEEF2"/>
          </w:tcPr>
          <w:p>
            <w:pPr>
              <w:spacing w:after="0"/>
              <w:rPr>
                <w:sz w:val="12"/>
                <w:szCs w:val="12"/>
                <w:color w:val="auto"/>
              </w:rPr>
            </w:pPr>
          </w:p>
        </w:tc>
        <w:tc>
          <w:tcPr>
            <w:tcW w:w="1120" w:type="dxa"/>
            <w:vAlign w:val="bottom"/>
            <w:shd w:val="clear" w:color="auto" w:fill="EAEEF2"/>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1040" w:type="dxa"/>
            <w:vAlign w:val="bottom"/>
            <w:shd w:val="clear" w:color="auto" w:fill="EAEEF2"/>
          </w:tcPr>
          <w:p>
            <w:pPr>
              <w:spacing w:after="0"/>
              <w:rPr>
                <w:sz w:val="24"/>
                <w:szCs w:val="24"/>
                <w:color w:val="auto"/>
              </w:rPr>
            </w:pPr>
          </w:p>
        </w:tc>
        <w:tc>
          <w:tcPr>
            <w:tcW w:w="86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03/15/2023</w:t>
            </w: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8"/>
              </w:rPr>
              <w:t>02/22/2023</w:t>
            </w:r>
          </w:p>
        </w:tc>
        <w:tc>
          <w:tcPr>
            <w:tcW w:w="880" w:type="dxa"/>
            <w:vAlign w:val="bottom"/>
            <w:shd w:val="clear" w:color="auto" w:fill="EAEEF2"/>
          </w:tcPr>
          <w:p>
            <w:pPr>
              <w:spacing w:after="0"/>
              <w:rPr>
                <w:sz w:val="24"/>
                <w:szCs w:val="24"/>
                <w:color w:val="auto"/>
              </w:rPr>
            </w:pPr>
          </w:p>
        </w:tc>
        <w:tc>
          <w:tcPr>
            <w:tcW w:w="980" w:type="dxa"/>
            <w:vAlign w:val="bottom"/>
            <w:shd w:val="clear" w:color="auto" w:fill="EAEEF2"/>
          </w:tcPr>
          <w:p>
            <w:pPr>
              <w:spacing w:after="0"/>
              <w:rPr>
                <w:sz w:val="24"/>
                <w:szCs w:val="24"/>
                <w:color w:val="auto"/>
              </w:rPr>
            </w:pPr>
          </w:p>
        </w:tc>
        <w:tc>
          <w:tcPr>
            <w:tcW w:w="760" w:type="dxa"/>
            <w:vAlign w:val="bottom"/>
            <w:shd w:val="clear" w:color="auto" w:fill="EAEEF2"/>
          </w:tcPr>
          <w:p>
            <w:pPr>
              <w:spacing w:after="0"/>
              <w:rPr>
                <w:sz w:val="24"/>
                <w:szCs w:val="24"/>
                <w:color w:val="auto"/>
              </w:rPr>
            </w:pPr>
          </w:p>
        </w:tc>
        <w:tc>
          <w:tcPr>
            <w:tcW w:w="800" w:type="dxa"/>
            <w:vAlign w:val="bottom"/>
            <w:shd w:val="clear" w:color="auto" w:fill="EAEEF2"/>
          </w:tcPr>
          <w:p>
            <w:pPr>
              <w:ind w:left="160"/>
              <w:spacing w:after="0"/>
              <w:rPr>
                <w:sz w:val="20"/>
                <w:szCs w:val="20"/>
                <w:color w:val="auto"/>
              </w:rPr>
            </w:pPr>
            <w:r>
              <w:rPr>
                <w:rFonts w:ascii="Arial" w:cs="Arial" w:eastAsia="Arial" w:hAnsi="Arial"/>
                <w:sz w:val="13"/>
                <w:szCs w:val="13"/>
                <w:color w:val="4D4D4F"/>
              </w:rPr>
              <w:t>PRSU</w:t>
            </w:r>
            <w:r>
              <w:rPr>
                <w:rFonts w:ascii="Arial" w:cs="Arial" w:eastAsia="Arial" w:hAnsi="Arial"/>
                <w:sz w:val="16"/>
                <w:szCs w:val="16"/>
                <w:color w:val="4D4D4F"/>
                <w:vertAlign w:val="superscript"/>
              </w:rPr>
              <w:t>(3)</w:t>
            </w:r>
          </w:p>
        </w:tc>
        <w:tc>
          <w:tcPr>
            <w:tcW w:w="1000" w:type="dxa"/>
            <w:vAlign w:val="bottom"/>
            <w:shd w:val="clear" w:color="auto" w:fill="EAEEF2"/>
          </w:tcPr>
          <w:p>
            <w:pPr>
              <w:jc w:val="right"/>
              <w:ind w:right="97"/>
              <w:spacing w:after="0"/>
              <w:rPr>
                <w:sz w:val="20"/>
                <w:szCs w:val="20"/>
                <w:color w:val="auto"/>
              </w:rPr>
            </w:pPr>
            <w:r>
              <w:rPr>
                <w:rFonts w:ascii="Arial" w:cs="Arial" w:eastAsia="Arial" w:hAnsi="Arial"/>
                <w:sz w:val="13"/>
                <w:szCs w:val="13"/>
                <w:color w:val="4D4D4F"/>
              </w:rPr>
              <w:t>33,792</w:t>
            </w:r>
          </w:p>
        </w:tc>
        <w:tc>
          <w:tcPr>
            <w:tcW w:w="720" w:type="dxa"/>
            <w:vAlign w:val="bottom"/>
            <w:shd w:val="clear" w:color="auto" w:fill="EAEEF2"/>
          </w:tcPr>
          <w:p>
            <w:pPr>
              <w:jc w:val="right"/>
              <w:ind w:right="117"/>
              <w:spacing w:after="0"/>
              <w:rPr>
                <w:sz w:val="20"/>
                <w:szCs w:val="20"/>
                <w:color w:val="auto"/>
              </w:rPr>
            </w:pPr>
            <w:r>
              <w:rPr>
                <w:rFonts w:ascii="Arial" w:cs="Arial" w:eastAsia="Arial" w:hAnsi="Arial"/>
                <w:sz w:val="13"/>
                <w:szCs w:val="13"/>
                <w:color w:val="4D4D4F"/>
              </w:rPr>
              <w:t>112,641</w:t>
            </w:r>
          </w:p>
        </w:tc>
        <w:tc>
          <w:tcPr>
            <w:tcW w:w="76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225,282</w:t>
            </w:r>
          </w:p>
        </w:tc>
        <w:tc>
          <w:tcPr>
            <w:tcW w:w="1440" w:type="dxa"/>
            <w:vAlign w:val="bottom"/>
            <w:shd w:val="clear" w:color="auto" w:fill="EAEEF2"/>
          </w:tcPr>
          <w:p>
            <w:pPr>
              <w:spacing w:after="0"/>
              <w:rPr>
                <w:sz w:val="24"/>
                <w:szCs w:val="24"/>
                <w:color w:val="auto"/>
              </w:rPr>
            </w:pPr>
          </w:p>
        </w:tc>
        <w:tc>
          <w:tcPr>
            <w:tcW w:w="1120" w:type="dxa"/>
            <w:vAlign w:val="bottom"/>
            <w:shd w:val="clear" w:color="auto" w:fill="EAEEF2"/>
          </w:tcPr>
          <w:p>
            <w:pPr>
              <w:jc w:val="right"/>
              <w:ind w:right="97"/>
              <w:spacing w:after="0"/>
              <w:rPr>
                <w:sz w:val="20"/>
                <w:szCs w:val="20"/>
                <w:color w:val="auto"/>
              </w:rPr>
            </w:pPr>
            <w:r>
              <w:rPr>
                <w:rFonts w:ascii="Arial" w:cs="Arial" w:eastAsia="Arial" w:hAnsi="Arial"/>
                <w:sz w:val="13"/>
                <w:szCs w:val="13"/>
                <w:color w:val="4D4D4F"/>
              </w:rPr>
              <w:t>2,700,005</w:t>
            </w:r>
          </w:p>
        </w:tc>
        <w:tc>
          <w:tcPr>
            <w:tcW w:w="0" w:type="dxa"/>
            <w:vAlign w:val="bottom"/>
          </w:tcPr>
          <w:p>
            <w:pPr>
              <w:spacing w:after="0"/>
              <w:rPr>
                <w:sz w:val="1"/>
                <w:szCs w:val="1"/>
                <w:color w:val="auto"/>
              </w:rPr>
            </w:pPr>
          </w:p>
        </w:tc>
      </w:tr>
      <w:tr>
        <w:trPr>
          <w:trHeight w:val="288"/>
        </w:trPr>
        <w:tc>
          <w:tcPr>
            <w:tcW w:w="1040" w:type="dxa"/>
            <w:vAlign w:val="bottom"/>
            <w:tcBorders>
              <w:bottom w:val="single" w:sz="8" w:color="EAEEF2"/>
            </w:tcBorders>
            <w:shd w:val="clear" w:color="auto" w:fill="EAEEF2"/>
          </w:tcPr>
          <w:p>
            <w:pPr>
              <w:spacing w:after="0"/>
              <w:rPr>
                <w:sz w:val="24"/>
                <w:szCs w:val="24"/>
                <w:color w:val="auto"/>
              </w:rPr>
            </w:pPr>
          </w:p>
        </w:tc>
        <w:tc>
          <w:tcPr>
            <w:tcW w:w="860" w:type="dxa"/>
            <w:vAlign w:val="bottom"/>
            <w:tcBorders>
              <w:bottom w:val="single" w:sz="8" w:color="EAEEF2"/>
            </w:tcBorders>
            <w:shd w:val="clear" w:color="auto" w:fill="EAEEF2"/>
          </w:tcPr>
          <w:p>
            <w:pPr>
              <w:jc w:val="center"/>
              <w:spacing w:after="0"/>
              <w:rPr>
                <w:sz w:val="20"/>
                <w:szCs w:val="20"/>
                <w:color w:val="auto"/>
              </w:rPr>
            </w:pPr>
            <w:r>
              <w:rPr>
                <w:rFonts w:ascii="Arial" w:cs="Arial" w:eastAsia="Arial" w:hAnsi="Arial"/>
                <w:sz w:val="13"/>
                <w:szCs w:val="13"/>
                <w:color w:val="4D4D4F"/>
                <w:w w:val="95"/>
              </w:rPr>
              <w:t>03/15/2023</w:t>
            </w:r>
          </w:p>
        </w:tc>
        <w:tc>
          <w:tcPr>
            <w:tcW w:w="880" w:type="dxa"/>
            <w:vAlign w:val="bottom"/>
            <w:tcBorders>
              <w:bottom w:val="single" w:sz="8" w:color="EAEEF2"/>
            </w:tcBorders>
            <w:shd w:val="clear" w:color="auto" w:fill="EAEEF2"/>
          </w:tcPr>
          <w:p>
            <w:pPr>
              <w:jc w:val="center"/>
              <w:spacing w:after="0"/>
              <w:rPr>
                <w:sz w:val="20"/>
                <w:szCs w:val="20"/>
                <w:color w:val="auto"/>
              </w:rPr>
            </w:pPr>
            <w:r>
              <w:rPr>
                <w:rFonts w:ascii="Arial" w:cs="Arial" w:eastAsia="Arial" w:hAnsi="Arial"/>
                <w:sz w:val="13"/>
                <w:szCs w:val="13"/>
                <w:color w:val="4D4D4F"/>
                <w:w w:val="98"/>
              </w:rPr>
              <w:t>02/22/2023</w:t>
            </w:r>
          </w:p>
        </w:tc>
        <w:tc>
          <w:tcPr>
            <w:tcW w:w="880" w:type="dxa"/>
            <w:vAlign w:val="bottom"/>
            <w:tcBorders>
              <w:bottom w:val="single" w:sz="8" w:color="EAEEF2"/>
            </w:tcBorders>
            <w:shd w:val="clear" w:color="auto" w:fill="EAEEF2"/>
          </w:tcPr>
          <w:p>
            <w:pPr>
              <w:spacing w:after="0"/>
              <w:rPr>
                <w:sz w:val="24"/>
                <w:szCs w:val="24"/>
                <w:color w:val="auto"/>
              </w:rPr>
            </w:pPr>
          </w:p>
        </w:tc>
        <w:tc>
          <w:tcPr>
            <w:tcW w:w="980" w:type="dxa"/>
            <w:vAlign w:val="bottom"/>
            <w:tcBorders>
              <w:bottom w:val="single" w:sz="8" w:color="EAEEF2"/>
            </w:tcBorders>
            <w:shd w:val="clear" w:color="auto" w:fill="EAEEF2"/>
          </w:tcPr>
          <w:p>
            <w:pPr>
              <w:spacing w:after="0"/>
              <w:rPr>
                <w:sz w:val="24"/>
                <w:szCs w:val="24"/>
                <w:color w:val="auto"/>
              </w:rPr>
            </w:pPr>
          </w:p>
        </w:tc>
        <w:tc>
          <w:tcPr>
            <w:tcW w:w="760" w:type="dxa"/>
            <w:vAlign w:val="bottom"/>
            <w:tcBorders>
              <w:bottom w:val="single" w:sz="8" w:color="EAEEF2"/>
            </w:tcBorders>
            <w:shd w:val="clear" w:color="auto" w:fill="EAEEF2"/>
          </w:tcPr>
          <w:p>
            <w:pPr>
              <w:spacing w:after="0"/>
              <w:rPr>
                <w:sz w:val="24"/>
                <w:szCs w:val="24"/>
                <w:color w:val="auto"/>
              </w:rPr>
            </w:pPr>
          </w:p>
        </w:tc>
        <w:tc>
          <w:tcPr>
            <w:tcW w:w="800" w:type="dxa"/>
            <w:vAlign w:val="bottom"/>
            <w:tcBorders>
              <w:bottom w:val="single" w:sz="8" w:color="EAEEF2"/>
            </w:tcBorders>
            <w:shd w:val="clear" w:color="auto" w:fill="EAEEF2"/>
          </w:tcPr>
          <w:p>
            <w:pPr>
              <w:ind w:left="160"/>
              <w:spacing w:after="0"/>
              <w:rPr>
                <w:sz w:val="20"/>
                <w:szCs w:val="20"/>
                <w:color w:val="auto"/>
              </w:rPr>
            </w:pPr>
            <w:r>
              <w:rPr>
                <w:rFonts w:ascii="Arial" w:cs="Arial" w:eastAsia="Arial" w:hAnsi="Arial"/>
                <w:sz w:val="13"/>
                <w:szCs w:val="13"/>
                <w:color w:val="4D4D4F"/>
              </w:rPr>
              <w:t>RSU</w:t>
            </w:r>
            <w:r>
              <w:rPr>
                <w:rFonts w:ascii="Arial" w:cs="Arial" w:eastAsia="Arial" w:hAnsi="Arial"/>
                <w:sz w:val="16"/>
                <w:szCs w:val="16"/>
                <w:color w:val="4D4D4F"/>
                <w:vertAlign w:val="superscript"/>
              </w:rPr>
              <w:t>(4)</w:t>
            </w:r>
          </w:p>
        </w:tc>
        <w:tc>
          <w:tcPr>
            <w:tcW w:w="1000" w:type="dxa"/>
            <w:vAlign w:val="bottom"/>
            <w:tcBorders>
              <w:bottom w:val="single" w:sz="8" w:color="EAEEF2"/>
            </w:tcBorders>
            <w:shd w:val="clear" w:color="auto" w:fill="EAEEF2"/>
          </w:tcPr>
          <w:p>
            <w:pPr>
              <w:spacing w:after="0"/>
              <w:rPr>
                <w:sz w:val="24"/>
                <w:szCs w:val="24"/>
                <w:color w:val="auto"/>
              </w:rPr>
            </w:pPr>
          </w:p>
        </w:tc>
        <w:tc>
          <w:tcPr>
            <w:tcW w:w="720" w:type="dxa"/>
            <w:vAlign w:val="bottom"/>
            <w:tcBorders>
              <w:bottom w:val="single" w:sz="8" w:color="EAEEF2"/>
            </w:tcBorders>
            <w:shd w:val="clear" w:color="auto" w:fill="EAEEF2"/>
          </w:tcPr>
          <w:p>
            <w:pPr>
              <w:spacing w:after="0"/>
              <w:rPr>
                <w:sz w:val="24"/>
                <w:szCs w:val="24"/>
                <w:color w:val="auto"/>
              </w:rPr>
            </w:pPr>
          </w:p>
        </w:tc>
        <w:tc>
          <w:tcPr>
            <w:tcW w:w="760" w:type="dxa"/>
            <w:vAlign w:val="bottom"/>
            <w:tcBorders>
              <w:bottom w:val="single" w:sz="8" w:color="EAEEF2"/>
            </w:tcBorders>
            <w:shd w:val="clear" w:color="auto" w:fill="EAEEF2"/>
          </w:tcPr>
          <w:p>
            <w:pPr>
              <w:spacing w:after="0"/>
              <w:rPr>
                <w:sz w:val="24"/>
                <w:szCs w:val="24"/>
                <w:color w:val="auto"/>
              </w:rPr>
            </w:pPr>
          </w:p>
        </w:tc>
        <w:tc>
          <w:tcPr>
            <w:tcW w:w="1440" w:type="dxa"/>
            <w:vAlign w:val="bottom"/>
            <w:tcBorders>
              <w:bottom w:val="single" w:sz="8" w:color="EAEEF2"/>
            </w:tcBorders>
            <w:shd w:val="clear" w:color="auto" w:fill="EAEEF2"/>
          </w:tcPr>
          <w:p>
            <w:pPr>
              <w:jc w:val="right"/>
              <w:ind w:right="77"/>
              <w:spacing w:after="0"/>
              <w:rPr>
                <w:sz w:val="20"/>
                <w:szCs w:val="20"/>
                <w:color w:val="auto"/>
              </w:rPr>
            </w:pPr>
            <w:r>
              <w:rPr>
                <w:rFonts w:ascii="Arial" w:cs="Arial" w:eastAsia="Arial" w:hAnsi="Arial"/>
                <w:sz w:val="13"/>
                <w:szCs w:val="13"/>
                <w:color w:val="4D4D4F"/>
              </w:rPr>
              <w:t>75,094</w:t>
            </w:r>
          </w:p>
        </w:tc>
        <w:tc>
          <w:tcPr>
            <w:tcW w:w="1120" w:type="dxa"/>
            <w:vAlign w:val="bottom"/>
            <w:tcBorders>
              <w:bottom w:val="single" w:sz="8" w:color="EAEEF2"/>
            </w:tcBorders>
            <w:shd w:val="clear" w:color="auto" w:fill="EAEEF2"/>
          </w:tcPr>
          <w:p>
            <w:pPr>
              <w:jc w:val="right"/>
              <w:ind w:right="97"/>
              <w:spacing w:after="0"/>
              <w:rPr>
                <w:sz w:val="20"/>
                <w:szCs w:val="20"/>
                <w:color w:val="auto"/>
              </w:rPr>
            </w:pPr>
            <w:r>
              <w:rPr>
                <w:rFonts w:ascii="Arial" w:cs="Arial" w:eastAsia="Arial" w:hAnsi="Arial"/>
                <w:sz w:val="13"/>
                <w:szCs w:val="13"/>
                <w:color w:val="4D4D4F"/>
              </w:rPr>
              <w:t>1,800,003</w:t>
            </w:r>
          </w:p>
        </w:tc>
        <w:tc>
          <w:tcPr>
            <w:tcW w:w="0" w:type="dxa"/>
            <w:vAlign w:val="bottom"/>
          </w:tcPr>
          <w:p>
            <w:pPr>
              <w:spacing w:after="0"/>
              <w:rPr>
                <w:sz w:val="1"/>
                <w:szCs w:val="1"/>
                <w:color w:val="auto"/>
              </w:rPr>
            </w:pPr>
          </w:p>
        </w:tc>
      </w:tr>
      <w:tr>
        <w:trPr>
          <w:trHeight w:val="202"/>
        </w:trPr>
        <w:tc>
          <w:tcPr>
            <w:tcW w:w="1040" w:type="dxa"/>
            <w:vAlign w:val="bottom"/>
          </w:tcPr>
          <w:p>
            <w:pPr>
              <w:ind w:left="100"/>
              <w:spacing w:after="0"/>
              <w:rPr>
                <w:sz w:val="20"/>
                <w:szCs w:val="20"/>
                <w:color w:val="auto"/>
              </w:rPr>
            </w:pPr>
            <w:r>
              <w:rPr>
                <w:rFonts w:ascii="Arial" w:cs="Arial" w:eastAsia="Arial" w:hAnsi="Arial"/>
                <w:sz w:val="13"/>
                <w:szCs w:val="13"/>
                <w:b w:val="1"/>
                <w:bCs w:val="1"/>
                <w:color w:val="4D4D4F"/>
              </w:rPr>
              <w:t>Ira M. Birns</w:t>
            </w:r>
          </w:p>
        </w:tc>
        <w:tc>
          <w:tcPr>
            <w:tcW w:w="860" w:type="dxa"/>
            <w:vAlign w:val="bottom"/>
          </w:tcPr>
          <w:p>
            <w:pPr>
              <w:jc w:val="center"/>
              <w:spacing w:after="0"/>
              <w:rPr>
                <w:sz w:val="20"/>
                <w:szCs w:val="20"/>
                <w:color w:val="auto"/>
              </w:rPr>
            </w:pPr>
            <w:r>
              <w:rPr>
                <w:rFonts w:ascii="Arial" w:cs="Arial" w:eastAsia="Arial" w:hAnsi="Arial"/>
                <w:sz w:val="13"/>
                <w:szCs w:val="13"/>
                <w:color w:val="4D4D4F"/>
                <w:w w:val="99"/>
              </w:rPr>
              <w:t>n/a</w:t>
            </w:r>
          </w:p>
        </w:tc>
        <w:tc>
          <w:tcPr>
            <w:tcW w:w="880" w:type="dxa"/>
            <w:vAlign w:val="bottom"/>
          </w:tcPr>
          <w:p>
            <w:pPr>
              <w:jc w:val="center"/>
              <w:spacing w:after="0"/>
              <w:rPr>
                <w:sz w:val="20"/>
                <w:szCs w:val="20"/>
                <w:color w:val="auto"/>
              </w:rPr>
            </w:pPr>
            <w:r>
              <w:rPr>
                <w:rFonts w:ascii="Arial" w:cs="Arial" w:eastAsia="Arial" w:hAnsi="Arial"/>
                <w:sz w:val="13"/>
                <w:szCs w:val="13"/>
                <w:color w:val="4D4D4F"/>
                <w:w w:val="98"/>
              </w:rPr>
              <w:t>02/22/2023</w:t>
            </w:r>
          </w:p>
        </w:tc>
        <w:tc>
          <w:tcPr>
            <w:tcW w:w="880" w:type="dxa"/>
            <w:vAlign w:val="bottom"/>
          </w:tcPr>
          <w:p>
            <w:pPr>
              <w:jc w:val="right"/>
              <w:spacing w:after="0"/>
              <w:rPr>
                <w:sz w:val="20"/>
                <w:szCs w:val="20"/>
                <w:color w:val="auto"/>
              </w:rPr>
            </w:pPr>
            <w:r>
              <w:rPr>
                <w:rFonts w:ascii="Arial" w:cs="Arial" w:eastAsia="Arial" w:hAnsi="Arial"/>
                <w:sz w:val="13"/>
                <w:szCs w:val="13"/>
                <w:color w:val="4D4D4F"/>
              </w:rPr>
              <w:t>157,500</w:t>
            </w:r>
          </w:p>
        </w:tc>
        <w:tc>
          <w:tcPr>
            <w:tcW w:w="980" w:type="dxa"/>
            <w:vAlign w:val="bottom"/>
          </w:tcPr>
          <w:p>
            <w:pPr>
              <w:jc w:val="right"/>
              <w:ind w:right="117"/>
              <w:spacing w:after="0"/>
              <w:rPr>
                <w:sz w:val="20"/>
                <w:szCs w:val="20"/>
                <w:color w:val="auto"/>
              </w:rPr>
            </w:pPr>
            <w:r>
              <w:rPr>
                <w:rFonts w:ascii="Arial" w:cs="Arial" w:eastAsia="Arial" w:hAnsi="Arial"/>
                <w:sz w:val="13"/>
                <w:szCs w:val="13"/>
                <w:color w:val="4D4D4F"/>
              </w:rPr>
              <w:t>450,000</w:t>
            </w:r>
          </w:p>
        </w:tc>
        <w:tc>
          <w:tcPr>
            <w:tcW w:w="760" w:type="dxa"/>
            <w:vAlign w:val="bottom"/>
          </w:tcPr>
          <w:p>
            <w:pPr>
              <w:jc w:val="right"/>
              <w:spacing w:after="0"/>
              <w:rPr>
                <w:sz w:val="20"/>
                <w:szCs w:val="20"/>
                <w:color w:val="auto"/>
              </w:rPr>
            </w:pPr>
            <w:r>
              <w:rPr>
                <w:rFonts w:ascii="Arial" w:cs="Arial" w:eastAsia="Arial" w:hAnsi="Arial"/>
                <w:sz w:val="13"/>
                <w:szCs w:val="13"/>
                <w:color w:val="4D4D4F"/>
              </w:rPr>
              <w:t>900,000</w:t>
            </w:r>
          </w:p>
        </w:tc>
        <w:tc>
          <w:tcPr>
            <w:tcW w:w="800" w:type="dxa"/>
            <w:vAlign w:val="bottom"/>
          </w:tcPr>
          <w:p>
            <w:pPr>
              <w:ind w:left="160"/>
              <w:spacing w:after="0"/>
              <w:rPr>
                <w:sz w:val="20"/>
                <w:szCs w:val="20"/>
                <w:color w:val="auto"/>
              </w:rPr>
            </w:pPr>
            <w:r>
              <w:rPr>
                <w:rFonts w:ascii="Arial" w:cs="Arial" w:eastAsia="Arial" w:hAnsi="Arial"/>
                <w:sz w:val="13"/>
                <w:szCs w:val="13"/>
                <w:color w:val="4D4D4F"/>
              </w:rPr>
              <w:t>(1)</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4D4D4F"/>
                <w:w w:val="99"/>
              </w:rPr>
              <w:t>n/a</w:t>
            </w:r>
          </w:p>
        </w:tc>
        <w:tc>
          <w:tcPr>
            <w:tcW w:w="880" w:type="dxa"/>
            <w:vAlign w:val="bottom"/>
          </w:tcPr>
          <w:p>
            <w:pPr>
              <w:jc w:val="center"/>
              <w:spacing w:after="0"/>
              <w:rPr>
                <w:sz w:val="20"/>
                <w:szCs w:val="20"/>
                <w:color w:val="auto"/>
              </w:rPr>
            </w:pPr>
            <w:r>
              <w:rPr>
                <w:rFonts w:ascii="Arial" w:cs="Arial" w:eastAsia="Arial" w:hAnsi="Arial"/>
                <w:sz w:val="13"/>
                <w:szCs w:val="13"/>
                <w:color w:val="4D4D4F"/>
                <w:w w:val="98"/>
              </w:rPr>
              <w:t>02/22/2023</w:t>
            </w:r>
          </w:p>
        </w:tc>
        <w:tc>
          <w:tcPr>
            <w:tcW w:w="880" w:type="dxa"/>
            <w:vAlign w:val="bottom"/>
          </w:tcPr>
          <w:p>
            <w:pPr>
              <w:jc w:val="right"/>
              <w:spacing w:after="0"/>
              <w:rPr>
                <w:sz w:val="20"/>
                <w:szCs w:val="20"/>
                <w:color w:val="auto"/>
              </w:rPr>
            </w:pPr>
            <w:r>
              <w:rPr>
                <w:rFonts w:ascii="Arial" w:cs="Arial" w:eastAsia="Arial" w:hAnsi="Arial"/>
                <w:sz w:val="13"/>
                <w:szCs w:val="13"/>
                <w:color w:val="4D4D4F"/>
              </w:rPr>
              <w:t>—</w:t>
            </w:r>
          </w:p>
        </w:tc>
        <w:tc>
          <w:tcPr>
            <w:tcW w:w="9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4D4D4F"/>
              </w:rPr>
              <w:t>300,000</w:t>
            </w:r>
          </w:p>
        </w:tc>
        <w:tc>
          <w:tcPr>
            <w:tcW w:w="800" w:type="dxa"/>
            <w:vAlign w:val="bottom"/>
          </w:tcPr>
          <w:p>
            <w:pPr>
              <w:ind w:left="160"/>
              <w:spacing w:after="0"/>
              <w:rPr>
                <w:sz w:val="20"/>
                <w:szCs w:val="20"/>
                <w:color w:val="auto"/>
              </w:rPr>
            </w:pPr>
            <w:r>
              <w:rPr>
                <w:rFonts w:ascii="Arial" w:cs="Arial" w:eastAsia="Arial" w:hAnsi="Arial"/>
                <w:sz w:val="13"/>
                <w:szCs w:val="13"/>
                <w:color w:val="4D4D4F"/>
              </w:rPr>
              <w:t>(2)</w:t>
            </w:r>
          </w:p>
        </w:tc>
        <w:tc>
          <w:tcPr>
            <w:tcW w:w="1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10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4D4D4F"/>
                <w:w w:val="95"/>
              </w:rPr>
              <w:t>03/15/2023</w:t>
            </w:r>
          </w:p>
        </w:tc>
        <w:tc>
          <w:tcPr>
            <w:tcW w:w="880" w:type="dxa"/>
            <w:vAlign w:val="bottom"/>
          </w:tcPr>
          <w:p>
            <w:pPr>
              <w:jc w:val="center"/>
              <w:spacing w:after="0"/>
              <w:rPr>
                <w:sz w:val="20"/>
                <w:szCs w:val="20"/>
                <w:color w:val="auto"/>
              </w:rPr>
            </w:pPr>
            <w:r>
              <w:rPr>
                <w:rFonts w:ascii="Arial" w:cs="Arial" w:eastAsia="Arial" w:hAnsi="Arial"/>
                <w:sz w:val="13"/>
                <w:szCs w:val="13"/>
                <w:color w:val="4D4D4F"/>
                <w:w w:val="98"/>
              </w:rPr>
              <w:t>02/22/2023</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4D4D4F"/>
              </w:rPr>
              <w:t>PRSU</w:t>
            </w:r>
            <w:r>
              <w:rPr>
                <w:rFonts w:ascii="Arial" w:cs="Arial" w:eastAsia="Arial" w:hAnsi="Arial"/>
                <w:sz w:val="16"/>
                <w:szCs w:val="16"/>
                <w:color w:val="4D4D4F"/>
                <w:vertAlign w:val="superscript"/>
              </w:rPr>
              <w:t>(3)</w:t>
            </w:r>
          </w:p>
        </w:tc>
        <w:tc>
          <w:tcPr>
            <w:tcW w:w="1000" w:type="dxa"/>
            <w:vAlign w:val="bottom"/>
          </w:tcPr>
          <w:p>
            <w:pPr>
              <w:jc w:val="right"/>
              <w:ind w:right="97"/>
              <w:spacing w:after="0"/>
              <w:rPr>
                <w:sz w:val="20"/>
                <w:szCs w:val="20"/>
                <w:color w:val="auto"/>
              </w:rPr>
            </w:pPr>
            <w:r>
              <w:rPr>
                <w:rFonts w:ascii="Arial" w:cs="Arial" w:eastAsia="Arial" w:hAnsi="Arial"/>
                <w:sz w:val="13"/>
                <w:szCs w:val="13"/>
                <w:color w:val="4D4D4F"/>
              </w:rPr>
              <w:t>11,640</w:t>
            </w:r>
          </w:p>
        </w:tc>
        <w:tc>
          <w:tcPr>
            <w:tcW w:w="720" w:type="dxa"/>
            <w:vAlign w:val="bottom"/>
          </w:tcPr>
          <w:p>
            <w:pPr>
              <w:jc w:val="right"/>
              <w:ind w:right="117"/>
              <w:spacing w:after="0"/>
              <w:rPr>
                <w:sz w:val="20"/>
                <w:szCs w:val="20"/>
                <w:color w:val="auto"/>
              </w:rPr>
            </w:pPr>
            <w:r>
              <w:rPr>
                <w:rFonts w:ascii="Arial" w:cs="Arial" w:eastAsia="Arial" w:hAnsi="Arial"/>
                <w:sz w:val="13"/>
                <w:szCs w:val="13"/>
                <w:color w:val="4D4D4F"/>
              </w:rPr>
              <w:t>38,799</w:t>
            </w:r>
          </w:p>
        </w:tc>
        <w:tc>
          <w:tcPr>
            <w:tcW w:w="760" w:type="dxa"/>
            <w:vAlign w:val="bottom"/>
          </w:tcPr>
          <w:p>
            <w:pPr>
              <w:jc w:val="right"/>
              <w:spacing w:after="0"/>
              <w:rPr>
                <w:sz w:val="20"/>
                <w:szCs w:val="20"/>
                <w:color w:val="auto"/>
              </w:rPr>
            </w:pPr>
            <w:r>
              <w:rPr>
                <w:rFonts w:ascii="Arial" w:cs="Arial" w:eastAsia="Arial" w:hAnsi="Arial"/>
                <w:sz w:val="13"/>
                <w:szCs w:val="13"/>
                <w:color w:val="4D4D4F"/>
              </w:rPr>
              <w:t>77,598</w:t>
            </w:r>
          </w:p>
        </w:tc>
        <w:tc>
          <w:tcPr>
            <w:tcW w:w="1440" w:type="dxa"/>
            <w:vAlign w:val="bottom"/>
          </w:tcPr>
          <w:p>
            <w:pPr>
              <w:spacing w:after="0"/>
              <w:rPr>
                <w:sz w:val="24"/>
                <w:szCs w:val="24"/>
                <w:color w:val="auto"/>
              </w:rPr>
            </w:pPr>
          </w:p>
        </w:tc>
        <w:tc>
          <w:tcPr>
            <w:tcW w:w="1120" w:type="dxa"/>
            <w:vAlign w:val="bottom"/>
          </w:tcPr>
          <w:p>
            <w:pPr>
              <w:jc w:val="right"/>
              <w:ind w:right="97"/>
              <w:spacing w:after="0"/>
              <w:rPr>
                <w:sz w:val="20"/>
                <w:szCs w:val="20"/>
                <w:color w:val="auto"/>
              </w:rPr>
            </w:pPr>
            <w:r>
              <w:rPr>
                <w:rFonts w:ascii="Arial" w:cs="Arial" w:eastAsia="Arial" w:hAnsi="Arial"/>
                <w:sz w:val="13"/>
                <w:szCs w:val="13"/>
                <w:color w:val="4D4D4F"/>
              </w:rPr>
              <w:t>930,012</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4D4D4F"/>
                <w:w w:val="95"/>
              </w:rPr>
              <w:t>03/15/2023</w:t>
            </w:r>
          </w:p>
        </w:tc>
        <w:tc>
          <w:tcPr>
            <w:tcW w:w="880" w:type="dxa"/>
            <w:vAlign w:val="bottom"/>
          </w:tcPr>
          <w:p>
            <w:pPr>
              <w:jc w:val="center"/>
              <w:spacing w:after="0"/>
              <w:rPr>
                <w:sz w:val="20"/>
                <w:szCs w:val="20"/>
                <w:color w:val="auto"/>
              </w:rPr>
            </w:pPr>
            <w:r>
              <w:rPr>
                <w:rFonts w:ascii="Arial" w:cs="Arial" w:eastAsia="Arial" w:hAnsi="Arial"/>
                <w:sz w:val="13"/>
                <w:szCs w:val="13"/>
                <w:color w:val="4D4D4F"/>
                <w:w w:val="98"/>
              </w:rPr>
              <w:t>02/22/2023</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4D4D4F"/>
              </w:rPr>
              <w:t>RSU</w:t>
            </w:r>
            <w:r>
              <w:rPr>
                <w:rFonts w:ascii="Arial" w:cs="Arial" w:eastAsia="Arial" w:hAnsi="Arial"/>
                <w:sz w:val="16"/>
                <w:szCs w:val="16"/>
                <w:color w:val="4D4D4F"/>
                <w:vertAlign w:val="superscript"/>
              </w:rPr>
              <w:t>(4)</w:t>
            </w:r>
          </w:p>
        </w:tc>
        <w:tc>
          <w:tcPr>
            <w:tcW w:w="1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40" w:type="dxa"/>
            <w:vAlign w:val="bottom"/>
          </w:tcPr>
          <w:p>
            <w:pPr>
              <w:jc w:val="right"/>
              <w:ind w:right="77"/>
              <w:spacing w:after="0"/>
              <w:rPr>
                <w:sz w:val="20"/>
                <w:szCs w:val="20"/>
                <w:color w:val="auto"/>
              </w:rPr>
            </w:pPr>
            <w:r>
              <w:rPr>
                <w:rFonts w:ascii="Arial" w:cs="Arial" w:eastAsia="Arial" w:hAnsi="Arial"/>
                <w:sz w:val="13"/>
                <w:szCs w:val="13"/>
                <w:color w:val="4D4D4F"/>
              </w:rPr>
              <w:t>25,866</w:t>
            </w:r>
          </w:p>
        </w:tc>
        <w:tc>
          <w:tcPr>
            <w:tcW w:w="1120" w:type="dxa"/>
            <w:vAlign w:val="bottom"/>
          </w:tcPr>
          <w:p>
            <w:pPr>
              <w:jc w:val="right"/>
              <w:ind w:right="97"/>
              <w:spacing w:after="0"/>
              <w:rPr>
                <w:sz w:val="20"/>
                <w:szCs w:val="20"/>
                <w:color w:val="auto"/>
              </w:rPr>
            </w:pPr>
            <w:r>
              <w:rPr>
                <w:rFonts w:ascii="Arial" w:cs="Arial" w:eastAsia="Arial" w:hAnsi="Arial"/>
                <w:sz w:val="13"/>
                <w:szCs w:val="13"/>
                <w:color w:val="4D4D4F"/>
              </w:rPr>
              <w:t>620,008</w:t>
            </w:r>
          </w:p>
        </w:tc>
        <w:tc>
          <w:tcPr>
            <w:tcW w:w="0" w:type="dxa"/>
            <w:vAlign w:val="bottom"/>
          </w:tcPr>
          <w:p>
            <w:pPr>
              <w:spacing w:after="0"/>
              <w:rPr>
                <w:sz w:val="1"/>
                <w:szCs w:val="1"/>
                <w:color w:val="auto"/>
              </w:rPr>
            </w:pPr>
          </w:p>
        </w:tc>
      </w:tr>
      <w:tr>
        <w:trPr>
          <w:trHeight w:val="38"/>
        </w:trPr>
        <w:tc>
          <w:tcPr>
            <w:tcW w:w="10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040" w:type="dxa"/>
            <w:vAlign w:val="bottom"/>
            <w:shd w:val="clear" w:color="auto" w:fill="EAEEF2"/>
          </w:tcPr>
          <w:p>
            <w:pPr>
              <w:ind w:left="100"/>
              <w:spacing w:after="0"/>
              <w:rPr>
                <w:sz w:val="20"/>
                <w:szCs w:val="20"/>
                <w:color w:val="auto"/>
              </w:rPr>
            </w:pPr>
            <w:r>
              <w:rPr>
                <w:rFonts w:ascii="Arial" w:cs="Arial" w:eastAsia="Arial" w:hAnsi="Arial"/>
                <w:sz w:val="13"/>
                <w:szCs w:val="13"/>
                <w:b w:val="1"/>
                <w:bCs w:val="1"/>
                <w:color w:val="4D4D4F"/>
              </w:rPr>
              <w:t>John P. Rau</w:t>
            </w:r>
          </w:p>
        </w:tc>
        <w:tc>
          <w:tcPr>
            <w:tcW w:w="86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9"/>
              </w:rPr>
              <w:t>n/a</w:t>
            </w: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8"/>
              </w:rPr>
              <w:t>02/22/2023</w:t>
            </w: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157,500</w:t>
            </w:r>
          </w:p>
        </w:tc>
        <w:tc>
          <w:tcPr>
            <w:tcW w:w="980" w:type="dxa"/>
            <w:vAlign w:val="bottom"/>
            <w:shd w:val="clear" w:color="auto" w:fill="EAEEF2"/>
          </w:tcPr>
          <w:p>
            <w:pPr>
              <w:jc w:val="right"/>
              <w:ind w:right="117"/>
              <w:spacing w:after="0"/>
              <w:rPr>
                <w:sz w:val="20"/>
                <w:szCs w:val="20"/>
                <w:color w:val="auto"/>
              </w:rPr>
            </w:pPr>
            <w:r>
              <w:rPr>
                <w:rFonts w:ascii="Arial" w:cs="Arial" w:eastAsia="Arial" w:hAnsi="Arial"/>
                <w:sz w:val="13"/>
                <w:szCs w:val="13"/>
                <w:color w:val="4D4D4F"/>
              </w:rPr>
              <w:t>450,000</w:t>
            </w:r>
          </w:p>
        </w:tc>
        <w:tc>
          <w:tcPr>
            <w:tcW w:w="76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900,000</w:t>
            </w:r>
          </w:p>
        </w:tc>
        <w:tc>
          <w:tcPr>
            <w:tcW w:w="800" w:type="dxa"/>
            <w:vAlign w:val="bottom"/>
            <w:shd w:val="clear" w:color="auto" w:fill="EAEEF2"/>
          </w:tcPr>
          <w:p>
            <w:pPr>
              <w:ind w:left="160"/>
              <w:spacing w:after="0"/>
              <w:rPr>
                <w:sz w:val="20"/>
                <w:szCs w:val="20"/>
                <w:color w:val="auto"/>
              </w:rPr>
            </w:pPr>
            <w:r>
              <w:rPr>
                <w:rFonts w:ascii="Arial" w:cs="Arial" w:eastAsia="Arial" w:hAnsi="Arial"/>
                <w:sz w:val="13"/>
                <w:szCs w:val="13"/>
                <w:color w:val="4D4D4F"/>
              </w:rPr>
              <w:t>(1)</w:t>
            </w:r>
          </w:p>
        </w:tc>
        <w:tc>
          <w:tcPr>
            <w:tcW w:w="1000" w:type="dxa"/>
            <w:vAlign w:val="bottom"/>
            <w:shd w:val="clear" w:color="auto" w:fill="EAEEF2"/>
          </w:tcPr>
          <w:p>
            <w:pPr>
              <w:spacing w:after="0"/>
              <w:rPr>
                <w:sz w:val="17"/>
                <w:szCs w:val="17"/>
                <w:color w:val="auto"/>
              </w:rPr>
            </w:pPr>
          </w:p>
        </w:tc>
        <w:tc>
          <w:tcPr>
            <w:tcW w:w="720" w:type="dxa"/>
            <w:vAlign w:val="bottom"/>
            <w:shd w:val="clear" w:color="auto" w:fill="EAEEF2"/>
          </w:tcPr>
          <w:p>
            <w:pPr>
              <w:spacing w:after="0"/>
              <w:rPr>
                <w:sz w:val="17"/>
                <w:szCs w:val="17"/>
                <w:color w:val="auto"/>
              </w:rPr>
            </w:pPr>
          </w:p>
        </w:tc>
        <w:tc>
          <w:tcPr>
            <w:tcW w:w="760" w:type="dxa"/>
            <w:vAlign w:val="bottom"/>
            <w:shd w:val="clear" w:color="auto" w:fill="EAEEF2"/>
          </w:tcPr>
          <w:p>
            <w:pPr>
              <w:spacing w:after="0"/>
              <w:rPr>
                <w:sz w:val="17"/>
                <w:szCs w:val="17"/>
                <w:color w:val="auto"/>
              </w:rPr>
            </w:pPr>
          </w:p>
        </w:tc>
        <w:tc>
          <w:tcPr>
            <w:tcW w:w="1440" w:type="dxa"/>
            <w:vAlign w:val="bottom"/>
            <w:shd w:val="clear" w:color="auto" w:fill="EAEEF2"/>
          </w:tcPr>
          <w:p>
            <w:pPr>
              <w:spacing w:after="0"/>
              <w:rPr>
                <w:sz w:val="17"/>
                <w:szCs w:val="17"/>
                <w:color w:val="auto"/>
              </w:rPr>
            </w:pPr>
          </w:p>
        </w:tc>
        <w:tc>
          <w:tcPr>
            <w:tcW w:w="1120" w:type="dxa"/>
            <w:vAlign w:val="bottom"/>
            <w:shd w:val="clear" w:color="auto" w:fill="EAEEF2"/>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EAEEF2"/>
          </w:tcPr>
          <w:p>
            <w:pPr>
              <w:spacing w:after="0"/>
              <w:rPr>
                <w:sz w:val="23"/>
                <w:szCs w:val="23"/>
                <w:color w:val="auto"/>
              </w:rPr>
            </w:pPr>
          </w:p>
        </w:tc>
        <w:tc>
          <w:tcPr>
            <w:tcW w:w="86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9"/>
              </w:rPr>
              <w:t>n/a</w:t>
            </w: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8"/>
              </w:rPr>
              <w:t>02/22/2023</w:t>
            </w: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w:t>
            </w:r>
          </w:p>
        </w:tc>
        <w:tc>
          <w:tcPr>
            <w:tcW w:w="980" w:type="dxa"/>
            <w:vAlign w:val="bottom"/>
            <w:shd w:val="clear" w:color="auto" w:fill="EAEEF2"/>
          </w:tcPr>
          <w:p>
            <w:pPr>
              <w:spacing w:after="0"/>
              <w:rPr>
                <w:sz w:val="23"/>
                <w:szCs w:val="23"/>
                <w:color w:val="auto"/>
              </w:rPr>
            </w:pPr>
          </w:p>
        </w:tc>
        <w:tc>
          <w:tcPr>
            <w:tcW w:w="76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300,000</w:t>
            </w:r>
          </w:p>
        </w:tc>
        <w:tc>
          <w:tcPr>
            <w:tcW w:w="800" w:type="dxa"/>
            <w:vAlign w:val="bottom"/>
            <w:shd w:val="clear" w:color="auto" w:fill="EAEEF2"/>
          </w:tcPr>
          <w:p>
            <w:pPr>
              <w:ind w:left="160"/>
              <w:spacing w:after="0"/>
              <w:rPr>
                <w:sz w:val="20"/>
                <w:szCs w:val="20"/>
                <w:color w:val="auto"/>
              </w:rPr>
            </w:pPr>
            <w:r>
              <w:rPr>
                <w:rFonts w:ascii="Arial" w:cs="Arial" w:eastAsia="Arial" w:hAnsi="Arial"/>
                <w:sz w:val="13"/>
                <w:szCs w:val="13"/>
                <w:color w:val="4D4D4F"/>
              </w:rPr>
              <w:t>(2)</w:t>
            </w:r>
          </w:p>
        </w:tc>
        <w:tc>
          <w:tcPr>
            <w:tcW w:w="1000" w:type="dxa"/>
            <w:vAlign w:val="bottom"/>
            <w:shd w:val="clear" w:color="auto" w:fill="EAEEF2"/>
          </w:tcPr>
          <w:p>
            <w:pPr>
              <w:spacing w:after="0"/>
              <w:rPr>
                <w:sz w:val="23"/>
                <w:szCs w:val="23"/>
                <w:color w:val="auto"/>
              </w:rPr>
            </w:pPr>
          </w:p>
        </w:tc>
        <w:tc>
          <w:tcPr>
            <w:tcW w:w="720" w:type="dxa"/>
            <w:vAlign w:val="bottom"/>
            <w:shd w:val="clear" w:color="auto" w:fill="EAEEF2"/>
          </w:tcPr>
          <w:p>
            <w:pPr>
              <w:spacing w:after="0"/>
              <w:rPr>
                <w:sz w:val="23"/>
                <w:szCs w:val="23"/>
                <w:color w:val="auto"/>
              </w:rPr>
            </w:pPr>
          </w:p>
        </w:tc>
        <w:tc>
          <w:tcPr>
            <w:tcW w:w="760" w:type="dxa"/>
            <w:vAlign w:val="bottom"/>
            <w:shd w:val="clear" w:color="auto" w:fill="EAEEF2"/>
          </w:tcPr>
          <w:p>
            <w:pPr>
              <w:spacing w:after="0"/>
              <w:rPr>
                <w:sz w:val="23"/>
                <w:szCs w:val="23"/>
                <w:color w:val="auto"/>
              </w:rPr>
            </w:pPr>
          </w:p>
        </w:tc>
        <w:tc>
          <w:tcPr>
            <w:tcW w:w="1440" w:type="dxa"/>
            <w:vAlign w:val="bottom"/>
            <w:shd w:val="clear" w:color="auto" w:fill="EAEEF2"/>
          </w:tcPr>
          <w:p>
            <w:pPr>
              <w:spacing w:after="0"/>
              <w:rPr>
                <w:sz w:val="23"/>
                <w:szCs w:val="23"/>
                <w:color w:val="auto"/>
              </w:rPr>
            </w:pPr>
          </w:p>
        </w:tc>
        <w:tc>
          <w:tcPr>
            <w:tcW w:w="1120" w:type="dxa"/>
            <w:vAlign w:val="bottom"/>
            <w:shd w:val="clear" w:color="auto" w:fill="EAEEF2"/>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1040" w:type="dxa"/>
            <w:vAlign w:val="bottom"/>
            <w:shd w:val="clear" w:color="auto" w:fill="EAEEF2"/>
          </w:tcPr>
          <w:p>
            <w:pPr>
              <w:spacing w:after="0"/>
              <w:rPr>
                <w:sz w:val="24"/>
                <w:szCs w:val="24"/>
                <w:color w:val="auto"/>
              </w:rPr>
            </w:pPr>
          </w:p>
        </w:tc>
        <w:tc>
          <w:tcPr>
            <w:tcW w:w="86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03/15/2023</w:t>
            </w: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8"/>
              </w:rPr>
              <w:t>02/22/2023</w:t>
            </w:r>
          </w:p>
        </w:tc>
        <w:tc>
          <w:tcPr>
            <w:tcW w:w="880" w:type="dxa"/>
            <w:vAlign w:val="bottom"/>
            <w:shd w:val="clear" w:color="auto" w:fill="EAEEF2"/>
          </w:tcPr>
          <w:p>
            <w:pPr>
              <w:spacing w:after="0"/>
              <w:rPr>
                <w:sz w:val="24"/>
                <w:szCs w:val="24"/>
                <w:color w:val="auto"/>
              </w:rPr>
            </w:pPr>
          </w:p>
        </w:tc>
        <w:tc>
          <w:tcPr>
            <w:tcW w:w="980" w:type="dxa"/>
            <w:vAlign w:val="bottom"/>
            <w:shd w:val="clear" w:color="auto" w:fill="EAEEF2"/>
          </w:tcPr>
          <w:p>
            <w:pPr>
              <w:spacing w:after="0"/>
              <w:rPr>
                <w:sz w:val="24"/>
                <w:szCs w:val="24"/>
                <w:color w:val="auto"/>
              </w:rPr>
            </w:pPr>
          </w:p>
        </w:tc>
        <w:tc>
          <w:tcPr>
            <w:tcW w:w="760" w:type="dxa"/>
            <w:vAlign w:val="bottom"/>
            <w:shd w:val="clear" w:color="auto" w:fill="EAEEF2"/>
          </w:tcPr>
          <w:p>
            <w:pPr>
              <w:spacing w:after="0"/>
              <w:rPr>
                <w:sz w:val="24"/>
                <w:szCs w:val="24"/>
                <w:color w:val="auto"/>
              </w:rPr>
            </w:pPr>
          </w:p>
        </w:tc>
        <w:tc>
          <w:tcPr>
            <w:tcW w:w="800" w:type="dxa"/>
            <w:vAlign w:val="bottom"/>
            <w:shd w:val="clear" w:color="auto" w:fill="EAEEF2"/>
          </w:tcPr>
          <w:p>
            <w:pPr>
              <w:ind w:left="160"/>
              <w:spacing w:after="0"/>
              <w:rPr>
                <w:sz w:val="20"/>
                <w:szCs w:val="20"/>
                <w:color w:val="auto"/>
              </w:rPr>
            </w:pPr>
            <w:r>
              <w:rPr>
                <w:rFonts w:ascii="Arial" w:cs="Arial" w:eastAsia="Arial" w:hAnsi="Arial"/>
                <w:sz w:val="13"/>
                <w:szCs w:val="13"/>
                <w:color w:val="4D4D4F"/>
              </w:rPr>
              <w:t>PRSU</w:t>
            </w:r>
            <w:r>
              <w:rPr>
                <w:rFonts w:ascii="Arial" w:cs="Arial" w:eastAsia="Arial" w:hAnsi="Arial"/>
                <w:sz w:val="16"/>
                <w:szCs w:val="16"/>
                <w:color w:val="4D4D4F"/>
                <w:vertAlign w:val="superscript"/>
              </w:rPr>
              <w:t>(3)</w:t>
            </w:r>
          </w:p>
        </w:tc>
        <w:tc>
          <w:tcPr>
            <w:tcW w:w="1000" w:type="dxa"/>
            <w:vAlign w:val="bottom"/>
            <w:shd w:val="clear" w:color="auto" w:fill="EAEEF2"/>
          </w:tcPr>
          <w:p>
            <w:pPr>
              <w:jc w:val="right"/>
              <w:ind w:right="97"/>
              <w:spacing w:after="0"/>
              <w:rPr>
                <w:sz w:val="20"/>
                <w:szCs w:val="20"/>
                <w:color w:val="auto"/>
              </w:rPr>
            </w:pPr>
            <w:r>
              <w:rPr>
                <w:rFonts w:ascii="Arial" w:cs="Arial" w:eastAsia="Arial" w:hAnsi="Arial"/>
                <w:sz w:val="13"/>
                <w:szCs w:val="13"/>
                <w:color w:val="4D4D4F"/>
              </w:rPr>
              <w:t>11,640</w:t>
            </w:r>
          </w:p>
        </w:tc>
        <w:tc>
          <w:tcPr>
            <w:tcW w:w="720" w:type="dxa"/>
            <w:vAlign w:val="bottom"/>
            <w:shd w:val="clear" w:color="auto" w:fill="EAEEF2"/>
          </w:tcPr>
          <w:p>
            <w:pPr>
              <w:jc w:val="right"/>
              <w:ind w:right="117"/>
              <w:spacing w:after="0"/>
              <w:rPr>
                <w:sz w:val="20"/>
                <w:szCs w:val="20"/>
                <w:color w:val="auto"/>
              </w:rPr>
            </w:pPr>
            <w:r>
              <w:rPr>
                <w:rFonts w:ascii="Arial" w:cs="Arial" w:eastAsia="Arial" w:hAnsi="Arial"/>
                <w:sz w:val="13"/>
                <w:szCs w:val="13"/>
                <w:color w:val="4D4D4F"/>
              </w:rPr>
              <w:t>38,799</w:t>
            </w:r>
          </w:p>
        </w:tc>
        <w:tc>
          <w:tcPr>
            <w:tcW w:w="76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77,598</w:t>
            </w:r>
          </w:p>
        </w:tc>
        <w:tc>
          <w:tcPr>
            <w:tcW w:w="1440" w:type="dxa"/>
            <w:vAlign w:val="bottom"/>
            <w:shd w:val="clear" w:color="auto" w:fill="EAEEF2"/>
          </w:tcPr>
          <w:p>
            <w:pPr>
              <w:spacing w:after="0"/>
              <w:rPr>
                <w:sz w:val="24"/>
                <w:szCs w:val="24"/>
                <w:color w:val="auto"/>
              </w:rPr>
            </w:pPr>
          </w:p>
        </w:tc>
        <w:tc>
          <w:tcPr>
            <w:tcW w:w="1120" w:type="dxa"/>
            <w:vAlign w:val="bottom"/>
            <w:shd w:val="clear" w:color="auto" w:fill="EAEEF2"/>
          </w:tcPr>
          <w:p>
            <w:pPr>
              <w:jc w:val="right"/>
              <w:ind w:right="97"/>
              <w:spacing w:after="0"/>
              <w:rPr>
                <w:sz w:val="20"/>
                <w:szCs w:val="20"/>
                <w:color w:val="auto"/>
              </w:rPr>
            </w:pPr>
            <w:r>
              <w:rPr>
                <w:rFonts w:ascii="Arial" w:cs="Arial" w:eastAsia="Arial" w:hAnsi="Arial"/>
                <w:sz w:val="13"/>
                <w:szCs w:val="13"/>
                <w:color w:val="4D4D4F"/>
              </w:rPr>
              <w:t>930,012</w:t>
            </w:r>
          </w:p>
        </w:tc>
        <w:tc>
          <w:tcPr>
            <w:tcW w:w="0" w:type="dxa"/>
            <w:vAlign w:val="bottom"/>
          </w:tcPr>
          <w:p>
            <w:pPr>
              <w:spacing w:after="0"/>
              <w:rPr>
                <w:sz w:val="1"/>
                <w:szCs w:val="1"/>
                <w:color w:val="auto"/>
              </w:rPr>
            </w:pPr>
          </w:p>
        </w:tc>
      </w:tr>
      <w:tr>
        <w:trPr>
          <w:trHeight w:val="288"/>
        </w:trPr>
        <w:tc>
          <w:tcPr>
            <w:tcW w:w="1040" w:type="dxa"/>
            <w:vAlign w:val="bottom"/>
            <w:tcBorders>
              <w:bottom w:val="single" w:sz="8" w:color="EAEEF2"/>
            </w:tcBorders>
            <w:shd w:val="clear" w:color="auto" w:fill="EAEEF2"/>
          </w:tcPr>
          <w:p>
            <w:pPr>
              <w:spacing w:after="0"/>
              <w:rPr>
                <w:sz w:val="24"/>
                <w:szCs w:val="24"/>
                <w:color w:val="auto"/>
              </w:rPr>
            </w:pPr>
          </w:p>
        </w:tc>
        <w:tc>
          <w:tcPr>
            <w:tcW w:w="860" w:type="dxa"/>
            <w:vAlign w:val="bottom"/>
            <w:tcBorders>
              <w:bottom w:val="single" w:sz="8" w:color="EAEEF2"/>
            </w:tcBorders>
            <w:shd w:val="clear" w:color="auto" w:fill="EAEEF2"/>
          </w:tcPr>
          <w:p>
            <w:pPr>
              <w:jc w:val="center"/>
              <w:spacing w:after="0"/>
              <w:rPr>
                <w:sz w:val="20"/>
                <w:szCs w:val="20"/>
                <w:color w:val="auto"/>
              </w:rPr>
            </w:pPr>
            <w:r>
              <w:rPr>
                <w:rFonts w:ascii="Arial" w:cs="Arial" w:eastAsia="Arial" w:hAnsi="Arial"/>
                <w:sz w:val="13"/>
                <w:szCs w:val="13"/>
                <w:color w:val="4D4D4F"/>
                <w:w w:val="95"/>
              </w:rPr>
              <w:t>03/15/2023</w:t>
            </w:r>
          </w:p>
        </w:tc>
        <w:tc>
          <w:tcPr>
            <w:tcW w:w="880" w:type="dxa"/>
            <w:vAlign w:val="bottom"/>
            <w:tcBorders>
              <w:bottom w:val="single" w:sz="8" w:color="EAEEF2"/>
            </w:tcBorders>
            <w:shd w:val="clear" w:color="auto" w:fill="EAEEF2"/>
          </w:tcPr>
          <w:p>
            <w:pPr>
              <w:jc w:val="center"/>
              <w:spacing w:after="0"/>
              <w:rPr>
                <w:sz w:val="20"/>
                <w:szCs w:val="20"/>
                <w:color w:val="auto"/>
              </w:rPr>
            </w:pPr>
            <w:r>
              <w:rPr>
                <w:rFonts w:ascii="Arial" w:cs="Arial" w:eastAsia="Arial" w:hAnsi="Arial"/>
                <w:sz w:val="13"/>
                <w:szCs w:val="13"/>
                <w:color w:val="4D4D4F"/>
                <w:w w:val="98"/>
              </w:rPr>
              <w:t>02/22/2023</w:t>
            </w:r>
          </w:p>
        </w:tc>
        <w:tc>
          <w:tcPr>
            <w:tcW w:w="880" w:type="dxa"/>
            <w:vAlign w:val="bottom"/>
            <w:tcBorders>
              <w:bottom w:val="single" w:sz="8" w:color="EAEEF2"/>
            </w:tcBorders>
            <w:shd w:val="clear" w:color="auto" w:fill="EAEEF2"/>
          </w:tcPr>
          <w:p>
            <w:pPr>
              <w:spacing w:after="0"/>
              <w:rPr>
                <w:sz w:val="24"/>
                <w:szCs w:val="24"/>
                <w:color w:val="auto"/>
              </w:rPr>
            </w:pPr>
          </w:p>
        </w:tc>
        <w:tc>
          <w:tcPr>
            <w:tcW w:w="980" w:type="dxa"/>
            <w:vAlign w:val="bottom"/>
            <w:tcBorders>
              <w:bottom w:val="single" w:sz="8" w:color="EAEEF2"/>
            </w:tcBorders>
            <w:shd w:val="clear" w:color="auto" w:fill="EAEEF2"/>
          </w:tcPr>
          <w:p>
            <w:pPr>
              <w:spacing w:after="0"/>
              <w:rPr>
                <w:sz w:val="24"/>
                <w:szCs w:val="24"/>
                <w:color w:val="auto"/>
              </w:rPr>
            </w:pPr>
          </w:p>
        </w:tc>
        <w:tc>
          <w:tcPr>
            <w:tcW w:w="760" w:type="dxa"/>
            <w:vAlign w:val="bottom"/>
            <w:tcBorders>
              <w:bottom w:val="single" w:sz="8" w:color="EAEEF2"/>
            </w:tcBorders>
            <w:shd w:val="clear" w:color="auto" w:fill="EAEEF2"/>
          </w:tcPr>
          <w:p>
            <w:pPr>
              <w:spacing w:after="0"/>
              <w:rPr>
                <w:sz w:val="24"/>
                <w:szCs w:val="24"/>
                <w:color w:val="auto"/>
              </w:rPr>
            </w:pPr>
          </w:p>
        </w:tc>
        <w:tc>
          <w:tcPr>
            <w:tcW w:w="800" w:type="dxa"/>
            <w:vAlign w:val="bottom"/>
            <w:tcBorders>
              <w:bottom w:val="single" w:sz="8" w:color="EAEEF2"/>
            </w:tcBorders>
            <w:shd w:val="clear" w:color="auto" w:fill="EAEEF2"/>
          </w:tcPr>
          <w:p>
            <w:pPr>
              <w:ind w:left="160"/>
              <w:spacing w:after="0"/>
              <w:rPr>
                <w:sz w:val="20"/>
                <w:szCs w:val="20"/>
                <w:color w:val="auto"/>
              </w:rPr>
            </w:pPr>
            <w:r>
              <w:rPr>
                <w:rFonts w:ascii="Arial" w:cs="Arial" w:eastAsia="Arial" w:hAnsi="Arial"/>
                <w:sz w:val="13"/>
                <w:szCs w:val="13"/>
                <w:color w:val="4D4D4F"/>
              </w:rPr>
              <w:t>RSU</w:t>
            </w:r>
            <w:r>
              <w:rPr>
                <w:rFonts w:ascii="Arial" w:cs="Arial" w:eastAsia="Arial" w:hAnsi="Arial"/>
                <w:sz w:val="16"/>
                <w:szCs w:val="16"/>
                <w:color w:val="4D4D4F"/>
                <w:vertAlign w:val="superscript"/>
              </w:rPr>
              <w:t>(4)</w:t>
            </w:r>
          </w:p>
        </w:tc>
        <w:tc>
          <w:tcPr>
            <w:tcW w:w="1000" w:type="dxa"/>
            <w:vAlign w:val="bottom"/>
            <w:tcBorders>
              <w:bottom w:val="single" w:sz="8" w:color="EAEEF2"/>
            </w:tcBorders>
            <w:shd w:val="clear" w:color="auto" w:fill="EAEEF2"/>
          </w:tcPr>
          <w:p>
            <w:pPr>
              <w:spacing w:after="0"/>
              <w:rPr>
                <w:sz w:val="24"/>
                <w:szCs w:val="24"/>
                <w:color w:val="auto"/>
              </w:rPr>
            </w:pPr>
          </w:p>
        </w:tc>
        <w:tc>
          <w:tcPr>
            <w:tcW w:w="720" w:type="dxa"/>
            <w:vAlign w:val="bottom"/>
            <w:tcBorders>
              <w:bottom w:val="single" w:sz="8" w:color="EAEEF2"/>
            </w:tcBorders>
            <w:shd w:val="clear" w:color="auto" w:fill="EAEEF2"/>
          </w:tcPr>
          <w:p>
            <w:pPr>
              <w:spacing w:after="0"/>
              <w:rPr>
                <w:sz w:val="24"/>
                <w:szCs w:val="24"/>
                <w:color w:val="auto"/>
              </w:rPr>
            </w:pPr>
          </w:p>
        </w:tc>
        <w:tc>
          <w:tcPr>
            <w:tcW w:w="760" w:type="dxa"/>
            <w:vAlign w:val="bottom"/>
            <w:tcBorders>
              <w:bottom w:val="single" w:sz="8" w:color="EAEEF2"/>
            </w:tcBorders>
            <w:shd w:val="clear" w:color="auto" w:fill="EAEEF2"/>
          </w:tcPr>
          <w:p>
            <w:pPr>
              <w:spacing w:after="0"/>
              <w:rPr>
                <w:sz w:val="24"/>
                <w:szCs w:val="24"/>
                <w:color w:val="auto"/>
              </w:rPr>
            </w:pPr>
          </w:p>
        </w:tc>
        <w:tc>
          <w:tcPr>
            <w:tcW w:w="1440" w:type="dxa"/>
            <w:vAlign w:val="bottom"/>
            <w:tcBorders>
              <w:bottom w:val="single" w:sz="8" w:color="EAEEF2"/>
            </w:tcBorders>
            <w:shd w:val="clear" w:color="auto" w:fill="EAEEF2"/>
          </w:tcPr>
          <w:p>
            <w:pPr>
              <w:jc w:val="right"/>
              <w:ind w:right="77"/>
              <w:spacing w:after="0"/>
              <w:rPr>
                <w:sz w:val="20"/>
                <w:szCs w:val="20"/>
                <w:color w:val="auto"/>
              </w:rPr>
            </w:pPr>
            <w:r>
              <w:rPr>
                <w:rFonts w:ascii="Arial" w:cs="Arial" w:eastAsia="Arial" w:hAnsi="Arial"/>
                <w:sz w:val="13"/>
                <w:szCs w:val="13"/>
                <w:color w:val="4D4D4F"/>
              </w:rPr>
              <w:t>25,866</w:t>
            </w:r>
          </w:p>
        </w:tc>
        <w:tc>
          <w:tcPr>
            <w:tcW w:w="1120" w:type="dxa"/>
            <w:vAlign w:val="bottom"/>
            <w:tcBorders>
              <w:bottom w:val="single" w:sz="8" w:color="EAEEF2"/>
            </w:tcBorders>
            <w:shd w:val="clear" w:color="auto" w:fill="EAEEF2"/>
          </w:tcPr>
          <w:p>
            <w:pPr>
              <w:jc w:val="right"/>
              <w:ind w:right="97"/>
              <w:spacing w:after="0"/>
              <w:rPr>
                <w:sz w:val="20"/>
                <w:szCs w:val="20"/>
                <w:color w:val="auto"/>
              </w:rPr>
            </w:pPr>
            <w:r>
              <w:rPr>
                <w:rFonts w:ascii="Arial" w:cs="Arial" w:eastAsia="Arial" w:hAnsi="Arial"/>
                <w:sz w:val="13"/>
                <w:szCs w:val="13"/>
                <w:color w:val="4D4D4F"/>
              </w:rPr>
              <w:t>620,008</w:t>
            </w:r>
          </w:p>
        </w:tc>
        <w:tc>
          <w:tcPr>
            <w:tcW w:w="0" w:type="dxa"/>
            <w:vAlign w:val="bottom"/>
          </w:tcPr>
          <w:p>
            <w:pPr>
              <w:spacing w:after="0"/>
              <w:rPr>
                <w:sz w:val="1"/>
                <w:szCs w:val="1"/>
                <w:color w:val="auto"/>
              </w:rPr>
            </w:pPr>
          </w:p>
        </w:tc>
      </w:tr>
      <w:tr>
        <w:trPr>
          <w:trHeight w:val="20"/>
        </w:trPr>
        <w:tc>
          <w:tcPr>
            <w:tcW w:w="1040" w:type="dxa"/>
            <w:vAlign w:val="bottom"/>
            <w:shd w:val="clear" w:color="auto" w:fill="298655"/>
          </w:tcPr>
          <w:p>
            <w:pPr>
              <w:spacing w:after="0" w:line="20" w:lineRule="exact"/>
              <w:rPr>
                <w:sz w:val="1"/>
                <w:szCs w:val="1"/>
                <w:color w:val="auto"/>
              </w:rPr>
            </w:pPr>
          </w:p>
        </w:tc>
        <w:tc>
          <w:tcPr>
            <w:tcW w:w="860" w:type="dxa"/>
            <w:vAlign w:val="bottom"/>
            <w:shd w:val="clear" w:color="auto" w:fill="298655"/>
          </w:tcPr>
          <w:p>
            <w:pPr>
              <w:spacing w:after="0" w:line="20" w:lineRule="exact"/>
              <w:rPr>
                <w:sz w:val="1"/>
                <w:szCs w:val="1"/>
                <w:color w:val="auto"/>
              </w:rPr>
            </w:pPr>
          </w:p>
        </w:tc>
        <w:tc>
          <w:tcPr>
            <w:tcW w:w="880" w:type="dxa"/>
            <w:vAlign w:val="bottom"/>
            <w:shd w:val="clear" w:color="auto" w:fill="298655"/>
          </w:tcPr>
          <w:p>
            <w:pPr>
              <w:spacing w:after="0" w:line="20" w:lineRule="exact"/>
              <w:rPr>
                <w:sz w:val="1"/>
                <w:szCs w:val="1"/>
                <w:color w:val="auto"/>
              </w:rPr>
            </w:pPr>
          </w:p>
        </w:tc>
        <w:tc>
          <w:tcPr>
            <w:tcW w:w="880" w:type="dxa"/>
            <w:vAlign w:val="bottom"/>
            <w:shd w:val="clear" w:color="auto" w:fill="298655"/>
          </w:tcPr>
          <w:p>
            <w:pPr>
              <w:spacing w:after="0" w:line="20" w:lineRule="exact"/>
              <w:rPr>
                <w:sz w:val="1"/>
                <w:szCs w:val="1"/>
                <w:color w:val="auto"/>
              </w:rPr>
            </w:pPr>
          </w:p>
        </w:tc>
        <w:tc>
          <w:tcPr>
            <w:tcW w:w="980" w:type="dxa"/>
            <w:vAlign w:val="bottom"/>
            <w:shd w:val="clear" w:color="auto" w:fill="298655"/>
          </w:tcPr>
          <w:p>
            <w:pPr>
              <w:spacing w:after="0" w:line="20" w:lineRule="exact"/>
              <w:rPr>
                <w:sz w:val="1"/>
                <w:szCs w:val="1"/>
                <w:color w:val="auto"/>
              </w:rPr>
            </w:pPr>
          </w:p>
        </w:tc>
        <w:tc>
          <w:tcPr>
            <w:tcW w:w="760" w:type="dxa"/>
            <w:vAlign w:val="bottom"/>
            <w:shd w:val="clear" w:color="auto" w:fill="298655"/>
          </w:tcPr>
          <w:p>
            <w:pPr>
              <w:spacing w:after="0" w:line="20" w:lineRule="exact"/>
              <w:rPr>
                <w:sz w:val="1"/>
                <w:szCs w:val="1"/>
                <w:color w:val="auto"/>
              </w:rPr>
            </w:pPr>
          </w:p>
        </w:tc>
        <w:tc>
          <w:tcPr>
            <w:tcW w:w="800" w:type="dxa"/>
            <w:vAlign w:val="bottom"/>
            <w:shd w:val="clear" w:color="auto" w:fill="298655"/>
          </w:tcPr>
          <w:p>
            <w:pPr>
              <w:spacing w:after="0" w:line="20" w:lineRule="exact"/>
              <w:rPr>
                <w:sz w:val="1"/>
                <w:szCs w:val="1"/>
                <w:color w:val="auto"/>
              </w:rPr>
            </w:pPr>
          </w:p>
        </w:tc>
        <w:tc>
          <w:tcPr>
            <w:tcW w:w="1000" w:type="dxa"/>
            <w:vAlign w:val="bottom"/>
            <w:shd w:val="clear" w:color="auto" w:fill="298655"/>
          </w:tcPr>
          <w:p>
            <w:pPr>
              <w:spacing w:after="0" w:line="20" w:lineRule="exact"/>
              <w:rPr>
                <w:sz w:val="1"/>
                <w:szCs w:val="1"/>
                <w:color w:val="auto"/>
              </w:rPr>
            </w:pPr>
          </w:p>
        </w:tc>
        <w:tc>
          <w:tcPr>
            <w:tcW w:w="720" w:type="dxa"/>
            <w:vAlign w:val="bottom"/>
            <w:shd w:val="clear" w:color="auto" w:fill="298655"/>
          </w:tcPr>
          <w:p>
            <w:pPr>
              <w:spacing w:after="0" w:line="20" w:lineRule="exact"/>
              <w:rPr>
                <w:sz w:val="1"/>
                <w:szCs w:val="1"/>
                <w:color w:val="auto"/>
              </w:rPr>
            </w:pPr>
          </w:p>
        </w:tc>
        <w:tc>
          <w:tcPr>
            <w:tcW w:w="760" w:type="dxa"/>
            <w:vAlign w:val="bottom"/>
            <w:shd w:val="clear" w:color="auto" w:fill="298655"/>
          </w:tcPr>
          <w:p>
            <w:pPr>
              <w:spacing w:after="0" w:line="20" w:lineRule="exact"/>
              <w:rPr>
                <w:sz w:val="1"/>
                <w:szCs w:val="1"/>
                <w:color w:val="auto"/>
              </w:rPr>
            </w:pPr>
          </w:p>
        </w:tc>
        <w:tc>
          <w:tcPr>
            <w:tcW w:w="1440" w:type="dxa"/>
            <w:vAlign w:val="bottom"/>
            <w:shd w:val="clear" w:color="auto" w:fill="298655"/>
          </w:tcPr>
          <w:p>
            <w:pPr>
              <w:spacing w:after="0" w:line="20" w:lineRule="exact"/>
              <w:rPr>
                <w:sz w:val="1"/>
                <w:szCs w:val="1"/>
                <w:color w:val="auto"/>
              </w:rPr>
            </w:pPr>
          </w:p>
        </w:tc>
        <w:tc>
          <w:tcPr>
            <w:tcW w:w="1120" w:type="dxa"/>
            <w:vAlign w:val="bottom"/>
            <w:shd w:val="clear" w:color="auto" w:fill="29865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500" w:right="240" w:hanging="330"/>
        <w:spacing w:after="0" w:line="273" w:lineRule="auto"/>
        <w:tabs>
          <w:tab w:leader="none" w:pos="498" w:val="left"/>
        </w:tabs>
        <w:numPr>
          <w:ilvl w:val="0"/>
          <w:numId w:val="100"/>
        </w:numPr>
        <w:rPr>
          <w:rFonts w:ascii="Arial" w:cs="Arial" w:eastAsia="Arial" w:hAnsi="Arial"/>
          <w:sz w:val="14"/>
          <w:szCs w:val="14"/>
          <w:color w:val="4D4D4F"/>
        </w:rPr>
      </w:pPr>
      <w:r>
        <w:rPr>
          <w:rFonts w:ascii="Arial" w:cs="Arial" w:eastAsia="Arial" w:hAnsi="Arial"/>
          <w:sz w:val="14"/>
          <w:szCs w:val="14"/>
          <w:color w:val="4D4D4F"/>
        </w:rPr>
        <w:t>The amounts shown reflect the threshold, target and maximum payouts that could have been earned as 2023 annual performance-related cash incentive awards. For 2023, our adjusted EBITDA resulted in a formulaic earning of the adjusted EBITDA portion of the incentive at 91% of target. Please see the discussion regarding the compensation programs for the NEOs beginning on page 51 of this proxy statement for additional information.</w:t>
      </w:r>
    </w:p>
    <w:p>
      <w:pPr>
        <w:spacing w:after="0" w:line="17" w:lineRule="exact"/>
        <w:rPr>
          <w:rFonts w:ascii="Arial" w:cs="Arial" w:eastAsia="Arial" w:hAnsi="Arial"/>
          <w:sz w:val="14"/>
          <w:szCs w:val="14"/>
          <w:color w:val="4D4D4F"/>
        </w:rPr>
      </w:pPr>
    </w:p>
    <w:p>
      <w:pPr>
        <w:jc w:val="both"/>
        <w:ind w:left="500" w:right="620" w:hanging="330"/>
        <w:spacing w:after="0" w:line="283" w:lineRule="auto"/>
        <w:tabs>
          <w:tab w:leader="none" w:pos="498" w:val="left"/>
        </w:tabs>
        <w:numPr>
          <w:ilvl w:val="0"/>
          <w:numId w:val="100"/>
        </w:numPr>
        <w:rPr>
          <w:rFonts w:ascii="Arial" w:cs="Arial" w:eastAsia="Arial" w:hAnsi="Arial"/>
          <w:sz w:val="14"/>
          <w:szCs w:val="14"/>
          <w:color w:val="4D4D4F"/>
        </w:rPr>
      </w:pPr>
      <w:r>
        <w:rPr>
          <w:rFonts w:ascii="Arial" w:cs="Arial" w:eastAsia="Arial" w:hAnsi="Arial"/>
          <w:sz w:val="14"/>
          <w:szCs w:val="14"/>
          <w:color w:val="4D4D4F"/>
        </w:rPr>
        <w:t>The amounts shown include the threshold and maximum payouts that could have been earned as strategic objective cash incentive awards. For 2023, strategic objectives were earned at 78% of maximum. Please see the discussion regarding the compensation programs for the NEOs beginning on page 51 of this proxy statement for additional information.</w:t>
      </w:r>
    </w:p>
    <w:p>
      <w:pPr>
        <w:spacing w:after="0" w:line="10" w:lineRule="exact"/>
        <w:rPr>
          <w:rFonts w:ascii="Arial" w:cs="Arial" w:eastAsia="Arial" w:hAnsi="Arial"/>
          <w:sz w:val="14"/>
          <w:szCs w:val="14"/>
          <w:color w:val="4D4D4F"/>
        </w:rPr>
      </w:pPr>
    </w:p>
    <w:p>
      <w:pPr>
        <w:ind w:left="500" w:right="140" w:hanging="330"/>
        <w:spacing w:after="0" w:line="269" w:lineRule="auto"/>
        <w:tabs>
          <w:tab w:leader="none" w:pos="498" w:val="left"/>
        </w:tabs>
        <w:numPr>
          <w:ilvl w:val="0"/>
          <w:numId w:val="100"/>
        </w:numPr>
        <w:rPr>
          <w:rFonts w:ascii="Arial" w:cs="Arial" w:eastAsia="Arial" w:hAnsi="Arial"/>
          <w:sz w:val="14"/>
          <w:szCs w:val="14"/>
          <w:color w:val="4D4D4F"/>
        </w:rPr>
      </w:pPr>
      <w:r>
        <w:rPr>
          <w:rFonts w:ascii="Arial" w:cs="Arial" w:eastAsia="Arial" w:hAnsi="Arial"/>
          <w:sz w:val="14"/>
          <w:szCs w:val="14"/>
          <w:color w:val="4D4D4F"/>
        </w:rPr>
        <w:t>The amounts shown reflect the PRSU awards that in general can be earned under the LTIP at the threshold, target and maximum levels based on adjusted EPS, as modified by our adjusted ROIC performance, for the three-year period beginning on January 1, 2023 and ending on December 31, 2025. Depending on the percentage of adjusted ROIC achieved for the period, the range of payout based on adjusted EPS will be as follows: (i) threshold— 30% to 50% of target, (ii) target—80% to 120% of target, and (iii) maximum—160% to 200% of target.</w:t>
      </w:r>
    </w:p>
    <w:p>
      <w:pPr>
        <w:spacing w:after="0" w:line="20" w:lineRule="exact"/>
        <w:rPr>
          <w:rFonts w:ascii="Arial" w:cs="Arial" w:eastAsia="Arial" w:hAnsi="Arial"/>
          <w:sz w:val="14"/>
          <w:szCs w:val="14"/>
          <w:color w:val="4D4D4F"/>
        </w:rPr>
      </w:pPr>
    </w:p>
    <w:p>
      <w:pPr>
        <w:ind w:left="500" w:right="180" w:hanging="330"/>
        <w:spacing w:after="0" w:line="291" w:lineRule="auto"/>
        <w:tabs>
          <w:tab w:leader="none" w:pos="498" w:val="left"/>
        </w:tabs>
        <w:numPr>
          <w:ilvl w:val="0"/>
          <w:numId w:val="100"/>
        </w:numPr>
        <w:rPr>
          <w:rFonts w:ascii="Arial" w:cs="Arial" w:eastAsia="Arial" w:hAnsi="Arial"/>
          <w:sz w:val="14"/>
          <w:szCs w:val="14"/>
          <w:color w:val="4D4D4F"/>
        </w:rPr>
      </w:pPr>
      <w:r>
        <w:rPr>
          <w:rFonts w:ascii="Arial" w:cs="Arial" w:eastAsia="Arial" w:hAnsi="Arial"/>
          <w:sz w:val="14"/>
          <w:szCs w:val="14"/>
          <w:color w:val="4D4D4F"/>
        </w:rPr>
        <w:t>The amounts shown reflect the annual RSUs issued to our NEOs, which are subject to service-based vesting and generally vest one-third annually beginning in March 2024.</w:t>
      </w:r>
    </w:p>
    <w:p>
      <w:pPr>
        <w:spacing w:after="0" w:line="1" w:lineRule="exact"/>
        <w:rPr>
          <w:rFonts w:ascii="Arial" w:cs="Arial" w:eastAsia="Arial" w:hAnsi="Arial"/>
          <w:sz w:val="14"/>
          <w:szCs w:val="14"/>
          <w:color w:val="4D4D4F"/>
        </w:rPr>
      </w:pPr>
    </w:p>
    <w:p>
      <w:pPr>
        <w:ind w:left="500" w:right="240" w:hanging="330"/>
        <w:spacing w:after="0" w:line="305" w:lineRule="auto"/>
        <w:tabs>
          <w:tab w:leader="none" w:pos="498" w:val="left"/>
        </w:tabs>
        <w:numPr>
          <w:ilvl w:val="0"/>
          <w:numId w:val="100"/>
        </w:numPr>
        <w:rPr>
          <w:rFonts w:ascii="Arial" w:cs="Arial" w:eastAsia="Arial" w:hAnsi="Arial"/>
          <w:sz w:val="14"/>
          <w:szCs w:val="14"/>
          <w:color w:val="4D4D4F"/>
        </w:rPr>
      </w:pPr>
      <w:r>
        <w:rPr>
          <w:rFonts w:ascii="Arial" w:cs="Arial" w:eastAsia="Arial" w:hAnsi="Arial"/>
          <w:sz w:val="14"/>
          <w:szCs w:val="14"/>
          <w:color w:val="4D4D4F"/>
        </w:rPr>
        <w:t>The amounts shown reflect the estimated aggregate grant date fair value of the stock awards. The estimated aggregate fair value of our stock awards is based on the grant date market value of our common stock, as defined in the 2021 Omnibus Plan and is computed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65</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8" w:name="page69"/>
    <w:bookmarkEnd w:id="68"/>
    <w:p>
      <w:pPr>
        <w:ind w:left="20"/>
        <w:spacing w:after="0"/>
        <w:rPr>
          <w:sz w:val="20"/>
          <w:szCs w:val="20"/>
          <w:color w:val="auto"/>
        </w:rPr>
      </w:pPr>
      <w:r>
        <w:rPr>
          <w:rFonts w:ascii="Arial" w:cs="Arial" w:eastAsia="Arial" w:hAnsi="Arial"/>
          <w:sz w:val="14"/>
          <w:szCs w:val="14"/>
          <w:b w:val="1"/>
          <w:bCs w:val="1"/>
          <w:color w:val="5B6770"/>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Outstanding Equity Awards at Fiscal Year-End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4D4D4F"/>
        </w:rPr>
        <w:t>The following table sets forth the outstanding equity awards at fiscal year-end, or December 31, 2023,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149225</wp:posOffset>
            </wp:positionV>
            <wp:extent cx="8255" cy="1289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12890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shd w:val="clear" w:color="auto" w:fill="9ABCD0"/>
          </w:tcPr>
          <w:p>
            <w:pPr>
              <w:spacing w:after="0"/>
              <w:rPr>
                <w:sz w:val="17"/>
                <w:szCs w:val="17"/>
                <w:color w:val="auto"/>
              </w:rPr>
            </w:pPr>
          </w:p>
        </w:tc>
        <w:tc>
          <w:tcPr>
            <w:tcW w:w="2380" w:type="dxa"/>
            <w:vAlign w:val="bottom"/>
            <w:gridSpan w:val="2"/>
            <w:shd w:val="clear" w:color="auto" w:fill="9ABCD0"/>
          </w:tcPr>
          <w:p>
            <w:pPr>
              <w:jc w:val="right"/>
              <w:ind w:right="397"/>
              <w:spacing w:after="0"/>
              <w:rPr>
                <w:sz w:val="20"/>
                <w:szCs w:val="20"/>
                <w:color w:val="auto"/>
              </w:rPr>
            </w:pPr>
            <w:r>
              <w:rPr>
                <w:rFonts w:ascii="Arial" w:cs="Arial" w:eastAsia="Arial" w:hAnsi="Arial"/>
                <w:sz w:val="13"/>
                <w:szCs w:val="13"/>
                <w:b w:val="1"/>
                <w:bCs w:val="1"/>
                <w:color w:val="FFFFFF"/>
              </w:rPr>
              <w:t>Option Awards</w:t>
            </w:r>
          </w:p>
        </w:tc>
        <w:tc>
          <w:tcPr>
            <w:tcW w:w="760" w:type="dxa"/>
            <w:vAlign w:val="bottom"/>
            <w:shd w:val="clear" w:color="auto" w:fill="9ABCD0"/>
          </w:tcPr>
          <w:p>
            <w:pPr>
              <w:spacing w:after="0"/>
              <w:rPr>
                <w:sz w:val="17"/>
                <w:szCs w:val="17"/>
                <w:color w:val="auto"/>
              </w:rPr>
            </w:pPr>
          </w:p>
        </w:tc>
        <w:tc>
          <w:tcPr>
            <w:tcW w:w="900" w:type="dxa"/>
            <w:vAlign w:val="bottom"/>
            <w:shd w:val="clear" w:color="auto" w:fill="9ABCD0"/>
          </w:tcPr>
          <w:p>
            <w:pPr>
              <w:spacing w:after="0"/>
              <w:rPr>
                <w:sz w:val="17"/>
                <w:szCs w:val="17"/>
                <w:color w:val="auto"/>
              </w:rPr>
            </w:pPr>
          </w:p>
        </w:tc>
        <w:tc>
          <w:tcPr>
            <w:tcW w:w="880" w:type="dxa"/>
            <w:vAlign w:val="bottom"/>
            <w:shd w:val="clear" w:color="auto" w:fill="9ABCD0"/>
          </w:tcPr>
          <w:p>
            <w:pPr>
              <w:spacing w:after="0"/>
              <w:rPr>
                <w:sz w:val="17"/>
                <w:szCs w:val="17"/>
                <w:color w:val="auto"/>
              </w:rPr>
            </w:pPr>
          </w:p>
        </w:tc>
        <w:tc>
          <w:tcPr>
            <w:tcW w:w="2040" w:type="dxa"/>
            <w:vAlign w:val="bottom"/>
            <w:gridSpan w:val="2"/>
            <w:shd w:val="clear" w:color="auto" w:fill="9ABCD0"/>
          </w:tcPr>
          <w:p>
            <w:pPr>
              <w:jc w:val="right"/>
              <w:ind w:right="398"/>
              <w:spacing w:after="0"/>
              <w:rPr>
                <w:sz w:val="20"/>
                <w:szCs w:val="20"/>
                <w:color w:val="auto"/>
              </w:rPr>
            </w:pPr>
            <w:r>
              <w:rPr>
                <w:rFonts w:ascii="Arial" w:cs="Arial" w:eastAsia="Arial" w:hAnsi="Arial"/>
                <w:sz w:val="13"/>
                <w:szCs w:val="13"/>
                <w:b w:val="1"/>
                <w:bCs w:val="1"/>
                <w:color w:val="FFFFFF"/>
              </w:rPr>
              <w:t>Stock Awards</w:t>
            </w:r>
          </w:p>
        </w:tc>
        <w:tc>
          <w:tcPr>
            <w:tcW w:w="1260" w:type="dxa"/>
            <w:vAlign w:val="bottom"/>
            <w:shd w:val="clear" w:color="auto" w:fill="9ABCD0"/>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40" w:type="dxa"/>
            <w:vAlign w:val="bottom"/>
            <w:gridSpan w:val="2"/>
            <w:shd w:val="clear" w:color="auto" w:fill="578EB1"/>
          </w:tcPr>
          <w:p>
            <w:pPr>
              <w:ind w:left="240"/>
              <w:spacing w:after="0"/>
              <w:rPr>
                <w:sz w:val="20"/>
                <w:szCs w:val="20"/>
                <w:color w:val="auto"/>
              </w:rPr>
            </w:pPr>
            <w:r>
              <w:rPr>
                <w:rFonts w:ascii="Arial" w:cs="Arial" w:eastAsia="Arial" w:hAnsi="Arial"/>
                <w:sz w:val="13"/>
                <w:szCs w:val="13"/>
                <w:b w:val="1"/>
                <w:bCs w:val="1"/>
                <w:color w:val="FFFFFF"/>
              </w:rPr>
              <w:t>Number of Securities Underlying</w:t>
            </w:r>
          </w:p>
        </w:tc>
        <w:tc>
          <w:tcPr>
            <w:tcW w:w="2700" w:type="dxa"/>
            <w:vAlign w:val="bottom"/>
            <w:gridSpan w:val="3"/>
            <w:vMerge w:val="restart"/>
            <w:shd w:val="clear" w:color="auto" w:fill="578EB1"/>
          </w:tcPr>
          <w:p>
            <w:pPr>
              <w:ind w:left="480"/>
              <w:spacing w:after="0"/>
              <w:rPr>
                <w:sz w:val="20"/>
                <w:szCs w:val="20"/>
                <w:color w:val="auto"/>
              </w:rPr>
            </w:pPr>
            <w:r>
              <w:rPr>
                <w:rFonts w:ascii="Arial" w:cs="Arial" w:eastAsia="Arial" w:hAnsi="Arial"/>
                <w:sz w:val="13"/>
                <w:szCs w:val="13"/>
                <w:b w:val="1"/>
                <w:bCs w:val="1"/>
                <w:color w:val="FFFFFF"/>
              </w:rPr>
              <w:t>Equity Incentive Plan Awards</w:t>
            </w: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80" w:type="dxa"/>
            <w:vAlign w:val="bottom"/>
            <w:gridSpan w:val="2"/>
            <w:vMerge w:val="restart"/>
            <w:shd w:val="clear" w:color="auto" w:fill="578EB1"/>
          </w:tcPr>
          <w:p>
            <w:pPr>
              <w:jc w:val="right"/>
              <w:ind w:right="299"/>
              <w:spacing w:after="0"/>
              <w:rPr>
                <w:sz w:val="20"/>
                <w:szCs w:val="20"/>
                <w:color w:val="auto"/>
              </w:rPr>
            </w:pPr>
            <w:r>
              <w:rPr>
                <w:rFonts w:ascii="Arial" w:cs="Arial" w:eastAsia="Arial" w:hAnsi="Arial"/>
                <w:sz w:val="13"/>
                <w:szCs w:val="13"/>
                <w:b w:val="1"/>
                <w:bCs w:val="1"/>
                <w:color w:val="FFFFFF"/>
              </w:rPr>
              <w:t>Equity Incentive Plan Awards</w:t>
            </w:r>
          </w:p>
        </w:tc>
        <w:tc>
          <w:tcPr>
            <w:tcW w:w="0" w:type="dxa"/>
            <w:vAlign w:val="bottom"/>
          </w:tcPr>
          <w:p>
            <w:pPr>
              <w:spacing w:after="0"/>
              <w:rPr>
                <w:sz w:val="1"/>
                <w:szCs w:val="1"/>
                <w:color w:val="auto"/>
              </w:rPr>
            </w:pPr>
          </w:p>
        </w:tc>
      </w:tr>
      <w:tr>
        <w:trPr>
          <w:trHeight w:val="91"/>
        </w:trPr>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40" w:type="dxa"/>
            <w:vAlign w:val="bottom"/>
            <w:gridSpan w:val="2"/>
            <w:vMerge w:val="restart"/>
            <w:shd w:val="clear" w:color="auto" w:fill="578EB1"/>
          </w:tcPr>
          <w:p>
            <w:pPr>
              <w:ind w:left="600"/>
              <w:spacing w:after="0"/>
              <w:rPr>
                <w:sz w:val="20"/>
                <w:szCs w:val="20"/>
                <w:color w:val="auto"/>
              </w:rPr>
            </w:pPr>
            <w:r>
              <w:rPr>
                <w:rFonts w:ascii="Arial" w:cs="Arial" w:eastAsia="Arial" w:hAnsi="Arial"/>
                <w:sz w:val="13"/>
                <w:szCs w:val="13"/>
                <w:b w:val="1"/>
                <w:bCs w:val="1"/>
                <w:color w:val="FFFFFF"/>
              </w:rPr>
              <w:t>Unexercised Options</w:t>
            </w:r>
          </w:p>
        </w:tc>
        <w:tc>
          <w:tcPr>
            <w:tcW w:w="2700" w:type="dxa"/>
            <w:vAlign w:val="bottom"/>
            <w:gridSpan w:val="3"/>
            <w:vMerge w:val="continue"/>
            <w:shd w:val="clear" w:color="auto" w:fill="578EB1"/>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gridSpan w:val="2"/>
            <w:vMerge w:val="continue"/>
            <w:shd w:val="clear" w:color="auto" w:fill="578EB1"/>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40" w:type="dxa"/>
            <w:vAlign w:val="bottom"/>
            <w:tcBorders>
              <w:bottom w:val="single" w:sz="8" w:color="578EB1"/>
            </w:tcBorders>
            <w:gridSpan w:val="2"/>
            <w:vMerge w:val="continue"/>
            <w:shd w:val="clear" w:color="auto" w:fill="578EB1"/>
          </w:tcPr>
          <w:p>
            <w:pPr>
              <w:spacing w:after="0"/>
              <w:rPr>
                <w:sz w:val="7"/>
                <w:szCs w:val="7"/>
                <w:color w:val="auto"/>
              </w:rPr>
            </w:pPr>
          </w:p>
        </w:tc>
        <w:tc>
          <w:tcPr>
            <w:tcW w:w="1040" w:type="dxa"/>
            <w:vAlign w:val="bottom"/>
            <w:tcBorders>
              <w:bottom w:val="single" w:sz="8" w:color="578EB1"/>
            </w:tcBorders>
            <w:shd w:val="clear" w:color="auto" w:fill="578EB1"/>
          </w:tcPr>
          <w:p>
            <w:pPr>
              <w:spacing w:after="0"/>
              <w:rPr>
                <w:sz w:val="7"/>
                <w:szCs w:val="7"/>
                <w:color w:val="auto"/>
              </w:rPr>
            </w:pPr>
          </w:p>
        </w:tc>
        <w:tc>
          <w:tcPr>
            <w:tcW w:w="760" w:type="dxa"/>
            <w:vAlign w:val="bottom"/>
            <w:tcBorders>
              <w:bottom w:val="single" w:sz="8" w:color="578EB1"/>
            </w:tcBorders>
            <w:shd w:val="clear" w:color="auto" w:fill="578EB1"/>
          </w:tcPr>
          <w:p>
            <w:pPr>
              <w:spacing w:after="0"/>
              <w:rPr>
                <w:sz w:val="7"/>
                <w:szCs w:val="7"/>
                <w:color w:val="auto"/>
              </w:rPr>
            </w:pPr>
          </w:p>
        </w:tc>
        <w:tc>
          <w:tcPr>
            <w:tcW w:w="900" w:type="dxa"/>
            <w:vAlign w:val="bottom"/>
            <w:tcBorders>
              <w:bottom w:val="single" w:sz="8" w:color="578EB1"/>
            </w:tcBorders>
            <w:shd w:val="clear" w:color="auto" w:fill="578EB1"/>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20" w:type="dxa"/>
            <w:vAlign w:val="bottom"/>
            <w:tcBorders>
              <w:bottom w:val="single" w:sz="8" w:color="578EB1"/>
            </w:tcBorders>
            <w:shd w:val="clear" w:color="auto" w:fill="578EB1"/>
          </w:tcPr>
          <w:p>
            <w:pPr>
              <w:spacing w:after="0"/>
              <w:rPr>
                <w:sz w:val="7"/>
                <w:szCs w:val="7"/>
                <w:color w:val="auto"/>
              </w:rPr>
            </w:pPr>
          </w:p>
        </w:tc>
        <w:tc>
          <w:tcPr>
            <w:tcW w:w="1260" w:type="dxa"/>
            <w:vAlign w:val="bottom"/>
            <w:tcBorders>
              <w:bottom w:val="single" w:sz="8" w:color="578EB1"/>
            </w:tcBorders>
            <w:shd w:val="clear" w:color="auto" w:fill="578EB1"/>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040" w:type="dxa"/>
            <w:vAlign w:val="bottom"/>
            <w:shd w:val="clear" w:color="auto" w:fill="132440"/>
          </w:tcPr>
          <w:p>
            <w:pPr>
              <w:spacing w:after="0"/>
              <w:rPr>
                <w:sz w:val="13"/>
                <w:szCs w:val="13"/>
                <w:color w:val="auto"/>
              </w:rPr>
            </w:pPr>
          </w:p>
        </w:tc>
        <w:tc>
          <w:tcPr>
            <w:tcW w:w="880" w:type="dxa"/>
            <w:vAlign w:val="bottom"/>
            <w:shd w:val="clear" w:color="auto" w:fill="132440"/>
          </w:tcPr>
          <w:p>
            <w:pPr>
              <w:spacing w:after="0"/>
              <w:rPr>
                <w:sz w:val="13"/>
                <w:szCs w:val="13"/>
                <w:color w:val="auto"/>
              </w:rPr>
            </w:pPr>
          </w:p>
        </w:tc>
        <w:tc>
          <w:tcPr>
            <w:tcW w:w="1100" w:type="dxa"/>
            <w:vAlign w:val="bottom"/>
            <w:shd w:val="clear" w:color="auto" w:fill="132440"/>
          </w:tcPr>
          <w:p>
            <w:pPr>
              <w:spacing w:after="0"/>
              <w:rPr>
                <w:sz w:val="13"/>
                <w:szCs w:val="13"/>
                <w:color w:val="auto"/>
              </w:rPr>
            </w:pPr>
          </w:p>
        </w:tc>
        <w:tc>
          <w:tcPr>
            <w:tcW w:w="1340" w:type="dxa"/>
            <w:vAlign w:val="bottom"/>
            <w:shd w:val="clear" w:color="auto" w:fill="132440"/>
          </w:tcPr>
          <w:p>
            <w:pPr>
              <w:spacing w:after="0"/>
              <w:rPr>
                <w:sz w:val="13"/>
                <w:szCs w:val="13"/>
                <w:color w:val="auto"/>
              </w:rPr>
            </w:pPr>
          </w:p>
        </w:tc>
        <w:tc>
          <w:tcPr>
            <w:tcW w:w="1040" w:type="dxa"/>
            <w:vAlign w:val="bottom"/>
            <w:shd w:val="clear" w:color="auto" w:fill="132440"/>
          </w:tcPr>
          <w:p>
            <w:pPr>
              <w:jc w:val="right"/>
              <w:spacing w:after="0"/>
              <w:rPr>
                <w:sz w:val="20"/>
                <w:szCs w:val="20"/>
                <w:color w:val="auto"/>
              </w:rPr>
            </w:pPr>
            <w:r>
              <w:rPr>
                <w:rFonts w:ascii="Arial" w:cs="Arial" w:eastAsia="Arial" w:hAnsi="Arial"/>
                <w:sz w:val="13"/>
                <w:szCs w:val="13"/>
                <w:b w:val="1"/>
                <w:bCs w:val="1"/>
                <w:color w:val="FFFFFF"/>
              </w:rPr>
              <w:t>Number of</w:t>
            </w:r>
          </w:p>
        </w:tc>
        <w:tc>
          <w:tcPr>
            <w:tcW w:w="760" w:type="dxa"/>
            <w:vAlign w:val="bottom"/>
            <w:shd w:val="clear" w:color="auto" w:fill="132440"/>
          </w:tcPr>
          <w:p>
            <w:pPr>
              <w:spacing w:after="0"/>
              <w:rPr>
                <w:sz w:val="13"/>
                <w:szCs w:val="13"/>
                <w:color w:val="auto"/>
              </w:rPr>
            </w:pPr>
          </w:p>
        </w:tc>
        <w:tc>
          <w:tcPr>
            <w:tcW w:w="900" w:type="dxa"/>
            <w:vAlign w:val="bottom"/>
            <w:shd w:val="clear" w:color="auto" w:fill="132440"/>
          </w:tcPr>
          <w:p>
            <w:pPr>
              <w:spacing w:after="0"/>
              <w:rPr>
                <w:sz w:val="13"/>
                <w:szCs w:val="13"/>
                <w:color w:val="auto"/>
              </w:rPr>
            </w:pPr>
          </w:p>
        </w:tc>
        <w:tc>
          <w:tcPr>
            <w:tcW w:w="880" w:type="dxa"/>
            <w:vAlign w:val="bottom"/>
            <w:shd w:val="clear" w:color="auto" w:fill="132440"/>
          </w:tcPr>
          <w:p>
            <w:pPr>
              <w:spacing w:after="0"/>
              <w:rPr>
                <w:sz w:val="13"/>
                <w:szCs w:val="13"/>
                <w:color w:val="auto"/>
              </w:rPr>
            </w:pPr>
          </w:p>
        </w:tc>
        <w:tc>
          <w:tcPr>
            <w:tcW w:w="920" w:type="dxa"/>
            <w:vAlign w:val="bottom"/>
            <w:shd w:val="clear" w:color="auto" w:fill="132440"/>
          </w:tcPr>
          <w:p>
            <w:pPr>
              <w:spacing w:after="0"/>
              <w:rPr>
                <w:sz w:val="13"/>
                <w:szCs w:val="13"/>
                <w:color w:val="auto"/>
              </w:rPr>
            </w:pPr>
          </w:p>
        </w:tc>
        <w:tc>
          <w:tcPr>
            <w:tcW w:w="1120" w:type="dxa"/>
            <w:vAlign w:val="bottom"/>
            <w:shd w:val="clear" w:color="auto" w:fill="132440"/>
          </w:tcPr>
          <w:p>
            <w:pPr>
              <w:jc w:val="right"/>
              <w:spacing w:after="0"/>
              <w:rPr>
                <w:sz w:val="20"/>
                <w:szCs w:val="20"/>
                <w:color w:val="auto"/>
              </w:rPr>
            </w:pPr>
            <w:r>
              <w:rPr>
                <w:rFonts w:ascii="Arial" w:cs="Arial" w:eastAsia="Arial" w:hAnsi="Arial"/>
                <w:sz w:val="13"/>
                <w:szCs w:val="13"/>
                <w:b w:val="1"/>
                <w:bCs w:val="1"/>
                <w:color w:val="FFFFFF"/>
              </w:rPr>
              <w:t>Number of</w:t>
            </w:r>
          </w:p>
        </w:tc>
        <w:tc>
          <w:tcPr>
            <w:tcW w:w="1260" w:type="dxa"/>
            <w:vAlign w:val="bottom"/>
            <w:vMerge w:val="restart"/>
            <w:shd w:val="clear" w:color="auto" w:fill="132440"/>
          </w:tcPr>
          <w:p>
            <w:pPr>
              <w:jc w:val="right"/>
              <w:ind w:right="59"/>
              <w:spacing w:after="0"/>
              <w:rPr>
                <w:sz w:val="20"/>
                <w:szCs w:val="20"/>
                <w:color w:val="auto"/>
              </w:rPr>
            </w:pPr>
            <w:r>
              <w:rPr>
                <w:rFonts w:ascii="Arial" w:cs="Arial" w:eastAsia="Arial" w:hAnsi="Arial"/>
                <w:sz w:val="13"/>
                <w:szCs w:val="13"/>
                <w:b w:val="1"/>
                <w:bCs w:val="1"/>
                <w:color w:val="FFFFFF"/>
              </w:rPr>
              <w:t>Market or Payout</w:t>
            </w:r>
          </w:p>
        </w:tc>
        <w:tc>
          <w:tcPr>
            <w:tcW w:w="0" w:type="dxa"/>
            <w:vAlign w:val="bottom"/>
          </w:tcPr>
          <w:p>
            <w:pPr>
              <w:spacing w:after="0"/>
              <w:rPr>
                <w:sz w:val="1"/>
                <w:szCs w:val="1"/>
                <w:color w:val="auto"/>
              </w:rPr>
            </w:pPr>
          </w:p>
        </w:tc>
      </w:tr>
      <w:tr>
        <w:trPr>
          <w:trHeight w:val="54"/>
        </w:trPr>
        <w:tc>
          <w:tcPr>
            <w:tcW w:w="1040" w:type="dxa"/>
            <w:vAlign w:val="bottom"/>
            <w:shd w:val="clear" w:color="auto" w:fill="132440"/>
          </w:tcPr>
          <w:p>
            <w:pPr>
              <w:spacing w:after="0"/>
              <w:rPr>
                <w:sz w:val="4"/>
                <w:szCs w:val="4"/>
                <w:color w:val="auto"/>
              </w:rPr>
            </w:pPr>
          </w:p>
        </w:tc>
        <w:tc>
          <w:tcPr>
            <w:tcW w:w="880" w:type="dxa"/>
            <w:vAlign w:val="bottom"/>
            <w:shd w:val="clear" w:color="auto" w:fill="132440"/>
          </w:tcPr>
          <w:p>
            <w:pPr>
              <w:spacing w:after="0"/>
              <w:rPr>
                <w:sz w:val="4"/>
                <w:szCs w:val="4"/>
                <w:color w:val="auto"/>
              </w:rPr>
            </w:pPr>
          </w:p>
        </w:tc>
        <w:tc>
          <w:tcPr>
            <w:tcW w:w="1100" w:type="dxa"/>
            <w:vAlign w:val="bottom"/>
            <w:shd w:val="clear" w:color="auto" w:fill="132440"/>
          </w:tcPr>
          <w:p>
            <w:pPr>
              <w:spacing w:after="0"/>
              <w:rPr>
                <w:sz w:val="4"/>
                <w:szCs w:val="4"/>
                <w:color w:val="auto"/>
              </w:rPr>
            </w:pPr>
          </w:p>
        </w:tc>
        <w:tc>
          <w:tcPr>
            <w:tcW w:w="1340" w:type="dxa"/>
            <w:vAlign w:val="bottom"/>
            <w:shd w:val="clear" w:color="auto" w:fill="132440"/>
          </w:tcPr>
          <w:p>
            <w:pPr>
              <w:spacing w:after="0"/>
              <w:rPr>
                <w:sz w:val="4"/>
                <w:szCs w:val="4"/>
                <w:color w:val="auto"/>
              </w:rPr>
            </w:pPr>
          </w:p>
        </w:tc>
        <w:tc>
          <w:tcPr>
            <w:tcW w:w="1040" w:type="dxa"/>
            <w:vAlign w:val="bottom"/>
            <w:vMerge w:val="restart"/>
            <w:shd w:val="clear" w:color="auto" w:fill="132440"/>
          </w:tcPr>
          <w:p>
            <w:pPr>
              <w:jc w:val="right"/>
              <w:spacing w:after="0"/>
              <w:rPr>
                <w:sz w:val="20"/>
                <w:szCs w:val="20"/>
                <w:color w:val="auto"/>
              </w:rPr>
            </w:pPr>
            <w:r>
              <w:rPr>
                <w:rFonts w:ascii="Arial" w:cs="Arial" w:eastAsia="Arial" w:hAnsi="Arial"/>
                <w:sz w:val="13"/>
                <w:szCs w:val="13"/>
                <w:b w:val="1"/>
                <w:bCs w:val="1"/>
                <w:color w:val="FFFFFF"/>
              </w:rPr>
              <w:t>Securities</w:t>
            </w:r>
          </w:p>
        </w:tc>
        <w:tc>
          <w:tcPr>
            <w:tcW w:w="760" w:type="dxa"/>
            <w:vAlign w:val="bottom"/>
            <w:shd w:val="clear" w:color="auto" w:fill="132440"/>
          </w:tcPr>
          <w:p>
            <w:pPr>
              <w:spacing w:after="0"/>
              <w:rPr>
                <w:sz w:val="4"/>
                <w:szCs w:val="4"/>
                <w:color w:val="auto"/>
              </w:rPr>
            </w:pPr>
          </w:p>
        </w:tc>
        <w:tc>
          <w:tcPr>
            <w:tcW w:w="900" w:type="dxa"/>
            <w:vAlign w:val="bottom"/>
            <w:shd w:val="clear" w:color="auto" w:fill="132440"/>
          </w:tcPr>
          <w:p>
            <w:pPr>
              <w:spacing w:after="0"/>
              <w:rPr>
                <w:sz w:val="4"/>
                <w:szCs w:val="4"/>
                <w:color w:val="auto"/>
              </w:rPr>
            </w:pPr>
          </w:p>
        </w:tc>
        <w:tc>
          <w:tcPr>
            <w:tcW w:w="880" w:type="dxa"/>
            <w:vAlign w:val="bottom"/>
            <w:vMerge w:val="restart"/>
            <w:shd w:val="clear" w:color="auto" w:fill="132440"/>
          </w:tcPr>
          <w:p>
            <w:pPr>
              <w:jc w:val="right"/>
              <w:spacing w:after="0"/>
              <w:rPr>
                <w:sz w:val="20"/>
                <w:szCs w:val="20"/>
                <w:color w:val="auto"/>
              </w:rPr>
            </w:pPr>
            <w:r>
              <w:rPr>
                <w:rFonts w:ascii="Arial" w:cs="Arial" w:eastAsia="Arial" w:hAnsi="Arial"/>
                <w:sz w:val="13"/>
                <w:szCs w:val="13"/>
                <w:b w:val="1"/>
                <w:bCs w:val="1"/>
                <w:color w:val="FFFFFF"/>
              </w:rPr>
              <w:t>Number of</w:t>
            </w:r>
          </w:p>
        </w:tc>
        <w:tc>
          <w:tcPr>
            <w:tcW w:w="920" w:type="dxa"/>
            <w:vAlign w:val="bottom"/>
            <w:vMerge w:val="restart"/>
            <w:shd w:val="clear" w:color="auto" w:fill="132440"/>
          </w:tcPr>
          <w:p>
            <w:pPr>
              <w:jc w:val="right"/>
              <w:spacing w:after="0"/>
              <w:rPr>
                <w:sz w:val="20"/>
                <w:szCs w:val="20"/>
                <w:color w:val="auto"/>
              </w:rPr>
            </w:pPr>
            <w:r>
              <w:rPr>
                <w:rFonts w:ascii="Arial" w:cs="Arial" w:eastAsia="Arial" w:hAnsi="Arial"/>
                <w:sz w:val="13"/>
                <w:szCs w:val="13"/>
                <w:b w:val="1"/>
                <w:bCs w:val="1"/>
                <w:color w:val="FFFFFF"/>
              </w:rPr>
              <w:t>Market Value</w:t>
            </w:r>
          </w:p>
        </w:tc>
        <w:tc>
          <w:tcPr>
            <w:tcW w:w="1120" w:type="dxa"/>
            <w:vAlign w:val="bottom"/>
            <w:vMerge w:val="restart"/>
            <w:shd w:val="clear" w:color="auto" w:fill="132440"/>
          </w:tcPr>
          <w:p>
            <w:pPr>
              <w:jc w:val="right"/>
              <w:spacing w:after="0"/>
              <w:rPr>
                <w:sz w:val="20"/>
                <w:szCs w:val="20"/>
                <w:color w:val="auto"/>
              </w:rPr>
            </w:pPr>
            <w:r>
              <w:rPr>
                <w:rFonts w:ascii="Arial" w:cs="Arial" w:eastAsia="Arial" w:hAnsi="Arial"/>
                <w:sz w:val="13"/>
                <w:szCs w:val="13"/>
                <w:b w:val="1"/>
                <w:bCs w:val="1"/>
                <w:color w:val="FFFFFF"/>
              </w:rPr>
              <w:t>Unearned</w:t>
            </w:r>
          </w:p>
        </w:tc>
        <w:tc>
          <w:tcPr>
            <w:tcW w:w="1260" w:type="dxa"/>
            <w:vAlign w:val="bottom"/>
            <w:vMerge w:val="continue"/>
            <w:shd w:val="clear" w:color="auto" w:fill="132440"/>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132440"/>
          </w:tcPr>
          <w:p>
            <w:pPr>
              <w:spacing w:after="0"/>
              <w:rPr>
                <w:sz w:val="10"/>
                <w:szCs w:val="10"/>
                <w:color w:val="auto"/>
              </w:rPr>
            </w:pPr>
          </w:p>
        </w:tc>
        <w:tc>
          <w:tcPr>
            <w:tcW w:w="880" w:type="dxa"/>
            <w:vAlign w:val="bottom"/>
            <w:shd w:val="clear" w:color="auto" w:fill="132440"/>
          </w:tcPr>
          <w:p>
            <w:pPr>
              <w:spacing w:after="0"/>
              <w:rPr>
                <w:sz w:val="10"/>
                <w:szCs w:val="10"/>
                <w:color w:val="auto"/>
              </w:rPr>
            </w:pPr>
          </w:p>
        </w:tc>
        <w:tc>
          <w:tcPr>
            <w:tcW w:w="1100" w:type="dxa"/>
            <w:vAlign w:val="bottom"/>
            <w:shd w:val="clear" w:color="auto" w:fill="132440"/>
          </w:tcPr>
          <w:p>
            <w:pPr>
              <w:spacing w:after="0"/>
              <w:rPr>
                <w:sz w:val="10"/>
                <w:szCs w:val="10"/>
                <w:color w:val="auto"/>
              </w:rPr>
            </w:pPr>
          </w:p>
        </w:tc>
        <w:tc>
          <w:tcPr>
            <w:tcW w:w="1340" w:type="dxa"/>
            <w:vAlign w:val="bottom"/>
            <w:shd w:val="clear" w:color="auto" w:fill="132440"/>
          </w:tcPr>
          <w:p>
            <w:pPr>
              <w:spacing w:after="0"/>
              <w:rPr>
                <w:sz w:val="10"/>
                <w:szCs w:val="10"/>
                <w:color w:val="auto"/>
              </w:rPr>
            </w:pPr>
          </w:p>
        </w:tc>
        <w:tc>
          <w:tcPr>
            <w:tcW w:w="1040" w:type="dxa"/>
            <w:vAlign w:val="bottom"/>
            <w:vMerge w:val="continue"/>
            <w:shd w:val="clear" w:color="auto" w:fill="132440"/>
          </w:tcPr>
          <w:p>
            <w:pPr>
              <w:spacing w:after="0"/>
              <w:rPr>
                <w:sz w:val="10"/>
                <w:szCs w:val="10"/>
                <w:color w:val="auto"/>
              </w:rPr>
            </w:pPr>
          </w:p>
        </w:tc>
        <w:tc>
          <w:tcPr>
            <w:tcW w:w="760" w:type="dxa"/>
            <w:vAlign w:val="bottom"/>
            <w:shd w:val="clear" w:color="auto" w:fill="132440"/>
          </w:tcPr>
          <w:p>
            <w:pPr>
              <w:spacing w:after="0"/>
              <w:rPr>
                <w:sz w:val="10"/>
                <w:szCs w:val="10"/>
                <w:color w:val="auto"/>
              </w:rPr>
            </w:pPr>
          </w:p>
        </w:tc>
        <w:tc>
          <w:tcPr>
            <w:tcW w:w="900" w:type="dxa"/>
            <w:vAlign w:val="bottom"/>
            <w:shd w:val="clear" w:color="auto" w:fill="132440"/>
          </w:tcPr>
          <w:p>
            <w:pPr>
              <w:spacing w:after="0"/>
              <w:rPr>
                <w:sz w:val="10"/>
                <w:szCs w:val="10"/>
                <w:color w:val="auto"/>
              </w:rPr>
            </w:pPr>
          </w:p>
        </w:tc>
        <w:tc>
          <w:tcPr>
            <w:tcW w:w="880" w:type="dxa"/>
            <w:vAlign w:val="bottom"/>
            <w:vMerge w:val="continue"/>
            <w:shd w:val="clear" w:color="auto" w:fill="132440"/>
          </w:tcPr>
          <w:p>
            <w:pPr>
              <w:spacing w:after="0"/>
              <w:rPr>
                <w:sz w:val="10"/>
                <w:szCs w:val="10"/>
                <w:color w:val="auto"/>
              </w:rPr>
            </w:pPr>
          </w:p>
        </w:tc>
        <w:tc>
          <w:tcPr>
            <w:tcW w:w="920" w:type="dxa"/>
            <w:vAlign w:val="bottom"/>
            <w:vMerge w:val="continue"/>
            <w:shd w:val="clear" w:color="auto" w:fill="132440"/>
          </w:tcPr>
          <w:p>
            <w:pPr>
              <w:spacing w:after="0"/>
              <w:rPr>
                <w:sz w:val="10"/>
                <w:szCs w:val="10"/>
                <w:color w:val="auto"/>
              </w:rPr>
            </w:pPr>
          </w:p>
        </w:tc>
        <w:tc>
          <w:tcPr>
            <w:tcW w:w="1120" w:type="dxa"/>
            <w:vAlign w:val="bottom"/>
            <w:vMerge w:val="continue"/>
            <w:shd w:val="clear" w:color="auto" w:fill="132440"/>
          </w:tcPr>
          <w:p>
            <w:pPr>
              <w:spacing w:after="0"/>
              <w:rPr>
                <w:sz w:val="10"/>
                <w:szCs w:val="10"/>
                <w:color w:val="auto"/>
              </w:rPr>
            </w:pPr>
          </w:p>
        </w:tc>
        <w:tc>
          <w:tcPr>
            <w:tcW w:w="1260" w:type="dxa"/>
            <w:vAlign w:val="bottom"/>
            <w:shd w:val="clear" w:color="auto" w:fill="132440"/>
          </w:tcPr>
          <w:p>
            <w:pPr>
              <w:jc w:val="right"/>
              <w:ind w:right="59"/>
              <w:spacing w:after="0" w:line="126" w:lineRule="exact"/>
              <w:rPr>
                <w:sz w:val="20"/>
                <w:szCs w:val="20"/>
                <w:color w:val="auto"/>
              </w:rPr>
            </w:pPr>
            <w:r>
              <w:rPr>
                <w:rFonts w:ascii="Arial" w:cs="Arial" w:eastAsia="Arial" w:hAnsi="Arial"/>
                <w:sz w:val="13"/>
                <w:szCs w:val="13"/>
                <w:b w:val="1"/>
                <w:bCs w:val="1"/>
                <w:color w:val="FFFFFF"/>
                <w:w w:val="98"/>
              </w:rPr>
              <w:t>Value of Unearned</w:t>
            </w:r>
          </w:p>
        </w:tc>
        <w:tc>
          <w:tcPr>
            <w:tcW w:w="0" w:type="dxa"/>
            <w:vAlign w:val="bottom"/>
          </w:tcPr>
          <w:p>
            <w:pPr>
              <w:spacing w:after="0"/>
              <w:rPr>
                <w:sz w:val="1"/>
                <w:szCs w:val="1"/>
                <w:color w:val="auto"/>
              </w:rPr>
            </w:pPr>
          </w:p>
        </w:tc>
      </w:tr>
      <w:tr>
        <w:trPr>
          <w:trHeight w:val="117"/>
        </w:trPr>
        <w:tc>
          <w:tcPr>
            <w:tcW w:w="1040" w:type="dxa"/>
            <w:vAlign w:val="bottom"/>
            <w:shd w:val="clear" w:color="auto" w:fill="132440"/>
          </w:tcPr>
          <w:p>
            <w:pPr>
              <w:spacing w:after="0"/>
              <w:rPr>
                <w:sz w:val="10"/>
                <w:szCs w:val="10"/>
                <w:color w:val="auto"/>
              </w:rPr>
            </w:pPr>
          </w:p>
        </w:tc>
        <w:tc>
          <w:tcPr>
            <w:tcW w:w="880" w:type="dxa"/>
            <w:vAlign w:val="bottom"/>
            <w:shd w:val="clear" w:color="auto" w:fill="132440"/>
          </w:tcPr>
          <w:p>
            <w:pPr>
              <w:spacing w:after="0"/>
              <w:rPr>
                <w:sz w:val="10"/>
                <w:szCs w:val="10"/>
                <w:color w:val="auto"/>
              </w:rPr>
            </w:pPr>
          </w:p>
        </w:tc>
        <w:tc>
          <w:tcPr>
            <w:tcW w:w="1100" w:type="dxa"/>
            <w:vAlign w:val="bottom"/>
            <w:shd w:val="clear" w:color="auto" w:fill="132440"/>
          </w:tcPr>
          <w:p>
            <w:pPr>
              <w:spacing w:after="0"/>
              <w:rPr>
                <w:sz w:val="10"/>
                <w:szCs w:val="10"/>
                <w:color w:val="auto"/>
              </w:rPr>
            </w:pPr>
          </w:p>
        </w:tc>
        <w:tc>
          <w:tcPr>
            <w:tcW w:w="1340" w:type="dxa"/>
            <w:vAlign w:val="bottom"/>
            <w:shd w:val="clear" w:color="auto" w:fill="132440"/>
          </w:tcPr>
          <w:p>
            <w:pPr>
              <w:spacing w:after="0"/>
              <w:rPr>
                <w:sz w:val="10"/>
                <w:szCs w:val="10"/>
                <w:color w:val="auto"/>
              </w:rPr>
            </w:pPr>
          </w:p>
        </w:tc>
        <w:tc>
          <w:tcPr>
            <w:tcW w:w="1040" w:type="dxa"/>
            <w:vAlign w:val="bottom"/>
            <w:shd w:val="clear" w:color="auto" w:fill="132440"/>
          </w:tcPr>
          <w:p>
            <w:pPr>
              <w:jc w:val="right"/>
              <w:spacing w:after="0" w:line="117" w:lineRule="exact"/>
              <w:rPr>
                <w:sz w:val="20"/>
                <w:szCs w:val="20"/>
                <w:color w:val="auto"/>
              </w:rPr>
            </w:pPr>
            <w:r>
              <w:rPr>
                <w:rFonts w:ascii="Arial" w:cs="Arial" w:eastAsia="Arial" w:hAnsi="Arial"/>
                <w:sz w:val="13"/>
                <w:szCs w:val="13"/>
                <w:b w:val="1"/>
                <w:bCs w:val="1"/>
                <w:color w:val="FFFFFF"/>
              </w:rPr>
              <w:t>Underlying</w:t>
            </w:r>
          </w:p>
        </w:tc>
        <w:tc>
          <w:tcPr>
            <w:tcW w:w="760" w:type="dxa"/>
            <w:vAlign w:val="bottom"/>
            <w:shd w:val="clear" w:color="auto" w:fill="132440"/>
          </w:tcPr>
          <w:p>
            <w:pPr>
              <w:spacing w:after="0"/>
              <w:rPr>
                <w:sz w:val="10"/>
                <w:szCs w:val="10"/>
                <w:color w:val="auto"/>
              </w:rPr>
            </w:pPr>
          </w:p>
        </w:tc>
        <w:tc>
          <w:tcPr>
            <w:tcW w:w="900" w:type="dxa"/>
            <w:vAlign w:val="bottom"/>
            <w:shd w:val="clear" w:color="auto" w:fill="132440"/>
          </w:tcPr>
          <w:p>
            <w:pPr>
              <w:spacing w:after="0"/>
              <w:rPr>
                <w:sz w:val="10"/>
                <w:szCs w:val="10"/>
                <w:color w:val="auto"/>
              </w:rPr>
            </w:pPr>
          </w:p>
        </w:tc>
        <w:tc>
          <w:tcPr>
            <w:tcW w:w="880" w:type="dxa"/>
            <w:vAlign w:val="bottom"/>
            <w:shd w:val="clear" w:color="auto" w:fill="132440"/>
          </w:tcPr>
          <w:p>
            <w:pPr>
              <w:jc w:val="right"/>
              <w:spacing w:after="0" w:line="117" w:lineRule="exact"/>
              <w:rPr>
                <w:sz w:val="20"/>
                <w:szCs w:val="20"/>
                <w:color w:val="auto"/>
              </w:rPr>
            </w:pPr>
            <w:r>
              <w:rPr>
                <w:rFonts w:ascii="Arial" w:cs="Arial" w:eastAsia="Arial" w:hAnsi="Arial"/>
                <w:sz w:val="13"/>
                <w:szCs w:val="13"/>
                <w:b w:val="1"/>
                <w:bCs w:val="1"/>
                <w:color w:val="FFFFFF"/>
              </w:rPr>
              <w:t>Shares or</w:t>
            </w:r>
          </w:p>
        </w:tc>
        <w:tc>
          <w:tcPr>
            <w:tcW w:w="920" w:type="dxa"/>
            <w:vAlign w:val="bottom"/>
            <w:shd w:val="clear" w:color="auto" w:fill="132440"/>
          </w:tcPr>
          <w:p>
            <w:pPr>
              <w:jc w:val="right"/>
              <w:spacing w:after="0" w:line="117" w:lineRule="exact"/>
              <w:rPr>
                <w:sz w:val="20"/>
                <w:szCs w:val="20"/>
                <w:color w:val="auto"/>
              </w:rPr>
            </w:pPr>
            <w:r>
              <w:rPr>
                <w:rFonts w:ascii="Arial" w:cs="Arial" w:eastAsia="Arial" w:hAnsi="Arial"/>
                <w:sz w:val="13"/>
                <w:szCs w:val="13"/>
                <w:b w:val="1"/>
                <w:bCs w:val="1"/>
                <w:color w:val="FFFFFF"/>
              </w:rPr>
              <w:t>of Shares or</w:t>
            </w:r>
          </w:p>
        </w:tc>
        <w:tc>
          <w:tcPr>
            <w:tcW w:w="1120" w:type="dxa"/>
            <w:vAlign w:val="bottom"/>
            <w:shd w:val="clear" w:color="auto" w:fill="132440"/>
          </w:tcPr>
          <w:p>
            <w:pPr>
              <w:jc w:val="right"/>
              <w:spacing w:after="0" w:line="117" w:lineRule="exact"/>
              <w:rPr>
                <w:sz w:val="20"/>
                <w:szCs w:val="20"/>
                <w:color w:val="auto"/>
              </w:rPr>
            </w:pPr>
            <w:r>
              <w:rPr>
                <w:rFonts w:ascii="Arial" w:cs="Arial" w:eastAsia="Arial" w:hAnsi="Arial"/>
                <w:sz w:val="13"/>
                <w:szCs w:val="13"/>
                <w:b w:val="1"/>
                <w:bCs w:val="1"/>
                <w:color w:val="FFFFFF"/>
              </w:rPr>
              <w:t>Shares, Units or</w:t>
            </w:r>
          </w:p>
        </w:tc>
        <w:tc>
          <w:tcPr>
            <w:tcW w:w="1260" w:type="dxa"/>
            <w:vAlign w:val="bottom"/>
            <w:vMerge w:val="restart"/>
            <w:shd w:val="clear" w:color="auto" w:fill="132440"/>
          </w:tcPr>
          <w:p>
            <w:pPr>
              <w:jc w:val="right"/>
              <w:ind w:right="59"/>
              <w:spacing w:after="0"/>
              <w:rPr>
                <w:sz w:val="20"/>
                <w:szCs w:val="20"/>
                <w:color w:val="auto"/>
              </w:rPr>
            </w:pPr>
            <w:r>
              <w:rPr>
                <w:rFonts w:ascii="Arial" w:cs="Arial" w:eastAsia="Arial" w:hAnsi="Arial"/>
                <w:sz w:val="13"/>
                <w:szCs w:val="13"/>
                <w:b w:val="1"/>
                <w:bCs w:val="1"/>
                <w:color w:val="FFFFFF"/>
              </w:rPr>
              <w:t>Shares, Units or</w:t>
            </w:r>
          </w:p>
        </w:tc>
        <w:tc>
          <w:tcPr>
            <w:tcW w:w="0" w:type="dxa"/>
            <w:vAlign w:val="bottom"/>
          </w:tcPr>
          <w:p>
            <w:pPr>
              <w:spacing w:after="0"/>
              <w:rPr>
                <w:sz w:val="1"/>
                <w:szCs w:val="1"/>
                <w:color w:val="auto"/>
              </w:rPr>
            </w:pPr>
          </w:p>
        </w:tc>
      </w:tr>
      <w:tr>
        <w:trPr>
          <w:trHeight w:val="54"/>
        </w:trPr>
        <w:tc>
          <w:tcPr>
            <w:tcW w:w="1040" w:type="dxa"/>
            <w:vAlign w:val="bottom"/>
            <w:shd w:val="clear" w:color="auto" w:fill="132440"/>
          </w:tcPr>
          <w:p>
            <w:pPr>
              <w:spacing w:after="0"/>
              <w:rPr>
                <w:sz w:val="4"/>
                <w:szCs w:val="4"/>
                <w:color w:val="auto"/>
              </w:rPr>
            </w:pPr>
          </w:p>
        </w:tc>
        <w:tc>
          <w:tcPr>
            <w:tcW w:w="880" w:type="dxa"/>
            <w:vAlign w:val="bottom"/>
            <w:shd w:val="clear" w:color="auto" w:fill="132440"/>
          </w:tcPr>
          <w:p>
            <w:pPr>
              <w:spacing w:after="0"/>
              <w:rPr>
                <w:sz w:val="4"/>
                <w:szCs w:val="4"/>
                <w:color w:val="auto"/>
              </w:rPr>
            </w:pPr>
          </w:p>
        </w:tc>
        <w:tc>
          <w:tcPr>
            <w:tcW w:w="1100" w:type="dxa"/>
            <w:vAlign w:val="bottom"/>
            <w:shd w:val="clear" w:color="auto" w:fill="132440"/>
          </w:tcPr>
          <w:p>
            <w:pPr>
              <w:spacing w:after="0"/>
              <w:rPr>
                <w:sz w:val="4"/>
                <w:szCs w:val="4"/>
                <w:color w:val="auto"/>
              </w:rPr>
            </w:pPr>
          </w:p>
        </w:tc>
        <w:tc>
          <w:tcPr>
            <w:tcW w:w="1340" w:type="dxa"/>
            <w:vAlign w:val="bottom"/>
            <w:shd w:val="clear" w:color="auto" w:fill="132440"/>
          </w:tcPr>
          <w:p>
            <w:pPr>
              <w:spacing w:after="0"/>
              <w:rPr>
                <w:sz w:val="4"/>
                <w:szCs w:val="4"/>
                <w:color w:val="auto"/>
              </w:rPr>
            </w:pPr>
          </w:p>
        </w:tc>
        <w:tc>
          <w:tcPr>
            <w:tcW w:w="1040" w:type="dxa"/>
            <w:vAlign w:val="bottom"/>
            <w:vMerge w:val="restart"/>
            <w:shd w:val="clear" w:color="auto" w:fill="132440"/>
          </w:tcPr>
          <w:p>
            <w:pPr>
              <w:jc w:val="right"/>
              <w:spacing w:after="0"/>
              <w:rPr>
                <w:sz w:val="20"/>
                <w:szCs w:val="20"/>
                <w:color w:val="auto"/>
              </w:rPr>
            </w:pPr>
            <w:r>
              <w:rPr>
                <w:rFonts w:ascii="Arial" w:cs="Arial" w:eastAsia="Arial" w:hAnsi="Arial"/>
                <w:sz w:val="13"/>
                <w:szCs w:val="13"/>
                <w:b w:val="1"/>
                <w:bCs w:val="1"/>
                <w:color w:val="FFFFFF"/>
              </w:rPr>
              <w:t>Unexercised</w:t>
            </w:r>
          </w:p>
        </w:tc>
        <w:tc>
          <w:tcPr>
            <w:tcW w:w="760" w:type="dxa"/>
            <w:vAlign w:val="bottom"/>
            <w:vMerge w:val="restart"/>
            <w:shd w:val="clear" w:color="auto" w:fill="132440"/>
          </w:tcPr>
          <w:p>
            <w:pPr>
              <w:jc w:val="right"/>
              <w:spacing w:after="0"/>
              <w:rPr>
                <w:sz w:val="20"/>
                <w:szCs w:val="20"/>
                <w:color w:val="auto"/>
              </w:rPr>
            </w:pPr>
            <w:r>
              <w:rPr>
                <w:rFonts w:ascii="Arial" w:cs="Arial" w:eastAsia="Arial" w:hAnsi="Arial"/>
                <w:sz w:val="13"/>
                <w:szCs w:val="13"/>
                <w:b w:val="1"/>
                <w:bCs w:val="1"/>
                <w:color w:val="FFFFFF"/>
              </w:rPr>
              <w:t>Option</w:t>
            </w:r>
          </w:p>
        </w:tc>
        <w:tc>
          <w:tcPr>
            <w:tcW w:w="900" w:type="dxa"/>
            <w:vAlign w:val="bottom"/>
            <w:shd w:val="clear" w:color="auto" w:fill="132440"/>
          </w:tcPr>
          <w:p>
            <w:pPr>
              <w:spacing w:after="0"/>
              <w:rPr>
                <w:sz w:val="4"/>
                <w:szCs w:val="4"/>
                <w:color w:val="auto"/>
              </w:rPr>
            </w:pPr>
          </w:p>
        </w:tc>
        <w:tc>
          <w:tcPr>
            <w:tcW w:w="1800" w:type="dxa"/>
            <w:vAlign w:val="bottom"/>
            <w:gridSpan w:val="2"/>
            <w:vMerge w:val="restart"/>
            <w:shd w:val="clear" w:color="auto" w:fill="132440"/>
          </w:tcPr>
          <w:p>
            <w:pPr>
              <w:jc w:val="right"/>
              <w:spacing w:after="0"/>
              <w:rPr>
                <w:sz w:val="20"/>
                <w:szCs w:val="20"/>
                <w:color w:val="auto"/>
              </w:rPr>
            </w:pPr>
            <w:r>
              <w:rPr>
                <w:rFonts w:ascii="Arial" w:cs="Arial" w:eastAsia="Arial" w:hAnsi="Arial"/>
                <w:sz w:val="13"/>
                <w:szCs w:val="13"/>
                <w:b w:val="1"/>
                <w:bCs w:val="1"/>
                <w:color w:val="FFFFFF"/>
                <w:w w:val="98"/>
              </w:rPr>
              <w:t>Units of Stock Units of Stock</w:t>
            </w:r>
          </w:p>
        </w:tc>
        <w:tc>
          <w:tcPr>
            <w:tcW w:w="1120" w:type="dxa"/>
            <w:vAlign w:val="bottom"/>
            <w:vMerge w:val="restart"/>
            <w:shd w:val="clear" w:color="auto" w:fill="132440"/>
          </w:tcPr>
          <w:p>
            <w:pPr>
              <w:jc w:val="right"/>
              <w:spacing w:after="0"/>
              <w:rPr>
                <w:sz w:val="20"/>
                <w:szCs w:val="20"/>
                <w:color w:val="auto"/>
              </w:rPr>
            </w:pPr>
            <w:r>
              <w:rPr>
                <w:rFonts w:ascii="Arial" w:cs="Arial" w:eastAsia="Arial" w:hAnsi="Arial"/>
                <w:sz w:val="13"/>
                <w:szCs w:val="13"/>
                <w:b w:val="1"/>
                <w:bCs w:val="1"/>
                <w:color w:val="FFFFFF"/>
              </w:rPr>
              <w:t>Other Rights</w:t>
            </w:r>
          </w:p>
        </w:tc>
        <w:tc>
          <w:tcPr>
            <w:tcW w:w="1260" w:type="dxa"/>
            <w:vAlign w:val="bottom"/>
            <w:vMerge w:val="continue"/>
            <w:shd w:val="clear" w:color="auto" w:fill="132440"/>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040" w:type="dxa"/>
            <w:vAlign w:val="bottom"/>
            <w:shd w:val="clear" w:color="auto" w:fill="132440"/>
          </w:tcPr>
          <w:p>
            <w:pPr>
              <w:spacing w:after="0"/>
              <w:rPr>
                <w:sz w:val="8"/>
                <w:szCs w:val="8"/>
                <w:color w:val="auto"/>
              </w:rPr>
            </w:pPr>
          </w:p>
        </w:tc>
        <w:tc>
          <w:tcPr>
            <w:tcW w:w="880" w:type="dxa"/>
            <w:vAlign w:val="bottom"/>
            <w:shd w:val="clear" w:color="auto" w:fill="132440"/>
          </w:tcPr>
          <w:p>
            <w:pPr>
              <w:spacing w:after="0"/>
              <w:rPr>
                <w:sz w:val="8"/>
                <w:szCs w:val="8"/>
                <w:color w:val="auto"/>
              </w:rPr>
            </w:pPr>
          </w:p>
        </w:tc>
        <w:tc>
          <w:tcPr>
            <w:tcW w:w="1100" w:type="dxa"/>
            <w:vAlign w:val="bottom"/>
            <w:shd w:val="clear" w:color="auto" w:fill="132440"/>
          </w:tcPr>
          <w:p>
            <w:pPr>
              <w:spacing w:after="0"/>
              <w:rPr>
                <w:sz w:val="8"/>
                <w:szCs w:val="8"/>
                <w:color w:val="auto"/>
              </w:rPr>
            </w:pPr>
          </w:p>
        </w:tc>
        <w:tc>
          <w:tcPr>
            <w:tcW w:w="1340" w:type="dxa"/>
            <w:vAlign w:val="bottom"/>
            <w:shd w:val="clear" w:color="auto" w:fill="132440"/>
          </w:tcPr>
          <w:p>
            <w:pPr>
              <w:spacing w:after="0"/>
              <w:rPr>
                <w:sz w:val="8"/>
                <w:szCs w:val="8"/>
                <w:color w:val="auto"/>
              </w:rPr>
            </w:pPr>
          </w:p>
        </w:tc>
        <w:tc>
          <w:tcPr>
            <w:tcW w:w="1040" w:type="dxa"/>
            <w:vAlign w:val="bottom"/>
            <w:vMerge w:val="continue"/>
            <w:shd w:val="clear" w:color="auto" w:fill="132440"/>
          </w:tcPr>
          <w:p>
            <w:pPr>
              <w:spacing w:after="0"/>
              <w:rPr>
                <w:sz w:val="8"/>
                <w:szCs w:val="8"/>
                <w:color w:val="auto"/>
              </w:rPr>
            </w:pPr>
          </w:p>
        </w:tc>
        <w:tc>
          <w:tcPr>
            <w:tcW w:w="760" w:type="dxa"/>
            <w:vAlign w:val="bottom"/>
            <w:vMerge w:val="continue"/>
            <w:shd w:val="clear" w:color="auto" w:fill="132440"/>
          </w:tcPr>
          <w:p>
            <w:pPr>
              <w:spacing w:after="0"/>
              <w:rPr>
                <w:sz w:val="8"/>
                <w:szCs w:val="8"/>
                <w:color w:val="auto"/>
              </w:rPr>
            </w:pPr>
          </w:p>
        </w:tc>
        <w:tc>
          <w:tcPr>
            <w:tcW w:w="900" w:type="dxa"/>
            <w:vAlign w:val="bottom"/>
            <w:shd w:val="clear" w:color="auto" w:fill="132440"/>
          </w:tcPr>
          <w:p>
            <w:pPr>
              <w:spacing w:after="0"/>
              <w:rPr>
                <w:sz w:val="8"/>
                <w:szCs w:val="8"/>
                <w:color w:val="auto"/>
              </w:rPr>
            </w:pPr>
          </w:p>
        </w:tc>
        <w:tc>
          <w:tcPr>
            <w:tcW w:w="1800" w:type="dxa"/>
            <w:vAlign w:val="bottom"/>
            <w:gridSpan w:val="2"/>
            <w:vMerge w:val="continue"/>
            <w:shd w:val="clear" w:color="auto" w:fill="132440"/>
          </w:tcPr>
          <w:p>
            <w:pPr>
              <w:spacing w:after="0"/>
              <w:rPr>
                <w:sz w:val="8"/>
                <w:szCs w:val="8"/>
                <w:color w:val="auto"/>
              </w:rPr>
            </w:pPr>
          </w:p>
        </w:tc>
        <w:tc>
          <w:tcPr>
            <w:tcW w:w="1120" w:type="dxa"/>
            <w:vAlign w:val="bottom"/>
            <w:vMerge w:val="continue"/>
            <w:shd w:val="clear" w:color="auto" w:fill="132440"/>
          </w:tcPr>
          <w:p>
            <w:pPr>
              <w:spacing w:after="0"/>
              <w:rPr>
                <w:sz w:val="8"/>
                <w:szCs w:val="8"/>
                <w:color w:val="auto"/>
              </w:rPr>
            </w:pPr>
          </w:p>
        </w:tc>
        <w:tc>
          <w:tcPr>
            <w:tcW w:w="1260" w:type="dxa"/>
            <w:vAlign w:val="bottom"/>
            <w:vMerge w:val="restart"/>
            <w:shd w:val="clear" w:color="auto" w:fill="132440"/>
          </w:tcPr>
          <w:p>
            <w:pPr>
              <w:jc w:val="right"/>
              <w:ind w:right="59"/>
              <w:spacing w:after="0"/>
              <w:rPr>
                <w:sz w:val="20"/>
                <w:szCs w:val="20"/>
                <w:color w:val="auto"/>
              </w:rPr>
            </w:pPr>
            <w:r>
              <w:rPr>
                <w:rFonts w:ascii="Arial" w:cs="Arial" w:eastAsia="Arial" w:hAnsi="Arial"/>
                <w:sz w:val="13"/>
                <w:szCs w:val="13"/>
                <w:b w:val="1"/>
                <w:bCs w:val="1"/>
                <w:color w:val="FFFFFF"/>
              </w:rPr>
              <w:t>Other Rights That</w:t>
            </w:r>
          </w:p>
        </w:tc>
        <w:tc>
          <w:tcPr>
            <w:tcW w:w="0" w:type="dxa"/>
            <w:vAlign w:val="bottom"/>
          </w:tcPr>
          <w:p>
            <w:pPr>
              <w:spacing w:after="0"/>
              <w:rPr>
                <w:sz w:val="1"/>
                <w:szCs w:val="1"/>
                <w:color w:val="auto"/>
              </w:rPr>
            </w:pPr>
          </w:p>
        </w:tc>
      </w:tr>
      <w:tr>
        <w:trPr>
          <w:trHeight w:val="54"/>
        </w:trPr>
        <w:tc>
          <w:tcPr>
            <w:tcW w:w="1040" w:type="dxa"/>
            <w:vAlign w:val="bottom"/>
            <w:shd w:val="clear" w:color="auto" w:fill="132440"/>
          </w:tcPr>
          <w:p>
            <w:pPr>
              <w:spacing w:after="0"/>
              <w:rPr>
                <w:sz w:val="4"/>
                <w:szCs w:val="4"/>
                <w:color w:val="auto"/>
              </w:rPr>
            </w:pPr>
          </w:p>
        </w:tc>
        <w:tc>
          <w:tcPr>
            <w:tcW w:w="880" w:type="dxa"/>
            <w:vAlign w:val="bottom"/>
            <w:shd w:val="clear" w:color="auto" w:fill="132440"/>
          </w:tcPr>
          <w:p>
            <w:pPr>
              <w:spacing w:after="0"/>
              <w:rPr>
                <w:sz w:val="4"/>
                <w:szCs w:val="4"/>
                <w:color w:val="auto"/>
              </w:rPr>
            </w:pPr>
          </w:p>
        </w:tc>
        <w:tc>
          <w:tcPr>
            <w:tcW w:w="1100" w:type="dxa"/>
            <w:vAlign w:val="bottom"/>
            <w:shd w:val="clear" w:color="auto" w:fill="132440"/>
          </w:tcPr>
          <w:p>
            <w:pPr>
              <w:spacing w:after="0"/>
              <w:rPr>
                <w:sz w:val="4"/>
                <w:szCs w:val="4"/>
                <w:color w:val="auto"/>
              </w:rPr>
            </w:pPr>
          </w:p>
        </w:tc>
        <w:tc>
          <w:tcPr>
            <w:tcW w:w="1340" w:type="dxa"/>
            <w:vAlign w:val="bottom"/>
            <w:shd w:val="clear" w:color="auto" w:fill="132440"/>
          </w:tcPr>
          <w:p>
            <w:pPr>
              <w:spacing w:after="0"/>
              <w:rPr>
                <w:sz w:val="4"/>
                <w:szCs w:val="4"/>
                <w:color w:val="auto"/>
              </w:rPr>
            </w:pPr>
          </w:p>
        </w:tc>
        <w:tc>
          <w:tcPr>
            <w:tcW w:w="1040" w:type="dxa"/>
            <w:vAlign w:val="bottom"/>
            <w:vMerge w:val="restart"/>
            <w:shd w:val="clear" w:color="auto" w:fill="132440"/>
          </w:tcPr>
          <w:p>
            <w:pPr>
              <w:jc w:val="right"/>
              <w:spacing w:after="0"/>
              <w:rPr>
                <w:sz w:val="20"/>
                <w:szCs w:val="20"/>
                <w:color w:val="auto"/>
              </w:rPr>
            </w:pPr>
            <w:r>
              <w:rPr>
                <w:rFonts w:ascii="Arial" w:cs="Arial" w:eastAsia="Arial" w:hAnsi="Arial"/>
                <w:sz w:val="13"/>
                <w:szCs w:val="13"/>
                <w:b w:val="1"/>
                <w:bCs w:val="1"/>
                <w:color w:val="FFFFFF"/>
              </w:rPr>
              <w:t>Unearned</w:t>
            </w:r>
          </w:p>
        </w:tc>
        <w:tc>
          <w:tcPr>
            <w:tcW w:w="760" w:type="dxa"/>
            <w:vAlign w:val="bottom"/>
            <w:vMerge w:val="restart"/>
            <w:shd w:val="clear" w:color="auto" w:fill="132440"/>
          </w:tcPr>
          <w:p>
            <w:pPr>
              <w:jc w:val="right"/>
              <w:spacing w:after="0"/>
              <w:rPr>
                <w:sz w:val="20"/>
                <w:szCs w:val="20"/>
                <w:color w:val="auto"/>
              </w:rPr>
            </w:pPr>
            <w:r>
              <w:rPr>
                <w:rFonts w:ascii="Arial" w:cs="Arial" w:eastAsia="Arial" w:hAnsi="Arial"/>
                <w:sz w:val="13"/>
                <w:szCs w:val="13"/>
                <w:b w:val="1"/>
                <w:bCs w:val="1"/>
                <w:color w:val="FFFFFF"/>
              </w:rPr>
              <w:t>Exercise</w:t>
            </w:r>
          </w:p>
        </w:tc>
        <w:tc>
          <w:tcPr>
            <w:tcW w:w="900" w:type="dxa"/>
            <w:vAlign w:val="bottom"/>
            <w:vMerge w:val="restart"/>
            <w:shd w:val="clear" w:color="auto" w:fill="132440"/>
          </w:tcPr>
          <w:p>
            <w:pPr>
              <w:jc w:val="center"/>
              <w:spacing w:after="0"/>
              <w:rPr>
                <w:sz w:val="20"/>
                <w:szCs w:val="20"/>
                <w:color w:val="auto"/>
              </w:rPr>
            </w:pPr>
            <w:r>
              <w:rPr>
                <w:rFonts w:ascii="Arial" w:cs="Arial" w:eastAsia="Arial" w:hAnsi="Arial"/>
                <w:sz w:val="13"/>
                <w:szCs w:val="13"/>
                <w:b w:val="1"/>
                <w:bCs w:val="1"/>
                <w:color w:val="FFFFFF"/>
              </w:rPr>
              <w:t>Option</w:t>
            </w:r>
          </w:p>
        </w:tc>
        <w:tc>
          <w:tcPr>
            <w:tcW w:w="1800" w:type="dxa"/>
            <w:vAlign w:val="bottom"/>
            <w:gridSpan w:val="2"/>
            <w:vMerge w:val="restart"/>
            <w:shd w:val="clear" w:color="auto" w:fill="132440"/>
          </w:tcPr>
          <w:p>
            <w:pPr>
              <w:jc w:val="right"/>
              <w:spacing w:after="0"/>
              <w:rPr>
                <w:sz w:val="20"/>
                <w:szCs w:val="20"/>
                <w:color w:val="auto"/>
              </w:rPr>
            </w:pPr>
            <w:r>
              <w:rPr>
                <w:rFonts w:ascii="Arial" w:cs="Arial" w:eastAsia="Arial" w:hAnsi="Arial"/>
                <w:sz w:val="13"/>
                <w:szCs w:val="13"/>
                <w:b w:val="1"/>
                <w:bCs w:val="1"/>
                <w:color w:val="FFFFFF"/>
                <w:w w:val="98"/>
              </w:rPr>
              <w:t>That Have Not That Have Not</w:t>
            </w:r>
          </w:p>
        </w:tc>
        <w:tc>
          <w:tcPr>
            <w:tcW w:w="1120" w:type="dxa"/>
            <w:vAlign w:val="bottom"/>
            <w:vMerge w:val="restart"/>
            <w:shd w:val="clear" w:color="auto" w:fill="132440"/>
          </w:tcPr>
          <w:p>
            <w:pPr>
              <w:jc w:val="right"/>
              <w:spacing w:after="0"/>
              <w:rPr>
                <w:sz w:val="20"/>
                <w:szCs w:val="20"/>
                <w:color w:val="auto"/>
              </w:rPr>
            </w:pPr>
            <w:r>
              <w:rPr>
                <w:rFonts w:ascii="Arial" w:cs="Arial" w:eastAsia="Arial" w:hAnsi="Arial"/>
                <w:sz w:val="13"/>
                <w:szCs w:val="13"/>
                <w:b w:val="1"/>
                <w:bCs w:val="1"/>
                <w:color w:val="FFFFFF"/>
              </w:rPr>
              <w:t>That Have Not</w:t>
            </w:r>
          </w:p>
        </w:tc>
        <w:tc>
          <w:tcPr>
            <w:tcW w:w="1260" w:type="dxa"/>
            <w:vAlign w:val="bottom"/>
            <w:vMerge w:val="continue"/>
            <w:shd w:val="clear" w:color="auto" w:fill="132440"/>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132440"/>
          </w:tcPr>
          <w:p>
            <w:pPr>
              <w:spacing w:after="0"/>
              <w:rPr>
                <w:sz w:val="10"/>
                <w:szCs w:val="10"/>
                <w:color w:val="auto"/>
              </w:rPr>
            </w:pPr>
          </w:p>
        </w:tc>
        <w:tc>
          <w:tcPr>
            <w:tcW w:w="880" w:type="dxa"/>
            <w:vAlign w:val="bottom"/>
            <w:vMerge w:val="restart"/>
            <w:shd w:val="clear" w:color="auto" w:fill="132440"/>
          </w:tcPr>
          <w:p>
            <w:pPr>
              <w:jc w:val="center"/>
              <w:spacing w:after="0"/>
              <w:rPr>
                <w:sz w:val="20"/>
                <w:szCs w:val="20"/>
                <w:color w:val="auto"/>
              </w:rPr>
            </w:pPr>
            <w:r>
              <w:rPr>
                <w:rFonts w:ascii="Arial" w:cs="Arial" w:eastAsia="Arial" w:hAnsi="Arial"/>
                <w:sz w:val="13"/>
                <w:szCs w:val="13"/>
                <w:b w:val="1"/>
                <w:bCs w:val="1"/>
                <w:color w:val="FFFFFF"/>
                <w:w w:val="96"/>
              </w:rPr>
              <w:t>Equity Award</w:t>
            </w:r>
          </w:p>
        </w:tc>
        <w:tc>
          <w:tcPr>
            <w:tcW w:w="1100" w:type="dxa"/>
            <w:vAlign w:val="bottom"/>
            <w:vMerge w:val="restart"/>
            <w:shd w:val="clear" w:color="auto" w:fill="132440"/>
          </w:tcPr>
          <w:p>
            <w:pPr>
              <w:jc w:val="right"/>
              <w:spacing w:after="0"/>
              <w:rPr>
                <w:sz w:val="20"/>
                <w:szCs w:val="20"/>
                <w:color w:val="auto"/>
              </w:rPr>
            </w:pPr>
            <w:r>
              <w:rPr>
                <w:rFonts w:ascii="Arial" w:cs="Arial" w:eastAsia="Arial" w:hAnsi="Arial"/>
                <w:sz w:val="13"/>
                <w:szCs w:val="13"/>
                <w:b w:val="1"/>
                <w:bCs w:val="1"/>
                <w:color w:val="FFFFFF"/>
              </w:rPr>
              <w:t>Exercisable</w:t>
            </w:r>
          </w:p>
        </w:tc>
        <w:tc>
          <w:tcPr>
            <w:tcW w:w="1340" w:type="dxa"/>
            <w:vAlign w:val="bottom"/>
            <w:vMerge w:val="restart"/>
            <w:shd w:val="clear" w:color="auto" w:fill="132440"/>
          </w:tcPr>
          <w:p>
            <w:pPr>
              <w:jc w:val="right"/>
              <w:spacing w:after="0"/>
              <w:rPr>
                <w:sz w:val="20"/>
                <w:szCs w:val="20"/>
                <w:color w:val="auto"/>
              </w:rPr>
            </w:pPr>
            <w:r>
              <w:rPr>
                <w:rFonts w:ascii="Arial" w:cs="Arial" w:eastAsia="Arial" w:hAnsi="Arial"/>
                <w:sz w:val="13"/>
                <w:szCs w:val="13"/>
                <w:b w:val="1"/>
                <w:bCs w:val="1"/>
                <w:color w:val="FFFFFF"/>
              </w:rPr>
              <w:t>Unexercisable</w:t>
            </w:r>
          </w:p>
        </w:tc>
        <w:tc>
          <w:tcPr>
            <w:tcW w:w="1040" w:type="dxa"/>
            <w:vAlign w:val="bottom"/>
            <w:vMerge w:val="continue"/>
            <w:shd w:val="clear" w:color="auto" w:fill="132440"/>
          </w:tcPr>
          <w:p>
            <w:pPr>
              <w:spacing w:after="0"/>
              <w:rPr>
                <w:sz w:val="10"/>
                <w:szCs w:val="10"/>
                <w:color w:val="auto"/>
              </w:rPr>
            </w:pPr>
          </w:p>
        </w:tc>
        <w:tc>
          <w:tcPr>
            <w:tcW w:w="760" w:type="dxa"/>
            <w:vAlign w:val="bottom"/>
            <w:vMerge w:val="continue"/>
            <w:shd w:val="clear" w:color="auto" w:fill="132440"/>
          </w:tcPr>
          <w:p>
            <w:pPr>
              <w:spacing w:after="0"/>
              <w:rPr>
                <w:sz w:val="10"/>
                <w:szCs w:val="10"/>
                <w:color w:val="auto"/>
              </w:rPr>
            </w:pPr>
          </w:p>
        </w:tc>
        <w:tc>
          <w:tcPr>
            <w:tcW w:w="900" w:type="dxa"/>
            <w:vAlign w:val="bottom"/>
            <w:vMerge w:val="continue"/>
            <w:shd w:val="clear" w:color="auto" w:fill="132440"/>
          </w:tcPr>
          <w:p>
            <w:pPr>
              <w:spacing w:after="0"/>
              <w:rPr>
                <w:sz w:val="10"/>
                <w:szCs w:val="10"/>
                <w:color w:val="auto"/>
              </w:rPr>
            </w:pPr>
          </w:p>
        </w:tc>
        <w:tc>
          <w:tcPr>
            <w:tcW w:w="1800" w:type="dxa"/>
            <w:vAlign w:val="bottom"/>
            <w:gridSpan w:val="2"/>
            <w:vMerge w:val="continue"/>
            <w:shd w:val="clear" w:color="auto" w:fill="132440"/>
          </w:tcPr>
          <w:p>
            <w:pPr>
              <w:spacing w:after="0"/>
              <w:rPr>
                <w:sz w:val="10"/>
                <w:szCs w:val="10"/>
                <w:color w:val="auto"/>
              </w:rPr>
            </w:pPr>
          </w:p>
        </w:tc>
        <w:tc>
          <w:tcPr>
            <w:tcW w:w="1120" w:type="dxa"/>
            <w:vAlign w:val="bottom"/>
            <w:vMerge w:val="continue"/>
            <w:shd w:val="clear" w:color="auto" w:fill="132440"/>
          </w:tcPr>
          <w:p>
            <w:pPr>
              <w:spacing w:after="0"/>
              <w:rPr>
                <w:sz w:val="10"/>
                <w:szCs w:val="10"/>
                <w:color w:val="auto"/>
              </w:rPr>
            </w:pPr>
          </w:p>
        </w:tc>
        <w:tc>
          <w:tcPr>
            <w:tcW w:w="1260" w:type="dxa"/>
            <w:vAlign w:val="bottom"/>
            <w:shd w:val="clear" w:color="auto" w:fill="132440"/>
          </w:tcPr>
          <w:p>
            <w:pPr>
              <w:jc w:val="right"/>
              <w:ind w:right="59"/>
              <w:spacing w:after="0" w:line="126" w:lineRule="exact"/>
              <w:rPr>
                <w:sz w:val="20"/>
                <w:szCs w:val="20"/>
                <w:color w:val="auto"/>
              </w:rPr>
            </w:pPr>
            <w:r>
              <w:rPr>
                <w:rFonts w:ascii="Arial" w:cs="Arial" w:eastAsia="Arial" w:hAnsi="Arial"/>
                <w:sz w:val="11"/>
                <w:szCs w:val="11"/>
                <w:b w:val="1"/>
                <w:bCs w:val="1"/>
                <w:color w:val="FFFFFF"/>
              </w:rPr>
              <w:t>Have Not Vested</w:t>
            </w:r>
            <w:r>
              <w:rPr>
                <w:rFonts w:ascii="Arial" w:cs="Arial" w:eastAsia="Arial" w:hAnsi="Arial"/>
                <w:sz w:val="14"/>
                <w:szCs w:val="14"/>
                <w:b w:val="1"/>
                <w:bCs w:val="1"/>
                <w:color w:val="FFFFFF"/>
                <w:vertAlign w:val="superscript"/>
              </w:rPr>
              <w:t>(2)</w:t>
            </w:r>
          </w:p>
        </w:tc>
        <w:tc>
          <w:tcPr>
            <w:tcW w:w="0" w:type="dxa"/>
            <w:vAlign w:val="bottom"/>
          </w:tcPr>
          <w:p>
            <w:pPr>
              <w:spacing w:after="0"/>
              <w:rPr>
                <w:sz w:val="1"/>
                <w:szCs w:val="1"/>
                <w:color w:val="auto"/>
              </w:rPr>
            </w:pPr>
          </w:p>
        </w:tc>
      </w:tr>
      <w:tr>
        <w:trPr>
          <w:trHeight w:val="117"/>
        </w:trPr>
        <w:tc>
          <w:tcPr>
            <w:tcW w:w="1040" w:type="dxa"/>
            <w:vAlign w:val="bottom"/>
            <w:shd w:val="clear" w:color="auto" w:fill="132440"/>
          </w:tcPr>
          <w:p>
            <w:pPr>
              <w:spacing w:after="0"/>
              <w:rPr>
                <w:sz w:val="10"/>
                <w:szCs w:val="10"/>
                <w:color w:val="auto"/>
              </w:rPr>
            </w:pPr>
          </w:p>
        </w:tc>
        <w:tc>
          <w:tcPr>
            <w:tcW w:w="880" w:type="dxa"/>
            <w:vAlign w:val="bottom"/>
            <w:vMerge w:val="continue"/>
            <w:shd w:val="clear" w:color="auto" w:fill="132440"/>
          </w:tcPr>
          <w:p>
            <w:pPr>
              <w:spacing w:after="0"/>
              <w:rPr>
                <w:sz w:val="10"/>
                <w:szCs w:val="10"/>
                <w:color w:val="auto"/>
              </w:rPr>
            </w:pPr>
          </w:p>
        </w:tc>
        <w:tc>
          <w:tcPr>
            <w:tcW w:w="1100" w:type="dxa"/>
            <w:vAlign w:val="bottom"/>
            <w:vMerge w:val="continue"/>
            <w:shd w:val="clear" w:color="auto" w:fill="132440"/>
          </w:tcPr>
          <w:p>
            <w:pPr>
              <w:spacing w:after="0"/>
              <w:rPr>
                <w:sz w:val="10"/>
                <w:szCs w:val="10"/>
                <w:color w:val="auto"/>
              </w:rPr>
            </w:pPr>
          </w:p>
        </w:tc>
        <w:tc>
          <w:tcPr>
            <w:tcW w:w="1340" w:type="dxa"/>
            <w:vAlign w:val="bottom"/>
            <w:vMerge w:val="continue"/>
            <w:shd w:val="clear" w:color="auto" w:fill="132440"/>
          </w:tcPr>
          <w:p>
            <w:pPr>
              <w:spacing w:after="0"/>
              <w:rPr>
                <w:sz w:val="10"/>
                <w:szCs w:val="10"/>
                <w:color w:val="auto"/>
              </w:rPr>
            </w:pPr>
          </w:p>
        </w:tc>
        <w:tc>
          <w:tcPr>
            <w:tcW w:w="1040" w:type="dxa"/>
            <w:vAlign w:val="bottom"/>
            <w:shd w:val="clear" w:color="auto" w:fill="132440"/>
          </w:tcPr>
          <w:p>
            <w:pPr>
              <w:jc w:val="right"/>
              <w:spacing w:after="0" w:line="117" w:lineRule="exact"/>
              <w:rPr>
                <w:sz w:val="20"/>
                <w:szCs w:val="20"/>
                <w:color w:val="auto"/>
              </w:rPr>
            </w:pPr>
            <w:r>
              <w:rPr>
                <w:rFonts w:ascii="Arial" w:cs="Arial" w:eastAsia="Arial" w:hAnsi="Arial"/>
                <w:sz w:val="13"/>
                <w:szCs w:val="13"/>
                <w:b w:val="1"/>
                <w:bCs w:val="1"/>
                <w:color w:val="FFFFFF"/>
              </w:rPr>
              <w:t>Options</w:t>
            </w:r>
          </w:p>
        </w:tc>
        <w:tc>
          <w:tcPr>
            <w:tcW w:w="760" w:type="dxa"/>
            <w:vAlign w:val="bottom"/>
            <w:shd w:val="clear" w:color="auto" w:fill="132440"/>
          </w:tcPr>
          <w:p>
            <w:pPr>
              <w:jc w:val="right"/>
              <w:spacing w:after="0" w:line="117" w:lineRule="exact"/>
              <w:rPr>
                <w:sz w:val="20"/>
                <w:szCs w:val="20"/>
                <w:color w:val="auto"/>
              </w:rPr>
            </w:pPr>
            <w:r>
              <w:rPr>
                <w:rFonts w:ascii="Arial" w:cs="Arial" w:eastAsia="Arial" w:hAnsi="Arial"/>
                <w:sz w:val="13"/>
                <w:szCs w:val="13"/>
                <w:b w:val="1"/>
                <w:bCs w:val="1"/>
                <w:color w:val="FFFFFF"/>
              </w:rPr>
              <w:t>Price</w:t>
            </w:r>
          </w:p>
        </w:tc>
        <w:tc>
          <w:tcPr>
            <w:tcW w:w="900" w:type="dxa"/>
            <w:vAlign w:val="bottom"/>
            <w:shd w:val="clear" w:color="auto" w:fill="132440"/>
          </w:tcPr>
          <w:p>
            <w:pPr>
              <w:jc w:val="center"/>
              <w:spacing w:after="0" w:line="117" w:lineRule="exact"/>
              <w:rPr>
                <w:sz w:val="20"/>
                <w:szCs w:val="20"/>
                <w:color w:val="auto"/>
              </w:rPr>
            </w:pPr>
            <w:r>
              <w:rPr>
                <w:rFonts w:ascii="Arial" w:cs="Arial" w:eastAsia="Arial" w:hAnsi="Arial"/>
                <w:sz w:val="13"/>
                <w:szCs w:val="13"/>
                <w:b w:val="1"/>
                <w:bCs w:val="1"/>
                <w:color w:val="FFFFFF"/>
                <w:w w:val="97"/>
              </w:rPr>
              <w:t>Expiration</w:t>
            </w:r>
          </w:p>
        </w:tc>
        <w:tc>
          <w:tcPr>
            <w:tcW w:w="880" w:type="dxa"/>
            <w:vAlign w:val="bottom"/>
            <w:shd w:val="clear" w:color="auto" w:fill="132440"/>
          </w:tcPr>
          <w:p>
            <w:pPr>
              <w:jc w:val="right"/>
              <w:spacing w:after="0" w:line="117" w:lineRule="exact"/>
              <w:rPr>
                <w:sz w:val="20"/>
                <w:szCs w:val="20"/>
                <w:color w:val="auto"/>
              </w:rPr>
            </w:pPr>
            <w:r>
              <w:rPr>
                <w:rFonts w:ascii="Arial" w:cs="Arial" w:eastAsia="Arial" w:hAnsi="Arial"/>
                <w:sz w:val="10"/>
                <w:szCs w:val="10"/>
                <w:b w:val="1"/>
                <w:bCs w:val="1"/>
                <w:color w:val="FFFFFF"/>
              </w:rPr>
              <w:t>Vested</w:t>
            </w:r>
            <w:r>
              <w:rPr>
                <w:rFonts w:ascii="Arial" w:cs="Arial" w:eastAsia="Arial" w:hAnsi="Arial"/>
                <w:sz w:val="13"/>
                <w:szCs w:val="13"/>
                <w:b w:val="1"/>
                <w:bCs w:val="1"/>
                <w:color w:val="FFFFFF"/>
                <w:vertAlign w:val="superscript"/>
              </w:rPr>
              <w:t>(1)</w:t>
            </w:r>
          </w:p>
        </w:tc>
        <w:tc>
          <w:tcPr>
            <w:tcW w:w="920" w:type="dxa"/>
            <w:vAlign w:val="bottom"/>
            <w:shd w:val="clear" w:color="auto" w:fill="132440"/>
          </w:tcPr>
          <w:p>
            <w:pPr>
              <w:jc w:val="right"/>
              <w:spacing w:after="0" w:line="117" w:lineRule="exact"/>
              <w:rPr>
                <w:sz w:val="20"/>
                <w:szCs w:val="20"/>
                <w:color w:val="auto"/>
              </w:rPr>
            </w:pPr>
            <w:r>
              <w:rPr>
                <w:rFonts w:ascii="Arial" w:cs="Arial" w:eastAsia="Arial" w:hAnsi="Arial"/>
                <w:sz w:val="13"/>
                <w:szCs w:val="13"/>
                <w:b w:val="1"/>
                <w:bCs w:val="1"/>
                <w:color w:val="FFFFFF"/>
                <w:vertAlign w:val="subscript"/>
              </w:rPr>
              <w:t>Vested</w:t>
            </w:r>
            <w:r>
              <w:rPr>
                <w:rFonts w:ascii="Arial" w:cs="Arial" w:eastAsia="Arial" w:hAnsi="Arial"/>
                <w:sz w:val="6"/>
                <w:szCs w:val="6"/>
                <w:b w:val="1"/>
                <w:bCs w:val="1"/>
                <w:color w:val="FFFFFF"/>
              </w:rPr>
              <w:t>(2)(3)</w:t>
            </w:r>
          </w:p>
        </w:tc>
        <w:tc>
          <w:tcPr>
            <w:tcW w:w="1120" w:type="dxa"/>
            <w:vAlign w:val="bottom"/>
            <w:shd w:val="clear" w:color="auto" w:fill="132440"/>
          </w:tcPr>
          <w:p>
            <w:pPr>
              <w:jc w:val="right"/>
              <w:spacing w:after="0" w:line="117" w:lineRule="exact"/>
              <w:rPr>
                <w:sz w:val="20"/>
                <w:szCs w:val="20"/>
                <w:color w:val="auto"/>
              </w:rPr>
            </w:pPr>
            <w:r>
              <w:rPr>
                <w:rFonts w:ascii="Arial" w:cs="Arial" w:eastAsia="Arial" w:hAnsi="Arial"/>
                <w:sz w:val="10"/>
                <w:szCs w:val="10"/>
                <w:b w:val="1"/>
                <w:bCs w:val="1"/>
                <w:color w:val="FFFFFF"/>
              </w:rPr>
              <w:t>Vested</w:t>
            </w:r>
            <w:r>
              <w:rPr>
                <w:rFonts w:ascii="Arial" w:cs="Arial" w:eastAsia="Arial" w:hAnsi="Arial"/>
                <w:sz w:val="13"/>
                <w:szCs w:val="13"/>
                <w:b w:val="1"/>
                <w:bCs w:val="1"/>
                <w:color w:val="FFFFFF"/>
                <w:vertAlign w:val="superscript"/>
              </w:rPr>
              <w:t>(1)</w:t>
            </w:r>
          </w:p>
        </w:tc>
        <w:tc>
          <w:tcPr>
            <w:tcW w:w="1260" w:type="dxa"/>
            <w:vAlign w:val="bottom"/>
            <w:shd w:val="clear" w:color="auto" w:fill="132440"/>
          </w:tcPr>
          <w:p>
            <w:pPr>
              <w:jc w:val="right"/>
              <w:ind w:right="59"/>
              <w:spacing w:after="0"/>
              <w:rPr>
                <w:sz w:val="20"/>
                <w:szCs w:val="20"/>
                <w:color w:val="auto"/>
              </w:rPr>
            </w:pPr>
            <w:r>
              <w:rPr>
                <w:rFonts w:ascii="Arial" w:cs="Arial" w:eastAsia="Arial" w:hAnsi="Arial"/>
                <w:sz w:val="8"/>
                <w:szCs w:val="8"/>
                <w:b w:val="1"/>
                <w:bCs w:val="1"/>
                <w:color w:val="FFFFFF"/>
              </w:rPr>
              <w:t>(3)</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132440"/>
            </w:tcBorders>
            <w:shd w:val="clear" w:color="auto" w:fill="132440"/>
          </w:tcPr>
          <w:p>
            <w:pPr>
              <w:ind w:left="100"/>
              <w:spacing w:after="0"/>
              <w:rPr>
                <w:sz w:val="20"/>
                <w:szCs w:val="20"/>
                <w:color w:val="auto"/>
              </w:rPr>
            </w:pPr>
            <w:r>
              <w:rPr>
                <w:rFonts w:ascii="Arial" w:cs="Arial" w:eastAsia="Arial" w:hAnsi="Arial"/>
                <w:sz w:val="13"/>
                <w:szCs w:val="13"/>
                <w:b w:val="1"/>
                <w:bCs w:val="1"/>
                <w:color w:val="FFFFFF"/>
              </w:rPr>
              <w:t>Name</w:t>
            </w:r>
          </w:p>
        </w:tc>
        <w:tc>
          <w:tcPr>
            <w:tcW w:w="880" w:type="dxa"/>
            <w:vAlign w:val="bottom"/>
            <w:tcBorders>
              <w:bottom w:val="single" w:sz="8" w:color="132440"/>
            </w:tcBorders>
            <w:shd w:val="clear" w:color="auto" w:fill="132440"/>
          </w:tcPr>
          <w:p>
            <w:pPr>
              <w:jc w:val="center"/>
              <w:spacing w:after="0"/>
              <w:rPr>
                <w:sz w:val="20"/>
                <w:szCs w:val="20"/>
                <w:color w:val="auto"/>
              </w:rPr>
            </w:pPr>
            <w:r>
              <w:rPr>
                <w:rFonts w:ascii="Arial" w:cs="Arial" w:eastAsia="Arial" w:hAnsi="Arial"/>
                <w:sz w:val="13"/>
                <w:szCs w:val="13"/>
                <w:b w:val="1"/>
                <w:bCs w:val="1"/>
                <w:color w:val="FFFFFF"/>
                <w:w w:val="96"/>
              </w:rPr>
              <w:t>Grant Date</w:t>
            </w:r>
          </w:p>
        </w:tc>
        <w:tc>
          <w:tcPr>
            <w:tcW w:w="1100" w:type="dxa"/>
            <w:vAlign w:val="bottom"/>
            <w:tcBorders>
              <w:bottom w:val="single" w:sz="8" w:color="132440"/>
            </w:tcBorders>
            <w:shd w:val="clear" w:color="auto" w:fill="132440"/>
          </w:tcPr>
          <w:p>
            <w:pPr>
              <w:jc w:val="right"/>
              <w:spacing w:after="0"/>
              <w:rPr>
                <w:sz w:val="20"/>
                <w:szCs w:val="20"/>
                <w:color w:val="auto"/>
              </w:rPr>
            </w:pPr>
            <w:r>
              <w:rPr>
                <w:rFonts w:ascii="Arial" w:cs="Arial" w:eastAsia="Arial" w:hAnsi="Arial"/>
                <w:sz w:val="13"/>
                <w:szCs w:val="13"/>
                <w:b w:val="1"/>
                <w:bCs w:val="1"/>
                <w:color w:val="FFFFFF"/>
              </w:rPr>
              <w:t>(#)</w:t>
            </w:r>
          </w:p>
        </w:tc>
        <w:tc>
          <w:tcPr>
            <w:tcW w:w="1340" w:type="dxa"/>
            <w:vAlign w:val="bottom"/>
            <w:tcBorders>
              <w:bottom w:val="single" w:sz="8" w:color="132440"/>
            </w:tcBorders>
            <w:shd w:val="clear" w:color="auto" w:fill="132440"/>
          </w:tcPr>
          <w:p>
            <w:pPr>
              <w:jc w:val="right"/>
              <w:spacing w:after="0"/>
              <w:rPr>
                <w:sz w:val="20"/>
                <w:szCs w:val="20"/>
                <w:color w:val="auto"/>
              </w:rPr>
            </w:pPr>
            <w:r>
              <w:rPr>
                <w:rFonts w:ascii="Arial" w:cs="Arial" w:eastAsia="Arial" w:hAnsi="Arial"/>
                <w:sz w:val="13"/>
                <w:szCs w:val="13"/>
                <w:b w:val="1"/>
                <w:bCs w:val="1"/>
                <w:color w:val="FFFFFF"/>
              </w:rPr>
              <w:t>(#)</w:t>
            </w:r>
          </w:p>
        </w:tc>
        <w:tc>
          <w:tcPr>
            <w:tcW w:w="1040" w:type="dxa"/>
            <w:vAlign w:val="bottom"/>
            <w:tcBorders>
              <w:bottom w:val="single" w:sz="8" w:color="132440"/>
            </w:tcBorders>
            <w:shd w:val="clear" w:color="auto" w:fill="132440"/>
          </w:tcPr>
          <w:p>
            <w:pPr>
              <w:jc w:val="right"/>
              <w:spacing w:after="0"/>
              <w:rPr>
                <w:sz w:val="20"/>
                <w:szCs w:val="20"/>
                <w:color w:val="auto"/>
              </w:rPr>
            </w:pPr>
            <w:r>
              <w:rPr>
                <w:rFonts w:ascii="Arial" w:cs="Arial" w:eastAsia="Arial" w:hAnsi="Arial"/>
                <w:sz w:val="13"/>
                <w:szCs w:val="13"/>
                <w:b w:val="1"/>
                <w:bCs w:val="1"/>
                <w:color w:val="FFFFFF"/>
              </w:rPr>
              <w:t>(#)</w:t>
            </w:r>
          </w:p>
        </w:tc>
        <w:tc>
          <w:tcPr>
            <w:tcW w:w="760" w:type="dxa"/>
            <w:vAlign w:val="bottom"/>
            <w:tcBorders>
              <w:bottom w:val="single" w:sz="8" w:color="132440"/>
            </w:tcBorders>
            <w:shd w:val="clear" w:color="auto" w:fill="132440"/>
          </w:tcPr>
          <w:p>
            <w:pPr>
              <w:jc w:val="right"/>
              <w:spacing w:after="0"/>
              <w:rPr>
                <w:sz w:val="20"/>
                <w:szCs w:val="20"/>
                <w:color w:val="auto"/>
              </w:rPr>
            </w:pPr>
            <w:r>
              <w:rPr>
                <w:rFonts w:ascii="Arial" w:cs="Arial" w:eastAsia="Arial" w:hAnsi="Arial"/>
                <w:sz w:val="13"/>
                <w:szCs w:val="13"/>
                <w:b w:val="1"/>
                <w:bCs w:val="1"/>
                <w:color w:val="FFFFFF"/>
              </w:rPr>
              <w:t>($)</w:t>
            </w:r>
          </w:p>
        </w:tc>
        <w:tc>
          <w:tcPr>
            <w:tcW w:w="900" w:type="dxa"/>
            <w:vAlign w:val="bottom"/>
            <w:tcBorders>
              <w:bottom w:val="single" w:sz="8" w:color="132440"/>
            </w:tcBorders>
            <w:shd w:val="clear" w:color="auto" w:fill="132440"/>
          </w:tcPr>
          <w:p>
            <w:pPr>
              <w:jc w:val="center"/>
              <w:spacing w:after="0"/>
              <w:rPr>
                <w:sz w:val="20"/>
                <w:szCs w:val="20"/>
                <w:color w:val="auto"/>
              </w:rPr>
            </w:pPr>
            <w:r>
              <w:rPr>
                <w:rFonts w:ascii="Arial" w:cs="Arial" w:eastAsia="Arial" w:hAnsi="Arial"/>
                <w:sz w:val="13"/>
                <w:szCs w:val="13"/>
                <w:b w:val="1"/>
                <w:bCs w:val="1"/>
                <w:color w:val="FFFFFF"/>
                <w:w w:val="92"/>
              </w:rPr>
              <w:t>Date</w:t>
            </w:r>
          </w:p>
        </w:tc>
        <w:tc>
          <w:tcPr>
            <w:tcW w:w="880" w:type="dxa"/>
            <w:vAlign w:val="bottom"/>
            <w:tcBorders>
              <w:bottom w:val="single" w:sz="8" w:color="132440"/>
            </w:tcBorders>
            <w:shd w:val="clear" w:color="auto" w:fill="132440"/>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tcBorders>
              <w:bottom w:val="single" w:sz="8" w:color="132440"/>
            </w:tcBorders>
            <w:shd w:val="clear" w:color="auto" w:fill="132440"/>
          </w:tcPr>
          <w:p>
            <w:pPr>
              <w:jc w:val="right"/>
              <w:spacing w:after="0"/>
              <w:rPr>
                <w:sz w:val="20"/>
                <w:szCs w:val="20"/>
                <w:color w:val="auto"/>
              </w:rPr>
            </w:pPr>
            <w:r>
              <w:rPr>
                <w:rFonts w:ascii="Arial" w:cs="Arial" w:eastAsia="Arial" w:hAnsi="Arial"/>
                <w:sz w:val="13"/>
                <w:szCs w:val="13"/>
                <w:b w:val="1"/>
                <w:bCs w:val="1"/>
                <w:color w:val="FFFFFF"/>
              </w:rPr>
              <w:t>($)</w:t>
            </w:r>
          </w:p>
        </w:tc>
        <w:tc>
          <w:tcPr>
            <w:tcW w:w="1120" w:type="dxa"/>
            <w:vAlign w:val="bottom"/>
            <w:tcBorders>
              <w:bottom w:val="single" w:sz="8" w:color="132440"/>
            </w:tcBorders>
            <w:shd w:val="clear" w:color="auto" w:fill="132440"/>
          </w:tcPr>
          <w:p>
            <w:pPr>
              <w:jc w:val="right"/>
              <w:spacing w:after="0"/>
              <w:rPr>
                <w:sz w:val="20"/>
                <w:szCs w:val="20"/>
                <w:color w:val="auto"/>
              </w:rPr>
            </w:pPr>
            <w:r>
              <w:rPr>
                <w:rFonts w:ascii="Arial" w:cs="Arial" w:eastAsia="Arial" w:hAnsi="Arial"/>
                <w:sz w:val="13"/>
                <w:szCs w:val="13"/>
                <w:b w:val="1"/>
                <w:bCs w:val="1"/>
                <w:color w:val="FFFFFF"/>
              </w:rPr>
              <w:t>(#)</w:t>
            </w:r>
          </w:p>
        </w:tc>
        <w:tc>
          <w:tcPr>
            <w:tcW w:w="1260" w:type="dxa"/>
            <w:vAlign w:val="bottom"/>
            <w:tcBorders>
              <w:bottom w:val="single" w:sz="8" w:color="132440"/>
            </w:tcBorders>
            <w:shd w:val="clear" w:color="auto" w:fill="132440"/>
          </w:tcPr>
          <w:p>
            <w:pPr>
              <w:jc w:val="right"/>
              <w:ind w:right="59"/>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58"/>
        </w:trPr>
        <w:tc>
          <w:tcPr>
            <w:tcW w:w="1040" w:type="dxa"/>
            <w:vAlign w:val="bottom"/>
            <w:shd w:val="clear" w:color="auto" w:fill="EAEEF2"/>
          </w:tcPr>
          <w:p>
            <w:pPr>
              <w:ind w:left="100"/>
              <w:spacing w:after="0"/>
              <w:rPr>
                <w:sz w:val="20"/>
                <w:szCs w:val="20"/>
                <w:color w:val="auto"/>
              </w:rPr>
            </w:pPr>
            <w:r>
              <w:rPr>
                <w:rFonts w:ascii="Arial" w:cs="Arial" w:eastAsia="Arial" w:hAnsi="Arial"/>
                <w:sz w:val="13"/>
                <w:szCs w:val="13"/>
                <w:b w:val="1"/>
                <w:bCs w:val="1"/>
                <w:color w:val="4D4D4F"/>
              </w:rPr>
              <w:t>Michael J.</w:t>
            </w: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03/15/2019</w:t>
            </w:r>
          </w:p>
        </w:tc>
        <w:tc>
          <w:tcPr>
            <w:tcW w:w="1100" w:type="dxa"/>
            <w:vAlign w:val="bottom"/>
            <w:shd w:val="clear" w:color="auto" w:fill="EAEEF2"/>
          </w:tcPr>
          <w:p>
            <w:pPr>
              <w:ind w:left="580"/>
              <w:spacing w:after="0"/>
              <w:rPr>
                <w:sz w:val="20"/>
                <w:szCs w:val="20"/>
                <w:color w:val="auto"/>
              </w:rPr>
            </w:pPr>
            <w:r>
              <w:rPr>
                <w:rFonts w:ascii="Arial" w:cs="Arial" w:eastAsia="Arial" w:hAnsi="Arial"/>
                <w:sz w:val="13"/>
                <w:szCs w:val="13"/>
                <w:color w:val="4D4D4F"/>
              </w:rPr>
              <w:t>109,290</w:t>
            </w:r>
          </w:p>
        </w:tc>
        <w:tc>
          <w:tcPr>
            <w:tcW w:w="1340" w:type="dxa"/>
            <w:vAlign w:val="bottom"/>
            <w:shd w:val="clear" w:color="auto" w:fill="EAEEF2"/>
          </w:tcPr>
          <w:p>
            <w:pPr>
              <w:spacing w:after="0"/>
              <w:rPr>
                <w:sz w:val="13"/>
                <w:szCs w:val="13"/>
                <w:color w:val="auto"/>
              </w:rPr>
            </w:pPr>
          </w:p>
        </w:tc>
        <w:tc>
          <w:tcPr>
            <w:tcW w:w="1040" w:type="dxa"/>
            <w:vAlign w:val="bottom"/>
            <w:shd w:val="clear" w:color="auto" w:fill="EAEEF2"/>
          </w:tcPr>
          <w:p>
            <w:pPr>
              <w:spacing w:after="0"/>
              <w:rPr>
                <w:sz w:val="13"/>
                <w:szCs w:val="13"/>
                <w:color w:val="auto"/>
              </w:rPr>
            </w:pPr>
          </w:p>
        </w:tc>
        <w:tc>
          <w:tcPr>
            <w:tcW w:w="76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29.68</w:t>
            </w:r>
          </w:p>
        </w:tc>
        <w:tc>
          <w:tcPr>
            <w:tcW w:w="90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6"/>
              </w:rPr>
              <w:t>3/15/2024</w:t>
            </w:r>
          </w:p>
        </w:tc>
        <w:tc>
          <w:tcPr>
            <w:tcW w:w="880" w:type="dxa"/>
            <w:vAlign w:val="bottom"/>
            <w:shd w:val="clear" w:color="auto" w:fill="EAEEF2"/>
          </w:tcPr>
          <w:p>
            <w:pPr>
              <w:spacing w:after="0"/>
              <w:rPr>
                <w:sz w:val="13"/>
                <w:szCs w:val="13"/>
                <w:color w:val="auto"/>
              </w:rPr>
            </w:pPr>
          </w:p>
        </w:tc>
        <w:tc>
          <w:tcPr>
            <w:tcW w:w="920" w:type="dxa"/>
            <w:vAlign w:val="bottom"/>
            <w:shd w:val="clear" w:color="auto" w:fill="EAEEF2"/>
          </w:tcPr>
          <w:p>
            <w:pPr>
              <w:spacing w:after="0"/>
              <w:rPr>
                <w:sz w:val="13"/>
                <w:szCs w:val="13"/>
                <w:color w:val="auto"/>
              </w:rPr>
            </w:pPr>
          </w:p>
        </w:tc>
        <w:tc>
          <w:tcPr>
            <w:tcW w:w="1120" w:type="dxa"/>
            <w:vAlign w:val="bottom"/>
            <w:shd w:val="clear" w:color="auto" w:fill="EAEEF2"/>
          </w:tcPr>
          <w:p>
            <w:pPr>
              <w:spacing w:after="0"/>
              <w:rPr>
                <w:sz w:val="13"/>
                <w:szCs w:val="13"/>
                <w:color w:val="auto"/>
              </w:rPr>
            </w:pPr>
          </w:p>
        </w:tc>
        <w:tc>
          <w:tcPr>
            <w:tcW w:w="1260" w:type="dxa"/>
            <w:vAlign w:val="bottom"/>
            <w:shd w:val="clear" w:color="auto" w:fill="EAEEF2"/>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40" w:type="dxa"/>
            <w:vAlign w:val="bottom"/>
            <w:shd w:val="clear" w:color="auto" w:fill="EAEEF2"/>
          </w:tcPr>
          <w:p>
            <w:pPr>
              <w:ind w:left="100"/>
              <w:spacing w:after="0"/>
              <w:rPr>
                <w:sz w:val="20"/>
                <w:szCs w:val="20"/>
                <w:color w:val="auto"/>
              </w:rPr>
            </w:pPr>
            <w:r>
              <w:rPr>
                <w:rFonts w:ascii="Arial" w:cs="Arial" w:eastAsia="Arial" w:hAnsi="Arial"/>
                <w:sz w:val="13"/>
                <w:szCs w:val="13"/>
                <w:b w:val="1"/>
                <w:bCs w:val="1"/>
                <w:color w:val="4D4D4F"/>
              </w:rPr>
              <w:t>Kasbar</w:t>
            </w:r>
          </w:p>
        </w:tc>
        <w:tc>
          <w:tcPr>
            <w:tcW w:w="880" w:type="dxa"/>
            <w:vAlign w:val="bottom"/>
            <w:vMerge w:val="restart"/>
            <w:shd w:val="clear" w:color="auto" w:fill="EAEEF2"/>
          </w:tcPr>
          <w:p>
            <w:pPr>
              <w:jc w:val="center"/>
              <w:spacing w:after="0"/>
              <w:rPr>
                <w:sz w:val="20"/>
                <w:szCs w:val="20"/>
                <w:color w:val="auto"/>
              </w:rPr>
            </w:pPr>
            <w:r>
              <w:rPr>
                <w:rFonts w:ascii="Arial" w:cs="Arial" w:eastAsia="Arial" w:hAnsi="Arial"/>
                <w:sz w:val="13"/>
                <w:szCs w:val="13"/>
                <w:color w:val="4D4D4F"/>
                <w:w w:val="95"/>
              </w:rPr>
              <w:t>03/15/2020</w:t>
            </w:r>
          </w:p>
        </w:tc>
        <w:tc>
          <w:tcPr>
            <w:tcW w:w="1100" w:type="dxa"/>
            <w:vAlign w:val="bottom"/>
            <w:vMerge w:val="restart"/>
            <w:shd w:val="clear" w:color="auto" w:fill="EAEEF2"/>
          </w:tcPr>
          <w:p>
            <w:pPr>
              <w:ind w:left="580"/>
              <w:spacing w:after="0"/>
              <w:rPr>
                <w:sz w:val="20"/>
                <w:szCs w:val="20"/>
                <w:color w:val="auto"/>
              </w:rPr>
            </w:pPr>
            <w:r>
              <w:rPr>
                <w:rFonts w:ascii="Arial" w:cs="Arial" w:eastAsia="Arial" w:hAnsi="Arial"/>
                <w:sz w:val="13"/>
                <w:szCs w:val="13"/>
                <w:color w:val="4D4D4F"/>
              </w:rPr>
              <w:t>145,349</w:t>
            </w:r>
          </w:p>
        </w:tc>
        <w:tc>
          <w:tcPr>
            <w:tcW w:w="1340" w:type="dxa"/>
            <w:vAlign w:val="bottom"/>
            <w:shd w:val="clear" w:color="auto" w:fill="EAEEF2"/>
          </w:tcPr>
          <w:p>
            <w:pPr>
              <w:spacing w:after="0"/>
              <w:rPr>
                <w:sz w:val="14"/>
                <w:szCs w:val="14"/>
                <w:color w:val="auto"/>
              </w:rPr>
            </w:pPr>
          </w:p>
        </w:tc>
        <w:tc>
          <w:tcPr>
            <w:tcW w:w="1040" w:type="dxa"/>
            <w:vAlign w:val="bottom"/>
            <w:shd w:val="clear" w:color="auto" w:fill="EAEEF2"/>
          </w:tcPr>
          <w:p>
            <w:pPr>
              <w:spacing w:after="0"/>
              <w:rPr>
                <w:sz w:val="14"/>
                <w:szCs w:val="14"/>
                <w:color w:val="auto"/>
              </w:rPr>
            </w:pPr>
          </w:p>
        </w:tc>
        <w:tc>
          <w:tcPr>
            <w:tcW w:w="760" w:type="dxa"/>
            <w:vAlign w:val="bottom"/>
            <w:vMerge w:val="restart"/>
            <w:shd w:val="clear" w:color="auto" w:fill="EAEEF2"/>
          </w:tcPr>
          <w:p>
            <w:pPr>
              <w:jc w:val="right"/>
              <w:spacing w:after="0"/>
              <w:rPr>
                <w:sz w:val="20"/>
                <w:szCs w:val="20"/>
                <w:color w:val="auto"/>
              </w:rPr>
            </w:pPr>
            <w:r>
              <w:rPr>
                <w:rFonts w:ascii="Arial" w:cs="Arial" w:eastAsia="Arial" w:hAnsi="Arial"/>
                <w:sz w:val="13"/>
                <w:szCs w:val="13"/>
                <w:color w:val="4D4D4F"/>
              </w:rPr>
              <w:t>23.39</w:t>
            </w:r>
          </w:p>
        </w:tc>
        <w:tc>
          <w:tcPr>
            <w:tcW w:w="900" w:type="dxa"/>
            <w:vAlign w:val="bottom"/>
            <w:vMerge w:val="restart"/>
            <w:shd w:val="clear" w:color="auto" w:fill="EAEEF2"/>
          </w:tcPr>
          <w:p>
            <w:pPr>
              <w:jc w:val="center"/>
              <w:spacing w:after="0"/>
              <w:rPr>
                <w:sz w:val="20"/>
                <w:szCs w:val="20"/>
                <w:color w:val="auto"/>
              </w:rPr>
            </w:pPr>
            <w:r>
              <w:rPr>
                <w:rFonts w:ascii="Arial" w:cs="Arial" w:eastAsia="Arial" w:hAnsi="Arial"/>
                <w:sz w:val="13"/>
                <w:szCs w:val="13"/>
                <w:color w:val="4D4D4F"/>
                <w:w w:val="96"/>
              </w:rPr>
              <w:t>3/15/2025</w:t>
            </w:r>
          </w:p>
        </w:tc>
        <w:tc>
          <w:tcPr>
            <w:tcW w:w="880" w:type="dxa"/>
            <w:vAlign w:val="bottom"/>
            <w:shd w:val="clear" w:color="auto" w:fill="EAEEF2"/>
          </w:tcPr>
          <w:p>
            <w:pPr>
              <w:spacing w:after="0"/>
              <w:rPr>
                <w:sz w:val="14"/>
                <w:szCs w:val="14"/>
                <w:color w:val="auto"/>
              </w:rPr>
            </w:pPr>
          </w:p>
        </w:tc>
        <w:tc>
          <w:tcPr>
            <w:tcW w:w="920" w:type="dxa"/>
            <w:vAlign w:val="bottom"/>
            <w:shd w:val="clear" w:color="auto" w:fill="EAEEF2"/>
          </w:tcPr>
          <w:p>
            <w:pPr>
              <w:spacing w:after="0"/>
              <w:rPr>
                <w:sz w:val="14"/>
                <w:szCs w:val="14"/>
                <w:color w:val="auto"/>
              </w:rPr>
            </w:pPr>
          </w:p>
        </w:tc>
        <w:tc>
          <w:tcPr>
            <w:tcW w:w="1120" w:type="dxa"/>
            <w:vAlign w:val="bottom"/>
            <w:shd w:val="clear" w:color="auto" w:fill="EAEEF2"/>
          </w:tcPr>
          <w:p>
            <w:pPr>
              <w:spacing w:after="0"/>
              <w:rPr>
                <w:sz w:val="14"/>
                <w:szCs w:val="14"/>
                <w:color w:val="auto"/>
              </w:rPr>
            </w:pPr>
          </w:p>
        </w:tc>
        <w:tc>
          <w:tcPr>
            <w:tcW w:w="1260" w:type="dxa"/>
            <w:vAlign w:val="bottom"/>
            <w:shd w:val="clear" w:color="auto" w:fill="EAEEF2"/>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040" w:type="dxa"/>
            <w:vAlign w:val="bottom"/>
            <w:shd w:val="clear" w:color="auto" w:fill="EAEEF2"/>
          </w:tcPr>
          <w:p>
            <w:pPr>
              <w:spacing w:after="0"/>
              <w:rPr>
                <w:sz w:val="5"/>
                <w:szCs w:val="5"/>
                <w:color w:val="auto"/>
              </w:rPr>
            </w:pPr>
          </w:p>
        </w:tc>
        <w:tc>
          <w:tcPr>
            <w:tcW w:w="880" w:type="dxa"/>
            <w:vAlign w:val="bottom"/>
            <w:vMerge w:val="continue"/>
            <w:shd w:val="clear" w:color="auto" w:fill="EAEEF2"/>
          </w:tcPr>
          <w:p>
            <w:pPr>
              <w:spacing w:after="0"/>
              <w:rPr>
                <w:sz w:val="5"/>
                <w:szCs w:val="5"/>
                <w:color w:val="auto"/>
              </w:rPr>
            </w:pPr>
          </w:p>
        </w:tc>
        <w:tc>
          <w:tcPr>
            <w:tcW w:w="1100" w:type="dxa"/>
            <w:vAlign w:val="bottom"/>
            <w:vMerge w:val="continue"/>
            <w:shd w:val="clear" w:color="auto" w:fill="EAEEF2"/>
          </w:tcPr>
          <w:p>
            <w:pPr>
              <w:spacing w:after="0"/>
              <w:rPr>
                <w:sz w:val="5"/>
                <w:szCs w:val="5"/>
                <w:color w:val="auto"/>
              </w:rPr>
            </w:pPr>
          </w:p>
        </w:tc>
        <w:tc>
          <w:tcPr>
            <w:tcW w:w="1340" w:type="dxa"/>
            <w:vAlign w:val="bottom"/>
            <w:shd w:val="clear" w:color="auto" w:fill="EAEEF2"/>
          </w:tcPr>
          <w:p>
            <w:pPr>
              <w:spacing w:after="0"/>
              <w:rPr>
                <w:sz w:val="5"/>
                <w:szCs w:val="5"/>
                <w:color w:val="auto"/>
              </w:rPr>
            </w:pPr>
          </w:p>
        </w:tc>
        <w:tc>
          <w:tcPr>
            <w:tcW w:w="1040" w:type="dxa"/>
            <w:vAlign w:val="bottom"/>
            <w:shd w:val="clear" w:color="auto" w:fill="EAEEF2"/>
          </w:tcPr>
          <w:p>
            <w:pPr>
              <w:spacing w:after="0"/>
              <w:rPr>
                <w:sz w:val="5"/>
                <w:szCs w:val="5"/>
                <w:color w:val="auto"/>
              </w:rPr>
            </w:pPr>
          </w:p>
        </w:tc>
        <w:tc>
          <w:tcPr>
            <w:tcW w:w="760" w:type="dxa"/>
            <w:vAlign w:val="bottom"/>
            <w:vMerge w:val="continue"/>
            <w:shd w:val="clear" w:color="auto" w:fill="EAEEF2"/>
          </w:tcPr>
          <w:p>
            <w:pPr>
              <w:spacing w:after="0"/>
              <w:rPr>
                <w:sz w:val="5"/>
                <w:szCs w:val="5"/>
                <w:color w:val="auto"/>
              </w:rPr>
            </w:pPr>
          </w:p>
        </w:tc>
        <w:tc>
          <w:tcPr>
            <w:tcW w:w="900" w:type="dxa"/>
            <w:vAlign w:val="bottom"/>
            <w:vMerge w:val="continue"/>
            <w:shd w:val="clear" w:color="auto" w:fill="EAEEF2"/>
          </w:tcPr>
          <w:p>
            <w:pPr>
              <w:spacing w:after="0"/>
              <w:rPr>
                <w:sz w:val="5"/>
                <w:szCs w:val="5"/>
                <w:color w:val="auto"/>
              </w:rPr>
            </w:pPr>
          </w:p>
        </w:tc>
        <w:tc>
          <w:tcPr>
            <w:tcW w:w="880" w:type="dxa"/>
            <w:vAlign w:val="bottom"/>
            <w:shd w:val="clear" w:color="auto" w:fill="EAEEF2"/>
          </w:tcPr>
          <w:p>
            <w:pPr>
              <w:spacing w:after="0"/>
              <w:rPr>
                <w:sz w:val="5"/>
                <w:szCs w:val="5"/>
                <w:color w:val="auto"/>
              </w:rPr>
            </w:pPr>
          </w:p>
        </w:tc>
        <w:tc>
          <w:tcPr>
            <w:tcW w:w="920" w:type="dxa"/>
            <w:vAlign w:val="bottom"/>
            <w:shd w:val="clear" w:color="auto" w:fill="EAEEF2"/>
          </w:tcPr>
          <w:p>
            <w:pPr>
              <w:spacing w:after="0"/>
              <w:rPr>
                <w:sz w:val="5"/>
                <w:szCs w:val="5"/>
                <w:color w:val="auto"/>
              </w:rPr>
            </w:pPr>
          </w:p>
        </w:tc>
        <w:tc>
          <w:tcPr>
            <w:tcW w:w="1120" w:type="dxa"/>
            <w:vAlign w:val="bottom"/>
            <w:shd w:val="clear" w:color="auto" w:fill="EAEEF2"/>
          </w:tcPr>
          <w:p>
            <w:pPr>
              <w:spacing w:after="0"/>
              <w:rPr>
                <w:sz w:val="5"/>
                <w:szCs w:val="5"/>
                <w:color w:val="auto"/>
              </w:rPr>
            </w:pPr>
          </w:p>
        </w:tc>
        <w:tc>
          <w:tcPr>
            <w:tcW w:w="1260" w:type="dxa"/>
            <w:vAlign w:val="bottom"/>
            <w:shd w:val="clear" w:color="auto" w:fill="EAEEF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AEEF2"/>
          </w:tcPr>
          <w:p>
            <w:pPr>
              <w:spacing w:after="0"/>
              <w:rPr>
                <w:sz w:val="18"/>
                <w:szCs w:val="18"/>
                <w:color w:val="auto"/>
              </w:rPr>
            </w:pP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03/15/2021</w:t>
            </w:r>
          </w:p>
        </w:tc>
        <w:tc>
          <w:tcPr>
            <w:tcW w:w="1100" w:type="dxa"/>
            <w:vAlign w:val="bottom"/>
            <w:shd w:val="clear" w:color="auto" w:fill="EAEEF2"/>
          </w:tcPr>
          <w:p>
            <w:pPr>
              <w:spacing w:after="0"/>
              <w:rPr>
                <w:sz w:val="18"/>
                <w:szCs w:val="18"/>
                <w:color w:val="auto"/>
              </w:rPr>
            </w:pPr>
          </w:p>
        </w:tc>
        <w:tc>
          <w:tcPr>
            <w:tcW w:w="1340" w:type="dxa"/>
            <w:vAlign w:val="bottom"/>
            <w:shd w:val="clear" w:color="auto" w:fill="EAEEF2"/>
          </w:tcPr>
          <w:p>
            <w:pPr>
              <w:spacing w:after="0"/>
              <w:rPr>
                <w:sz w:val="18"/>
                <w:szCs w:val="18"/>
                <w:color w:val="auto"/>
              </w:rPr>
            </w:pPr>
          </w:p>
        </w:tc>
        <w:tc>
          <w:tcPr>
            <w:tcW w:w="1040" w:type="dxa"/>
            <w:vAlign w:val="bottom"/>
            <w:shd w:val="clear" w:color="auto" w:fill="EAEEF2"/>
          </w:tcPr>
          <w:p>
            <w:pPr>
              <w:spacing w:after="0"/>
              <w:rPr>
                <w:sz w:val="18"/>
                <w:szCs w:val="18"/>
                <w:color w:val="auto"/>
              </w:rPr>
            </w:pPr>
          </w:p>
        </w:tc>
        <w:tc>
          <w:tcPr>
            <w:tcW w:w="760" w:type="dxa"/>
            <w:vAlign w:val="bottom"/>
            <w:shd w:val="clear" w:color="auto" w:fill="EAEEF2"/>
          </w:tcPr>
          <w:p>
            <w:pPr>
              <w:spacing w:after="0"/>
              <w:rPr>
                <w:sz w:val="18"/>
                <w:szCs w:val="18"/>
                <w:color w:val="auto"/>
              </w:rPr>
            </w:pPr>
          </w:p>
        </w:tc>
        <w:tc>
          <w:tcPr>
            <w:tcW w:w="900" w:type="dxa"/>
            <w:vAlign w:val="bottom"/>
            <w:shd w:val="clear" w:color="auto" w:fill="EAEEF2"/>
          </w:tcPr>
          <w:p>
            <w:pPr>
              <w:spacing w:after="0"/>
              <w:rPr>
                <w:sz w:val="18"/>
                <w:szCs w:val="18"/>
                <w:color w:val="auto"/>
              </w:rPr>
            </w:pP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3,731</w:t>
            </w:r>
          </w:p>
        </w:tc>
        <w:tc>
          <w:tcPr>
            <w:tcW w:w="920" w:type="dxa"/>
            <w:vAlign w:val="bottom"/>
            <w:shd w:val="clear" w:color="auto" w:fill="EAEEF2"/>
          </w:tcPr>
          <w:p>
            <w:pPr>
              <w:jc w:val="right"/>
              <w:ind w:right="18"/>
              <w:spacing w:after="0"/>
              <w:rPr>
                <w:sz w:val="20"/>
                <w:szCs w:val="20"/>
                <w:color w:val="auto"/>
              </w:rPr>
            </w:pPr>
            <w:r>
              <w:rPr>
                <w:rFonts w:ascii="Arial" w:cs="Arial" w:eastAsia="Arial" w:hAnsi="Arial"/>
                <w:sz w:val="13"/>
                <w:szCs w:val="13"/>
                <w:color w:val="4D4D4F"/>
              </w:rPr>
              <w:t>84,992</w:t>
            </w:r>
          </w:p>
        </w:tc>
        <w:tc>
          <w:tcPr>
            <w:tcW w:w="1120" w:type="dxa"/>
            <w:vAlign w:val="bottom"/>
            <w:shd w:val="clear" w:color="auto" w:fill="EAEEF2"/>
          </w:tcPr>
          <w:p>
            <w:pPr>
              <w:spacing w:after="0"/>
              <w:rPr>
                <w:sz w:val="18"/>
                <w:szCs w:val="18"/>
                <w:color w:val="auto"/>
              </w:rPr>
            </w:pPr>
          </w:p>
        </w:tc>
        <w:tc>
          <w:tcPr>
            <w:tcW w:w="1260" w:type="dxa"/>
            <w:vAlign w:val="bottom"/>
            <w:shd w:val="clear" w:color="auto" w:fill="EAEE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AEEF2"/>
          </w:tcPr>
          <w:p>
            <w:pPr>
              <w:spacing w:after="0"/>
              <w:rPr>
                <w:sz w:val="18"/>
                <w:szCs w:val="18"/>
                <w:color w:val="auto"/>
              </w:rPr>
            </w:pP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03/31/2021</w:t>
            </w:r>
          </w:p>
        </w:tc>
        <w:tc>
          <w:tcPr>
            <w:tcW w:w="1100" w:type="dxa"/>
            <w:vAlign w:val="bottom"/>
            <w:shd w:val="clear" w:color="auto" w:fill="EAEEF2"/>
          </w:tcPr>
          <w:p>
            <w:pPr>
              <w:spacing w:after="0"/>
              <w:rPr>
                <w:sz w:val="18"/>
                <w:szCs w:val="18"/>
                <w:color w:val="auto"/>
              </w:rPr>
            </w:pPr>
          </w:p>
        </w:tc>
        <w:tc>
          <w:tcPr>
            <w:tcW w:w="1340" w:type="dxa"/>
            <w:vAlign w:val="bottom"/>
            <w:shd w:val="clear" w:color="auto" w:fill="EAEEF2"/>
          </w:tcPr>
          <w:p>
            <w:pPr>
              <w:spacing w:after="0"/>
              <w:rPr>
                <w:sz w:val="18"/>
                <w:szCs w:val="18"/>
                <w:color w:val="auto"/>
              </w:rPr>
            </w:pPr>
          </w:p>
        </w:tc>
        <w:tc>
          <w:tcPr>
            <w:tcW w:w="1040" w:type="dxa"/>
            <w:vAlign w:val="bottom"/>
            <w:shd w:val="clear" w:color="auto" w:fill="EAEEF2"/>
          </w:tcPr>
          <w:p>
            <w:pPr>
              <w:spacing w:after="0"/>
              <w:rPr>
                <w:sz w:val="18"/>
                <w:szCs w:val="18"/>
                <w:color w:val="auto"/>
              </w:rPr>
            </w:pPr>
          </w:p>
        </w:tc>
        <w:tc>
          <w:tcPr>
            <w:tcW w:w="760" w:type="dxa"/>
            <w:vAlign w:val="bottom"/>
            <w:shd w:val="clear" w:color="auto" w:fill="EAEEF2"/>
          </w:tcPr>
          <w:p>
            <w:pPr>
              <w:spacing w:after="0"/>
              <w:rPr>
                <w:sz w:val="18"/>
                <w:szCs w:val="18"/>
                <w:color w:val="auto"/>
              </w:rPr>
            </w:pPr>
          </w:p>
        </w:tc>
        <w:tc>
          <w:tcPr>
            <w:tcW w:w="900" w:type="dxa"/>
            <w:vAlign w:val="bottom"/>
            <w:shd w:val="clear" w:color="auto" w:fill="EAEEF2"/>
          </w:tcPr>
          <w:p>
            <w:pPr>
              <w:spacing w:after="0"/>
              <w:rPr>
                <w:sz w:val="18"/>
                <w:szCs w:val="18"/>
                <w:color w:val="auto"/>
              </w:rPr>
            </w:pP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28,410</w:t>
            </w:r>
          </w:p>
        </w:tc>
        <w:tc>
          <w:tcPr>
            <w:tcW w:w="920" w:type="dxa"/>
            <w:vAlign w:val="bottom"/>
            <w:shd w:val="clear" w:color="auto" w:fill="EAEEF2"/>
          </w:tcPr>
          <w:p>
            <w:pPr>
              <w:jc w:val="right"/>
              <w:ind w:right="18"/>
              <w:spacing w:after="0"/>
              <w:rPr>
                <w:sz w:val="20"/>
                <w:szCs w:val="20"/>
                <w:color w:val="auto"/>
              </w:rPr>
            </w:pPr>
            <w:r>
              <w:rPr>
                <w:rFonts w:ascii="Arial" w:cs="Arial" w:eastAsia="Arial" w:hAnsi="Arial"/>
                <w:sz w:val="13"/>
                <w:szCs w:val="13"/>
                <w:color w:val="4D4D4F"/>
              </w:rPr>
              <w:t>647,180</w:t>
            </w:r>
          </w:p>
        </w:tc>
        <w:tc>
          <w:tcPr>
            <w:tcW w:w="1120" w:type="dxa"/>
            <w:vAlign w:val="bottom"/>
            <w:shd w:val="clear" w:color="auto" w:fill="EAEEF2"/>
          </w:tcPr>
          <w:p>
            <w:pPr>
              <w:spacing w:after="0"/>
              <w:rPr>
                <w:sz w:val="18"/>
                <w:szCs w:val="18"/>
                <w:color w:val="auto"/>
              </w:rPr>
            </w:pPr>
          </w:p>
        </w:tc>
        <w:tc>
          <w:tcPr>
            <w:tcW w:w="1260" w:type="dxa"/>
            <w:vAlign w:val="bottom"/>
            <w:shd w:val="clear" w:color="auto" w:fill="EAEE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AEEF2"/>
          </w:tcPr>
          <w:p>
            <w:pPr>
              <w:spacing w:after="0"/>
              <w:rPr>
                <w:sz w:val="18"/>
                <w:szCs w:val="18"/>
                <w:color w:val="auto"/>
              </w:rPr>
            </w:pP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03/15/2022</w:t>
            </w:r>
          </w:p>
        </w:tc>
        <w:tc>
          <w:tcPr>
            <w:tcW w:w="1100" w:type="dxa"/>
            <w:vAlign w:val="bottom"/>
            <w:shd w:val="clear" w:color="auto" w:fill="EAEEF2"/>
          </w:tcPr>
          <w:p>
            <w:pPr>
              <w:spacing w:after="0"/>
              <w:rPr>
                <w:sz w:val="18"/>
                <w:szCs w:val="18"/>
                <w:color w:val="auto"/>
              </w:rPr>
            </w:pPr>
          </w:p>
        </w:tc>
        <w:tc>
          <w:tcPr>
            <w:tcW w:w="1340" w:type="dxa"/>
            <w:vAlign w:val="bottom"/>
            <w:shd w:val="clear" w:color="auto" w:fill="EAEEF2"/>
          </w:tcPr>
          <w:p>
            <w:pPr>
              <w:spacing w:after="0"/>
              <w:rPr>
                <w:sz w:val="18"/>
                <w:szCs w:val="18"/>
                <w:color w:val="auto"/>
              </w:rPr>
            </w:pPr>
          </w:p>
        </w:tc>
        <w:tc>
          <w:tcPr>
            <w:tcW w:w="1040" w:type="dxa"/>
            <w:vAlign w:val="bottom"/>
            <w:shd w:val="clear" w:color="auto" w:fill="EAEEF2"/>
          </w:tcPr>
          <w:p>
            <w:pPr>
              <w:spacing w:after="0"/>
              <w:rPr>
                <w:sz w:val="18"/>
                <w:szCs w:val="18"/>
                <w:color w:val="auto"/>
              </w:rPr>
            </w:pPr>
          </w:p>
        </w:tc>
        <w:tc>
          <w:tcPr>
            <w:tcW w:w="760" w:type="dxa"/>
            <w:vAlign w:val="bottom"/>
            <w:shd w:val="clear" w:color="auto" w:fill="EAEEF2"/>
          </w:tcPr>
          <w:p>
            <w:pPr>
              <w:spacing w:after="0"/>
              <w:rPr>
                <w:sz w:val="18"/>
                <w:szCs w:val="18"/>
                <w:color w:val="auto"/>
              </w:rPr>
            </w:pPr>
          </w:p>
        </w:tc>
        <w:tc>
          <w:tcPr>
            <w:tcW w:w="900" w:type="dxa"/>
            <w:vAlign w:val="bottom"/>
            <w:shd w:val="clear" w:color="auto" w:fill="EAEEF2"/>
          </w:tcPr>
          <w:p>
            <w:pPr>
              <w:spacing w:after="0"/>
              <w:rPr>
                <w:sz w:val="18"/>
                <w:szCs w:val="18"/>
                <w:color w:val="auto"/>
              </w:rPr>
            </w:pP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26,294</w:t>
            </w:r>
          </w:p>
        </w:tc>
        <w:tc>
          <w:tcPr>
            <w:tcW w:w="920" w:type="dxa"/>
            <w:vAlign w:val="bottom"/>
            <w:shd w:val="clear" w:color="auto" w:fill="EAEEF2"/>
          </w:tcPr>
          <w:p>
            <w:pPr>
              <w:jc w:val="right"/>
              <w:ind w:right="18"/>
              <w:spacing w:after="0"/>
              <w:rPr>
                <w:sz w:val="20"/>
                <w:szCs w:val="20"/>
                <w:color w:val="auto"/>
              </w:rPr>
            </w:pPr>
            <w:r>
              <w:rPr>
                <w:rFonts w:ascii="Arial" w:cs="Arial" w:eastAsia="Arial" w:hAnsi="Arial"/>
                <w:sz w:val="13"/>
                <w:szCs w:val="13"/>
                <w:color w:val="4D4D4F"/>
              </w:rPr>
              <w:t>598,977</w:t>
            </w:r>
          </w:p>
        </w:tc>
        <w:tc>
          <w:tcPr>
            <w:tcW w:w="1120" w:type="dxa"/>
            <w:vAlign w:val="bottom"/>
            <w:shd w:val="clear" w:color="auto" w:fill="EAEEF2"/>
          </w:tcPr>
          <w:p>
            <w:pPr>
              <w:spacing w:after="0"/>
              <w:rPr>
                <w:sz w:val="18"/>
                <w:szCs w:val="18"/>
                <w:color w:val="auto"/>
              </w:rPr>
            </w:pPr>
          </w:p>
        </w:tc>
        <w:tc>
          <w:tcPr>
            <w:tcW w:w="1260" w:type="dxa"/>
            <w:vAlign w:val="bottom"/>
            <w:shd w:val="clear" w:color="auto" w:fill="EAEE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AEEF2"/>
          </w:tcPr>
          <w:p>
            <w:pPr>
              <w:spacing w:after="0"/>
              <w:rPr>
                <w:sz w:val="18"/>
                <w:szCs w:val="18"/>
                <w:color w:val="auto"/>
              </w:rPr>
            </w:pP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03/15/2022</w:t>
            </w:r>
          </w:p>
        </w:tc>
        <w:tc>
          <w:tcPr>
            <w:tcW w:w="1100" w:type="dxa"/>
            <w:vAlign w:val="bottom"/>
            <w:shd w:val="clear" w:color="auto" w:fill="EAEEF2"/>
          </w:tcPr>
          <w:p>
            <w:pPr>
              <w:spacing w:after="0"/>
              <w:rPr>
                <w:sz w:val="18"/>
                <w:szCs w:val="18"/>
                <w:color w:val="auto"/>
              </w:rPr>
            </w:pPr>
          </w:p>
        </w:tc>
        <w:tc>
          <w:tcPr>
            <w:tcW w:w="1340" w:type="dxa"/>
            <w:vAlign w:val="bottom"/>
            <w:shd w:val="clear" w:color="auto" w:fill="EAEEF2"/>
          </w:tcPr>
          <w:p>
            <w:pPr>
              <w:spacing w:after="0"/>
              <w:rPr>
                <w:sz w:val="18"/>
                <w:szCs w:val="18"/>
                <w:color w:val="auto"/>
              </w:rPr>
            </w:pPr>
          </w:p>
        </w:tc>
        <w:tc>
          <w:tcPr>
            <w:tcW w:w="1040" w:type="dxa"/>
            <w:vAlign w:val="bottom"/>
            <w:shd w:val="clear" w:color="auto" w:fill="EAEEF2"/>
          </w:tcPr>
          <w:p>
            <w:pPr>
              <w:spacing w:after="0"/>
              <w:rPr>
                <w:sz w:val="18"/>
                <w:szCs w:val="18"/>
                <w:color w:val="auto"/>
              </w:rPr>
            </w:pPr>
          </w:p>
        </w:tc>
        <w:tc>
          <w:tcPr>
            <w:tcW w:w="760" w:type="dxa"/>
            <w:vAlign w:val="bottom"/>
            <w:shd w:val="clear" w:color="auto" w:fill="EAEEF2"/>
          </w:tcPr>
          <w:p>
            <w:pPr>
              <w:spacing w:after="0"/>
              <w:rPr>
                <w:sz w:val="18"/>
                <w:szCs w:val="18"/>
                <w:color w:val="auto"/>
              </w:rPr>
            </w:pPr>
          </w:p>
        </w:tc>
        <w:tc>
          <w:tcPr>
            <w:tcW w:w="900" w:type="dxa"/>
            <w:vAlign w:val="bottom"/>
            <w:shd w:val="clear" w:color="auto" w:fill="EAEEF2"/>
          </w:tcPr>
          <w:p>
            <w:pPr>
              <w:spacing w:after="0"/>
              <w:rPr>
                <w:sz w:val="18"/>
                <w:szCs w:val="18"/>
                <w:color w:val="auto"/>
              </w:rPr>
            </w:pP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47,282</w:t>
            </w:r>
          </w:p>
        </w:tc>
        <w:tc>
          <w:tcPr>
            <w:tcW w:w="920" w:type="dxa"/>
            <w:vAlign w:val="bottom"/>
            <w:shd w:val="clear" w:color="auto" w:fill="EAEEF2"/>
          </w:tcPr>
          <w:p>
            <w:pPr>
              <w:jc w:val="right"/>
              <w:ind w:right="18"/>
              <w:spacing w:after="0"/>
              <w:rPr>
                <w:sz w:val="20"/>
                <w:szCs w:val="20"/>
                <w:color w:val="auto"/>
              </w:rPr>
            </w:pPr>
            <w:r>
              <w:rPr>
                <w:rFonts w:ascii="Arial" w:cs="Arial" w:eastAsia="Arial" w:hAnsi="Arial"/>
                <w:sz w:val="13"/>
                <w:szCs w:val="13"/>
                <w:color w:val="4D4D4F"/>
              </w:rPr>
              <w:t>1,077,084</w:t>
            </w:r>
          </w:p>
        </w:tc>
        <w:tc>
          <w:tcPr>
            <w:tcW w:w="1120" w:type="dxa"/>
            <w:vAlign w:val="bottom"/>
            <w:shd w:val="clear" w:color="auto" w:fill="EAEEF2"/>
          </w:tcPr>
          <w:p>
            <w:pPr>
              <w:spacing w:after="0"/>
              <w:rPr>
                <w:sz w:val="18"/>
                <w:szCs w:val="18"/>
                <w:color w:val="auto"/>
              </w:rPr>
            </w:pPr>
          </w:p>
        </w:tc>
        <w:tc>
          <w:tcPr>
            <w:tcW w:w="1260" w:type="dxa"/>
            <w:vAlign w:val="bottom"/>
            <w:shd w:val="clear" w:color="auto" w:fill="EAEE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AEEF2"/>
          </w:tcPr>
          <w:p>
            <w:pPr>
              <w:spacing w:after="0"/>
              <w:rPr>
                <w:sz w:val="18"/>
                <w:szCs w:val="18"/>
                <w:color w:val="auto"/>
              </w:rPr>
            </w:pP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03/15/2023</w:t>
            </w:r>
          </w:p>
        </w:tc>
        <w:tc>
          <w:tcPr>
            <w:tcW w:w="1100" w:type="dxa"/>
            <w:vAlign w:val="bottom"/>
            <w:shd w:val="clear" w:color="auto" w:fill="EAEEF2"/>
          </w:tcPr>
          <w:p>
            <w:pPr>
              <w:spacing w:after="0"/>
              <w:rPr>
                <w:sz w:val="18"/>
                <w:szCs w:val="18"/>
                <w:color w:val="auto"/>
              </w:rPr>
            </w:pPr>
          </w:p>
        </w:tc>
        <w:tc>
          <w:tcPr>
            <w:tcW w:w="1340" w:type="dxa"/>
            <w:vAlign w:val="bottom"/>
            <w:shd w:val="clear" w:color="auto" w:fill="EAEEF2"/>
          </w:tcPr>
          <w:p>
            <w:pPr>
              <w:spacing w:after="0"/>
              <w:rPr>
                <w:sz w:val="18"/>
                <w:szCs w:val="18"/>
                <w:color w:val="auto"/>
              </w:rPr>
            </w:pPr>
          </w:p>
        </w:tc>
        <w:tc>
          <w:tcPr>
            <w:tcW w:w="1040" w:type="dxa"/>
            <w:vAlign w:val="bottom"/>
            <w:shd w:val="clear" w:color="auto" w:fill="EAEEF2"/>
          </w:tcPr>
          <w:p>
            <w:pPr>
              <w:spacing w:after="0"/>
              <w:rPr>
                <w:sz w:val="18"/>
                <w:szCs w:val="18"/>
                <w:color w:val="auto"/>
              </w:rPr>
            </w:pPr>
          </w:p>
        </w:tc>
        <w:tc>
          <w:tcPr>
            <w:tcW w:w="760" w:type="dxa"/>
            <w:vAlign w:val="bottom"/>
            <w:shd w:val="clear" w:color="auto" w:fill="EAEEF2"/>
          </w:tcPr>
          <w:p>
            <w:pPr>
              <w:spacing w:after="0"/>
              <w:rPr>
                <w:sz w:val="18"/>
                <w:szCs w:val="18"/>
                <w:color w:val="auto"/>
              </w:rPr>
            </w:pPr>
          </w:p>
        </w:tc>
        <w:tc>
          <w:tcPr>
            <w:tcW w:w="900" w:type="dxa"/>
            <w:vAlign w:val="bottom"/>
            <w:shd w:val="clear" w:color="auto" w:fill="EAEEF2"/>
          </w:tcPr>
          <w:p>
            <w:pPr>
              <w:spacing w:after="0"/>
              <w:rPr>
                <w:sz w:val="18"/>
                <w:szCs w:val="18"/>
                <w:color w:val="auto"/>
              </w:rPr>
            </w:pP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75,094</w:t>
            </w:r>
          </w:p>
        </w:tc>
        <w:tc>
          <w:tcPr>
            <w:tcW w:w="920" w:type="dxa"/>
            <w:vAlign w:val="bottom"/>
            <w:shd w:val="clear" w:color="auto" w:fill="EAEEF2"/>
          </w:tcPr>
          <w:p>
            <w:pPr>
              <w:jc w:val="right"/>
              <w:ind w:right="18"/>
              <w:spacing w:after="0"/>
              <w:rPr>
                <w:sz w:val="20"/>
                <w:szCs w:val="20"/>
                <w:color w:val="auto"/>
              </w:rPr>
            </w:pPr>
            <w:r>
              <w:rPr>
                <w:rFonts w:ascii="Arial" w:cs="Arial" w:eastAsia="Arial" w:hAnsi="Arial"/>
                <w:sz w:val="13"/>
                <w:szCs w:val="13"/>
                <w:color w:val="4D4D4F"/>
              </w:rPr>
              <w:t>1,710,641</w:t>
            </w:r>
          </w:p>
        </w:tc>
        <w:tc>
          <w:tcPr>
            <w:tcW w:w="1120" w:type="dxa"/>
            <w:vAlign w:val="bottom"/>
            <w:shd w:val="clear" w:color="auto" w:fill="EAEEF2"/>
          </w:tcPr>
          <w:p>
            <w:pPr>
              <w:spacing w:after="0"/>
              <w:rPr>
                <w:sz w:val="18"/>
                <w:szCs w:val="18"/>
                <w:color w:val="auto"/>
              </w:rPr>
            </w:pPr>
          </w:p>
        </w:tc>
        <w:tc>
          <w:tcPr>
            <w:tcW w:w="1260" w:type="dxa"/>
            <w:vAlign w:val="bottom"/>
            <w:shd w:val="clear" w:color="auto" w:fill="EAEE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AEEF2"/>
          </w:tcPr>
          <w:p>
            <w:pPr>
              <w:spacing w:after="0"/>
              <w:rPr>
                <w:sz w:val="18"/>
                <w:szCs w:val="18"/>
                <w:color w:val="auto"/>
              </w:rPr>
            </w:pP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03/31/2021</w:t>
            </w:r>
          </w:p>
        </w:tc>
        <w:tc>
          <w:tcPr>
            <w:tcW w:w="1100" w:type="dxa"/>
            <w:vAlign w:val="bottom"/>
            <w:shd w:val="clear" w:color="auto" w:fill="EAEEF2"/>
          </w:tcPr>
          <w:p>
            <w:pPr>
              <w:spacing w:after="0"/>
              <w:rPr>
                <w:sz w:val="18"/>
                <w:szCs w:val="18"/>
                <w:color w:val="auto"/>
              </w:rPr>
            </w:pPr>
          </w:p>
        </w:tc>
        <w:tc>
          <w:tcPr>
            <w:tcW w:w="1340" w:type="dxa"/>
            <w:vAlign w:val="bottom"/>
            <w:shd w:val="clear" w:color="auto" w:fill="EAEEF2"/>
          </w:tcPr>
          <w:p>
            <w:pPr>
              <w:spacing w:after="0"/>
              <w:rPr>
                <w:sz w:val="18"/>
                <w:szCs w:val="18"/>
                <w:color w:val="auto"/>
              </w:rPr>
            </w:pPr>
          </w:p>
        </w:tc>
        <w:tc>
          <w:tcPr>
            <w:tcW w:w="1040" w:type="dxa"/>
            <w:vAlign w:val="bottom"/>
            <w:shd w:val="clear" w:color="auto" w:fill="EAEEF2"/>
          </w:tcPr>
          <w:p>
            <w:pPr>
              <w:spacing w:after="0"/>
              <w:rPr>
                <w:sz w:val="18"/>
                <w:szCs w:val="18"/>
                <w:color w:val="auto"/>
              </w:rPr>
            </w:pPr>
          </w:p>
        </w:tc>
        <w:tc>
          <w:tcPr>
            <w:tcW w:w="760" w:type="dxa"/>
            <w:vAlign w:val="bottom"/>
            <w:shd w:val="clear" w:color="auto" w:fill="EAEEF2"/>
          </w:tcPr>
          <w:p>
            <w:pPr>
              <w:spacing w:after="0"/>
              <w:rPr>
                <w:sz w:val="18"/>
                <w:szCs w:val="18"/>
                <w:color w:val="auto"/>
              </w:rPr>
            </w:pPr>
          </w:p>
        </w:tc>
        <w:tc>
          <w:tcPr>
            <w:tcW w:w="900" w:type="dxa"/>
            <w:vAlign w:val="bottom"/>
            <w:shd w:val="clear" w:color="auto" w:fill="EAEEF2"/>
          </w:tcPr>
          <w:p>
            <w:pPr>
              <w:spacing w:after="0"/>
              <w:rPr>
                <w:sz w:val="18"/>
                <w:szCs w:val="18"/>
                <w:color w:val="auto"/>
              </w:rPr>
            </w:pP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48,296</w:t>
            </w:r>
          </w:p>
        </w:tc>
        <w:tc>
          <w:tcPr>
            <w:tcW w:w="920" w:type="dxa"/>
            <w:vAlign w:val="bottom"/>
            <w:shd w:val="clear" w:color="auto" w:fill="EAEEF2"/>
          </w:tcPr>
          <w:p>
            <w:pPr>
              <w:jc w:val="right"/>
              <w:ind w:right="18"/>
              <w:spacing w:after="0"/>
              <w:rPr>
                <w:sz w:val="20"/>
                <w:szCs w:val="20"/>
                <w:color w:val="auto"/>
              </w:rPr>
            </w:pPr>
            <w:r>
              <w:rPr>
                <w:rFonts w:ascii="Arial" w:cs="Arial" w:eastAsia="Arial" w:hAnsi="Arial"/>
                <w:sz w:val="13"/>
                <w:szCs w:val="13"/>
                <w:color w:val="4D4D4F"/>
              </w:rPr>
              <w:t>1,100,183</w:t>
            </w:r>
          </w:p>
        </w:tc>
        <w:tc>
          <w:tcPr>
            <w:tcW w:w="1120" w:type="dxa"/>
            <w:vAlign w:val="bottom"/>
            <w:shd w:val="clear" w:color="auto" w:fill="EAEEF2"/>
          </w:tcPr>
          <w:p>
            <w:pPr>
              <w:jc w:val="right"/>
              <w:ind w:right="58"/>
              <w:spacing w:after="0"/>
              <w:rPr>
                <w:sz w:val="20"/>
                <w:szCs w:val="20"/>
                <w:color w:val="auto"/>
              </w:rPr>
            </w:pPr>
            <w:r>
              <w:rPr>
                <w:rFonts w:ascii="Arial" w:cs="Arial" w:eastAsia="Arial" w:hAnsi="Arial"/>
                <w:sz w:val="13"/>
                <w:szCs w:val="13"/>
                <w:color w:val="4D4D4F"/>
              </w:rPr>
              <w:t>24,148</w:t>
            </w:r>
          </w:p>
        </w:tc>
        <w:tc>
          <w:tcPr>
            <w:tcW w:w="1260" w:type="dxa"/>
            <w:vAlign w:val="bottom"/>
            <w:shd w:val="clear" w:color="auto" w:fill="EAEEF2"/>
          </w:tcPr>
          <w:p>
            <w:pPr>
              <w:jc w:val="right"/>
              <w:ind w:right="99"/>
              <w:spacing w:after="0"/>
              <w:rPr>
                <w:sz w:val="20"/>
                <w:szCs w:val="20"/>
                <w:color w:val="auto"/>
              </w:rPr>
            </w:pPr>
            <w:r>
              <w:rPr>
                <w:rFonts w:ascii="Arial" w:cs="Arial" w:eastAsia="Arial" w:hAnsi="Arial"/>
                <w:sz w:val="13"/>
                <w:szCs w:val="13"/>
                <w:color w:val="4D4D4F"/>
              </w:rPr>
              <w:t>550,091</w:t>
            </w:r>
          </w:p>
        </w:tc>
        <w:tc>
          <w:tcPr>
            <w:tcW w:w="0" w:type="dxa"/>
            <w:vAlign w:val="bottom"/>
          </w:tcPr>
          <w:p>
            <w:pPr>
              <w:spacing w:after="0"/>
              <w:rPr>
                <w:sz w:val="1"/>
                <w:szCs w:val="1"/>
                <w:color w:val="auto"/>
              </w:rPr>
            </w:pPr>
          </w:p>
        </w:tc>
      </w:tr>
      <w:tr>
        <w:trPr>
          <w:trHeight w:val="216"/>
        </w:trPr>
        <w:tc>
          <w:tcPr>
            <w:tcW w:w="1040" w:type="dxa"/>
            <w:vAlign w:val="bottom"/>
            <w:shd w:val="clear" w:color="auto" w:fill="EAEEF2"/>
          </w:tcPr>
          <w:p>
            <w:pPr>
              <w:spacing w:after="0"/>
              <w:rPr>
                <w:sz w:val="18"/>
                <w:szCs w:val="18"/>
                <w:color w:val="auto"/>
              </w:rPr>
            </w:pP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03/15/2022</w:t>
            </w:r>
          </w:p>
        </w:tc>
        <w:tc>
          <w:tcPr>
            <w:tcW w:w="1100" w:type="dxa"/>
            <w:vAlign w:val="bottom"/>
            <w:shd w:val="clear" w:color="auto" w:fill="EAEEF2"/>
          </w:tcPr>
          <w:p>
            <w:pPr>
              <w:spacing w:after="0"/>
              <w:rPr>
                <w:sz w:val="18"/>
                <w:szCs w:val="18"/>
                <w:color w:val="auto"/>
              </w:rPr>
            </w:pPr>
          </w:p>
        </w:tc>
        <w:tc>
          <w:tcPr>
            <w:tcW w:w="1340" w:type="dxa"/>
            <w:vAlign w:val="bottom"/>
            <w:shd w:val="clear" w:color="auto" w:fill="EAEEF2"/>
          </w:tcPr>
          <w:p>
            <w:pPr>
              <w:spacing w:after="0"/>
              <w:rPr>
                <w:sz w:val="18"/>
                <w:szCs w:val="18"/>
                <w:color w:val="auto"/>
              </w:rPr>
            </w:pPr>
          </w:p>
        </w:tc>
        <w:tc>
          <w:tcPr>
            <w:tcW w:w="1040" w:type="dxa"/>
            <w:vAlign w:val="bottom"/>
            <w:shd w:val="clear" w:color="auto" w:fill="EAEEF2"/>
          </w:tcPr>
          <w:p>
            <w:pPr>
              <w:spacing w:after="0"/>
              <w:rPr>
                <w:sz w:val="18"/>
                <w:szCs w:val="18"/>
                <w:color w:val="auto"/>
              </w:rPr>
            </w:pPr>
          </w:p>
        </w:tc>
        <w:tc>
          <w:tcPr>
            <w:tcW w:w="760" w:type="dxa"/>
            <w:vAlign w:val="bottom"/>
            <w:shd w:val="clear" w:color="auto" w:fill="EAEEF2"/>
          </w:tcPr>
          <w:p>
            <w:pPr>
              <w:spacing w:after="0"/>
              <w:rPr>
                <w:sz w:val="18"/>
                <w:szCs w:val="18"/>
                <w:color w:val="auto"/>
              </w:rPr>
            </w:pPr>
          </w:p>
        </w:tc>
        <w:tc>
          <w:tcPr>
            <w:tcW w:w="900" w:type="dxa"/>
            <w:vAlign w:val="bottom"/>
            <w:shd w:val="clear" w:color="auto" w:fill="EAEEF2"/>
          </w:tcPr>
          <w:p>
            <w:pPr>
              <w:spacing w:after="0"/>
              <w:rPr>
                <w:sz w:val="18"/>
                <w:szCs w:val="18"/>
                <w:color w:val="auto"/>
              </w:rPr>
            </w:pP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106,383</w:t>
            </w:r>
          </w:p>
        </w:tc>
        <w:tc>
          <w:tcPr>
            <w:tcW w:w="920" w:type="dxa"/>
            <w:vAlign w:val="bottom"/>
            <w:shd w:val="clear" w:color="auto" w:fill="EAEEF2"/>
          </w:tcPr>
          <w:p>
            <w:pPr>
              <w:jc w:val="right"/>
              <w:ind w:right="18"/>
              <w:spacing w:after="0"/>
              <w:rPr>
                <w:sz w:val="20"/>
                <w:szCs w:val="20"/>
                <w:color w:val="auto"/>
              </w:rPr>
            </w:pPr>
            <w:r>
              <w:rPr>
                <w:rFonts w:ascii="Arial" w:cs="Arial" w:eastAsia="Arial" w:hAnsi="Arial"/>
                <w:sz w:val="13"/>
                <w:szCs w:val="13"/>
                <w:color w:val="4D4D4F"/>
              </w:rPr>
              <w:t>2,423,405</w:t>
            </w:r>
          </w:p>
        </w:tc>
        <w:tc>
          <w:tcPr>
            <w:tcW w:w="1120" w:type="dxa"/>
            <w:vAlign w:val="bottom"/>
            <w:shd w:val="clear" w:color="auto" w:fill="EAEEF2"/>
          </w:tcPr>
          <w:p>
            <w:pPr>
              <w:jc w:val="right"/>
              <w:ind w:right="58"/>
              <w:spacing w:after="0"/>
              <w:rPr>
                <w:sz w:val="20"/>
                <w:szCs w:val="20"/>
                <w:color w:val="auto"/>
              </w:rPr>
            </w:pPr>
            <w:r>
              <w:rPr>
                <w:rFonts w:ascii="Arial" w:cs="Arial" w:eastAsia="Arial" w:hAnsi="Arial"/>
                <w:sz w:val="13"/>
                <w:szCs w:val="13"/>
                <w:color w:val="4D4D4F"/>
              </w:rPr>
              <w:t>31,915</w:t>
            </w:r>
          </w:p>
        </w:tc>
        <w:tc>
          <w:tcPr>
            <w:tcW w:w="1260" w:type="dxa"/>
            <w:vAlign w:val="bottom"/>
            <w:shd w:val="clear" w:color="auto" w:fill="EAEEF2"/>
          </w:tcPr>
          <w:p>
            <w:pPr>
              <w:jc w:val="right"/>
              <w:ind w:right="99"/>
              <w:spacing w:after="0"/>
              <w:rPr>
                <w:sz w:val="20"/>
                <w:szCs w:val="20"/>
                <w:color w:val="auto"/>
              </w:rPr>
            </w:pPr>
            <w:r>
              <w:rPr>
                <w:rFonts w:ascii="Arial" w:cs="Arial" w:eastAsia="Arial" w:hAnsi="Arial"/>
                <w:sz w:val="13"/>
                <w:szCs w:val="13"/>
                <w:color w:val="4D4D4F"/>
              </w:rPr>
              <w:t>727,021</w:t>
            </w:r>
          </w:p>
        </w:tc>
        <w:tc>
          <w:tcPr>
            <w:tcW w:w="0" w:type="dxa"/>
            <w:vAlign w:val="bottom"/>
          </w:tcPr>
          <w:p>
            <w:pPr>
              <w:spacing w:after="0"/>
              <w:rPr>
                <w:sz w:val="1"/>
                <w:szCs w:val="1"/>
                <w:color w:val="auto"/>
              </w:rPr>
            </w:pPr>
          </w:p>
        </w:tc>
      </w:tr>
      <w:tr>
        <w:trPr>
          <w:trHeight w:val="216"/>
        </w:trPr>
        <w:tc>
          <w:tcPr>
            <w:tcW w:w="1040" w:type="dxa"/>
            <w:vAlign w:val="bottom"/>
            <w:shd w:val="clear" w:color="auto" w:fill="EAEEF2"/>
          </w:tcPr>
          <w:p>
            <w:pPr>
              <w:spacing w:after="0"/>
              <w:rPr>
                <w:sz w:val="18"/>
                <w:szCs w:val="18"/>
                <w:color w:val="auto"/>
              </w:rPr>
            </w:pP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11/10/2022</w:t>
            </w:r>
          </w:p>
        </w:tc>
        <w:tc>
          <w:tcPr>
            <w:tcW w:w="1100" w:type="dxa"/>
            <w:vAlign w:val="bottom"/>
            <w:shd w:val="clear" w:color="auto" w:fill="EAEEF2"/>
          </w:tcPr>
          <w:p>
            <w:pPr>
              <w:spacing w:after="0"/>
              <w:rPr>
                <w:sz w:val="18"/>
                <w:szCs w:val="18"/>
                <w:color w:val="auto"/>
              </w:rPr>
            </w:pPr>
          </w:p>
        </w:tc>
        <w:tc>
          <w:tcPr>
            <w:tcW w:w="1340" w:type="dxa"/>
            <w:vAlign w:val="bottom"/>
            <w:shd w:val="clear" w:color="auto" w:fill="EAEEF2"/>
          </w:tcPr>
          <w:p>
            <w:pPr>
              <w:spacing w:after="0"/>
              <w:rPr>
                <w:sz w:val="18"/>
                <w:szCs w:val="18"/>
                <w:color w:val="auto"/>
              </w:rPr>
            </w:pPr>
          </w:p>
        </w:tc>
        <w:tc>
          <w:tcPr>
            <w:tcW w:w="1040" w:type="dxa"/>
            <w:vAlign w:val="bottom"/>
            <w:shd w:val="clear" w:color="auto" w:fill="EAEEF2"/>
          </w:tcPr>
          <w:p>
            <w:pPr>
              <w:spacing w:after="0"/>
              <w:rPr>
                <w:sz w:val="18"/>
                <w:szCs w:val="18"/>
                <w:color w:val="auto"/>
              </w:rPr>
            </w:pPr>
          </w:p>
        </w:tc>
        <w:tc>
          <w:tcPr>
            <w:tcW w:w="760" w:type="dxa"/>
            <w:vAlign w:val="bottom"/>
            <w:shd w:val="clear" w:color="auto" w:fill="EAEEF2"/>
          </w:tcPr>
          <w:p>
            <w:pPr>
              <w:spacing w:after="0"/>
              <w:rPr>
                <w:sz w:val="18"/>
                <w:szCs w:val="18"/>
                <w:color w:val="auto"/>
              </w:rPr>
            </w:pPr>
          </w:p>
        </w:tc>
        <w:tc>
          <w:tcPr>
            <w:tcW w:w="900" w:type="dxa"/>
            <w:vAlign w:val="bottom"/>
            <w:shd w:val="clear" w:color="auto" w:fill="EAEEF2"/>
          </w:tcPr>
          <w:p>
            <w:pPr>
              <w:spacing w:after="0"/>
              <w:rPr>
                <w:sz w:val="18"/>
                <w:szCs w:val="18"/>
                <w:color w:val="auto"/>
              </w:rPr>
            </w:pP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181,160</w:t>
            </w:r>
          </w:p>
        </w:tc>
        <w:tc>
          <w:tcPr>
            <w:tcW w:w="920" w:type="dxa"/>
            <w:vAlign w:val="bottom"/>
            <w:shd w:val="clear" w:color="auto" w:fill="EAEEF2"/>
          </w:tcPr>
          <w:p>
            <w:pPr>
              <w:jc w:val="right"/>
              <w:ind w:right="18"/>
              <w:spacing w:after="0"/>
              <w:rPr>
                <w:sz w:val="20"/>
                <w:szCs w:val="20"/>
                <w:color w:val="auto"/>
              </w:rPr>
            </w:pPr>
            <w:r>
              <w:rPr>
                <w:rFonts w:ascii="Arial" w:cs="Arial" w:eastAsia="Arial" w:hAnsi="Arial"/>
                <w:sz w:val="13"/>
                <w:szCs w:val="13"/>
                <w:color w:val="4D4D4F"/>
              </w:rPr>
              <w:t>4,126,825</w:t>
            </w:r>
          </w:p>
        </w:tc>
        <w:tc>
          <w:tcPr>
            <w:tcW w:w="1120" w:type="dxa"/>
            <w:vAlign w:val="bottom"/>
            <w:shd w:val="clear" w:color="auto" w:fill="EAEEF2"/>
          </w:tcPr>
          <w:p>
            <w:pPr>
              <w:jc w:val="right"/>
              <w:ind w:right="58"/>
              <w:spacing w:after="0"/>
              <w:rPr>
                <w:sz w:val="20"/>
                <w:szCs w:val="20"/>
                <w:color w:val="auto"/>
              </w:rPr>
            </w:pPr>
            <w:r>
              <w:rPr>
                <w:rFonts w:ascii="Arial" w:cs="Arial" w:eastAsia="Arial" w:hAnsi="Arial"/>
                <w:sz w:val="13"/>
                <w:szCs w:val="13"/>
                <w:color w:val="4D4D4F"/>
              </w:rPr>
              <w:t>90,580</w:t>
            </w:r>
          </w:p>
        </w:tc>
        <w:tc>
          <w:tcPr>
            <w:tcW w:w="1260" w:type="dxa"/>
            <w:vAlign w:val="bottom"/>
            <w:shd w:val="clear" w:color="auto" w:fill="EAEEF2"/>
          </w:tcPr>
          <w:p>
            <w:pPr>
              <w:jc w:val="right"/>
              <w:ind w:right="99"/>
              <w:spacing w:after="0"/>
              <w:rPr>
                <w:sz w:val="20"/>
                <w:szCs w:val="20"/>
                <w:color w:val="auto"/>
              </w:rPr>
            </w:pPr>
            <w:r>
              <w:rPr>
                <w:rFonts w:ascii="Arial" w:cs="Arial" w:eastAsia="Arial" w:hAnsi="Arial"/>
                <w:sz w:val="13"/>
                <w:szCs w:val="13"/>
                <w:color w:val="4D4D4F"/>
              </w:rPr>
              <w:t>2,063,412</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EAEEF2"/>
            </w:tcBorders>
            <w:shd w:val="clear" w:color="auto" w:fill="EAEEF2"/>
          </w:tcPr>
          <w:p>
            <w:pPr>
              <w:spacing w:after="0"/>
              <w:rPr>
                <w:sz w:val="20"/>
                <w:szCs w:val="20"/>
                <w:color w:val="auto"/>
              </w:rPr>
            </w:pPr>
          </w:p>
        </w:tc>
        <w:tc>
          <w:tcPr>
            <w:tcW w:w="880" w:type="dxa"/>
            <w:vAlign w:val="bottom"/>
            <w:tcBorders>
              <w:bottom w:val="single" w:sz="8" w:color="EAEEF2"/>
            </w:tcBorders>
            <w:shd w:val="clear" w:color="auto" w:fill="EAEEF2"/>
          </w:tcPr>
          <w:p>
            <w:pPr>
              <w:jc w:val="center"/>
              <w:spacing w:after="0"/>
              <w:rPr>
                <w:sz w:val="20"/>
                <w:szCs w:val="20"/>
                <w:color w:val="auto"/>
              </w:rPr>
            </w:pPr>
            <w:r>
              <w:rPr>
                <w:rFonts w:ascii="Arial" w:cs="Arial" w:eastAsia="Arial" w:hAnsi="Arial"/>
                <w:sz w:val="13"/>
                <w:szCs w:val="13"/>
                <w:color w:val="4D4D4F"/>
                <w:w w:val="95"/>
              </w:rPr>
              <w:t>03/15/2023</w:t>
            </w:r>
          </w:p>
        </w:tc>
        <w:tc>
          <w:tcPr>
            <w:tcW w:w="1100" w:type="dxa"/>
            <w:vAlign w:val="bottom"/>
            <w:tcBorders>
              <w:bottom w:val="single" w:sz="8" w:color="EAEEF2"/>
            </w:tcBorders>
            <w:shd w:val="clear" w:color="auto" w:fill="EAEEF2"/>
          </w:tcPr>
          <w:p>
            <w:pPr>
              <w:spacing w:after="0"/>
              <w:rPr>
                <w:sz w:val="20"/>
                <w:szCs w:val="20"/>
                <w:color w:val="auto"/>
              </w:rPr>
            </w:pPr>
          </w:p>
        </w:tc>
        <w:tc>
          <w:tcPr>
            <w:tcW w:w="1340" w:type="dxa"/>
            <w:vAlign w:val="bottom"/>
            <w:tcBorders>
              <w:bottom w:val="single" w:sz="8" w:color="EAEEF2"/>
            </w:tcBorders>
            <w:shd w:val="clear" w:color="auto" w:fill="EAEEF2"/>
          </w:tcPr>
          <w:p>
            <w:pPr>
              <w:spacing w:after="0"/>
              <w:rPr>
                <w:sz w:val="20"/>
                <w:szCs w:val="20"/>
                <w:color w:val="auto"/>
              </w:rPr>
            </w:pPr>
          </w:p>
        </w:tc>
        <w:tc>
          <w:tcPr>
            <w:tcW w:w="1040" w:type="dxa"/>
            <w:vAlign w:val="bottom"/>
            <w:tcBorders>
              <w:bottom w:val="single" w:sz="8" w:color="EAEEF2"/>
            </w:tcBorders>
            <w:shd w:val="clear" w:color="auto" w:fill="EAEEF2"/>
          </w:tcPr>
          <w:p>
            <w:pPr>
              <w:spacing w:after="0"/>
              <w:rPr>
                <w:sz w:val="20"/>
                <w:szCs w:val="20"/>
                <w:color w:val="auto"/>
              </w:rPr>
            </w:pPr>
          </w:p>
        </w:tc>
        <w:tc>
          <w:tcPr>
            <w:tcW w:w="760" w:type="dxa"/>
            <w:vAlign w:val="bottom"/>
            <w:tcBorders>
              <w:bottom w:val="single" w:sz="8" w:color="EAEEF2"/>
            </w:tcBorders>
            <w:shd w:val="clear" w:color="auto" w:fill="EAEEF2"/>
          </w:tcPr>
          <w:p>
            <w:pPr>
              <w:spacing w:after="0"/>
              <w:rPr>
                <w:sz w:val="20"/>
                <w:szCs w:val="20"/>
                <w:color w:val="auto"/>
              </w:rPr>
            </w:pPr>
          </w:p>
        </w:tc>
        <w:tc>
          <w:tcPr>
            <w:tcW w:w="900" w:type="dxa"/>
            <w:vAlign w:val="bottom"/>
            <w:tcBorders>
              <w:bottom w:val="single" w:sz="8" w:color="EAEEF2"/>
            </w:tcBorders>
            <w:shd w:val="clear" w:color="auto" w:fill="EAEEF2"/>
          </w:tcPr>
          <w:p>
            <w:pPr>
              <w:spacing w:after="0"/>
              <w:rPr>
                <w:sz w:val="20"/>
                <w:szCs w:val="20"/>
                <w:color w:val="auto"/>
              </w:rPr>
            </w:pPr>
          </w:p>
        </w:tc>
        <w:tc>
          <w:tcPr>
            <w:tcW w:w="880" w:type="dxa"/>
            <w:vAlign w:val="bottom"/>
            <w:tcBorders>
              <w:bottom w:val="single" w:sz="8" w:color="EAEEF2"/>
            </w:tcBorders>
            <w:shd w:val="clear" w:color="auto" w:fill="EAEEF2"/>
          </w:tcPr>
          <w:p>
            <w:pPr>
              <w:jc w:val="right"/>
              <w:spacing w:after="0"/>
              <w:rPr>
                <w:sz w:val="20"/>
                <w:szCs w:val="20"/>
                <w:color w:val="auto"/>
              </w:rPr>
            </w:pPr>
            <w:r>
              <w:rPr>
                <w:rFonts w:ascii="Arial" w:cs="Arial" w:eastAsia="Arial" w:hAnsi="Arial"/>
                <w:sz w:val="13"/>
                <w:szCs w:val="13"/>
                <w:color w:val="4D4D4F"/>
              </w:rPr>
              <w:t>112,641</w:t>
            </w:r>
          </w:p>
        </w:tc>
        <w:tc>
          <w:tcPr>
            <w:tcW w:w="920" w:type="dxa"/>
            <w:vAlign w:val="bottom"/>
            <w:tcBorders>
              <w:bottom w:val="single" w:sz="8" w:color="EAEEF2"/>
            </w:tcBorders>
            <w:shd w:val="clear" w:color="auto" w:fill="EAEEF2"/>
          </w:tcPr>
          <w:p>
            <w:pPr>
              <w:jc w:val="right"/>
              <w:ind w:right="18"/>
              <w:spacing w:after="0"/>
              <w:rPr>
                <w:sz w:val="20"/>
                <w:szCs w:val="20"/>
                <w:color w:val="auto"/>
              </w:rPr>
            </w:pPr>
            <w:r>
              <w:rPr>
                <w:rFonts w:ascii="Arial" w:cs="Arial" w:eastAsia="Arial" w:hAnsi="Arial"/>
                <w:sz w:val="13"/>
                <w:szCs w:val="13"/>
                <w:color w:val="4D4D4F"/>
              </w:rPr>
              <w:t>2,565,962</w:t>
            </w:r>
          </w:p>
        </w:tc>
        <w:tc>
          <w:tcPr>
            <w:tcW w:w="1120" w:type="dxa"/>
            <w:vAlign w:val="bottom"/>
            <w:tcBorders>
              <w:bottom w:val="single" w:sz="8" w:color="EAEEF2"/>
            </w:tcBorders>
            <w:shd w:val="clear" w:color="auto" w:fill="EAEEF2"/>
          </w:tcPr>
          <w:p>
            <w:pPr>
              <w:jc w:val="right"/>
              <w:ind w:right="58"/>
              <w:spacing w:after="0"/>
              <w:rPr>
                <w:sz w:val="20"/>
                <w:szCs w:val="20"/>
                <w:color w:val="auto"/>
              </w:rPr>
            </w:pPr>
            <w:r>
              <w:rPr>
                <w:rFonts w:ascii="Arial" w:cs="Arial" w:eastAsia="Arial" w:hAnsi="Arial"/>
                <w:sz w:val="13"/>
                <w:szCs w:val="13"/>
                <w:color w:val="4D4D4F"/>
              </w:rPr>
              <w:t>56,321</w:t>
            </w:r>
          </w:p>
        </w:tc>
        <w:tc>
          <w:tcPr>
            <w:tcW w:w="1260" w:type="dxa"/>
            <w:vAlign w:val="bottom"/>
            <w:tcBorders>
              <w:bottom w:val="single" w:sz="8" w:color="EAEEF2"/>
            </w:tcBorders>
            <w:shd w:val="clear" w:color="auto" w:fill="EAEEF2"/>
          </w:tcPr>
          <w:p>
            <w:pPr>
              <w:jc w:val="right"/>
              <w:ind w:right="99"/>
              <w:spacing w:after="0"/>
              <w:rPr>
                <w:sz w:val="20"/>
                <w:szCs w:val="20"/>
                <w:color w:val="auto"/>
              </w:rPr>
            </w:pPr>
            <w:r>
              <w:rPr>
                <w:rFonts w:ascii="Arial" w:cs="Arial" w:eastAsia="Arial" w:hAnsi="Arial"/>
                <w:sz w:val="13"/>
                <w:szCs w:val="13"/>
                <w:color w:val="4D4D4F"/>
              </w:rPr>
              <w:t>1,282,981</w:t>
            </w:r>
          </w:p>
        </w:tc>
        <w:tc>
          <w:tcPr>
            <w:tcW w:w="0" w:type="dxa"/>
            <w:vAlign w:val="bottom"/>
          </w:tcPr>
          <w:p>
            <w:pPr>
              <w:spacing w:after="0"/>
              <w:rPr>
                <w:sz w:val="1"/>
                <w:szCs w:val="1"/>
                <w:color w:val="auto"/>
              </w:rPr>
            </w:pPr>
          </w:p>
        </w:tc>
      </w:tr>
      <w:tr>
        <w:trPr>
          <w:trHeight w:val="181"/>
        </w:trPr>
        <w:tc>
          <w:tcPr>
            <w:tcW w:w="1040" w:type="dxa"/>
            <w:vAlign w:val="bottom"/>
          </w:tcPr>
          <w:p>
            <w:pPr>
              <w:ind w:left="100"/>
              <w:spacing w:after="0"/>
              <w:rPr>
                <w:sz w:val="20"/>
                <w:szCs w:val="20"/>
                <w:color w:val="auto"/>
              </w:rPr>
            </w:pPr>
            <w:r>
              <w:rPr>
                <w:rFonts w:ascii="Arial" w:cs="Arial" w:eastAsia="Arial" w:hAnsi="Arial"/>
                <w:sz w:val="13"/>
                <w:szCs w:val="13"/>
                <w:b w:val="1"/>
                <w:bCs w:val="1"/>
                <w:color w:val="4D4D4F"/>
              </w:rPr>
              <w:t>Ira M. Birns</w:t>
            </w:r>
          </w:p>
        </w:tc>
        <w:tc>
          <w:tcPr>
            <w:tcW w:w="880" w:type="dxa"/>
            <w:vAlign w:val="bottom"/>
          </w:tcPr>
          <w:p>
            <w:pPr>
              <w:jc w:val="center"/>
              <w:spacing w:after="0"/>
              <w:rPr>
                <w:sz w:val="20"/>
                <w:szCs w:val="20"/>
                <w:color w:val="auto"/>
              </w:rPr>
            </w:pPr>
            <w:r>
              <w:rPr>
                <w:rFonts w:ascii="Arial" w:cs="Arial" w:eastAsia="Arial" w:hAnsi="Arial"/>
                <w:sz w:val="13"/>
                <w:szCs w:val="13"/>
                <w:color w:val="4D4D4F"/>
                <w:w w:val="95"/>
              </w:rPr>
              <w:t>03/15/2021</w:t>
            </w: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4D4D4F"/>
              </w:rPr>
              <w:t>3,172</w:t>
            </w:r>
          </w:p>
        </w:tc>
        <w:tc>
          <w:tcPr>
            <w:tcW w:w="920" w:type="dxa"/>
            <w:vAlign w:val="bottom"/>
          </w:tcPr>
          <w:p>
            <w:pPr>
              <w:jc w:val="right"/>
              <w:ind w:right="18"/>
              <w:spacing w:after="0"/>
              <w:rPr>
                <w:sz w:val="20"/>
                <w:szCs w:val="20"/>
                <w:color w:val="auto"/>
              </w:rPr>
            </w:pPr>
            <w:r>
              <w:rPr>
                <w:rFonts w:ascii="Arial" w:cs="Arial" w:eastAsia="Arial" w:hAnsi="Arial"/>
                <w:sz w:val="13"/>
                <w:szCs w:val="13"/>
                <w:color w:val="4D4D4F"/>
              </w:rPr>
              <w:t>72,258</w:t>
            </w: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4D4D4F"/>
                <w:w w:val="95"/>
              </w:rPr>
              <w:t>03/15/2022</w:t>
            </w: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4D4D4F"/>
              </w:rPr>
              <w:t>14,868</w:t>
            </w:r>
          </w:p>
        </w:tc>
        <w:tc>
          <w:tcPr>
            <w:tcW w:w="920" w:type="dxa"/>
            <w:vAlign w:val="bottom"/>
          </w:tcPr>
          <w:p>
            <w:pPr>
              <w:jc w:val="right"/>
              <w:ind w:right="18"/>
              <w:spacing w:after="0"/>
              <w:rPr>
                <w:sz w:val="20"/>
                <w:szCs w:val="20"/>
                <w:color w:val="auto"/>
              </w:rPr>
            </w:pPr>
            <w:r>
              <w:rPr>
                <w:rFonts w:ascii="Arial" w:cs="Arial" w:eastAsia="Arial" w:hAnsi="Arial"/>
                <w:sz w:val="13"/>
                <w:szCs w:val="13"/>
                <w:color w:val="4D4D4F"/>
              </w:rPr>
              <w:t>338,693</w:t>
            </w: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4D4D4F"/>
                <w:w w:val="95"/>
              </w:rPr>
              <w:t>03/15/2022</w:t>
            </w: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4D4D4F"/>
              </w:rPr>
              <w:t>16,286</w:t>
            </w:r>
          </w:p>
        </w:tc>
        <w:tc>
          <w:tcPr>
            <w:tcW w:w="920" w:type="dxa"/>
            <w:vAlign w:val="bottom"/>
          </w:tcPr>
          <w:p>
            <w:pPr>
              <w:jc w:val="right"/>
              <w:ind w:right="18"/>
              <w:spacing w:after="0"/>
              <w:rPr>
                <w:sz w:val="20"/>
                <w:szCs w:val="20"/>
                <w:color w:val="auto"/>
              </w:rPr>
            </w:pPr>
            <w:r>
              <w:rPr>
                <w:rFonts w:ascii="Arial" w:cs="Arial" w:eastAsia="Arial" w:hAnsi="Arial"/>
                <w:sz w:val="13"/>
                <w:szCs w:val="13"/>
                <w:color w:val="4D4D4F"/>
              </w:rPr>
              <w:t>370,995</w:t>
            </w: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4D4D4F"/>
                <w:w w:val="95"/>
              </w:rPr>
              <w:t>03/15/2023</w:t>
            </w: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4D4D4F"/>
              </w:rPr>
              <w:t>25,866</w:t>
            </w:r>
          </w:p>
        </w:tc>
        <w:tc>
          <w:tcPr>
            <w:tcW w:w="920" w:type="dxa"/>
            <w:vAlign w:val="bottom"/>
          </w:tcPr>
          <w:p>
            <w:pPr>
              <w:jc w:val="right"/>
              <w:ind w:right="18"/>
              <w:spacing w:after="0"/>
              <w:rPr>
                <w:sz w:val="20"/>
                <w:szCs w:val="20"/>
                <w:color w:val="auto"/>
              </w:rPr>
            </w:pPr>
            <w:r>
              <w:rPr>
                <w:rFonts w:ascii="Arial" w:cs="Arial" w:eastAsia="Arial" w:hAnsi="Arial"/>
                <w:sz w:val="13"/>
                <w:szCs w:val="13"/>
                <w:color w:val="4D4D4F"/>
              </w:rPr>
              <w:t>589,227</w:t>
            </w: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4D4D4F"/>
                <w:w w:val="95"/>
              </w:rPr>
              <w:t>03/31/2021</w:t>
            </w: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4D4D4F"/>
              </w:rPr>
              <w:t>19,887</w:t>
            </w:r>
          </w:p>
        </w:tc>
        <w:tc>
          <w:tcPr>
            <w:tcW w:w="920" w:type="dxa"/>
            <w:vAlign w:val="bottom"/>
          </w:tcPr>
          <w:p>
            <w:pPr>
              <w:jc w:val="right"/>
              <w:ind w:right="18"/>
              <w:spacing w:after="0"/>
              <w:rPr>
                <w:sz w:val="20"/>
                <w:szCs w:val="20"/>
                <w:color w:val="auto"/>
              </w:rPr>
            </w:pPr>
            <w:r>
              <w:rPr>
                <w:rFonts w:ascii="Arial" w:cs="Arial" w:eastAsia="Arial" w:hAnsi="Arial"/>
                <w:sz w:val="13"/>
                <w:szCs w:val="13"/>
                <w:color w:val="4D4D4F"/>
              </w:rPr>
              <w:t>453,026</w:t>
            </w:r>
          </w:p>
        </w:tc>
        <w:tc>
          <w:tcPr>
            <w:tcW w:w="1120" w:type="dxa"/>
            <w:vAlign w:val="bottom"/>
          </w:tcPr>
          <w:p>
            <w:pPr>
              <w:jc w:val="right"/>
              <w:ind w:right="58"/>
              <w:spacing w:after="0"/>
              <w:rPr>
                <w:sz w:val="20"/>
                <w:szCs w:val="20"/>
                <w:color w:val="auto"/>
              </w:rPr>
            </w:pPr>
            <w:r>
              <w:rPr>
                <w:rFonts w:ascii="Arial" w:cs="Arial" w:eastAsia="Arial" w:hAnsi="Arial"/>
                <w:sz w:val="13"/>
                <w:szCs w:val="13"/>
                <w:color w:val="4D4D4F"/>
              </w:rPr>
              <w:t>9,944</w:t>
            </w:r>
          </w:p>
        </w:tc>
        <w:tc>
          <w:tcPr>
            <w:tcW w:w="1260" w:type="dxa"/>
            <w:vAlign w:val="bottom"/>
          </w:tcPr>
          <w:p>
            <w:pPr>
              <w:jc w:val="right"/>
              <w:ind w:right="99"/>
              <w:spacing w:after="0"/>
              <w:rPr>
                <w:sz w:val="20"/>
                <w:szCs w:val="20"/>
                <w:color w:val="auto"/>
              </w:rPr>
            </w:pPr>
            <w:r>
              <w:rPr>
                <w:rFonts w:ascii="Arial" w:cs="Arial" w:eastAsia="Arial" w:hAnsi="Arial"/>
                <w:sz w:val="13"/>
                <w:szCs w:val="13"/>
                <w:color w:val="4D4D4F"/>
              </w:rPr>
              <w:t>226,513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4D4D4F"/>
                <w:w w:val="95"/>
              </w:rPr>
              <w:t>03/15/2022</w:t>
            </w: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4D4D4F"/>
              </w:rPr>
              <w:t>36,644</w:t>
            </w:r>
          </w:p>
        </w:tc>
        <w:tc>
          <w:tcPr>
            <w:tcW w:w="920" w:type="dxa"/>
            <w:vAlign w:val="bottom"/>
          </w:tcPr>
          <w:p>
            <w:pPr>
              <w:jc w:val="right"/>
              <w:ind w:right="18"/>
              <w:spacing w:after="0"/>
              <w:rPr>
                <w:sz w:val="20"/>
                <w:szCs w:val="20"/>
                <w:color w:val="auto"/>
              </w:rPr>
            </w:pPr>
            <w:r>
              <w:rPr>
                <w:rFonts w:ascii="Arial" w:cs="Arial" w:eastAsia="Arial" w:hAnsi="Arial"/>
                <w:sz w:val="13"/>
                <w:szCs w:val="13"/>
                <w:color w:val="4D4D4F"/>
              </w:rPr>
              <w:t>834,750</w:t>
            </w:r>
          </w:p>
        </w:tc>
        <w:tc>
          <w:tcPr>
            <w:tcW w:w="1120" w:type="dxa"/>
            <w:vAlign w:val="bottom"/>
          </w:tcPr>
          <w:p>
            <w:pPr>
              <w:jc w:val="right"/>
              <w:ind w:right="58"/>
              <w:spacing w:after="0"/>
              <w:rPr>
                <w:sz w:val="20"/>
                <w:szCs w:val="20"/>
                <w:color w:val="auto"/>
              </w:rPr>
            </w:pPr>
            <w:r>
              <w:rPr>
                <w:rFonts w:ascii="Arial" w:cs="Arial" w:eastAsia="Arial" w:hAnsi="Arial"/>
                <w:sz w:val="13"/>
                <w:szCs w:val="13"/>
                <w:color w:val="4D4D4F"/>
              </w:rPr>
              <w:t>10,993</w:t>
            </w:r>
          </w:p>
        </w:tc>
        <w:tc>
          <w:tcPr>
            <w:tcW w:w="1260" w:type="dxa"/>
            <w:vAlign w:val="bottom"/>
          </w:tcPr>
          <w:p>
            <w:pPr>
              <w:jc w:val="right"/>
              <w:ind w:right="99"/>
              <w:spacing w:after="0"/>
              <w:rPr>
                <w:sz w:val="20"/>
                <w:szCs w:val="20"/>
                <w:color w:val="auto"/>
              </w:rPr>
            </w:pPr>
            <w:r>
              <w:rPr>
                <w:rFonts w:ascii="Arial" w:cs="Arial" w:eastAsia="Arial" w:hAnsi="Arial"/>
                <w:sz w:val="13"/>
                <w:szCs w:val="13"/>
                <w:color w:val="4D4D4F"/>
              </w:rPr>
              <w:t>250,425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4D4D4F"/>
                <w:w w:val="95"/>
              </w:rPr>
              <w:t>11/10/2022</w:t>
            </w: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4D4D4F"/>
              </w:rPr>
              <w:t>50,725</w:t>
            </w:r>
          </w:p>
        </w:tc>
        <w:tc>
          <w:tcPr>
            <w:tcW w:w="920" w:type="dxa"/>
            <w:vAlign w:val="bottom"/>
          </w:tcPr>
          <w:p>
            <w:pPr>
              <w:jc w:val="right"/>
              <w:ind w:right="18"/>
              <w:spacing w:after="0"/>
              <w:rPr>
                <w:sz w:val="20"/>
                <w:szCs w:val="20"/>
                <w:color w:val="auto"/>
              </w:rPr>
            </w:pPr>
            <w:r>
              <w:rPr>
                <w:rFonts w:ascii="Arial" w:cs="Arial" w:eastAsia="Arial" w:hAnsi="Arial"/>
                <w:sz w:val="13"/>
                <w:szCs w:val="13"/>
                <w:color w:val="4D4D4F"/>
              </w:rPr>
              <w:t>1,155,516</w:t>
            </w:r>
          </w:p>
        </w:tc>
        <w:tc>
          <w:tcPr>
            <w:tcW w:w="1120" w:type="dxa"/>
            <w:vAlign w:val="bottom"/>
          </w:tcPr>
          <w:p>
            <w:pPr>
              <w:jc w:val="right"/>
              <w:ind w:right="58"/>
              <w:spacing w:after="0"/>
              <w:rPr>
                <w:sz w:val="20"/>
                <w:szCs w:val="20"/>
                <w:color w:val="auto"/>
              </w:rPr>
            </w:pPr>
            <w:r>
              <w:rPr>
                <w:rFonts w:ascii="Arial" w:cs="Arial" w:eastAsia="Arial" w:hAnsi="Arial"/>
                <w:sz w:val="13"/>
                <w:szCs w:val="13"/>
                <w:color w:val="4D4D4F"/>
              </w:rPr>
              <w:t>25,363</w:t>
            </w:r>
          </w:p>
        </w:tc>
        <w:tc>
          <w:tcPr>
            <w:tcW w:w="1260" w:type="dxa"/>
            <w:vAlign w:val="bottom"/>
          </w:tcPr>
          <w:p>
            <w:pPr>
              <w:jc w:val="right"/>
              <w:ind w:right="99"/>
              <w:spacing w:after="0"/>
              <w:rPr>
                <w:sz w:val="20"/>
                <w:szCs w:val="20"/>
                <w:color w:val="auto"/>
              </w:rPr>
            </w:pPr>
            <w:r>
              <w:rPr>
                <w:rFonts w:ascii="Arial" w:cs="Arial" w:eastAsia="Arial" w:hAnsi="Arial"/>
                <w:sz w:val="13"/>
                <w:szCs w:val="13"/>
                <w:color w:val="4D4D4F"/>
              </w:rPr>
              <w:t>577,758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4D4D4F"/>
                <w:w w:val="95"/>
              </w:rPr>
              <w:t>03/15/2023</w:t>
            </w: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4D4D4F"/>
              </w:rPr>
              <w:t>38,799</w:t>
            </w:r>
          </w:p>
        </w:tc>
        <w:tc>
          <w:tcPr>
            <w:tcW w:w="920" w:type="dxa"/>
            <w:vAlign w:val="bottom"/>
          </w:tcPr>
          <w:p>
            <w:pPr>
              <w:jc w:val="right"/>
              <w:ind w:right="18"/>
              <w:spacing w:after="0"/>
              <w:rPr>
                <w:sz w:val="20"/>
                <w:szCs w:val="20"/>
                <w:color w:val="auto"/>
              </w:rPr>
            </w:pPr>
            <w:r>
              <w:rPr>
                <w:rFonts w:ascii="Arial" w:cs="Arial" w:eastAsia="Arial" w:hAnsi="Arial"/>
                <w:sz w:val="13"/>
                <w:szCs w:val="13"/>
                <w:color w:val="4D4D4F"/>
              </w:rPr>
              <w:t>883,841</w:t>
            </w:r>
          </w:p>
        </w:tc>
        <w:tc>
          <w:tcPr>
            <w:tcW w:w="1120" w:type="dxa"/>
            <w:vAlign w:val="bottom"/>
          </w:tcPr>
          <w:p>
            <w:pPr>
              <w:jc w:val="right"/>
              <w:ind w:right="58"/>
              <w:spacing w:after="0"/>
              <w:rPr>
                <w:sz w:val="20"/>
                <w:szCs w:val="20"/>
                <w:color w:val="auto"/>
              </w:rPr>
            </w:pPr>
            <w:r>
              <w:rPr>
                <w:rFonts w:ascii="Arial" w:cs="Arial" w:eastAsia="Arial" w:hAnsi="Arial"/>
                <w:sz w:val="13"/>
                <w:szCs w:val="13"/>
                <w:color w:val="4D4D4F"/>
              </w:rPr>
              <w:t>19,400</w:t>
            </w:r>
          </w:p>
        </w:tc>
        <w:tc>
          <w:tcPr>
            <w:tcW w:w="1260" w:type="dxa"/>
            <w:vAlign w:val="bottom"/>
          </w:tcPr>
          <w:p>
            <w:pPr>
              <w:jc w:val="right"/>
              <w:ind w:right="99"/>
              <w:spacing w:after="0"/>
              <w:rPr>
                <w:sz w:val="20"/>
                <w:szCs w:val="20"/>
                <w:color w:val="auto"/>
              </w:rPr>
            </w:pPr>
            <w:r>
              <w:rPr>
                <w:rFonts w:ascii="Arial" w:cs="Arial" w:eastAsia="Arial" w:hAnsi="Arial"/>
                <w:sz w:val="13"/>
                <w:szCs w:val="13"/>
                <w:color w:val="4D4D4F"/>
              </w:rPr>
              <w:t>441,921</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1040" w:type="dxa"/>
            <w:vAlign w:val="bottom"/>
            <w:shd w:val="clear" w:color="auto" w:fill="EAEEF2"/>
          </w:tcPr>
          <w:p>
            <w:pPr>
              <w:ind w:left="100"/>
              <w:spacing w:after="0"/>
              <w:rPr>
                <w:sz w:val="20"/>
                <w:szCs w:val="20"/>
                <w:color w:val="auto"/>
              </w:rPr>
            </w:pPr>
            <w:r>
              <w:rPr>
                <w:rFonts w:ascii="Arial" w:cs="Arial" w:eastAsia="Arial" w:hAnsi="Arial"/>
                <w:sz w:val="13"/>
                <w:szCs w:val="13"/>
                <w:b w:val="1"/>
                <w:bCs w:val="1"/>
                <w:color w:val="4D4D4F"/>
              </w:rPr>
              <w:t>John P. Rau</w:t>
            </w: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03/15/2021</w:t>
            </w:r>
          </w:p>
        </w:tc>
        <w:tc>
          <w:tcPr>
            <w:tcW w:w="1100" w:type="dxa"/>
            <w:vAlign w:val="bottom"/>
            <w:shd w:val="clear" w:color="auto" w:fill="EAEEF2"/>
          </w:tcPr>
          <w:p>
            <w:pPr>
              <w:spacing w:after="0"/>
              <w:rPr>
                <w:sz w:val="15"/>
                <w:szCs w:val="15"/>
                <w:color w:val="auto"/>
              </w:rPr>
            </w:pPr>
          </w:p>
        </w:tc>
        <w:tc>
          <w:tcPr>
            <w:tcW w:w="1340" w:type="dxa"/>
            <w:vAlign w:val="bottom"/>
            <w:shd w:val="clear" w:color="auto" w:fill="EAEEF2"/>
          </w:tcPr>
          <w:p>
            <w:pPr>
              <w:spacing w:after="0"/>
              <w:rPr>
                <w:sz w:val="15"/>
                <w:szCs w:val="15"/>
                <w:color w:val="auto"/>
              </w:rPr>
            </w:pPr>
          </w:p>
        </w:tc>
        <w:tc>
          <w:tcPr>
            <w:tcW w:w="1040" w:type="dxa"/>
            <w:vAlign w:val="bottom"/>
            <w:shd w:val="clear" w:color="auto" w:fill="EAEEF2"/>
          </w:tcPr>
          <w:p>
            <w:pPr>
              <w:spacing w:after="0"/>
              <w:rPr>
                <w:sz w:val="15"/>
                <w:szCs w:val="15"/>
                <w:color w:val="auto"/>
              </w:rPr>
            </w:pPr>
          </w:p>
        </w:tc>
        <w:tc>
          <w:tcPr>
            <w:tcW w:w="760" w:type="dxa"/>
            <w:vAlign w:val="bottom"/>
            <w:shd w:val="clear" w:color="auto" w:fill="EAEEF2"/>
          </w:tcPr>
          <w:p>
            <w:pPr>
              <w:spacing w:after="0"/>
              <w:rPr>
                <w:sz w:val="15"/>
                <w:szCs w:val="15"/>
                <w:color w:val="auto"/>
              </w:rPr>
            </w:pPr>
          </w:p>
        </w:tc>
        <w:tc>
          <w:tcPr>
            <w:tcW w:w="900" w:type="dxa"/>
            <w:vAlign w:val="bottom"/>
            <w:shd w:val="clear" w:color="auto" w:fill="EAEEF2"/>
          </w:tcPr>
          <w:p>
            <w:pPr>
              <w:spacing w:after="0"/>
              <w:rPr>
                <w:sz w:val="15"/>
                <w:szCs w:val="15"/>
                <w:color w:val="auto"/>
              </w:rPr>
            </w:pP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1,306</w:t>
            </w:r>
          </w:p>
        </w:tc>
        <w:tc>
          <w:tcPr>
            <w:tcW w:w="920" w:type="dxa"/>
            <w:vAlign w:val="bottom"/>
            <w:shd w:val="clear" w:color="auto" w:fill="EAEEF2"/>
          </w:tcPr>
          <w:p>
            <w:pPr>
              <w:jc w:val="right"/>
              <w:ind w:right="18"/>
              <w:spacing w:after="0"/>
              <w:rPr>
                <w:sz w:val="20"/>
                <w:szCs w:val="20"/>
                <w:color w:val="auto"/>
              </w:rPr>
            </w:pPr>
            <w:r>
              <w:rPr>
                <w:rFonts w:ascii="Arial" w:cs="Arial" w:eastAsia="Arial" w:hAnsi="Arial"/>
                <w:sz w:val="13"/>
                <w:szCs w:val="13"/>
                <w:color w:val="4D4D4F"/>
              </w:rPr>
              <w:t>29,751</w:t>
            </w:r>
          </w:p>
        </w:tc>
        <w:tc>
          <w:tcPr>
            <w:tcW w:w="1120" w:type="dxa"/>
            <w:vAlign w:val="bottom"/>
            <w:shd w:val="clear" w:color="auto" w:fill="EAEEF2"/>
          </w:tcPr>
          <w:p>
            <w:pPr>
              <w:spacing w:after="0"/>
              <w:rPr>
                <w:sz w:val="15"/>
                <w:szCs w:val="15"/>
                <w:color w:val="auto"/>
              </w:rPr>
            </w:pPr>
          </w:p>
        </w:tc>
        <w:tc>
          <w:tcPr>
            <w:tcW w:w="1260" w:type="dxa"/>
            <w:vAlign w:val="bottom"/>
            <w:shd w:val="clear" w:color="auto" w:fill="EAEEF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40" w:type="dxa"/>
            <w:vAlign w:val="bottom"/>
            <w:shd w:val="clear" w:color="auto" w:fill="EAEEF2"/>
          </w:tcPr>
          <w:p>
            <w:pPr>
              <w:spacing w:after="0"/>
              <w:rPr>
                <w:sz w:val="18"/>
                <w:szCs w:val="18"/>
                <w:color w:val="auto"/>
              </w:rPr>
            </w:pP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03/15/2022</w:t>
            </w:r>
          </w:p>
        </w:tc>
        <w:tc>
          <w:tcPr>
            <w:tcW w:w="1100" w:type="dxa"/>
            <w:vAlign w:val="bottom"/>
            <w:shd w:val="clear" w:color="auto" w:fill="EAEEF2"/>
          </w:tcPr>
          <w:p>
            <w:pPr>
              <w:spacing w:after="0"/>
              <w:rPr>
                <w:sz w:val="18"/>
                <w:szCs w:val="18"/>
                <w:color w:val="auto"/>
              </w:rPr>
            </w:pPr>
          </w:p>
        </w:tc>
        <w:tc>
          <w:tcPr>
            <w:tcW w:w="1340" w:type="dxa"/>
            <w:vAlign w:val="bottom"/>
            <w:shd w:val="clear" w:color="auto" w:fill="EAEEF2"/>
          </w:tcPr>
          <w:p>
            <w:pPr>
              <w:spacing w:after="0"/>
              <w:rPr>
                <w:sz w:val="18"/>
                <w:szCs w:val="18"/>
                <w:color w:val="auto"/>
              </w:rPr>
            </w:pPr>
          </w:p>
        </w:tc>
        <w:tc>
          <w:tcPr>
            <w:tcW w:w="1040" w:type="dxa"/>
            <w:vAlign w:val="bottom"/>
            <w:shd w:val="clear" w:color="auto" w:fill="EAEEF2"/>
          </w:tcPr>
          <w:p>
            <w:pPr>
              <w:spacing w:after="0"/>
              <w:rPr>
                <w:sz w:val="18"/>
                <w:szCs w:val="18"/>
                <w:color w:val="auto"/>
              </w:rPr>
            </w:pPr>
          </w:p>
        </w:tc>
        <w:tc>
          <w:tcPr>
            <w:tcW w:w="760" w:type="dxa"/>
            <w:vAlign w:val="bottom"/>
            <w:shd w:val="clear" w:color="auto" w:fill="EAEEF2"/>
          </w:tcPr>
          <w:p>
            <w:pPr>
              <w:spacing w:after="0"/>
              <w:rPr>
                <w:sz w:val="18"/>
                <w:szCs w:val="18"/>
                <w:color w:val="auto"/>
              </w:rPr>
            </w:pPr>
          </w:p>
        </w:tc>
        <w:tc>
          <w:tcPr>
            <w:tcW w:w="900" w:type="dxa"/>
            <w:vAlign w:val="bottom"/>
            <w:shd w:val="clear" w:color="auto" w:fill="EAEEF2"/>
          </w:tcPr>
          <w:p>
            <w:pPr>
              <w:spacing w:after="0"/>
              <w:rPr>
                <w:sz w:val="18"/>
                <w:szCs w:val="18"/>
                <w:color w:val="auto"/>
              </w:rPr>
            </w:pP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11,890</w:t>
            </w:r>
          </w:p>
        </w:tc>
        <w:tc>
          <w:tcPr>
            <w:tcW w:w="920" w:type="dxa"/>
            <w:vAlign w:val="bottom"/>
            <w:shd w:val="clear" w:color="auto" w:fill="EAEEF2"/>
          </w:tcPr>
          <w:p>
            <w:pPr>
              <w:jc w:val="right"/>
              <w:ind w:right="18"/>
              <w:spacing w:after="0"/>
              <w:rPr>
                <w:sz w:val="20"/>
                <w:szCs w:val="20"/>
                <w:color w:val="auto"/>
              </w:rPr>
            </w:pPr>
            <w:r>
              <w:rPr>
                <w:rFonts w:ascii="Arial" w:cs="Arial" w:eastAsia="Arial" w:hAnsi="Arial"/>
                <w:sz w:val="13"/>
                <w:szCs w:val="13"/>
                <w:color w:val="4D4D4F"/>
              </w:rPr>
              <w:t>270,854</w:t>
            </w:r>
          </w:p>
        </w:tc>
        <w:tc>
          <w:tcPr>
            <w:tcW w:w="1120" w:type="dxa"/>
            <w:vAlign w:val="bottom"/>
            <w:shd w:val="clear" w:color="auto" w:fill="EAEEF2"/>
          </w:tcPr>
          <w:p>
            <w:pPr>
              <w:spacing w:after="0"/>
              <w:rPr>
                <w:sz w:val="18"/>
                <w:szCs w:val="18"/>
                <w:color w:val="auto"/>
              </w:rPr>
            </w:pPr>
          </w:p>
        </w:tc>
        <w:tc>
          <w:tcPr>
            <w:tcW w:w="1260" w:type="dxa"/>
            <w:vAlign w:val="bottom"/>
            <w:shd w:val="clear" w:color="auto" w:fill="EAEE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AEEF2"/>
          </w:tcPr>
          <w:p>
            <w:pPr>
              <w:spacing w:after="0"/>
              <w:rPr>
                <w:sz w:val="18"/>
                <w:szCs w:val="18"/>
                <w:color w:val="auto"/>
              </w:rPr>
            </w:pP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03/15/2022</w:t>
            </w:r>
          </w:p>
        </w:tc>
        <w:tc>
          <w:tcPr>
            <w:tcW w:w="1100" w:type="dxa"/>
            <w:vAlign w:val="bottom"/>
            <w:shd w:val="clear" w:color="auto" w:fill="EAEEF2"/>
          </w:tcPr>
          <w:p>
            <w:pPr>
              <w:spacing w:after="0"/>
              <w:rPr>
                <w:sz w:val="18"/>
                <w:szCs w:val="18"/>
                <w:color w:val="auto"/>
              </w:rPr>
            </w:pPr>
          </w:p>
        </w:tc>
        <w:tc>
          <w:tcPr>
            <w:tcW w:w="1340" w:type="dxa"/>
            <w:vAlign w:val="bottom"/>
            <w:shd w:val="clear" w:color="auto" w:fill="EAEEF2"/>
          </w:tcPr>
          <w:p>
            <w:pPr>
              <w:spacing w:after="0"/>
              <w:rPr>
                <w:sz w:val="18"/>
                <w:szCs w:val="18"/>
                <w:color w:val="auto"/>
              </w:rPr>
            </w:pPr>
          </w:p>
        </w:tc>
        <w:tc>
          <w:tcPr>
            <w:tcW w:w="1040" w:type="dxa"/>
            <w:vAlign w:val="bottom"/>
            <w:shd w:val="clear" w:color="auto" w:fill="EAEEF2"/>
          </w:tcPr>
          <w:p>
            <w:pPr>
              <w:spacing w:after="0"/>
              <w:rPr>
                <w:sz w:val="18"/>
                <w:szCs w:val="18"/>
                <w:color w:val="auto"/>
              </w:rPr>
            </w:pPr>
          </w:p>
        </w:tc>
        <w:tc>
          <w:tcPr>
            <w:tcW w:w="760" w:type="dxa"/>
            <w:vAlign w:val="bottom"/>
            <w:shd w:val="clear" w:color="auto" w:fill="EAEEF2"/>
          </w:tcPr>
          <w:p>
            <w:pPr>
              <w:spacing w:after="0"/>
              <w:rPr>
                <w:sz w:val="18"/>
                <w:szCs w:val="18"/>
                <w:color w:val="auto"/>
              </w:rPr>
            </w:pPr>
          </w:p>
        </w:tc>
        <w:tc>
          <w:tcPr>
            <w:tcW w:w="900" w:type="dxa"/>
            <w:vAlign w:val="bottom"/>
            <w:shd w:val="clear" w:color="auto" w:fill="EAEEF2"/>
          </w:tcPr>
          <w:p>
            <w:pPr>
              <w:spacing w:after="0"/>
              <w:rPr>
                <w:sz w:val="18"/>
                <w:szCs w:val="18"/>
                <w:color w:val="auto"/>
              </w:rPr>
            </w:pP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12,084</w:t>
            </w:r>
          </w:p>
        </w:tc>
        <w:tc>
          <w:tcPr>
            <w:tcW w:w="920" w:type="dxa"/>
            <w:vAlign w:val="bottom"/>
            <w:shd w:val="clear" w:color="auto" w:fill="EAEEF2"/>
          </w:tcPr>
          <w:p>
            <w:pPr>
              <w:jc w:val="right"/>
              <w:ind w:right="18"/>
              <w:spacing w:after="0"/>
              <w:rPr>
                <w:sz w:val="20"/>
                <w:szCs w:val="20"/>
                <w:color w:val="auto"/>
              </w:rPr>
            </w:pPr>
            <w:r>
              <w:rPr>
                <w:rFonts w:ascii="Arial" w:cs="Arial" w:eastAsia="Arial" w:hAnsi="Arial"/>
                <w:sz w:val="13"/>
                <w:szCs w:val="13"/>
                <w:color w:val="4D4D4F"/>
              </w:rPr>
              <w:t>275,274</w:t>
            </w:r>
          </w:p>
        </w:tc>
        <w:tc>
          <w:tcPr>
            <w:tcW w:w="1120" w:type="dxa"/>
            <w:vAlign w:val="bottom"/>
            <w:shd w:val="clear" w:color="auto" w:fill="EAEEF2"/>
          </w:tcPr>
          <w:p>
            <w:pPr>
              <w:spacing w:after="0"/>
              <w:rPr>
                <w:sz w:val="18"/>
                <w:szCs w:val="18"/>
                <w:color w:val="auto"/>
              </w:rPr>
            </w:pPr>
          </w:p>
        </w:tc>
        <w:tc>
          <w:tcPr>
            <w:tcW w:w="1260" w:type="dxa"/>
            <w:vAlign w:val="bottom"/>
            <w:shd w:val="clear" w:color="auto" w:fill="EAEE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AEEF2"/>
          </w:tcPr>
          <w:p>
            <w:pPr>
              <w:spacing w:after="0"/>
              <w:rPr>
                <w:sz w:val="18"/>
                <w:szCs w:val="18"/>
                <w:color w:val="auto"/>
              </w:rPr>
            </w:pP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03/15/2023</w:t>
            </w:r>
          </w:p>
        </w:tc>
        <w:tc>
          <w:tcPr>
            <w:tcW w:w="1100" w:type="dxa"/>
            <w:vAlign w:val="bottom"/>
            <w:shd w:val="clear" w:color="auto" w:fill="EAEEF2"/>
          </w:tcPr>
          <w:p>
            <w:pPr>
              <w:spacing w:after="0"/>
              <w:rPr>
                <w:sz w:val="18"/>
                <w:szCs w:val="18"/>
                <w:color w:val="auto"/>
              </w:rPr>
            </w:pPr>
          </w:p>
        </w:tc>
        <w:tc>
          <w:tcPr>
            <w:tcW w:w="1340" w:type="dxa"/>
            <w:vAlign w:val="bottom"/>
            <w:shd w:val="clear" w:color="auto" w:fill="EAEEF2"/>
          </w:tcPr>
          <w:p>
            <w:pPr>
              <w:spacing w:after="0"/>
              <w:rPr>
                <w:sz w:val="18"/>
                <w:szCs w:val="18"/>
                <w:color w:val="auto"/>
              </w:rPr>
            </w:pPr>
          </w:p>
        </w:tc>
        <w:tc>
          <w:tcPr>
            <w:tcW w:w="1040" w:type="dxa"/>
            <w:vAlign w:val="bottom"/>
            <w:shd w:val="clear" w:color="auto" w:fill="EAEEF2"/>
          </w:tcPr>
          <w:p>
            <w:pPr>
              <w:spacing w:after="0"/>
              <w:rPr>
                <w:sz w:val="18"/>
                <w:szCs w:val="18"/>
                <w:color w:val="auto"/>
              </w:rPr>
            </w:pPr>
          </w:p>
        </w:tc>
        <w:tc>
          <w:tcPr>
            <w:tcW w:w="760" w:type="dxa"/>
            <w:vAlign w:val="bottom"/>
            <w:shd w:val="clear" w:color="auto" w:fill="EAEEF2"/>
          </w:tcPr>
          <w:p>
            <w:pPr>
              <w:spacing w:after="0"/>
              <w:rPr>
                <w:sz w:val="18"/>
                <w:szCs w:val="18"/>
                <w:color w:val="auto"/>
              </w:rPr>
            </w:pPr>
          </w:p>
        </w:tc>
        <w:tc>
          <w:tcPr>
            <w:tcW w:w="900" w:type="dxa"/>
            <w:vAlign w:val="bottom"/>
            <w:shd w:val="clear" w:color="auto" w:fill="EAEEF2"/>
          </w:tcPr>
          <w:p>
            <w:pPr>
              <w:spacing w:after="0"/>
              <w:rPr>
                <w:sz w:val="18"/>
                <w:szCs w:val="18"/>
                <w:color w:val="auto"/>
              </w:rPr>
            </w:pP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25,866</w:t>
            </w:r>
          </w:p>
        </w:tc>
        <w:tc>
          <w:tcPr>
            <w:tcW w:w="920" w:type="dxa"/>
            <w:vAlign w:val="bottom"/>
            <w:shd w:val="clear" w:color="auto" w:fill="EAEEF2"/>
          </w:tcPr>
          <w:p>
            <w:pPr>
              <w:jc w:val="right"/>
              <w:ind w:right="18"/>
              <w:spacing w:after="0"/>
              <w:rPr>
                <w:sz w:val="20"/>
                <w:szCs w:val="20"/>
                <w:color w:val="auto"/>
              </w:rPr>
            </w:pPr>
            <w:r>
              <w:rPr>
                <w:rFonts w:ascii="Arial" w:cs="Arial" w:eastAsia="Arial" w:hAnsi="Arial"/>
                <w:sz w:val="13"/>
                <w:szCs w:val="13"/>
                <w:color w:val="4D4D4F"/>
              </w:rPr>
              <w:t>589,227</w:t>
            </w:r>
          </w:p>
        </w:tc>
        <w:tc>
          <w:tcPr>
            <w:tcW w:w="1120" w:type="dxa"/>
            <w:vAlign w:val="bottom"/>
            <w:shd w:val="clear" w:color="auto" w:fill="EAEEF2"/>
          </w:tcPr>
          <w:p>
            <w:pPr>
              <w:spacing w:after="0"/>
              <w:rPr>
                <w:sz w:val="18"/>
                <w:szCs w:val="18"/>
                <w:color w:val="auto"/>
              </w:rPr>
            </w:pPr>
          </w:p>
        </w:tc>
        <w:tc>
          <w:tcPr>
            <w:tcW w:w="1260" w:type="dxa"/>
            <w:vAlign w:val="bottom"/>
            <w:shd w:val="clear" w:color="auto" w:fill="EAEE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AEEF2"/>
          </w:tcPr>
          <w:p>
            <w:pPr>
              <w:spacing w:after="0"/>
              <w:rPr>
                <w:sz w:val="18"/>
                <w:szCs w:val="18"/>
                <w:color w:val="auto"/>
              </w:rPr>
            </w:pP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03/31/2021</w:t>
            </w:r>
          </w:p>
        </w:tc>
        <w:tc>
          <w:tcPr>
            <w:tcW w:w="1100" w:type="dxa"/>
            <w:vAlign w:val="bottom"/>
            <w:shd w:val="clear" w:color="auto" w:fill="EAEEF2"/>
          </w:tcPr>
          <w:p>
            <w:pPr>
              <w:spacing w:after="0"/>
              <w:rPr>
                <w:sz w:val="18"/>
                <w:szCs w:val="18"/>
                <w:color w:val="auto"/>
              </w:rPr>
            </w:pPr>
          </w:p>
        </w:tc>
        <w:tc>
          <w:tcPr>
            <w:tcW w:w="1340" w:type="dxa"/>
            <w:vAlign w:val="bottom"/>
            <w:shd w:val="clear" w:color="auto" w:fill="EAEEF2"/>
          </w:tcPr>
          <w:p>
            <w:pPr>
              <w:spacing w:after="0"/>
              <w:rPr>
                <w:sz w:val="18"/>
                <w:szCs w:val="18"/>
                <w:color w:val="auto"/>
              </w:rPr>
            </w:pPr>
          </w:p>
        </w:tc>
        <w:tc>
          <w:tcPr>
            <w:tcW w:w="1040" w:type="dxa"/>
            <w:vAlign w:val="bottom"/>
            <w:shd w:val="clear" w:color="auto" w:fill="EAEEF2"/>
          </w:tcPr>
          <w:p>
            <w:pPr>
              <w:spacing w:after="0"/>
              <w:rPr>
                <w:sz w:val="18"/>
                <w:szCs w:val="18"/>
                <w:color w:val="auto"/>
              </w:rPr>
            </w:pPr>
          </w:p>
        </w:tc>
        <w:tc>
          <w:tcPr>
            <w:tcW w:w="760" w:type="dxa"/>
            <w:vAlign w:val="bottom"/>
            <w:shd w:val="clear" w:color="auto" w:fill="EAEEF2"/>
          </w:tcPr>
          <w:p>
            <w:pPr>
              <w:spacing w:after="0"/>
              <w:rPr>
                <w:sz w:val="18"/>
                <w:szCs w:val="18"/>
                <w:color w:val="auto"/>
              </w:rPr>
            </w:pPr>
          </w:p>
        </w:tc>
        <w:tc>
          <w:tcPr>
            <w:tcW w:w="900" w:type="dxa"/>
            <w:vAlign w:val="bottom"/>
            <w:shd w:val="clear" w:color="auto" w:fill="EAEEF2"/>
          </w:tcPr>
          <w:p>
            <w:pPr>
              <w:spacing w:after="0"/>
              <w:rPr>
                <w:sz w:val="18"/>
                <w:szCs w:val="18"/>
                <w:color w:val="auto"/>
              </w:rPr>
            </w:pP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12,785</w:t>
            </w:r>
          </w:p>
        </w:tc>
        <w:tc>
          <w:tcPr>
            <w:tcW w:w="920" w:type="dxa"/>
            <w:vAlign w:val="bottom"/>
            <w:shd w:val="clear" w:color="auto" w:fill="EAEEF2"/>
          </w:tcPr>
          <w:p>
            <w:pPr>
              <w:jc w:val="right"/>
              <w:ind w:right="18"/>
              <w:spacing w:after="0"/>
              <w:rPr>
                <w:sz w:val="20"/>
                <w:szCs w:val="20"/>
                <w:color w:val="auto"/>
              </w:rPr>
            </w:pPr>
            <w:r>
              <w:rPr>
                <w:rFonts w:ascii="Arial" w:cs="Arial" w:eastAsia="Arial" w:hAnsi="Arial"/>
                <w:sz w:val="13"/>
                <w:szCs w:val="13"/>
                <w:color w:val="4D4D4F"/>
              </w:rPr>
              <w:t>291,242</w:t>
            </w:r>
          </w:p>
        </w:tc>
        <w:tc>
          <w:tcPr>
            <w:tcW w:w="1120" w:type="dxa"/>
            <w:vAlign w:val="bottom"/>
            <w:shd w:val="clear" w:color="auto" w:fill="EAEEF2"/>
          </w:tcPr>
          <w:p>
            <w:pPr>
              <w:jc w:val="right"/>
              <w:ind w:right="58"/>
              <w:spacing w:after="0"/>
              <w:rPr>
                <w:sz w:val="20"/>
                <w:szCs w:val="20"/>
                <w:color w:val="auto"/>
              </w:rPr>
            </w:pPr>
            <w:r>
              <w:rPr>
                <w:rFonts w:ascii="Arial" w:cs="Arial" w:eastAsia="Arial" w:hAnsi="Arial"/>
                <w:sz w:val="13"/>
                <w:szCs w:val="13"/>
                <w:color w:val="4D4D4F"/>
              </w:rPr>
              <w:t>6,393</w:t>
            </w:r>
          </w:p>
        </w:tc>
        <w:tc>
          <w:tcPr>
            <w:tcW w:w="1260" w:type="dxa"/>
            <w:vAlign w:val="bottom"/>
            <w:shd w:val="clear" w:color="auto" w:fill="EAEEF2"/>
          </w:tcPr>
          <w:p>
            <w:pPr>
              <w:jc w:val="right"/>
              <w:ind w:right="99"/>
              <w:spacing w:after="0"/>
              <w:rPr>
                <w:sz w:val="20"/>
                <w:szCs w:val="20"/>
                <w:color w:val="auto"/>
              </w:rPr>
            </w:pPr>
            <w:r>
              <w:rPr>
                <w:rFonts w:ascii="Arial" w:cs="Arial" w:eastAsia="Arial" w:hAnsi="Arial"/>
                <w:sz w:val="13"/>
                <w:szCs w:val="13"/>
                <w:color w:val="4D4D4F"/>
              </w:rPr>
              <w:t>145,621</w:t>
            </w:r>
          </w:p>
        </w:tc>
        <w:tc>
          <w:tcPr>
            <w:tcW w:w="0" w:type="dxa"/>
            <w:vAlign w:val="bottom"/>
          </w:tcPr>
          <w:p>
            <w:pPr>
              <w:spacing w:after="0"/>
              <w:rPr>
                <w:sz w:val="1"/>
                <w:szCs w:val="1"/>
                <w:color w:val="auto"/>
              </w:rPr>
            </w:pPr>
          </w:p>
        </w:tc>
      </w:tr>
      <w:tr>
        <w:trPr>
          <w:trHeight w:val="216"/>
        </w:trPr>
        <w:tc>
          <w:tcPr>
            <w:tcW w:w="1040" w:type="dxa"/>
            <w:vAlign w:val="bottom"/>
            <w:shd w:val="clear" w:color="auto" w:fill="EAEEF2"/>
          </w:tcPr>
          <w:p>
            <w:pPr>
              <w:spacing w:after="0"/>
              <w:rPr>
                <w:sz w:val="18"/>
                <w:szCs w:val="18"/>
                <w:color w:val="auto"/>
              </w:rPr>
            </w:pP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03/15/2022</w:t>
            </w:r>
          </w:p>
        </w:tc>
        <w:tc>
          <w:tcPr>
            <w:tcW w:w="1100" w:type="dxa"/>
            <w:vAlign w:val="bottom"/>
            <w:shd w:val="clear" w:color="auto" w:fill="EAEEF2"/>
          </w:tcPr>
          <w:p>
            <w:pPr>
              <w:spacing w:after="0"/>
              <w:rPr>
                <w:sz w:val="18"/>
                <w:szCs w:val="18"/>
                <w:color w:val="auto"/>
              </w:rPr>
            </w:pPr>
          </w:p>
        </w:tc>
        <w:tc>
          <w:tcPr>
            <w:tcW w:w="1340" w:type="dxa"/>
            <w:vAlign w:val="bottom"/>
            <w:shd w:val="clear" w:color="auto" w:fill="EAEEF2"/>
          </w:tcPr>
          <w:p>
            <w:pPr>
              <w:spacing w:after="0"/>
              <w:rPr>
                <w:sz w:val="18"/>
                <w:szCs w:val="18"/>
                <w:color w:val="auto"/>
              </w:rPr>
            </w:pPr>
          </w:p>
        </w:tc>
        <w:tc>
          <w:tcPr>
            <w:tcW w:w="1040" w:type="dxa"/>
            <w:vAlign w:val="bottom"/>
            <w:shd w:val="clear" w:color="auto" w:fill="EAEEF2"/>
          </w:tcPr>
          <w:p>
            <w:pPr>
              <w:spacing w:after="0"/>
              <w:rPr>
                <w:sz w:val="18"/>
                <w:szCs w:val="18"/>
                <w:color w:val="auto"/>
              </w:rPr>
            </w:pPr>
          </w:p>
        </w:tc>
        <w:tc>
          <w:tcPr>
            <w:tcW w:w="760" w:type="dxa"/>
            <w:vAlign w:val="bottom"/>
            <w:shd w:val="clear" w:color="auto" w:fill="EAEEF2"/>
          </w:tcPr>
          <w:p>
            <w:pPr>
              <w:spacing w:after="0"/>
              <w:rPr>
                <w:sz w:val="18"/>
                <w:szCs w:val="18"/>
                <w:color w:val="auto"/>
              </w:rPr>
            </w:pPr>
          </w:p>
        </w:tc>
        <w:tc>
          <w:tcPr>
            <w:tcW w:w="900" w:type="dxa"/>
            <w:vAlign w:val="bottom"/>
            <w:shd w:val="clear" w:color="auto" w:fill="EAEEF2"/>
          </w:tcPr>
          <w:p>
            <w:pPr>
              <w:spacing w:after="0"/>
              <w:rPr>
                <w:sz w:val="18"/>
                <w:szCs w:val="18"/>
                <w:color w:val="auto"/>
              </w:rPr>
            </w:pP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27,187</w:t>
            </w:r>
          </w:p>
        </w:tc>
        <w:tc>
          <w:tcPr>
            <w:tcW w:w="920" w:type="dxa"/>
            <w:vAlign w:val="bottom"/>
            <w:shd w:val="clear" w:color="auto" w:fill="EAEEF2"/>
          </w:tcPr>
          <w:p>
            <w:pPr>
              <w:jc w:val="right"/>
              <w:ind w:right="18"/>
              <w:spacing w:after="0"/>
              <w:rPr>
                <w:sz w:val="20"/>
                <w:szCs w:val="20"/>
                <w:color w:val="auto"/>
              </w:rPr>
            </w:pPr>
            <w:r>
              <w:rPr>
                <w:rFonts w:ascii="Arial" w:cs="Arial" w:eastAsia="Arial" w:hAnsi="Arial"/>
                <w:sz w:val="13"/>
                <w:szCs w:val="13"/>
                <w:color w:val="4D4D4F"/>
              </w:rPr>
              <w:t>619,320</w:t>
            </w:r>
          </w:p>
        </w:tc>
        <w:tc>
          <w:tcPr>
            <w:tcW w:w="1120" w:type="dxa"/>
            <w:vAlign w:val="bottom"/>
            <w:shd w:val="clear" w:color="auto" w:fill="EAEEF2"/>
          </w:tcPr>
          <w:p>
            <w:pPr>
              <w:jc w:val="right"/>
              <w:ind w:right="58"/>
              <w:spacing w:after="0"/>
              <w:rPr>
                <w:sz w:val="20"/>
                <w:szCs w:val="20"/>
                <w:color w:val="auto"/>
              </w:rPr>
            </w:pPr>
            <w:r>
              <w:rPr>
                <w:rFonts w:ascii="Arial" w:cs="Arial" w:eastAsia="Arial" w:hAnsi="Arial"/>
                <w:sz w:val="13"/>
                <w:szCs w:val="13"/>
                <w:color w:val="4D4D4F"/>
              </w:rPr>
              <w:t>8,156</w:t>
            </w:r>
          </w:p>
        </w:tc>
        <w:tc>
          <w:tcPr>
            <w:tcW w:w="1260" w:type="dxa"/>
            <w:vAlign w:val="bottom"/>
            <w:shd w:val="clear" w:color="auto" w:fill="EAEEF2"/>
          </w:tcPr>
          <w:p>
            <w:pPr>
              <w:jc w:val="right"/>
              <w:ind w:right="99"/>
              <w:spacing w:after="0"/>
              <w:rPr>
                <w:sz w:val="20"/>
                <w:szCs w:val="20"/>
                <w:color w:val="auto"/>
              </w:rPr>
            </w:pPr>
            <w:r>
              <w:rPr>
                <w:rFonts w:ascii="Arial" w:cs="Arial" w:eastAsia="Arial" w:hAnsi="Arial"/>
                <w:sz w:val="13"/>
                <w:szCs w:val="13"/>
                <w:color w:val="4D4D4F"/>
              </w:rPr>
              <w:t>185,796</w:t>
            </w:r>
          </w:p>
        </w:tc>
        <w:tc>
          <w:tcPr>
            <w:tcW w:w="0" w:type="dxa"/>
            <w:vAlign w:val="bottom"/>
          </w:tcPr>
          <w:p>
            <w:pPr>
              <w:spacing w:after="0"/>
              <w:rPr>
                <w:sz w:val="1"/>
                <w:szCs w:val="1"/>
                <w:color w:val="auto"/>
              </w:rPr>
            </w:pPr>
          </w:p>
        </w:tc>
      </w:tr>
      <w:tr>
        <w:trPr>
          <w:trHeight w:val="216"/>
        </w:trPr>
        <w:tc>
          <w:tcPr>
            <w:tcW w:w="1040" w:type="dxa"/>
            <w:vAlign w:val="bottom"/>
            <w:shd w:val="clear" w:color="auto" w:fill="EAEEF2"/>
          </w:tcPr>
          <w:p>
            <w:pPr>
              <w:spacing w:after="0"/>
              <w:rPr>
                <w:sz w:val="18"/>
                <w:szCs w:val="18"/>
                <w:color w:val="auto"/>
              </w:rPr>
            </w:pPr>
          </w:p>
        </w:tc>
        <w:tc>
          <w:tcPr>
            <w:tcW w:w="880" w:type="dxa"/>
            <w:vAlign w:val="bottom"/>
            <w:shd w:val="clear" w:color="auto" w:fill="EAEEF2"/>
          </w:tcPr>
          <w:p>
            <w:pPr>
              <w:jc w:val="center"/>
              <w:spacing w:after="0"/>
              <w:rPr>
                <w:sz w:val="20"/>
                <w:szCs w:val="20"/>
                <w:color w:val="auto"/>
              </w:rPr>
            </w:pPr>
            <w:r>
              <w:rPr>
                <w:rFonts w:ascii="Arial" w:cs="Arial" w:eastAsia="Arial" w:hAnsi="Arial"/>
                <w:sz w:val="13"/>
                <w:szCs w:val="13"/>
                <w:color w:val="4D4D4F"/>
                <w:w w:val="95"/>
              </w:rPr>
              <w:t>11/10/2022</w:t>
            </w:r>
          </w:p>
        </w:tc>
        <w:tc>
          <w:tcPr>
            <w:tcW w:w="1100" w:type="dxa"/>
            <w:vAlign w:val="bottom"/>
            <w:shd w:val="clear" w:color="auto" w:fill="EAEEF2"/>
          </w:tcPr>
          <w:p>
            <w:pPr>
              <w:spacing w:after="0"/>
              <w:rPr>
                <w:sz w:val="18"/>
                <w:szCs w:val="18"/>
                <w:color w:val="auto"/>
              </w:rPr>
            </w:pPr>
          </w:p>
        </w:tc>
        <w:tc>
          <w:tcPr>
            <w:tcW w:w="1340" w:type="dxa"/>
            <w:vAlign w:val="bottom"/>
            <w:shd w:val="clear" w:color="auto" w:fill="EAEEF2"/>
          </w:tcPr>
          <w:p>
            <w:pPr>
              <w:spacing w:after="0"/>
              <w:rPr>
                <w:sz w:val="18"/>
                <w:szCs w:val="18"/>
                <w:color w:val="auto"/>
              </w:rPr>
            </w:pPr>
          </w:p>
        </w:tc>
        <w:tc>
          <w:tcPr>
            <w:tcW w:w="1040" w:type="dxa"/>
            <w:vAlign w:val="bottom"/>
            <w:shd w:val="clear" w:color="auto" w:fill="EAEEF2"/>
          </w:tcPr>
          <w:p>
            <w:pPr>
              <w:spacing w:after="0"/>
              <w:rPr>
                <w:sz w:val="18"/>
                <w:szCs w:val="18"/>
                <w:color w:val="auto"/>
              </w:rPr>
            </w:pPr>
          </w:p>
        </w:tc>
        <w:tc>
          <w:tcPr>
            <w:tcW w:w="760" w:type="dxa"/>
            <w:vAlign w:val="bottom"/>
            <w:shd w:val="clear" w:color="auto" w:fill="EAEEF2"/>
          </w:tcPr>
          <w:p>
            <w:pPr>
              <w:spacing w:after="0"/>
              <w:rPr>
                <w:sz w:val="18"/>
                <w:szCs w:val="18"/>
                <w:color w:val="auto"/>
              </w:rPr>
            </w:pPr>
          </w:p>
        </w:tc>
        <w:tc>
          <w:tcPr>
            <w:tcW w:w="900" w:type="dxa"/>
            <w:vAlign w:val="bottom"/>
            <w:shd w:val="clear" w:color="auto" w:fill="EAEEF2"/>
          </w:tcPr>
          <w:p>
            <w:pPr>
              <w:spacing w:after="0"/>
              <w:rPr>
                <w:sz w:val="18"/>
                <w:szCs w:val="18"/>
                <w:color w:val="auto"/>
              </w:rPr>
            </w:pPr>
          </w:p>
        </w:tc>
        <w:tc>
          <w:tcPr>
            <w:tcW w:w="880" w:type="dxa"/>
            <w:vAlign w:val="bottom"/>
            <w:shd w:val="clear" w:color="auto" w:fill="EAEEF2"/>
          </w:tcPr>
          <w:p>
            <w:pPr>
              <w:jc w:val="right"/>
              <w:spacing w:after="0"/>
              <w:rPr>
                <w:sz w:val="20"/>
                <w:szCs w:val="20"/>
                <w:color w:val="auto"/>
              </w:rPr>
            </w:pPr>
            <w:r>
              <w:rPr>
                <w:rFonts w:ascii="Arial" w:cs="Arial" w:eastAsia="Arial" w:hAnsi="Arial"/>
                <w:sz w:val="13"/>
                <w:szCs w:val="13"/>
                <w:color w:val="4D4D4F"/>
              </w:rPr>
              <w:t>50,725</w:t>
            </w:r>
          </w:p>
        </w:tc>
        <w:tc>
          <w:tcPr>
            <w:tcW w:w="920" w:type="dxa"/>
            <w:vAlign w:val="bottom"/>
            <w:shd w:val="clear" w:color="auto" w:fill="EAEEF2"/>
          </w:tcPr>
          <w:p>
            <w:pPr>
              <w:jc w:val="right"/>
              <w:ind w:right="18"/>
              <w:spacing w:after="0"/>
              <w:rPr>
                <w:sz w:val="20"/>
                <w:szCs w:val="20"/>
                <w:color w:val="auto"/>
              </w:rPr>
            </w:pPr>
            <w:r>
              <w:rPr>
                <w:rFonts w:ascii="Arial" w:cs="Arial" w:eastAsia="Arial" w:hAnsi="Arial"/>
                <w:sz w:val="13"/>
                <w:szCs w:val="13"/>
                <w:color w:val="4D4D4F"/>
              </w:rPr>
              <w:t>1,155,516</w:t>
            </w:r>
          </w:p>
        </w:tc>
        <w:tc>
          <w:tcPr>
            <w:tcW w:w="1120" w:type="dxa"/>
            <w:vAlign w:val="bottom"/>
            <w:shd w:val="clear" w:color="auto" w:fill="EAEEF2"/>
          </w:tcPr>
          <w:p>
            <w:pPr>
              <w:jc w:val="right"/>
              <w:ind w:right="58"/>
              <w:spacing w:after="0"/>
              <w:rPr>
                <w:sz w:val="20"/>
                <w:szCs w:val="20"/>
                <w:color w:val="auto"/>
              </w:rPr>
            </w:pPr>
            <w:r>
              <w:rPr>
                <w:rFonts w:ascii="Arial" w:cs="Arial" w:eastAsia="Arial" w:hAnsi="Arial"/>
                <w:sz w:val="13"/>
                <w:szCs w:val="13"/>
                <w:color w:val="4D4D4F"/>
              </w:rPr>
              <w:t>25,363</w:t>
            </w:r>
          </w:p>
        </w:tc>
        <w:tc>
          <w:tcPr>
            <w:tcW w:w="1260" w:type="dxa"/>
            <w:vAlign w:val="bottom"/>
            <w:shd w:val="clear" w:color="auto" w:fill="EAEEF2"/>
          </w:tcPr>
          <w:p>
            <w:pPr>
              <w:jc w:val="right"/>
              <w:ind w:right="99"/>
              <w:spacing w:after="0"/>
              <w:rPr>
                <w:sz w:val="20"/>
                <w:szCs w:val="20"/>
                <w:color w:val="auto"/>
              </w:rPr>
            </w:pPr>
            <w:r>
              <w:rPr>
                <w:rFonts w:ascii="Arial" w:cs="Arial" w:eastAsia="Arial" w:hAnsi="Arial"/>
                <w:sz w:val="13"/>
                <w:szCs w:val="13"/>
                <w:color w:val="4D4D4F"/>
              </w:rPr>
              <w:t>577,758</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EAEEF2"/>
            </w:tcBorders>
            <w:shd w:val="clear" w:color="auto" w:fill="EAEEF2"/>
          </w:tcPr>
          <w:p>
            <w:pPr>
              <w:spacing w:after="0"/>
              <w:rPr>
                <w:sz w:val="20"/>
                <w:szCs w:val="20"/>
                <w:color w:val="auto"/>
              </w:rPr>
            </w:pPr>
          </w:p>
        </w:tc>
        <w:tc>
          <w:tcPr>
            <w:tcW w:w="880" w:type="dxa"/>
            <w:vAlign w:val="bottom"/>
            <w:tcBorders>
              <w:bottom w:val="single" w:sz="8" w:color="EAEEF2"/>
            </w:tcBorders>
            <w:shd w:val="clear" w:color="auto" w:fill="EAEEF2"/>
          </w:tcPr>
          <w:p>
            <w:pPr>
              <w:jc w:val="center"/>
              <w:spacing w:after="0"/>
              <w:rPr>
                <w:sz w:val="20"/>
                <w:szCs w:val="20"/>
                <w:color w:val="auto"/>
              </w:rPr>
            </w:pPr>
            <w:r>
              <w:rPr>
                <w:rFonts w:ascii="Arial" w:cs="Arial" w:eastAsia="Arial" w:hAnsi="Arial"/>
                <w:sz w:val="13"/>
                <w:szCs w:val="13"/>
                <w:color w:val="4D4D4F"/>
                <w:w w:val="95"/>
              </w:rPr>
              <w:t>03/15/2023</w:t>
            </w:r>
          </w:p>
        </w:tc>
        <w:tc>
          <w:tcPr>
            <w:tcW w:w="1100" w:type="dxa"/>
            <w:vAlign w:val="bottom"/>
            <w:tcBorders>
              <w:bottom w:val="single" w:sz="8" w:color="EAEEF2"/>
            </w:tcBorders>
            <w:shd w:val="clear" w:color="auto" w:fill="EAEEF2"/>
          </w:tcPr>
          <w:p>
            <w:pPr>
              <w:spacing w:after="0"/>
              <w:rPr>
                <w:sz w:val="20"/>
                <w:szCs w:val="20"/>
                <w:color w:val="auto"/>
              </w:rPr>
            </w:pPr>
          </w:p>
        </w:tc>
        <w:tc>
          <w:tcPr>
            <w:tcW w:w="1340" w:type="dxa"/>
            <w:vAlign w:val="bottom"/>
            <w:tcBorders>
              <w:bottom w:val="single" w:sz="8" w:color="EAEEF2"/>
            </w:tcBorders>
            <w:shd w:val="clear" w:color="auto" w:fill="EAEEF2"/>
          </w:tcPr>
          <w:p>
            <w:pPr>
              <w:spacing w:after="0"/>
              <w:rPr>
                <w:sz w:val="20"/>
                <w:szCs w:val="20"/>
                <w:color w:val="auto"/>
              </w:rPr>
            </w:pPr>
          </w:p>
        </w:tc>
        <w:tc>
          <w:tcPr>
            <w:tcW w:w="1040" w:type="dxa"/>
            <w:vAlign w:val="bottom"/>
            <w:tcBorders>
              <w:bottom w:val="single" w:sz="8" w:color="EAEEF2"/>
            </w:tcBorders>
            <w:shd w:val="clear" w:color="auto" w:fill="EAEEF2"/>
          </w:tcPr>
          <w:p>
            <w:pPr>
              <w:spacing w:after="0"/>
              <w:rPr>
                <w:sz w:val="20"/>
                <w:szCs w:val="20"/>
                <w:color w:val="auto"/>
              </w:rPr>
            </w:pPr>
          </w:p>
        </w:tc>
        <w:tc>
          <w:tcPr>
            <w:tcW w:w="760" w:type="dxa"/>
            <w:vAlign w:val="bottom"/>
            <w:tcBorders>
              <w:bottom w:val="single" w:sz="8" w:color="EAEEF2"/>
            </w:tcBorders>
            <w:shd w:val="clear" w:color="auto" w:fill="EAEEF2"/>
          </w:tcPr>
          <w:p>
            <w:pPr>
              <w:spacing w:after="0"/>
              <w:rPr>
                <w:sz w:val="20"/>
                <w:szCs w:val="20"/>
                <w:color w:val="auto"/>
              </w:rPr>
            </w:pPr>
          </w:p>
        </w:tc>
        <w:tc>
          <w:tcPr>
            <w:tcW w:w="900" w:type="dxa"/>
            <w:vAlign w:val="bottom"/>
            <w:tcBorders>
              <w:bottom w:val="single" w:sz="8" w:color="EAEEF2"/>
            </w:tcBorders>
            <w:shd w:val="clear" w:color="auto" w:fill="EAEEF2"/>
          </w:tcPr>
          <w:p>
            <w:pPr>
              <w:spacing w:after="0"/>
              <w:rPr>
                <w:sz w:val="20"/>
                <w:szCs w:val="20"/>
                <w:color w:val="auto"/>
              </w:rPr>
            </w:pPr>
          </w:p>
        </w:tc>
        <w:tc>
          <w:tcPr>
            <w:tcW w:w="880" w:type="dxa"/>
            <w:vAlign w:val="bottom"/>
            <w:tcBorders>
              <w:bottom w:val="single" w:sz="8" w:color="EAEEF2"/>
            </w:tcBorders>
            <w:shd w:val="clear" w:color="auto" w:fill="EAEEF2"/>
          </w:tcPr>
          <w:p>
            <w:pPr>
              <w:jc w:val="right"/>
              <w:spacing w:after="0"/>
              <w:rPr>
                <w:sz w:val="20"/>
                <w:szCs w:val="20"/>
                <w:color w:val="auto"/>
              </w:rPr>
            </w:pPr>
            <w:r>
              <w:rPr>
                <w:rFonts w:ascii="Arial" w:cs="Arial" w:eastAsia="Arial" w:hAnsi="Arial"/>
                <w:sz w:val="13"/>
                <w:szCs w:val="13"/>
                <w:color w:val="4D4D4F"/>
              </w:rPr>
              <w:t>38,799</w:t>
            </w:r>
          </w:p>
        </w:tc>
        <w:tc>
          <w:tcPr>
            <w:tcW w:w="920" w:type="dxa"/>
            <w:vAlign w:val="bottom"/>
            <w:tcBorders>
              <w:bottom w:val="single" w:sz="8" w:color="EAEEF2"/>
            </w:tcBorders>
            <w:shd w:val="clear" w:color="auto" w:fill="EAEEF2"/>
          </w:tcPr>
          <w:p>
            <w:pPr>
              <w:jc w:val="right"/>
              <w:ind w:right="18"/>
              <w:spacing w:after="0"/>
              <w:rPr>
                <w:sz w:val="20"/>
                <w:szCs w:val="20"/>
                <w:color w:val="auto"/>
              </w:rPr>
            </w:pPr>
            <w:r>
              <w:rPr>
                <w:rFonts w:ascii="Arial" w:cs="Arial" w:eastAsia="Arial" w:hAnsi="Arial"/>
                <w:sz w:val="13"/>
                <w:szCs w:val="13"/>
                <w:color w:val="4D4D4F"/>
              </w:rPr>
              <w:t>883,841</w:t>
            </w:r>
          </w:p>
        </w:tc>
        <w:tc>
          <w:tcPr>
            <w:tcW w:w="1120" w:type="dxa"/>
            <w:vAlign w:val="bottom"/>
            <w:tcBorders>
              <w:bottom w:val="single" w:sz="8" w:color="EAEEF2"/>
            </w:tcBorders>
            <w:shd w:val="clear" w:color="auto" w:fill="EAEEF2"/>
          </w:tcPr>
          <w:p>
            <w:pPr>
              <w:jc w:val="right"/>
              <w:ind w:right="58"/>
              <w:spacing w:after="0"/>
              <w:rPr>
                <w:sz w:val="20"/>
                <w:szCs w:val="20"/>
                <w:color w:val="auto"/>
              </w:rPr>
            </w:pPr>
            <w:r>
              <w:rPr>
                <w:rFonts w:ascii="Arial" w:cs="Arial" w:eastAsia="Arial" w:hAnsi="Arial"/>
                <w:sz w:val="13"/>
                <w:szCs w:val="13"/>
                <w:color w:val="4D4D4F"/>
              </w:rPr>
              <w:t>19,400</w:t>
            </w:r>
          </w:p>
        </w:tc>
        <w:tc>
          <w:tcPr>
            <w:tcW w:w="1260" w:type="dxa"/>
            <w:vAlign w:val="bottom"/>
            <w:tcBorders>
              <w:bottom w:val="single" w:sz="8" w:color="EAEEF2"/>
            </w:tcBorders>
            <w:shd w:val="clear" w:color="auto" w:fill="EAEEF2"/>
          </w:tcPr>
          <w:p>
            <w:pPr>
              <w:jc w:val="right"/>
              <w:ind w:right="99"/>
              <w:spacing w:after="0"/>
              <w:rPr>
                <w:sz w:val="20"/>
                <w:szCs w:val="20"/>
                <w:color w:val="auto"/>
              </w:rPr>
            </w:pPr>
            <w:r>
              <w:rPr>
                <w:rFonts w:ascii="Arial" w:cs="Arial" w:eastAsia="Arial" w:hAnsi="Arial"/>
                <w:sz w:val="13"/>
                <w:szCs w:val="13"/>
                <w:color w:val="4D4D4F"/>
              </w:rPr>
              <w:t>441,921</w:t>
            </w:r>
          </w:p>
        </w:tc>
        <w:tc>
          <w:tcPr>
            <w:tcW w:w="0" w:type="dxa"/>
            <w:vAlign w:val="bottom"/>
          </w:tcPr>
          <w:p>
            <w:pPr>
              <w:spacing w:after="0"/>
              <w:rPr>
                <w:sz w:val="1"/>
                <w:szCs w:val="1"/>
                <w:color w:val="auto"/>
              </w:rPr>
            </w:pPr>
          </w:p>
        </w:tc>
      </w:tr>
      <w:tr>
        <w:trPr>
          <w:trHeight w:val="20"/>
        </w:trPr>
        <w:tc>
          <w:tcPr>
            <w:tcW w:w="1040" w:type="dxa"/>
            <w:vAlign w:val="bottom"/>
            <w:shd w:val="clear" w:color="auto" w:fill="298655"/>
          </w:tcPr>
          <w:p>
            <w:pPr>
              <w:spacing w:after="0" w:line="20" w:lineRule="exact"/>
              <w:rPr>
                <w:sz w:val="1"/>
                <w:szCs w:val="1"/>
                <w:color w:val="auto"/>
              </w:rPr>
            </w:pPr>
          </w:p>
        </w:tc>
        <w:tc>
          <w:tcPr>
            <w:tcW w:w="880" w:type="dxa"/>
            <w:vAlign w:val="bottom"/>
            <w:shd w:val="clear" w:color="auto" w:fill="298655"/>
          </w:tcPr>
          <w:p>
            <w:pPr>
              <w:spacing w:after="0" w:line="20" w:lineRule="exact"/>
              <w:rPr>
                <w:sz w:val="1"/>
                <w:szCs w:val="1"/>
                <w:color w:val="auto"/>
              </w:rPr>
            </w:pPr>
          </w:p>
        </w:tc>
        <w:tc>
          <w:tcPr>
            <w:tcW w:w="1100" w:type="dxa"/>
            <w:vAlign w:val="bottom"/>
            <w:shd w:val="clear" w:color="auto" w:fill="298655"/>
          </w:tcPr>
          <w:p>
            <w:pPr>
              <w:spacing w:after="0" w:line="20" w:lineRule="exact"/>
              <w:rPr>
                <w:sz w:val="1"/>
                <w:szCs w:val="1"/>
                <w:color w:val="auto"/>
              </w:rPr>
            </w:pPr>
          </w:p>
        </w:tc>
        <w:tc>
          <w:tcPr>
            <w:tcW w:w="1340" w:type="dxa"/>
            <w:vAlign w:val="bottom"/>
            <w:shd w:val="clear" w:color="auto" w:fill="298655"/>
          </w:tcPr>
          <w:p>
            <w:pPr>
              <w:spacing w:after="0" w:line="20" w:lineRule="exact"/>
              <w:rPr>
                <w:sz w:val="1"/>
                <w:szCs w:val="1"/>
                <w:color w:val="auto"/>
              </w:rPr>
            </w:pPr>
          </w:p>
        </w:tc>
        <w:tc>
          <w:tcPr>
            <w:tcW w:w="1040" w:type="dxa"/>
            <w:vAlign w:val="bottom"/>
            <w:shd w:val="clear" w:color="auto" w:fill="298655"/>
          </w:tcPr>
          <w:p>
            <w:pPr>
              <w:spacing w:after="0" w:line="20" w:lineRule="exact"/>
              <w:rPr>
                <w:sz w:val="1"/>
                <w:szCs w:val="1"/>
                <w:color w:val="auto"/>
              </w:rPr>
            </w:pPr>
          </w:p>
        </w:tc>
        <w:tc>
          <w:tcPr>
            <w:tcW w:w="760" w:type="dxa"/>
            <w:vAlign w:val="bottom"/>
            <w:shd w:val="clear" w:color="auto" w:fill="298655"/>
          </w:tcPr>
          <w:p>
            <w:pPr>
              <w:spacing w:after="0" w:line="20" w:lineRule="exact"/>
              <w:rPr>
                <w:sz w:val="1"/>
                <w:szCs w:val="1"/>
                <w:color w:val="auto"/>
              </w:rPr>
            </w:pPr>
          </w:p>
        </w:tc>
        <w:tc>
          <w:tcPr>
            <w:tcW w:w="900" w:type="dxa"/>
            <w:vAlign w:val="bottom"/>
            <w:shd w:val="clear" w:color="auto" w:fill="298655"/>
          </w:tcPr>
          <w:p>
            <w:pPr>
              <w:spacing w:after="0" w:line="20" w:lineRule="exact"/>
              <w:rPr>
                <w:sz w:val="1"/>
                <w:szCs w:val="1"/>
                <w:color w:val="auto"/>
              </w:rPr>
            </w:pPr>
          </w:p>
        </w:tc>
        <w:tc>
          <w:tcPr>
            <w:tcW w:w="880" w:type="dxa"/>
            <w:vAlign w:val="bottom"/>
            <w:shd w:val="clear" w:color="auto" w:fill="298655"/>
          </w:tcPr>
          <w:p>
            <w:pPr>
              <w:spacing w:after="0" w:line="20" w:lineRule="exact"/>
              <w:rPr>
                <w:sz w:val="1"/>
                <w:szCs w:val="1"/>
                <w:color w:val="auto"/>
              </w:rPr>
            </w:pPr>
          </w:p>
        </w:tc>
        <w:tc>
          <w:tcPr>
            <w:tcW w:w="920" w:type="dxa"/>
            <w:vAlign w:val="bottom"/>
            <w:shd w:val="clear" w:color="auto" w:fill="298655"/>
          </w:tcPr>
          <w:p>
            <w:pPr>
              <w:spacing w:after="0" w:line="20" w:lineRule="exact"/>
              <w:rPr>
                <w:sz w:val="1"/>
                <w:szCs w:val="1"/>
                <w:color w:val="auto"/>
              </w:rPr>
            </w:pPr>
          </w:p>
        </w:tc>
        <w:tc>
          <w:tcPr>
            <w:tcW w:w="1120" w:type="dxa"/>
            <w:vAlign w:val="bottom"/>
            <w:shd w:val="clear" w:color="auto" w:fill="298655"/>
          </w:tcPr>
          <w:p>
            <w:pPr>
              <w:spacing w:after="0" w:line="20" w:lineRule="exact"/>
              <w:rPr>
                <w:sz w:val="1"/>
                <w:szCs w:val="1"/>
                <w:color w:val="auto"/>
              </w:rPr>
            </w:pPr>
          </w:p>
        </w:tc>
        <w:tc>
          <w:tcPr>
            <w:tcW w:w="1260" w:type="dxa"/>
            <w:vAlign w:val="bottom"/>
            <w:shd w:val="clear" w:color="auto" w:fill="29865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-4636770</wp:posOffset>
            </wp:positionV>
            <wp:extent cx="8890" cy="2228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222885"/>
                    </a:xfrm>
                    <a:prstGeom prst="rect">
                      <a:avLst/>
                    </a:prstGeom>
                    <a:noFill/>
                  </pic:spPr>
                </pic:pic>
              </a:graphicData>
            </a:graphic>
          </wp:anchor>
        </w:drawing>
      </w:r>
    </w:p>
    <w:p>
      <w:pPr>
        <w:spacing w:after="0" w:line="106" w:lineRule="exact"/>
        <w:rPr>
          <w:sz w:val="20"/>
          <w:szCs w:val="20"/>
          <w:color w:val="auto"/>
        </w:rPr>
      </w:pPr>
    </w:p>
    <w:p>
      <w:pPr>
        <w:ind w:left="500" w:right="200" w:hanging="330"/>
        <w:spacing w:after="0" w:line="283" w:lineRule="auto"/>
        <w:tabs>
          <w:tab w:leader="none" w:pos="498" w:val="left"/>
        </w:tabs>
        <w:numPr>
          <w:ilvl w:val="0"/>
          <w:numId w:val="101"/>
        </w:numPr>
        <w:rPr>
          <w:rFonts w:ascii="Arial" w:cs="Arial" w:eastAsia="Arial" w:hAnsi="Arial"/>
          <w:sz w:val="14"/>
          <w:szCs w:val="14"/>
          <w:color w:val="4D4D4F"/>
        </w:rPr>
      </w:pPr>
      <w:r>
        <w:rPr>
          <w:rFonts w:ascii="Arial" w:cs="Arial" w:eastAsia="Arial" w:hAnsi="Arial"/>
          <w:sz w:val="14"/>
          <w:szCs w:val="14"/>
          <w:color w:val="4D4D4F"/>
        </w:rPr>
        <w:t>The RSUs generally vest in either three equal annual installments beginning on the first anniversary of the grant date or on a three-year cliff basis (subject to any applicable performance conditions), except for the November 10, 2022 Transformational Awards for Messrs. Kasbar, Birns and Rau, the vesting for which is described below in note (4). All of these RSUs are subject to earlier vesting upon a change of control or qualifying termination of employment.</w:t>
      </w:r>
    </w:p>
    <w:p>
      <w:pPr>
        <w:spacing w:after="0" w:line="10" w:lineRule="exact"/>
        <w:rPr>
          <w:rFonts w:ascii="Arial" w:cs="Arial" w:eastAsia="Arial" w:hAnsi="Arial"/>
          <w:sz w:val="14"/>
          <w:szCs w:val="14"/>
          <w:color w:val="4D4D4F"/>
        </w:rPr>
      </w:pPr>
    </w:p>
    <w:p>
      <w:pPr>
        <w:ind w:left="500" w:hanging="330"/>
        <w:spacing w:after="0"/>
        <w:tabs>
          <w:tab w:leader="none" w:pos="500" w:val="left"/>
        </w:tabs>
        <w:numPr>
          <w:ilvl w:val="0"/>
          <w:numId w:val="101"/>
        </w:numPr>
        <w:rPr>
          <w:rFonts w:ascii="Arial" w:cs="Arial" w:eastAsia="Arial" w:hAnsi="Arial"/>
          <w:sz w:val="14"/>
          <w:szCs w:val="14"/>
          <w:color w:val="4D4D4F"/>
        </w:rPr>
      </w:pPr>
      <w:r>
        <w:rPr>
          <w:rFonts w:ascii="Arial" w:cs="Arial" w:eastAsia="Arial" w:hAnsi="Arial"/>
          <w:sz w:val="14"/>
          <w:szCs w:val="14"/>
          <w:color w:val="4D4D4F"/>
        </w:rPr>
        <w:t>The amounts in this column are based on the closing price of our common stock on December 29, 2023 of $22.78.</w:t>
      </w:r>
    </w:p>
    <w:p>
      <w:pPr>
        <w:spacing w:after="0" w:line="68" w:lineRule="exact"/>
        <w:rPr>
          <w:rFonts w:ascii="Arial" w:cs="Arial" w:eastAsia="Arial" w:hAnsi="Arial"/>
          <w:sz w:val="14"/>
          <w:szCs w:val="14"/>
          <w:color w:val="4D4D4F"/>
        </w:rPr>
      </w:pPr>
    </w:p>
    <w:p>
      <w:pPr>
        <w:ind w:left="500" w:right="60" w:hanging="330"/>
        <w:spacing w:after="0" w:line="266" w:lineRule="auto"/>
        <w:tabs>
          <w:tab w:leader="none" w:pos="498" w:val="left"/>
        </w:tabs>
        <w:numPr>
          <w:ilvl w:val="0"/>
          <w:numId w:val="101"/>
        </w:numPr>
        <w:rPr>
          <w:rFonts w:ascii="Arial" w:cs="Arial" w:eastAsia="Arial" w:hAnsi="Arial"/>
          <w:sz w:val="14"/>
          <w:szCs w:val="14"/>
          <w:color w:val="4D4D4F"/>
        </w:rPr>
      </w:pPr>
      <w:r>
        <w:rPr>
          <w:rFonts w:ascii="Arial" w:cs="Arial" w:eastAsia="Arial" w:hAnsi="Arial"/>
          <w:sz w:val="14"/>
          <w:szCs w:val="14"/>
          <w:color w:val="4D4D4F"/>
        </w:rPr>
        <w:t>This amount reflects the number of PRSUs that would be earned by the NEO based on the target level of performance for the three-year period beginning with the year of the grant. With the exception of the November 10, 2022 Transformational Awards, any earned portion will vest on the date after December 31st of the third year of the performance period, when the Compensation Committee certifies in writing the extent to which the requisite performance level has been achieved for the performance period based upon our audited financial statements, but in no event later than March of that year. For the November 10, 2022 Transformational Awards for Messrs. Kasbar, Birns and Rau, any earned awards will vest 50% on the date on which the Compensation Committee determines the extent to which the performance goal has been achieved following the three-year performance period, with the remaining 50% of any earned awards vesting on the fourth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0" w:hanging="534"/>
        <w:spacing w:after="0"/>
        <w:tabs>
          <w:tab w:leader="none" w:pos="560" w:val="left"/>
        </w:tabs>
        <w:numPr>
          <w:ilvl w:val="0"/>
          <w:numId w:val="102"/>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9" w:name="page70"/>
    <w:bookmarkEnd w:id="69"/>
    <w:p>
      <w:pPr>
        <w:ind w:left="20"/>
        <w:spacing w:after="0"/>
        <w:rPr>
          <w:sz w:val="20"/>
          <w:szCs w:val="20"/>
          <w:color w:val="auto"/>
        </w:rPr>
      </w:pPr>
      <w:r>
        <w:rPr>
          <w:rFonts w:ascii="Arial" w:cs="Arial" w:eastAsia="Arial" w:hAnsi="Arial"/>
          <w:sz w:val="14"/>
          <w:szCs w:val="14"/>
          <w:b w:val="1"/>
          <w:bCs w:val="1"/>
          <w:color w:val="5B6770"/>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Option Exercises and Stock Vested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4D4D4F"/>
        </w:rPr>
        <w:t>The following table sets forth the option awards that were exercised and stock awards that vested during the year ended December 31, 2023 for our NEOs.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60" w:type="dxa"/>
            <w:vAlign w:val="bottom"/>
          </w:tcPr>
          <w:p>
            <w:pPr>
              <w:spacing w:after="0"/>
              <w:rPr>
                <w:sz w:val="19"/>
                <w:szCs w:val="19"/>
                <w:color w:val="auto"/>
              </w:rPr>
            </w:pPr>
          </w:p>
        </w:tc>
        <w:tc>
          <w:tcPr>
            <w:tcW w:w="4480" w:type="dxa"/>
            <w:vAlign w:val="bottom"/>
            <w:gridSpan w:val="2"/>
            <w:shd w:val="clear" w:color="auto" w:fill="9ABCD0"/>
          </w:tcPr>
          <w:p>
            <w:pPr>
              <w:jc w:val="right"/>
              <w:ind w:right="1668"/>
              <w:spacing w:after="0"/>
              <w:rPr>
                <w:sz w:val="20"/>
                <w:szCs w:val="20"/>
                <w:color w:val="auto"/>
              </w:rPr>
            </w:pPr>
            <w:r>
              <w:rPr>
                <w:rFonts w:ascii="Arial" w:cs="Arial" w:eastAsia="Arial" w:hAnsi="Arial"/>
                <w:sz w:val="14"/>
                <w:szCs w:val="14"/>
                <w:b w:val="1"/>
                <w:bCs w:val="1"/>
                <w:color w:val="FFFFFF"/>
              </w:rPr>
              <w:t>Option Awards</w:t>
            </w:r>
          </w:p>
        </w:tc>
        <w:tc>
          <w:tcPr>
            <w:tcW w:w="4500" w:type="dxa"/>
            <w:vAlign w:val="bottom"/>
            <w:gridSpan w:val="2"/>
            <w:shd w:val="clear" w:color="auto" w:fill="578EB1"/>
          </w:tcPr>
          <w:p>
            <w:pPr>
              <w:ind w:left="1720"/>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86"/>
        </w:trPr>
        <w:tc>
          <w:tcPr>
            <w:tcW w:w="2260" w:type="dxa"/>
            <w:vAlign w:val="bottom"/>
            <w:shd w:val="clear" w:color="auto" w:fill="132440"/>
          </w:tcPr>
          <w:p>
            <w:pPr>
              <w:spacing w:after="0"/>
              <w:rPr>
                <w:sz w:val="16"/>
                <w:szCs w:val="16"/>
                <w:color w:val="auto"/>
              </w:rPr>
            </w:pPr>
          </w:p>
        </w:tc>
        <w:tc>
          <w:tcPr>
            <w:tcW w:w="2360" w:type="dxa"/>
            <w:vAlign w:val="bottom"/>
            <w:shd w:val="clear" w:color="auto" w:fill="132440"/>
          </w:tcPr>
          <w:p>
            <w:pPr>
              <w:jc w:val="right"/>
              <w:ind w:right="68"/>
              <w:spacing w:after="0"/>
              <w:rPr>
                <w:sz w:val="20"/>
                <w:szCs w:val="20"/>
                <w:color w:val="auto"/>
              </w:rPr>
            </w:pPr>
            <w:r>
              <w:rPr>
                <w:rFonts w:ascii="Arial" w:cs="Arial" w:eastAsia="Arial" w:hAnsi="Arial"/>
                <w:sz w:val="14"/>
                <w:szCs w:val="14"/>
                <w:b w:val="1"/>
                <w:bCs w:val="1"/>
                <w:color w:val="FFFFFF"/>
              </w:rPr>
              <w:t>Number of Shares Acquired on</w:t>
            </w:r>
          </w:p>
        </w:tc>
        <w:tc>
          <w:tcPr>
            <w:tcW w:w="2120" w:type="dxa"/>
            <w:vAlign w:val="bottom"/>
            <w:vMerge w:val="restart"/>
            <w:shd w:val="clear" w:color="auto" w:fill="132440"/>
          </w:tcPr>
          <w:p>
            <w:pPr>
              <w:jc w:val="right"/>
              <w:spacing w:after="0"/>
              <w:rPr>
                <w:sz w:val="20"/>
                <w:szCs w:val="20"/>
                <w:color w:val="auto"/>
              </w:rPr>
            </w:pPr>
            <w:r>
              <w:rPr>
                <w:rFonts w:ascii="Arial" w:cs="Arial" w:eastAsia="Arial" w:hAnsi="Arial"/>
                <w:sz w:val="14"/>
                <w:szCs w:val="14"/>
                <w:b w:val="1"/>
                <w:bCs w:val="1"/>
                <w:color w:val="FFFFFF"/>
              </w:rPr>
              <w:t>Value Realized on Exercise</w:t>
            </w:r>
            <w:r>
              <w:rPr>
                <w:rFonts w:ascii="Arial" w:cs="Arial" w:eastAsia="Arial" w:hAnsi="Arial"/>
                <w:sz w:val="18"/>
                <w:szCs w:val="18"/>
                <w:b w:val="1"/>
                <w:bCs w:val="1"/>
                <w:color w:val="FFFFFF"/>
                <w:vertAlign w:val="superscript"/>
              </w:rPr>
              <w:t>(2)</w:t>
            </w:r>
          </w:p>
        </w:tc>
        <w:tc>
          <w:tcPr>
            <w:tcW w:w="2360" w:type="dxa"/>
            <w:vAlign w:val="bottom"/>
            <w:shd w:val="clear" w:color="auto" w:fill="132440"/>
          </w:tcPr>
          <w:p>
            <w:pPr>
              <w:jc w:val="right"/>
              <w:ind w:right="68"/>
              <w:spacing w:after="0"/>
              <w:rPr>
                <w:sz w:val="20"/>
                <w:szCs w:val="20"/>
                <w:color w:val="auto"/>
              </w:rPr>
            </w:pPr>
            <w:r>
              <w:rPr>
                <w:rFonts w:ascii="Arial" w:cs="Arial" w:eastAsia="Arial" w:hAnsi="Arial"/>
                <w:sz w:val="14"/>
                <w:szCs w:val="14"/>
                <w:b w:val="1"/>
                <w:bCs w:val="1"/>
                <w:color w:val="FFFFFF"/>
              </w:rPr>
              <w:t>Number of Shares Acquired on</w:t>
            </w:r>
          </w:p>
        </w:tc>
        <w:tc>
          <w:tcPr>
            <w:tcW w:w="2140" w:type="dxa"/>
            <w:vAlign w:val="bottom"/>
            <w:vMerge w:val="restart"/>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Value Realized on Vesting</w:t>
            </w:r>
            <w:r>
              <w:rPr>
                <w:rFonts w:ascii="Arial" w:cs="Arial" w:eastAsia="Arial" w:hAnsi="Arial"/>
                <w:sz w:val="18"/>
                <w:szCs w:val="18"/>
                <w:b w:val="1"/>
                <w:bCs w:val="1"/>
                <w:color w:val="FFFFFF"/>
                <w:vertAlign w:val="superscript"/>
              </w:rPr>
              <w:t>(4)</w:t>
            </w:r>
          </w:p>
        </w:tc>
        <w:tc>
          <w:tcPr>
            <w:tcW w:w="0" w:type="dxa"/>
            <w:vAlign w:val="bottom"/>
          </w:tcPr>
          <w:p>
            <w:pPr>
              <w:spacing w:after="0"/>
              <w:rPr>
                <w:sz w:val="1"/>
                <w:szCs w:val="1"/>
                <w:color w:val="auto"/>
              </w:rPr>
            </w:pPr>
          </w:p>
        </w:tc>
      </w:tr>
      <w:tr>
        <w:trPr>
          <w:trHeight w:val="162"/>
        </w:trPr>
        <w:tc>
          <w:tcPr>
            <w:tcW w:w="2260" w:type="dxa"/>
            <w:vAlign w:val="bottom"/>
            <w:shd w:val="clear" w:color="auto" w:fill="132440"/>
          </w:tcPr>
          <w:p>
            <w:pPr>
              <w:spacing w:after="0"/>
              <w:rPr>
                <w:sz w:val="14"/>
                <w:szCs w:val="14"/>
                <w:color w:val="auto"/>
              </w:rPr>
            </w:pPr>
          </w:p>
        </w:tc>
        <w:tc>
          <w:tcPr>
            <w:tcW w:w="2360" w:type="dxa"/>
            <w:vAlign w:val="bottom"/>
            <w:shd w:val="clear" w:color="auto" w:fill="132440"/>
          </w:tcPr>
          <w:p>
            <w:pPr>
              <w:jc w:val="right"/>
              <w:ind w:right="68"/>
              <w:spacing w:after="0"/>
              <w:rPr>
                <w:sz w:val="20"/>
                <w:szCs w:val="20"/>
                <w:color w:val="auto"/>
              </w:rPr>
            </w:pPr>
            <w:r>
              <w:rPr>
                <w:rFonts w:ascii="Arial" w:cs="Arial" w:eastAsia="Arial" w:hAnsi="Arial"/>
                <w:sz w:val="14"/>
                <w:szCs w:val="14"/>
                <w:b w:val="1"/>
                <w:bCs w:val="1"/>
                <w:color w:val="FFFFFF"/>
              </w:rPr>
              <w:t>Exercise</w:t>
            </w:r>
            <w:r>
              <w:rPr>
                <w:rFonts w:ascii="Arial" w:cs="Arial" w:eastAsia="Arial" w:hAnsi="Arial"/>
                <w:sz w:val="9"/>
                <w:szCs w:val="9"/>
                <w:b w:val="1"/>
                <w:bCs w:val="1"/>
                <w:color w:val="FFFFFF"/>
              </w:rPr>
              <w:t>(1)</w:t>
            </w:r>
          </w:p>
        </w:tc>
        <w:tc>
          <w:tcPr>
            <w:tcW w:w="2120" w:type="dxa"/>
            <w:vAlign w:val="bottom"/>
            <w:vMerge w:val="continue"/>
            <w:shd w:val="clear" w:color="auto" w:fill="132440"/>
          </w:tcPr>
          <w:p>
            <w:pPr>
              <w:spacing w:after="0"/>
              <w:rPr>
                <w:sz w:val="14"/>
                <w:szCs w:val="14"/>
                <w:color w:val="auto"/>
              </w:rPr>
            </w:pPr>
          </w:p>
        </w:tc>
        <w:tc>
          <w:tcPr>
            <w:tcW w:w="2360" w:type="dxa"/>
            <w:vAlign w:val="bottom"/>
            <w:shd w:val="clear" w:color="auto" w:fill="132440"/>
          </w:tcPr>
          <w:p>
            <w:pPr>
              <w:jc w:val="right"/>
              <w:ind w:right="68"/>
              <w:spacing w:after="0"/>
              <w:rPr>
                <w:sz w:val="20"/>
                <w:szCs w:val="20"/>
                <w:color w:val="auto"/>
              </w:rPr>
            </w:pPr>
            <w:r>
              <w:rPr>
                <w:rFonts w:ascii="Arial" w:cs="Arial" w:eastAsia="Arial" w:hAnsi="Arial"/>
                <w:sz w:val="14"/>
                <w:szCs w:val="14"/>
                <w:b w:val="1"/>
                <w:bCs w:val="1"/>
                <w:color w:val="FFFFFF"/>
              </w:rPr>
              <w:t>Vesting</w:t>
            </w:r>
            <w:r>
              <w:rPr>
                <w:rFonts w:ascii="Arial" w:cs="Arial" w:eastAsia="Arial" w:hAnsi="Arial"/>
                <w:sz w:val="9"/>
                <w:szCs w:val="9"/>
                <w:b w:val="1"/>
                <w:bCs w:val="1"/>
                <w:color w:val="FFFFFF"/>
              </w:rPr>
              <w:t>(3)</w:t>
            </w:r>
          </w:p>
        </w:tc>
        <w:tc>
          <w:tcPr>
            <w:tcW w:w="2140" w:type="dxa"/>
            <w:vAlign w:val="bottom"/>
            <w:vMerge w:val="continue"/>
            <w:shd w:val="clear" w:color="auto" w:fill="132440"/>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26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Name</w:t>
            </w:r>
          </w:p>
        </w:tc>
        <w:tc>
          <w:tcPr>
            <w:tcW w:w="2360" w:type="dxa"/>
            <w:vAlign w:val="bottom"/>
            <w:shd w:val="clear" w:color="auto" w:fill="132440"/>
          </w:tcPr>
          <w:p>
            <w:pPr>
              <w:jc w:val="right"/>
              <w:ind w:right="68"/>
              <w:spacing w:after="0"/>
              <w:rPr>
                <w:sz w:val="20"/>
                <w:szCs w:val="20"/>
                <w:color w:val="auto"/>
              </w:rPr>
            </w:pPr>
            <w:r>
              <w:rPr>
                <w:rFonts w:ascii="Arial" w:cs="Arial" w:eastAsia="Arial" w:hAnsi="Arial"/>
                <w:sz w:val="14"/>
                <w:szCs w:val="14"/>
                <w:b w:val="1"/>
                <w:bCs w:val="1"/>
                <w:color w:val="FFFFFF"/>
              </w:rPr>
              <w:t>($)</w:t>
            </w:r>
          </w:p>
        </w:tc>
        <w:tc>
          <w:tcPr>
            <w:tcW w:w="212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2360" w:type="dxa"/>
            <w:vAlign w:val="bottom"/>
            <w:shd w:val="clear" w:color="auto" w:fill="132440"/>
          </w:tcPr>
          <w:p>
            <w:pPr>
              <w:jc w:val="right"/>
              <w:ind w:right="68"/>
              <w:spacing w:after="0"/>
              <w:rPr>
                <w:sz w:val="20"/>
                <w:szCs w:val="20"/>
                <w:color w:val="auto"/>
              </w:rPr>
            </w:pPr>
            <w:r>
              <w:rPr>
                <w:rFonts w:ascii="Arial" w:cs="Arial" w:eastAsia="Arial" w:hAnsi="Arial"/>
                <w:sz w:val="14"/>
                <w:szCs w:val="14"/>
                <w:b w:val="1"/>
                <w:bCs w:val="1"/>
                <w:color w:val="FFFFFF"/>
              </w:rPr>
              <w:t>($)</w:t>
            </w:r>
          </w:p>
        </w:tc>
        <w:tc>
          <w:tcPr>
            <w:tcW w:w="214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30"/>
        </w:trPr>
        <w:tc>
          <w:tcPr>
            <w:tcW w:w="226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Michael J. Kasbar</w:t>
            </w:r>
          </w:p>
        </w:tc>
        <w:tc>
          <w:tcPr>
            <w:tcW w:w="2360" w:type="dxa"/>
            <w:vAlign w:val="bottom"/>
            <w:shd w:val="clear" w:color="auto" w:fill="EAEEF2"/>
          </w:tcPr>
          <w:p>
            <w:pPr>
              <w:jc w:val="right"/>
              <w:ind w:right="128"/>
              <w:spacing w:after="0"/>
              <w:rPr>
                <w:sz w:val="20"/>
                <w:szCs w:val="20"/>
                <w:color w:val="auto"/>
              </w:rPr>
            </w:pPr>
            <w:r>
              <w:rPr>
                <w:rFonts w:ascii="Arial" w:cs="Arial" w:eastAsia="Arial" w:hAnsi="Arial"/>
                <w:sz w:val="14"/>
                <w:szCs w:val="14"/>
                <w:color w:val="4D4D4F"/>
              </w:rPr>
              <w:t>169,504</w:t>
            </w:r>
          </w:p>
        </w:tc>
        <w:tc>
          <w:tcPr>
            <w:tcW w:w="2120" w:type="dxa"/>
            <w:vAlign w:val="bottom"/>
            <w:shd w:val="clear" w:color="auto" w:fill="EAEEF2"/>
          </w:tcPr>
          <w:p>
            <w:pPr>
              <w:jc w:val="right"/>
              <w:ind w:right="8"/>
              <w:spacing w:after="0"/>
              <w:rPr>
                <w:sz w:val="20"/>
                <w:szCs w:val="20"/>
                <w:color w:val="auto"/>
              </w:rPr>
            </w:pPr>
            <w:r>
              <w:rPr>
                <w:rFonts w:ascii="Arial" w:cs="Arial" w:eastAsia="Arial" w:hAnsi="Arial"/>
                <w:sz w:val="14"/>
                <w:szCs w:val="14"/>
                <w:color w:val="4D4D4F"/>
              </w:rPr>
              <w:t>620,064</w:t>
            </w:r>
          </w:p>
        </w:tc>
        <w:tc>
          <w:tcPr>
            <w:tcW w:w="2360" w:type="dxa"/>
            <w:vAlign w:val="bottom"/>
            <w:shd w:val="clear" w:color="auto" w:fill="EAEEF2"/>
          </w:tcPr>
          <w:p>
            <w:pPr>
              <w:ind w:left="1720"/>
              <w:spacing w:after="0"/>
              <w:rPr>
                <w:sz w:val="20"/>
                <w:szCs w:val="20"/>
                <w:color w:val="auto"/>
              </w:rPr>
            </w:pPr>
            <w:r>
              <w:rPr>
                <w:rFonts w:ascii="Arial" w:cs="Arial" w:eastAsia="Arial" w:hAnsi="Arial"/>
                <w:sz w:val="14"/>
                <w:szCs w:val="14"/>
                <w:color w:val="4D4D4F"/>
              </w:rPr>
              <w:t>67,457</w:t>
            </w:r>
          </w:p>
        </w:tc>
        <w:tc>
          <w:tcPr>
            <w:tcW w:w="2140" w:type="dxa"/>
            <w:vAlign w:val="bottom"/>
            <w:shd w:val="clear" w:color="auto" w:fill="EAEEF2"/>
          </w:tcPr>
          <w:p>
            <w:pPr>
              <w:jc w:val="right"/>
              <w:ind w:right="88"/>
              <w:spacing w:after="0"/>
              <w:rPr>
                <w:sz w:val="20"/>
                <w:szCs w:val="20"/>
                <w:color w:val="auto"/>
              </w:rPr>
            </w:pPr>
            <w:r>
              <w:rPr>
                <w:rFonts w:ascii="Arial" w:cs="Arial" w:eastAsia="Arial" w:hAnsi="Arial"/>
                <w:sz w:val="14"/>
                <w:szCs w:val="14"/>
                <w:color w:val="4D4D4F"/>
              </w:rPr>
              <w:t>1,616,944</w:t>
            </w:r>
          </w:p>
        </w:tc>
        <w:tc>
          <w:tcPr>
            <w:tcW w:w="0" w:type="dxa"/>
            <w:vAlign w:val="bottom"/>
          </w:tcPr>
          <w:p>
            <w:pPr>
              <w:spacing w:after="0"/>
              <w:rPr>
                <w:sz w:val="1"/>
                <w:szCs w:val="1"/>
                <w:color w:val="auto"/>
              </w:rPr>
            </w:pPr>
          </w:p>
        </w:tc>
      </w:tr>
      <w:tr>
        <w:trPr>
          <w:trHeight w:val="222"/>
        </w:trPr>
        <w:tc>
          <w:tcPr>
            <w:tcW w:w="2260" w:type="dxa"/>
            <w:vAlign w:val="bottom"/>
          </w:tcPr>
          <w:p>
            <w:pPr>
              <w:ind w:left="100"/>
              <w:spacing w:after="0"/>
              <w:rPr>
                <w:sz w:val="20"/>
                <w:szCs w:val="20"/>
                <w:color w:val="auto"/>
              </w:rPr>
            </w:pPr>
            <w:r>
              <w:rPr>
                <w:rFonts w:ascii="Arial" w:cs="Arial" w:eastAsia="Arial" w:hAnsi="Arial"/>
                <w:sz w:val="14"/>
                <w:szCs w:val="14"/>
                <w:b w:val="1"/>
                <w:bCs w:val="1"/>
                <w:color w:val="4D4D4F"/>
              </w:rPr>
              <w:t>Ira M. Birns</w:t>
            </w:r>
          </w:p>
        </w:tc>
        <w:tc>
          <w:tcPr>
            <w:tcW w:w="2360" w:type="dxa"/>
            <w:vAlign w:val="bottom"/>
          </w:tcPr>
          <w:p>
            <w:pPr>
              <w:jc w:val="right"/>
              <w:ind w:right="128"/>
              <w:spacing w:after="0"/>
              <w:rPr>
                <w:sz w:val="20"/>
                <w:szCs w:val="20"/>
                <w:color w:val="auto"/>
              </w:rPr>
            </w:pPr>
            <w:r>
              <w:rPr>
                <w:rFonts w:ascii="Arial" w:cs="Arial" w:eastAsia="Arial" w:hAnsi="Arial"/>
                <w:sz w:val="14"/>
                <w:szCs w:val="14"/>
                <w:color w:val="4D4D4F"/>
              </w:rPr>
              <w:t>46,642</w:t>
            </w:r>
          </w:p>
        </w:tc>
        <w:tc>
          <w:tcPr>
            <w:tcW w:w="2120" w:type="dxa"/>
            <w:vAlign w:val="bottom"/>
          </w:tcPr>
          <w:p>
            <w:pPr>
              <w:jc w:val="right"/>
              <w:ind w:right="8"/>
              <w:spacing w:after="0"/>
              <w:rPr>
                <w:sz w:val="20"/>
                <w:szCs w:val="20"/>
                <w:color w:val="auto"/>
              </w:rPr>
            </w:pPr>
            <w:r>
              <w:rPr>
                <w:rFonts w:ascii="Arial" w:cs="Arial" w:eastAsia="Arial" w:hAnsi="Arial"/>
                <w:sz w:val="14"/>
                <w:szCs w:val="14"/>
                <w:color w:val="4D4D4F"/>
              </w:rPr>
              <w:t>115,672</w:t>
            </w:r>
          </w:p>
        </w:tc>
        <w:tc>
          <w:tcPr>
            <w:tcW w:w="2360" w:type="dxa"/>
            <w:vAlign w:val="bottom"/>
          </w:tcPr>
          <w:p>
            <w:pPr>
              <w:ind w:left="1720"/>
              <w:spacing w:after="0"/>
              <w:rPr>
                <w:sz w:val="20"/>
                <w:szCs w:val="20"/>
                <w:color w:val="auto"/>
              </w:rPr>
            </w:pPr>
            <w:r>
              <w:rPr>
                <w:rFonts w:ascii="Arial" w:cs="Arial" w:eastAsia="Arial" w:hAnsi="Arial"/>
                <w:sz w:val="14"/>
                <w:szCs w:val="14"/>
                <w:color w:val="4D4D4F"/>
              </w:rPr>
              <w:t>29,337</w:t>
            </w:r>
          </w:p>
        </w:tc>
        <w:tc>
          <w:tcPr>
            <w:tcW w:w="2140" w:type="dxa"/>
            <w:vAlign w:val="bottom"/>
          </w:tcPr>
          <w:p>
            <w:pPr>
              <w:jc w:val="right"/>
              <w:ind w:right="88"/>
              <w:spacing w:after="0"/>
              <w:rPr>
                <w:sz w:val="20"/>
                <w:szCs w:val="20"/>
                <w:color w:val="auto"/>
              </w:rPr>
            </w:pPr>
            <w:r>
              <w:rPr>
                <w:rFonts w:ascii="Arial" w:cs="Arial" w:eastAsia="Arial" w:hAnsi="Arial"/>
                <w:sz w:val="14"/>
                <w:szCs w:val="14"/>
                <w:color w:val="4D4D4F"/>
              </w:rPr>
              <w:t>703,208</w:t>
            </w:r>
          </w:p>
        </w:tc>
        <w:tc>
          <w:tcPr>
            <w:tcW w:w="0" w:type="dxa"/>
            <w:vAlign w:val="bottom"/>
          </w:tcPr>
          <w:p>
            <w:pPr>
              <w:spacing w:after="0"/>
              <w:rPr>
                <w:sz w:val="1"/>
                <w:szCs w:val="1"/>
                <w:color w:val="auto"/>
              </w:rPr>
            </w:pPr>
          </w:p>
        </w:tc>
      </w:tr>
      <w:tr>
        <w:trPr>
          <w:trHeight w:val="231"/>
        </w:trPr>
        <w:tc>
          <w:tcPr>
            <w:tcW w:w="2260" w:type="dxa"/>
            <w:vAlign w:val="bottom"/>
            <w:tcBorders>
              <w:bottom w:val="single" w:sz="8" w:color="298655"/>
            </w:tcBorders>
            <w:shd w:val="clear" w:color="auto" w:fill="EAEEF2"/>
          </w:tcPr>
          <w:p>
            <w:pPr>
              <w:ind w:left="100"/>
              <w:spacing w:after="0"/>
              <w:rPr>
                <w:sz w:val="20"/>
                <w:szCs w:val="20"/>
                <w:color w:val="auto"/>
              </w:rPr>
            </w:pPr>
            <w:r>
              <w:rPr>
                <w:rFonts w:ascii="Arial" w:cs="Arial" w:eastAsia="Arial" w:hAnsi="Arial"/>
                <w:sz w:val="14"/>
                <w:szCs w:val="14"/>
                <w:b w:val="1"/>
                <w:bCs w:val="1"/>
                <w:color w:val="4D4D4F"/>
              </w:rPr>
              <w:t>John P. Rau</w:t>
            </w:r>
          </w:p>
        </w:tc>
        <w:tc>
          <w:tcPr>
            <w:tcW w:w="2360" w:type="dxa"/>
            <w:vAlign w:val="bottom"/>
            <w:tcBorders>
              <w:bottom w:val="single" w:sz="8" w:color="298655"/>
            </w:tcBorders>
            <w:shd w:val="clear" w:color="auto" w:fill="EAEEF2"/>
          </w:tcPr>
          <w:p>
            <w:pPr>
              <w:jc w:val="right"/>
              <w:ind w:right="128"/>
              <w:spacing w:after="0"/>
              <w:rPr>
                <w:sz w:val="20"/>
                <w:szCs w:val="20"/>
                <w:color w:val="auto"/>
              </w:rPr>
            </w:pPr>
            <w:r>
              <w:rPr>
                <w:rFonts w:ascii="Arial" w:cs="Arial" w:eastAsia="Arial" w:hAnsi="Arial"/>
                <w:sz w:val="14"/>
                <w:szCs w:val="14"/>
                <w:color w:val="4D4D4F"/>
              </w:rPr>
              <w:t>27,986</w:t>
            </w:r>
          </w:p>
        </w:tc>
        <w:tc>
          <w:tcPr>
            <w:tcW w:w="2120" w:type="dxa"/>
            <w:vAlign w:val="bottom"/>
            <w:tcBorders>
              <w:bottom w:val="single" w:sz="8" w:color="298655"/>
            </w:tcBorders>
            <w:shd w:val="clear" w:color="auto" w:fill="EAEEF2"/>
          </w:tcPr>
          <w:p>
            <w:pPr>
              <w:jc w:val="right"/>
              <w:ind w:right="8"/>
              <w:spacing w:after="0"/>
              <w:rPr>
                <w:sz w:val="20"/>
                <w:szCs w:val="20"/>
                <w:color w:val="auto"/>
              </w:rPr>
            </w:pPr>
            <w:r>
              <w:rPr>
                <w:rFonts w:ascii="Arial" w:cs="Arial" w:eastAsia="Arial" w:hAnsi="Arial"/>
                <w:sz w:val="14"/>
                <w:szCs w:val="14"/>
                <w:color w:val="4D4D4F"/>
              </w:rPr>
              <w:t>69,405</w:t>
            </w:r>
          </w:p>
        </w:tc>
        <w:tc>
          <w:tcPr>
            <w:tcW w:w="2360" w:type="dxa"/>
            <w:vAlign w:val="bottom"/>
            <w:tcBorders>
              <w:bottom w:val="single" w:sz="8" w:color="298655"/>
            </w:tcBorders>
            <w:shd w:val="clear" w:color="auto" w:fill="EAEEF2"/>
          </w:tcPr>
          <w:p>
            <w:pPr>
              <w:ind w:left="1720"/>
              <w:spacing w:after="0"/>
              <w:rPr>
                <w:sz w:val="20"/>
                <w:szCs w:val="20"/>
                <w:color w:val="auto"/>
              </w:rPr>
            </w:pPr>
            <w:r>
              <w:rPr>
                <w:rFonts w:ascii="Arial" w:cs="Arial" w:eastAsia="Arial" w:hAnsi="Arial"/>
                <w:sz w:val="14"/>
                <w:szCs w:val="14"/>
                <w:color w:val="4D4D4F"/>
              </w:rPr>
              <w:t>20,088</w:t>
            </w:r>
          </w:p>
        </w:tc>
        <w:tc>
          <w:tcPr>
            <w:tcW w:w="2140" w:type="dxa"/>
            <w:vAlign w:val="bottom"/>
            <w:tcBorders>
              <w:bottom w:val="single" w:sz="8" w:color="298655"/>
            </w:tcBorders>
            <w:shd w:val="clear" w:color="auto" w:fill="EAEEF2"/>
          </w:tcPr>
          <w:p>
            <w:pPr>
              <w:jc w:val="right"/>
              <w:ind w:right="88"/>
              <w:spacing w:after="0"/>
              <w:rPr>
                <w:sz w:val="20"/>
                <w:szCs w:val="20"/>
                <w:color w:val="auto"/>
              </w:rPr>
            </w:pPr>
            <w:r>
              <w:rPr>
                <w:rFonts w:ascii="Arial" w:cs="Arial" w:eastAsia="Arial" w:hAnsi="Arial"/>
                <w:sz w:val="14"/>
                <w:szCs w:val="14"/>
                <w:color w:val="4D4D4F"/>
              </w:rPr>
              <w:t>481,509</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right="240" w:hanging="330"/>
        <w:spacing w:after="0" w:line="301" w:lineRule="auto"/>
        <w:tabs>
          <w:tab w:leader="none" w:pos="498" w:val="left"/>
        </w:tabs>
        <w:numPr>
          <w:ilvl w:val="0"/>
          <w:numId w:val="103"/>
        </w:numPr>
        <w:rPr>
          <w:rFonts w:ascii="Arial" w:cs="Arial" w:eastAsia="Arial" w:hAnsi="Arial"/>
          <w:sz w:val="14"/>
          <w:szCs w:val="14"/>
          <w:color w:val="4D4D4F"/>
        </w:rPr>
      </w:pPr>
      <w:r>
        <w:rPr>
          <w:rFonts w:ascii="Arial" w:cs="Arial" w:eastAsia="Arial" w:hAnsi="Arial"/>
          <w:sz w:val="14"/>
          <w:szCs w:val="14"/>
          <w:color w:val="4D4D4F"/>
        </w:rPr>
        <w:t>Represents the conversion of SSARs. The number of shares of common stock reported in this column represents the number of shares underlying the SSARs, rather than the net number of shares received by each NEO, which was as follows: for Mr. Kasbar—15,676, for Mr. Birns—2,756, and for Mr. Rau—1,599.</w:t>
      </w:r>
    </w:p>
    <w:p>
      <w:pPr>
        <w:spacing w:after="0" w:line="1" w:lineRule="exact"/>
        <w:rPr>
          <w:rFonts w:ascii="Arial" w:cs="Arial" w:eastAsia="Arial" w:hAnsi="Arial"/>
          <w:sz w:val="14"/>
          <w:szCs w:val="14"/>
          <w:color w:val="4D4D4F"/>
        </w:rPr>
      </w:pPr>
    </w:p>
    <w:p>
      <w:pPr>
        <w:ind w:left="500" w:right="160" w:hanging="330"/>
        <w:spacing w:after="0" w:line="281" w:lineRule="auto"/>
        <w:tabs>
          <w:tab w:leader="none" w:pos="498" w:val="left"/>
        </w:tabs>
        <w:numPr>
          <w:ilvl w:val="0"/>
          <w:numId w:val="103"/>
        </w:numPr>
        <w:rPr>
          <w:rFonts w:ascii="Arial" w:cs="Arial" w:eastAsia="Arial" w:hAnsi="Arial"/>
          <w:sz w:val="14"/>
          <w:szCs w:val="14"/>
          <w:color w:val="4D4D4F"/>
        </w:rPr>
      </w:pPr>
      <w:r>
        <w:rPr>
          <w:rFonts w:ascii="Arial" w:cs="Arial" w:eastAsia="Arial" w:hAnsi="Arial"/>
          <w:sz w:val="14"/>
          <w:szCs w:val="14"/>
          <w:color w:val="4D4D4F"/>
        </w:rPr>
        <w:t>For the conversion of SSARs, the value realized is calculated by multiplying (a) the difference between the share price of our common stock at the time of conversion and the SSAR exercise price by (b) the number of shares of common stock underlying the SSARs. The value realized does not represent cash received by each NEO, which may differ based on when the acquired shares are ultimately sold by the NEO.</w:t>
      </w:r>
    </w:p>
    <w:p>
      <w:pPr>
        <w:spacing w:after="0" w:line="1" w:lineRule="exact"/>
        <w:rPr>
          <w:rFonts w:ascii="Arial" w:cs="Arial" w:eastAsia="Arial" w:hAnsi="Arial"/>
          <w:sz w:val="14"/>
          <w:szCs w:val="14"/>
          <w:color w:val="4D4D4F"/>
        </w:rPr>
      </w:pPr>
    </w:p>
    <w:p>
      <w:pPr>
        <w:ind w:left="500" w:right="20" w:hanging="330"/>
        <w:spacing w:after="0" w:line="283" w:lineRule="auto"/>
        <w:tabs>
          <w:tab w:leader="none" w:pos="498" w:val="left"/>
        </w:tabs>
        <w:numPr>
          <w:ilvl w:val="0"/>
          <w:numId w:val="103"/>
        </w:numPr>
        <w:rPr>
          <w:rFonts w:ascii="Arial" w:cs="Arial" w:eastAsia="Arial" w:hAnsi="Arial"/>
          <w:sz w:val="14"/>
          <w:szCs w:val="14"/>
          <w:color w:val="4D4D4F"/>
        </w:rPr>
      </w:pPr>
      <w:r>
        <w:rPr>
          <w:rFonts w:ascii="Arial" w:cs="Arial" w:eastAsia="Arial" w:hAnsi="Arial"/>
          <w:sz w:val="14"/>
          <w:szCs w:val="14"/>
          <w:color w:val="4D4D4F"/>
        </w:rPr>
        <w:t>The amounts shown in this column reflect the number of RSUs that vested for each NEO. Upon vesting, we withheld a sufficient number of shares to cover the NEOs tax liability associated with the vesting. Thereafter, each of the NEOs received the following number of net shares of our common stock: Mr. Kasbar—40,910, Mr. Birns— 17,791 and Mr. Rau—12,182.</w:t>
      </w:r>
    </w:p>
    <w:p>
      <w:pPr>
        <w:spacing w:after="0" w:line="10" w:lineRule="exact"/>
        <w:rPr>
          <w:rFonts w:ascii="Arial" w:cs="Arial" w:eastAsia="Arial" w:hAnsi="Arial"/>
          <w:sz w:val="14"/>
          <w:szCs w:val="14"/>
          <w:color w:val="4D4D4F"/>
        </w:rPr>
      </w:pPr>
    </w:p>
    <w:p>
      <w:pPr>
        <w:ind w:left="500" w:right="80" w:hanging="330"/>
        <w:spacing w:after="0" w:line="273" w:lineRule="auto"/>
        <w:tabs>
          <w:tab w:leader="none" w:pos="498" w:val="left"/>
        </w:tabs>
        <w:numPr>
          <w:ilvl w:val="0"/>
          <w:numId w:val="103"/>
        </w:numPr>
        <w:rPr>
          <w:rFonts w:ascii="Arial" w:cs="Arial" w:eastAsia="Arial" w:hAnsi="Arial"/>
          <w:sz w:val="14"/>
          <w:szCs w:val="14"/>
          <w:color w:val="4D4D4F"/>
        </w:rPr>
      </w:pPr>
      <w:r>
        <w:rPr>
          <w:rFonts w:ascii="Arial" w:cs="Arial" w:eastAsia="Arial" w:hAnsi="Arial"/>
          <w:sz w:val="14"/>
          <w:szCs w:val="14"/>
          <w:color w:val="4D4D4F"/>
        </w:rPr>
        <w:t>The amount shown in this column reflects the value realized upon vesting which is calculated by multiplying (a) the closing price of our common stock on the vesting date by (b) the number of shares of RSUs that vested. The value realized does not represent cash received by the NEO; rather, such amount will depend on the price at which the acquired shares are ultimately disposed of by the NEO.</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Non-Qualified Deferred Compensation</w:t>
      </w:r>
    </w:p>
    <w:p>
      <w:pPr>
        <w:spacing w:after="0" w:line="15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4D4D4F"/>
        </w:rPr>
        <w:t>We offer our executives and other senior employees based in the U.S. an opportunity to defer compensation under our non-qualified deferred compensation plan, or NQDCP. Pursuant to the NQDCP, participants may defer up to 75% of their base salary and up to 90% of any annual bonus, on a pre-tax basis, and an additional amount equal to any “excess contributions” that are refunded to them from the 401(k) Plan. We do not match any participant deferrals under the NQDCP. Participants can elect from a variety of investment choices for their deferred compensation and gains and losses on these investments are credited to their respective accounts. Participants may elect, depending on whether their termination is in connection with retirement or otherwise, to receive deferred amounts in a lump sum, in annual installments over a period of up to ten years, or in a partial lump sum with the balance paid in installments. However, these payments are accelerated upon a change of control or the death of the participant. The following table sets forth non-qualified deferred compensation during the year ended December 31, 2023 for the NEOs set forth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20" w:type="dxa"/>
            <w:vAlign w:val="bottom"/>
            <w:shd w:val="clear" w:color="auto" w:fill="132440"/>
          </w:tcPr>
          <w:p>
            <w:pPr>
              <w:spacing w:after="0"/>
              <w:rPr>
                <w:sz w:val="16"/>
                <w:szCs w:val="16"/>
                <w:color w:val="auto"/>
              </w:rPr>
            </w:pPr>
          </w:p>
        </w:tc>
        <w:tc>
          <w:tcPr>
            <w:tcW w:w="3640" w:type="dxa"/>
            <w:vAlign w:val="bottom"/>
            <w:shd w:val="clear" w:color="auto" w:fill="132440"/>
          </w:tcPr>
          <w:p>
            <w:pPr>
              <w:jc w:val="right"/>
              <w:ind w:right="308"/>
              <w:spacing w:after="0"/>
              <w:rPr>
                <w:sz w:val="20"/>
                <w:szCs w:val="20"/>
                <w:color w:val="auto"/>
              </w:rPr>
            </w:pPr>
            <w:r>
              <w:rPr>
                <w:rFonts w:ascii="Arial" w:cs="Arial" w:eastAsia="Arial" w:hAnsi="Arial"/>
                <w:sz w:val="14"/>
                <w:szCs w:val="14"/>
                <w:b w:val="1"/>
                <w:bCs w:val="1"/>
                <w:color w:val="FFFFFF"/>
              </w:rPr>
              <w:t>Executive Contributions in Last</w:t>
            </w:r>
          </w:p>
        </w:tc>
        <w:tc>
          <w:tcPr>
            <w:tcW w:w="5080" w:type="dxa"/>
            <w:vAlign w:val="bottom"/>
            <w:gridSpan w:val="2"/>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Aggregate Earnings in Last Aggregate Balance at Last Fiscal Year-</w:t>
            </w:r>
          </w:p>
        </w:tc>
        <w:tc>
          <w:tcPr>
            <w:tcW w:w="0" w:type="dxa"/>
            <w:vAlign w:val="bottom"/>
          </w:tcPr>
          <w:p>
            <w:pPr>
              <w:spacing w:after="0"/>
              <w:rPr>
                <w:sz w:val="1"/>
                <w:szCs w:val="1"/>
                <w:color w:val="auto"/>
              </w:rPr>
            </w:pPr>
          </w:p>
        </w:tc>
      </w:tr>
      <w:tr>
        <w:trPr>
          <w:trHeight w:val="175"/>
        </w:trPr>
        <w:tc>
          <w:tcPr>
            <w:tcW w:w="2520" w:type="dxa"/>
            <w:vAlign w:val="bottom"/>
            <w:vMerge w:val="restart"/>
            <w:shd w:val="clear" w:color="auto" w:fill="132440"/>
          </w:tcPr>
          <w:p>
            <w:pPr>
              <w:ind w:left="100"/>
              <w:spacing w:after="0"/>
              <w:rPr>
                <w:sz w:val="20"/>
                <w:szCs w:val="20"/>
                <w:color w:val="auto"/>
              </w:rPr>
            </w:pPr>
            <w:r>
              <w:rPr>
                <w:rFonts w:ascii="Arial" w:cs="Arial" w:eastAsia="Arial" w:hAnsi="Arial"/>
                <w:sz w:val="14"/>
                <w:szCs w:val="14"/>
                <w:b w:val="1"/>
                <w:bCs w:val="1"/>
                <w:color w:val="FFFFFF"/>
              </w:rPr>
              <w:t>Name</w:t>
            </w:r>
          </w:p>
        </w:tc>
        <w:tc>
          <w:tcPr>
            <w:tcW w:w="3640" w:type="dxa"/>
            <w:vAlign w:val="bottom"/>
            <w:shd w:val="clear" w:color="auto" w:fill="132440"/>
          </w:tcPr>
          <w:p>
            <w:pPr>
              <w:jc w:val="right"/>
              <w:ind w:right="348"/>
              <w:spacing w:after="0"/>
              <w:rPr>
                <w:sz w:val="20"/>
                <w:szCs w:val="20"/>
                <w:color w:val="auto"/>
              </w:rPr>
            </w:pPr>
            <w:r>
              <w:rPr>
                <w:rFonts w:ascii="Arial" w:cs="Arial" w:eastAsia="Arial" w:hAnsi="Arial"/>
                <w:sz w:val="14"/>
                <w:szCs w:val="14"/>
                <w:b w:val="1"/>
                <w:bCs w:val="1"/>
                <w:color w:val="FFFFFF"/>
              </w:rPr>
              <w:t>Fiscal Year</w:t>
            </w:r>
          </w:p>
        </w:tc>
        <w:tc>
          <w:tcPr>
            <w:tcW w:w="3360" w:type="dxa"/>
            <w:vAlign w:val="bottom"/>
            <w:shd w:val="clear" w:color="auto" w:fill="132440"/>
          </w:tcPr>
          <w:p>
            <w:pPr>
              <w:jc w:val="right"/>
              <w:ind w:right="1028"/>
              <w:spacing w:after="0"/>
              <w:rPr>
                <w:sz w:val="20"/>
                <w:szCs w:val="20"/>
                <w:color w:val="auto"/>
              </w:rPr>
            </w:pPr>
            <w:r>
              <w:rPr>
                <w:rFonts w:ascii="Arial" w:cs="Arial" w:eastAsia="Arial" w:hAnsi="Arial"/>
                <w:sz w:val="14"/>
                <w:szCs w:val="14"/>
                <w:b w:val="1"/>
                <w:bCs w:val="1"/>
                <w:color w:val="FFFFFF"/>
              </w:rPr>
              <w:t>Fiscal Year</w:t>
            </w:r>
          </w:p>
        </w:tc>
        <w:tc>
          <w:tcPr>
            <w:tcW w:w="172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End</w:t>
            </w:r>
          </w:p>
        </w:tc>
        <w:tc>
          <w:tcPr>
            <w:tcW w:w="0" w:type="dxa"/>
            <w:vAlign w:val="bottom"/>
          </w:tcPr>
          <w:p>
            <w:pPr>
              <w:spacing w:after="0"/>
              <w:rPr>
                <w:sz w:val="1"/>
                <w:szCs w:val="1"/>
                <w:color w:val="auto"/>
              </w:rPr>
            </w:pPr>
          </w:p>
        </w:tc>
      </w:tr>
      <w:tr>
        <w:trPr>
          <w:trHeight w:val="198"/>
        </w:trPr>
        <w:tc>
          <w:tcPr>
            <w:tcW w:w="2520" w:type="dxa"/>
            <w:vAlign w:val="bottom"/>
            <w:vMerge w:val="continue"/>
            <w:shd w:val="clear" w:color="auto" w:fill="132440"/>
          </w:tcPr>
          <w:p>
            <w:pPr>
              <w:spacing w:after="0"/>
              <w:rPr>
                <w:sz w:val="17"/>
                <w:szCs w:val="17"/>
                <w:color w:val="auto"/>
              </w:rPr>
            </w:pPr>
          </w:p>
        </w:tc>
        <w:tc>
          <w:tcPr>
            <w:tcW w:w="3640" w:type="dxa"/>
            <w:vAlign w:val="bottom"/>
            <w:shd w:val="clear" w:color="auto" w:fill="132440"/>
          </w:tcPr>
          <w:p>
            <w:pPr>
              <w:jc w:val="right"/>
              <w:ind w:right="308"/>
              <w:spacing w:after="0"/>
              <w:rPr>
                <w:sz w:val="20"/>
                <w:szCs w:val="20"/>
                <w:color w:val="auto"/>
              </w:rPr>
            </w:pPr>
            <w:r>
              <w:rPr>
                <w:rFonts w:ascii="Arial" w:cs="Arial" w:eastAsia="Arial" w:hAnsi="Arial"/>
                <w:sz w:val="14"/>
                <w:szCs w:val="14"/>
                <w:b w:val="1"/>
                <w:bCs w:val="1"/>
                <w:color w:val="FFFFFF"/>
              </w:rPr>
              <w:t>($)</w:t>
            </w:r>
          </w:p>
        </w:tc>
        <w:tc>
          <w:tcPr>
            <w:tcW w:w="3360" w:type="dxa"/>
            <w:vAlign w:val="bottom"/>
            <w:shd w:val="clear" w:color="auto" w:fill="132440"/>
          </w:tcPr>
          <w:p>
            <w:pPr>
              <w:jc w:val="right"/>
              <w:ind w:right="1028"/>
              <w:spacing w:after="0"/>
              <w:rPr>
                <w:sz w:val="20"/>
                <w:szCs w:val="20"/>
                <w:color w:val="auto"/>
              </w:rPr>
            </w:pPr>
            <w:r>
              <w:rPr>
                <w:rFonts w:ascii="Arial" w:cs="Arial" w:eastAsia="Arial" w:hAnsi="Arial"/>
                <w:sz w:val="14"/>
                <w:szCs w:val="14"/>
                <w:b w:val="1"/>
                <w:bCs w:val="1"/>
                <w:color w:val="FFFFFF"/>
              </w:rPr>
              <w:t>($)</w:t>
            </w:r>
          </w:p>
        </w:tc>
        <w:tc>
          <w:tcPr>
            <w:tcW w:w="172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252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Michael J. Kasbar</w:t>
            </w:r>
            <w:r>
              <w:rPr>
                <w:rFonts w:ascii="Arial" w:cs="Arial" w:eastAsia="Arial" w:hAnsi="Arial"/>
                <w:sz w:val="9"/>
                <w:szCs w:val="9"/>
                <w:b w:val="1"/>
                <w:bCs w:val="1"/>
                <w:color w:val="4D4D4F"/>
              </w:rPr>
              <w:t>(1)</w:t>
            </w:r>
          </w:p>
        </w:tc>
        <w:tc>
          <w:tcPr>
            <w:tcW w:w="3640" w:type="dxa"/>
            <w:vAlign w:val="bottom"/>
            <w:shd w:val="clear" w:color="auto" w:fill="EAEEF2"/>
          </w:tcPr>
          <w:p>
            <w:pPr>
              <w:jc w:val="right"/>
              <w:ind w:right="308"/>
              <w:spacing w:after="0"/>
              <w:rPr>
                <w:sz w:val="20"/>
                <w:szCs w:val="20"/>
                <w:color w:val="auto"/>
              </w:rPr>
            </w:pPr>
            <w:r>
              <w:rPr>
                <w:rFonts w:ascii="Arial" w:cs="Arial" w:eastAsia="Arial" w:hAnsi="Arial"/>
                <w:sz w:val="14"/>
                <w:szCs w:val="14"/>
                <w:color w:val="4D4D4F"/>
              </w:rPr>
              <w:t>0</w:t>
            </w:r>
          </w:p>
        </w:tc>
        <w:tc>
          <w:tcPr>
            <w:tcW w:w="3360" w:type="dxa"/>
            <w:vAlign w:val="bottom"/>
            <w:shd w:val="clear" w:color="auto" w:fill="EAEEF2"/>
          </w:tcPr>
          <w:p>
            <w:pPr>
              <w:jc w:val="right"/>
              <w:ind w:right="1028"/>
              <w:spacing w:after="0"/>
              <w:rPr>
                <w:sz w:val="20"/>
                <w:szCs w:val="20"/>
                <w:color w:val="auto"/>
              </w:rPr>
            </w:pPr>
            <w:r>
              <w:rPr>
                <w:rFonts w:ascii="Arial" w:cs="Arial" w:eastAsia="Arial" w:hAnsi="Arial"/>
                <w:sz w:val="14"/>
                <w:szCs w:val="14"/>
                <w:color w:val="4D4D4F"/>
              </w:rPr>
              <w:t>23,212</w:t>
            </w:r>
          </w:p>
        </w:tc>
        <w:tc>
          <w:tcPr>
            <w:tcW w:w="1720" w:type="dxa"/>
            <w:vAlign w:val="bottom"/>
            <w:shd w:val="clear" w:color="auto" w:fill="EAEEF2"/>
          </w:tcPr>
          <w:p>
            <w:pPr>
              <w:jc w:val="right"/>
              <w:ind w:right="48"/>
              <w:spacing w:after="0"/>
              <w:rPr>
                <w:sz w:val="20"/>
                <w:szCs w:val="20"/>
                <w:color w:val="auto"/>
              </w:rPr>
            </w:pPr>
            <w:r>
              <w:rPr>
                <w:rFonts w:ascii="Arial" w:cs="Arial" w:eastAsia="Arial" w:hAnsi="Arial"/>
                <w:sz w:val="14"/>
                <w:szCs w:val="14"/>
                <w:color w:val="4D4D4F"/>
              </w:rPr>
              <w:t>295,431</w:t>
            </w:r>
          </w:p>
        </w:tc>
        <w:tc>
          <w:tcPr>
            <w:tcW w:w="0" w:type="dxa"/>
            <w:vAlign w:val="bottom"/>
          </w:tcPr>
          <w:p>
            <w:pPr>
              <w:spacing w:after="0"/>
              <w:rPr>
                <w:sz w:val="1"/>
                <w:szCs w:val="1"/>
                <w:color w:val="auto"/>
              </w:rPr>
            </w:pPr>
          </w:p>
        </w:tc>
      </w:tr>
      <w:tr>
        <w:trPr>
          <w:trHeight w:val="222"/>
        </w:trPr>
        <w:tc>
          <w:tcPr>
            <w:tcW w:w="2520" w:type="dxa"/>
            <w:vAlign w:val="bottom"/>
          </w:tcPr>
          <w:p>
            <w:pPr>
              <w:ind w:left="100"/>
              <w:spacing w:after="0"/>
              <w:rPr>
                <w:sz w:val="20"/>
                <w:szCs w:val="20"/>
                <w:color w:val="auto"/>
              </w:rPr>
            </w:pPr>
            <w:r>
              <w:rPr>
                <w:rFonts w:ascii="Arial" w:cs="Arial" w:eastAsia="Arial" w:hAnsi="Arial"/>
                <w:sz w:val="14"/>
                <w:szCs w:val="14"/>
                <w:b w:val="1"/>
                <w:bCs w:val="1"/>
                <w:color w:val="4D4D4F"/>
              </w:rPr>
              <w:t>Ira M. Birns</w:t>
            </w:r>
          </w:p>
        </w:tc>
        <w:tc>
          <w:tcPr>
            <w:tcW w:w="3640" w:type="dxa"/>
            <w:vAlign w:val="bottom"/>
          </w:tcPr>
          <w:p>
            <w:pPr>
              <w:jc w:val="right"/>
              <w:ind w:right="308"/>
              <w:spacing w:after="0"/>
              <w:rPr>
                <w:sz w:val="20"/>
                <w:szCs w:val="20"/>
                <w:color w:val="auto"/>
              </w:rPr>
            </w:pPr>
            <w:r>
              <w:rPr>
                <w:rFonts w:ascii="Arial" w:cs="Arial" w:eastAsia="Arial" w:hAnsi="Arial"/>
                <w:sz w:val="14"/>
                <w:szCs w:val="14"/>
                <w:color w:val="4D4D4F"/>
              </w:rPr>
              <w:t>0</w:t>
            </w:r>
          </w:p>
        </w:tc>
        <w:tc>
          <w:tcPr>
            <w:tcW w:w="3360" w:type="dxa"/>
            <w:vAlign w:val="bottom"/>
          </w:tcPr>
          <w:p>
            <w:pPr>
              <w:jc w:val="right"/>
              <w:ind w:right="1068"/>
              <w:spacing w:after="0"/>
              <w:rPr>
                <w:sz w:val="20"/>
                <w:szCs w:val="20"/>
                <w:color w:val="auto"/>
              </w:rPr>
            </w:pPr>
            <w:r>
              <w:rPr>
                <w:rFonts w:ascii="Arial" w:cs="Arial" w:eastAsia="Arial" w:hAnsi="Arial"/>
                <w:sz w:val="14"/>
                <w:szCs w:val="14"/>
                <w:color w:val="4D4D4F"/>
              </w:rPr>
              <w:t>—</w:t>
            </w:r>
          </w:p>
        </w:tc>
        <w:tc>
          <w:tcPr>
            <w:tcW w:w="1720" w:type="dxa"/>
            <w:vAlign w:val="bottom"/>
          </w:tcPr>
          <w:p>
            <w:pPr>
              <w:jc w:val="right"/>
              <w:ind w:right="88"/>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231"/>
        </w:trPr>
        <w:tc>
          <w:tcPr>
            <w:tcW w:w="2520" w:type="dxa"/>
            <w:vAlign w:val="bottom"/>
            <w:tcBorders>
              <w:bottom w:val="single" w:sz="8" w:color="298655"/>
            </w:tcBorders>
            <w:shd w:val="clear" w:color="auto" w:fill="EAEEF2"/>
          </w:tcPr>
          <w:p>
            <w:pPr>
              <w:ind w:left="100"/>
              <w:spacing w:after="0"/>
              <w:rPr>
                <w:sz w:val="20"/>
                <w:szCs w:val="20"/>
                <w:color w:val="auto"/>
              </w:rPr>
            </w:pPr>
            <w:r>
              <w:rPr>
                <w:rFonts w:ascii="Arial" w:cs="Arial" w:eastAsia="Arial" w:hAnsi="Arial"/>
                <w:sz w:val="14"/>
                <w:szCs w:val="14"/>
                <w:b w:val="1"/>
                <w:bCs w:val="1"/>
                <w:color w:val="4D4D4F"/>
              </w:rPr>
              <w:t>John P. Rau</w:t>
            </w:r>
          </w:p>
        </w:tc>
        <w:tc>
          <w:tcPr>
            <w:tcW w:w="3640" w:type="dxa"/>
            <w:vAlign w:val="bottom"/>
            <w:tcBorders>
              <w:bottom w:val="single" w:sz="8" w:color="298655"/>
            </w:tcBorders>
            <w:shd w:val="clear" w:color="auto" w:fill="EAEEF2"/>
          </w:tcPr>
          <w:p>
            <w:pPr>
              <w:jc w:val="right"/>
              <w:ind w:right="308"/>
              <w:spacing w:after="0"/>
              <w:rPr>
                <w:sz w:val="20"/>
                <w:szCs w:val="20"/>
                <w:color w:val="auto"/>
              </w:rPr>
            </w:pPr>
            <w:r>
              <w:rPr>
                <w:rFonts w:ascii="Arial" w:cs="Arial" w:eastAsia="Arial" w:hAnsi="Arial"/>
                <w:sz w:val="14"/>
                <w:szCs w:val="14"/>
                <w:color w:val="4D4D4F"/>
              </w:rPr>
              <w:t>0</w:t>
            </w:r>
          </w:p>
        </w:tc>
        <w:tc>
          <w:tcPr>
            <w:tcW w:w="3360" w:type="dxa"/>
            <w:vAlign w:val="bottom"/>
            <w:tcBorders>
              <w:bottom w:val="single" w:sz="8" w:color="298655"/>
            </w:tcBorders>
            <w:shd w:val="clear" w:color="auto" w:fill="EAEEF2"/>
          </w:tcPr>
          <w:p>
            <w:pPr>
              <w:jc w:val="right"/>
              <w:ind w:right="1068"/>
              <w:spacing w:after="0"/>
              <w:rPr>
                <w:sz w:val="20"/>
                <w:szCs w:val="20"/>
                <w:color w:val="auto"/>
              </w:rPr>
            </w:pPr>
            <w:r>
              <w:rPr>
                <w:rFonts w:ascii="Arial" w:cs="Arial" w:eastAsia="Arial" w:hAnsi="Arial"/>
                <w:sz w:val="14"/>
                <w:szCs w:val="14"/>
                <w:color w:val="4D4D4F"/>
              </w:rPr>
              <w:t>—</w:t>
            </w:r>
          </w:p>
        </w:tc>
        <w:tc>
          <w:tcPr>
            <w:tcW w:w="1720" w:type="dxa"/>
            <w:vAlign w:val="bottom"/>
            <w:tcBorders>
              <w:bottom w:val="single" w:sz="8" w:color="298655"/>
            </w:tcBorders>
            <w:shd w:val="clear" w:color="auto" w:fill="EAEEF2"/>
          </w:tcPr>
          <w:p>
            <w:pPr>
              <w:jc w:val="right"/>
              <w:ind w:right="88"/>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right="40" w:hanging="330"/>
        <w:spacing w:after="0" w:line="266" w:lineRule="auto"/>
        <w:tabs>
          <w:tab w:leader="none" w:pos="498" w:val="left"/>
        </w:tabs>
        <w:numPr>
          <w:ilvl w:val="0"/>
          <w:numId w:val="104"/>
        </w:numPr>
        <w:rPr>
          <w:rFonts w:ascii="Arial" w:cs="Arial" w:eastAsia="Arial" w:hAnsi="Arial"/>
          <w:sz w:val="14"/>
          <w:szCs w:val="14"/>
          <w:color w:val="4D4D4F"/>
        </w:rPr>
      </w:pPr>
      <w:r>
        <w:rPr>
          <w:rFonts w:ascii="Arial" w:cs="Arial" w:eastAsia="Arial" w:hAnsi="Arial"/>
          <w:sz w:val="14"/>
          <w:szCs w:val="14"/>
          <w:color w:val="4D4D4F"/>
        </w:rPr>
        <w:t>Mr. Kasbar’s prior employment agreement provided that any bonuses payable to him that would not be deductible under Section 162(m) for the year earned would be deferred until a fiscal year in which it would be deductible (or until the year in which Mr. Kasbar’s employment terminates or the employment agreement expires), and that any amount so deferred would be credited with interest at the prime rate as published in the Wall Street Journal. A portion of the bonus earned by Mr. Kasbar for the 2002 fiscal year, equal to $109,375, was deferred pursuant to that provision of his employment agreement and remains unpaid. The portion of these earnings in the last fiscal year that constitute “above market earnings” within the meaning of the applicable SEC rules, is reflected in the “Summary Compensation Table” on page 64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67</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0" w:name="page71"/>
    <w:bookmarkEnd w:id="70"/>
    <w:p>
      <w:pPr>
        <w:ind w:left="20"/>
        <w:spacing w:after="0"/>
        <w:rPr>
          <w:sz w:val="20"/>
          <w:szCs w:val="20"/>
          <w:color w:val="auto"/>
        </w:rPr>
      </w:pPr>
      <w:r>
        <w:rPr>
          <w:rFonts w:ascii="Arial" w:cs="Arial" w:eastAsia="Arial" w:hAnsi="Arial"/>
          <w:sz w:val="14"/>
          <w:szCs w:val="14"/>
          <w:b w:val="1"/>
          <w:bCs w:val="1"/>
          <w:color w:val="5B6770"/>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Potential Payments Upon Termination of Employment or Change of Control</w:t>
      </w:r>
    </w:p>
    <w:p>
      <w:pPr>
        <w:spacing w:after="0" w:line="15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4D4D4F"/>
        </w:rPr>
        <w:t>Our amended and restated employment agreement with Mr. Kasbar (the “Kasbar Agreement”) and executive severance agreement with Mr. Birns (the “Birns Agreement”) each provides for the payment of certain compensation and benefits in the event of the termination of the executive’s employment, the amount of which varies depending upon the reason for such termination. In lieu of entering into separate executive severance agreement with Mr. Rau in connection with his promotion to executive officer, our Board adopted an Executive Severance Policy (“ESP”) applicable to Mr. Rau and other executives that the Compensation Committee may subsequently designate as a participating executive (“ESP Executive”). The ESP provides for the payment of certain severance payments and benefits in the event of a termination of such executives’ employment in certain specified circumstances.</w:t>
      </w:r>
    </w:p>
    <w:p>
      <w:pPr>
        <w:spacing w:after="0" w:line="129"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4D4D4F"/>
        </w:rPr>
        <w:t>Each of the Kasbar Agreement, the Birns Agreement and the ESP provides for certain benefits (1) if the NEO’s employment is terminated due to death or disability, (2) if the NEO’s employment is terminated by the Company without “cause” (as that term is defined in the relevant agreement or arrangement) or</w:t>
      </w:r>
    </w:p>
    <w:p>
      <w:pPr>
        <w:spacing w:after="0" w:line="1" w:lineRule="exact"/>
        <w:rPr>
          <w:sz w:val="20"/>
          <w:szCs w:val="20"/>
          <w:color w:val="auto"/>
        </w:rPr>
      </w:pPr>
    </w:p>
    <w:p>
      <w:pPr>
        <w:ind w:right="100" w:firstLine="8"/>
        <w:spacing w:after="0" w:line="295" w:lineRule="auto"/>
        <w:tabs>
          <w:tab w:leader="none" w:pos="243" w:val="left"/>
        </w:tabs>
        <w:numPr>
          <w:ilvl w:val="0"/>
          <w:numId w:val="105"/>
        </w:numPr>
        <w:rPr>
          <w:rFonts w:ascii="Arial" w:cs="Arial" w:eastAsia="Arial" w:hAnsi="Arial"/>
          <w:sz w:val="16"/>
          <w:szCs w:val="16"/>
          <w:color w:val="4D4D4F"/>
        </w:rPr>
      </w:pPr>
      <w:r>
        <w:rPr>
          <w:rFonts w:ascii="Arial" w:cs="Arial" w:eastAsia="Arial" w:hAnsi="Arial"/>
          <w:sz w:val="16"/>
          <w:szCs w:val="16"/>
          <w:color w:val="4D4D4F"/>
        </w:rPr>
        <w:t>if the NEO terminates his employment with “good reason” (as that term is defined in the relevant agreement or arrangement, which definition for Mr. Rau is within two years after a Change of Control has occurred). If the employment of Mr. Kasbar or Mr. Rau is terminated without “cause” or for “good reason” within two years after a Change of Control, then the severance benefits are slightly higher. The actual amounts of such payments are set forth in the table below the relevant definitions.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Termination Without Cause</w:t>
      </w:r>
    </w:p>
    <w:p>
      <w:pPr>
        <w:spacing w:after="0" w:line="144"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b w:val="1"/>
          <w:bCs w:val="1"/>
          <w:color w:val="4D4D4F"/>
        </w:rPr>
        <w:t xml:space="preserve">Kasbar Agreement </w:t>
      </w:r>
      <w:r>
        <w:rPr>
          <w:rFonts w:ascii="Arial" w:cs="Arial" w:eastAsia="Arial" w:hAnsi="Arial"/>
          <w:sz w:val="16"/>
          <w:szCs w:val="16"/>
          <w:color w:val="4D4D4F"/>
        </w:rPr>
        <w:t>— Under the Kasbar Agreement, “cause” generally means (i) an act or acts of fraud, misappropriation, embezzlement or material</w:t>
      </w:r>
      <w:r>
        <w:rPr>
          <w:rFonts w:ascii="Arial" w:cs="Arial" w:eastAsia="Arial" w:hAnsi="Arial"/>
          <w:sz w:val="16"/>
          <w:szCs w:val="16"/>
          <w:b w:val="1"/>
          <w:bCs w:val="1"/>
          <w:color w:val="4D4D4F"/>
        </w:rPr>
        <w:t xml:space="preserve"> </w:t>
      </w:r>
      <w:r>
        <w:rPr>
          <w:rFonts w:ascii="Arial" w:cs="Arial" w:eastAsia="Arial" w:hAnsi="Arial"/>
          <w:sz w:val="16"/>
          <w:szCs w:val="16"/>
          <w:color w:val="4D4D4F"/>
        </w:rPr>
        <w:t>dishonesty by Mr. Kasbar, which result in or are intended to result in his personal enrichment at our expense; (ii) willful misconduct that results in material economic harm to us; (iii) a felony conviction or conviction for a crime involving moral turpitude; (iv) the willful and continued material failure of Mr. Kasbar to perform his duties under the Kasbar Agreement; (v) a willful and material breach by Mr. Kasbar of his non-compete, non-solicitation, non-disparagement or cooperation obligations under the Kasbar Agreement (and in the case of (ii) through (v) the failure to cure such breach); or (vi) a material breach by Mr. Kasbar of our Code of Conduct, Securities Trading Policy or any other related corporate and personnel policies generally applicable to our executives or employees.</w:t>
      </w:r>
    </w:p>
    <w:p>
      <w:pPr>
        <w:spacing w:after="0" w:line="1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color w:val="4D4D4F"/>
        </w:rPr>
        <w:t xml:space="preserve">Birns Agreement </w:t>
      </w:r>
      <w:r>
        <w:rPr>
          <w:rFonts w:ascii="Arial" w:cs="Arial" w:eastAsia="Arial" w:hAnsi="Arial"/>
          <w:sz w:val="16"/>
          <w:szCs w:val="16"/>
          <w:color w:val="4D4D4F"/>
        </w:rPr>
        <w:t>— Under the Birns Agreement, “cause” generally means, as reasonably determined by us in good faith, (i) the willful, material failure by</w:t>
      </w:r>
      <w:r>
        <w:rPr>
          <w:rFonts w:ascii="Arial" w:cs="Arial" w:eastAsia="Arial" w:hAnsi="Arial"/>
          <w:sz w:val="16"/>
          <w:szCs w:val="16"/>
          <w:b w:val="1"/>
          <w:bCs w:val="1"/>
          <w:color w:val="4D4D4F"/>
        </w:rPr>
        <w:t xml:space="preserve"> </w:t>
      </w:r>
      <w:r>
        <w:rPr>
          <w:rFonts w:ascii="Arial" w:cs="Arial" w:eastAsia="Arial" w:hAnsi="Arial"/>
          <w:sz w:val="16"/>
          <w:szCs w:val="16"/>
          <w:color w:val="4D4D4F"/>
        </w:rPr>
        <w:t>Mr. Birns to perform the duties consistent with his position or to comply with the obligations of the Birns Agreement, or his willful, material failure to carry out the reasonable and lawful directions of our CEO, President or Board that are consistent with his position in each case, which he fails to cure promptly; (ii) any willful and material breach of our Code of Conduct or any other Company policy; (iii) Mr. Birns’ gross negligence or willful misconduct which is harmful to us, monetarily or otherwise, including but not limited to fraud, misappropriation or embezzlement; (iv) use of alcohol, drugs or other similar substances during work hours, other than at a Company sanctioned event, or at any time in a manner that adversely affects his work performance; (v) being charged with a criminal offense that is any felony or is a misdemeanor involving moral turpitude; or (vi) a material breach of the Birns Agreement which by its nature, cannot be cured under (i).</w:t>
      </w:r>
    </w:p>
    <w:p>
      <w:pPr>
        <w:spacing w:after="0" w:line="13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4D4D4F"/>
        </w:rPr>
        <w:t xml:space="preserve">ESP </w:t>
      </w:r>
      <w:r>
        <w:rPr>
          <w:rFonts w:ascii="Arial" w:cs="Arial" w:eastAsia="Arial" w:hAnsi="Arial"/>
          <w:sz w:val="16"/>
          <w:szCs w:val="16"/>
          <w:color w:val="4D4D4F"/>
        </w:rPr>
        <w:t>— Under the ESP, “cause” generally means, as determined by the Compensation Committee in good faith, (i) the failure by the ESP Executive to</w:t>
      </w:r>
      <w:r>
        <w:rPr>
          <w:rFonts w:ascii="Arial" w:cs="Arial" w:eastAsia="Arial" w:hAnsi="Arial"/>
          <w:sz w:val="16"/>
          <w:szCs w:val="16"/>
          <w:b w:val="1"/>
          <w:bCs w:val="1"/>
          <w:color w:val="4D4D4F"/>
        </w:rPr>
        <w:t xml:space="preserve"> </w:t>
      </w:r>
      <w:r>
        <w:rPr>
          <w:rFonts w:ascii="Arial" w:cs="Arial" w:eastAsia="Arial" w:hAnsi="Arial"/>
          <w:sz w:val="16"/>
          <w:szCs w:val="16"/>
          <w:color w:val="4D4D4F"/>
        </w:rPr>
        <w:t xml:space="preserve">perform, in a reasonable manner, his or her duties as assigned by the Company or any subsidiary (or any successor company); (ii) any violation or breach by the executive of his or her employment agreement, consulting or other similar agreement with the Company or any subsidiary (or successor company), if any; (iii) any actual or threatened violation or breach by the ESP Executive of any non-competition, non-solicitation, non-disclosure and/or other similar agreement with the Company or any subsidiary (or successor company); (iv) any violation or breach by the ESP Executive of any Company policy; (v) any act by the ESP Executive of dishonesty or fraud that injures the reputation or business of, or causes harm to, the Company or any subsidiary (or successor company); (vi) the conviction of, or entry of a plea of guilty or </w:t>
      </w:r>
      <w:r>
        <w:rPr>
          <w:rFonts w:ascii="Arial" w:cs="Arial" w:eastAsia="Arial" w:hAnsi="Arial"/>
          <w:sz w:val="16"/>
          <w:szCs w:val="16"/>
          <w:i w:val="1"/>
          <w:iCs w:val="1"/>
          <w:color w:val="4D4D4F"/>
        </w:rPr>
        <w:t>nolo contendere</w:t>
      </w:r>
      <w:r>
        <w:rPr>
          <w:rFonts w:ascii="Arial" w:cs="Arial" w:eastAsia="Arial" w:hAnsi="Arial"/>
          <w:sz w:val="16"/>
          <w:szCs w:val="16"/>
          <w:color w:val="4D4D4F"/>
        </w:rPr>
        <w:t xml:space="preserve"> to, a felony or a crime involving moral turpitude; or (vii) the ESP Executive’s impeding of, interfering with, or failing to reasonably cooperate with an investigation authorized by the Company or any subsidiary or affiliate. In the event of a change of control, upon and during the two years following such change of control, clauses (i)-(v) above will be deemed to have the term “materiality” inserted as a qualifier to each instance of violation, breach or other misconduct by the ESP Executive.</w:t>
      </w:r>
    </w:p>
    <w:p>
      <w:pPr>
        <w:spacing w:after="0" w:line="13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4D4D4F"/>
        </w:rPr>
        <w:t>None of the agreements or arrangements provide for any payment of severance or other post-termination benefits in the case of a termination for “cause,” although our Deferred Compensation Plan requires repayment of prior earnings that have been deferred irrespective of the basis for employment being terminated and our paid-time-off policy provides that all employees are entitled to their accrued but unused vacation upon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0" w:hanging="534"/>
        <w:spacing w:after="0"/>
        <w:tabs>
          <w:tab w:leader="none" w:pos="560" w:val="left"/>
        </w:tabs>
        <w:numPr>
          <w:ilvl w:val="0"/>
          <w:numId w:val="106"/>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1" w:name="page72"/>
    <w:bookmarkEnd w:id="71"/>
    <w:p>
      <w:pPr>
        <w:ind w:left="20"/>
        <w:spacing w:after="0"/>
        <w:rPr>
          <w:sz w:val="20"/>
          <w:szCs w:val="20"/>
          <w:color w:val="auto"/>
        </w:rPr>
      </w:pPr>
      <w:r>
        <w:rPr>
          <w:rFonts w:ascii="Arial" w:cs="Arial" w:eastAsia="Arial" w:hAnsi="Arial"/>
          <w:sz w:val="14"/>
          <w:szCs w:val="14"/>
          <w:b w:val="1"/>
          <w:bCs w:val="1"/>
          <w:color w:val="5B6770"/>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Termination for Good Reason</w:t>
      </w:r>
    </w:p>
    <w:p>
      <w:pPr>
        <w:spacing w:after="0" w:line="14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4D4D4F"/>
        </w:rPr>
        <w:t xml:space="preserve">Kasbar Agreement </w:t>
      </w:r>
      <w:r>
        <w:rPr>
          <w:rFonts w:ascii="Arial" w:cs="Arial" w:eastAsia="Arial" w:hAnsi="Arial"/>
          <w:sz w:val="16"/>
          <w:szCs w:val="16"/>
          <w:color w:val="4D4D4F"/>
        </w:rPr>
        <w:t>— Under the Kasbar Agreement, “good reason” means (i) any reduction in the annual base salary of Mr. Kasbar to a level that is less</w:t>
      </w:r>
      <w:r>
        <w:rPr>
          <w:rFonts w:ascii="Arial" w:cs="Arial" w:eastAsia="Arial" w:hAnsi="Arial"/>
          <w:sz w:val="16"/>
          <w:szCs w:val="16"/>
          <w:b w:val="1"/>
          <w:bCs w:val="1"/>
          <w:color w:val="4D4D4F"/>
        </w:rPr>
        <w:t xml:space="preserve"> </w:t>
      </w:r>
      <w:r>
        <w:rPr>
          <w:rFonts w:ascii="Arial" w:cs="Arial" w:eastAsia="Arial" w:hAnsi="Arial"/>
          <w:sz w:val="16"/>
          <w:szCs w:val="16"/>
          <w:color w:val="4D4D4F"/>
        </w:rPr>
        <w:t>than 85% of Mr. Kasbar’s base salary for the immediately preceding year or our failure to pay or provide any material compensation or benefit other than an insubstantial and inadvertent failure that is remedied by us; (ii) following a change of control, our failure to provide Mr. Kasbar his total annual cash compensation, including bonus, total aggregate value of perquisites, total aggregate value of benefits or total aggregate value of long-term compensation equal to or higher than the highest level received by Mr. Kasbar in the preceding 6 months or 1 year, in certain cases, other than an insubstantial and inadvertent failure that is remedied by us; (iii) if we require Mr. Kasbar to be based at a location outside of Miami-Dade County, Florida; (iv) our failure to obtain any successor’s agreement to perform and assume the Kasbar Agreement; and (v) without the express prior written consent of Mr. Kasbar, assigning Mr. Kasbar any duties that are materially inconsistent with his current position (including titles and reporting relationships) or making any other material adverse change in his position, authority, responsibilities or status.</w:t>
      </w:r>
    </w:p>
    <w:p>
      <w:pPr>
        <w:spacing w:after="0" w:line="133"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4D4D4F"/>
        </w:rPr>
        <w:t xml:space="preserve">Birns Agreement </w:t>
      </w:r>
      <w:r>
        <w:rPr>
          <w:rFonts w:ascii="Arial" w:cs="Arial" w:eastAsia="Arial" w:hAnsi="Arial"/>
          <w:sz w:val="16"/>
          <w:szCs w:val="16"/>
          <w:color w:val="4D4D4F"/>
        </w:rPr>
        <w:t>— The definition of “good reason” in the Birns Agreement means the occurrence of any of the following (i) the assignment of any duties to</w:t>
      </w:r>
      <w:r>
        <w:rPr>
          <w:rFonts w:ascii="Arial" w:cs="Arial" w:eastAsia="Arial" w:hAnsi="Arial"/>
          <w:sz w:val="16"/>
          <w:szCs w:val="16"/>
          <w:b w:val="1"/>
          <w:bCs w:val="1"/>
          <w:color w:val="4D4D4F"/>
        </w:rPr>
        <w:t xml:space="preserve"> </w:t>
      </w:r>
      <w:r>
        <w:rPr>
          <w:rFonts w:ascii="Arial" w:cs="Arial" w:eastAsia="Arial" w:hAnsi="Arial"/>
          <w:sz w:val="16"/>
          <w:szCs w:val="16"/>
          <w:color w:val="4D4D4F"/>
        </w:rPr>
        <w:t>the executive that are materially inconsistent with his position, authority, duties or responsibility or any other action by us that results in a material diminution in his position, authority, duties or responsibilities, excluding any action not taken by us in bad faith and that is thereafter remedied by us; (ii) any reduction in, or failure to pay his base salary other than a reduction or failure remedied by us; (iii) within two years after the occurrence of a change of control, any failure by us to provide the executive with bonus and equity opportunities, or employee benefits and perquisites in the aggregate, that are not less than those provided to him in the calendar year immediately preceding the change of control, other than a failure not occurring in bad faith that is remedied by us; or (iv) if we require the executive to be based at any office or location outside of Miami-Dade or Broward County, Florida.</w:t>
      </w:r>
    </w:p>
    <w:p>
      <w:pPr>
        <w:spacing w:after="0" w:line="131"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4D4D4F"/>
        </w:rPr>
        <w:t xml:space="preserve">ESP </w:t>
      </w:r>
      <w:r>
        <w:rPr>
          <w:rFonts w:ascii="Arial" w:cs="Arial" w:eastAsia="Arial" w:hAnsi="Arial"/>
          <w:sz w:val="16"/>
          <w:szCs w:val="16"/>
          <w:color w:val="4D4D4F"/>
        </w:rPr>
        <w:t>— The definition of “good reason” under the ESP is substantially the same as the definition included in the Birns Agreement, except that the events</w:t>
      </w:r>
      <w:r>
        <w:rPr>
          <w:rFonts w:ascii="Arial" w:cs="Arial" w:eastAsia="Arial" w:hAnsi="Arial"/>
          <w:sz w:val="16"/>
          <w:szCs w:val="16"/>
          <w:b w:val="1"/>
          <w:bCs w:val="1"/>
          <w:color w:val="4D4D4F"/>
        </w:rPr>
        <w:t xml:space="preserve"> </w:t>
      </w:r>
      <w:r>
        <w:rPr>
          <w:rFonts w:ascii="Arial" w:cs="Arial" w:eastAsia="Arial" w:hAnsi="Arial"/>
          <w:sz w:val="16"/>
          <w:szCs w:val="16"/>
          <w:color w:val="4D4D4F"/>
        </w:rPr>
        <w:t>have to have occurred within two years after a “Change of Control” (as defined in the ESP). Specifically, an ESP Executive will have the ability to terminate his or her employment with “good reason” upon the happening of any of the following within two years after a “Change of Control”: (i) the assignment to the executive of any duties materially inconsistent with his or her position, authority, duties or responsibility or any other action by us that results in a material diminution in his or her position, authority, duties or responsibilities, excluding any action not taken by us in bad faith that is remedied by us; (ii) any reduction in, or failure to pay the executive’s base salary other than a reduction or failure remedied by us; (iii) any failure by us to provide the executive his or her bonus (under any incentive plan) and equity opportunities, or employee benefits and perquisites in the aggregate, that are not less than those provided to the executive in the calendar year immediately preceding the change of control, other than a failure by us not occurring in bad faith or a failure by us that would not result in a material negative change to the executive; or (iv) if we require the executive to be based at any office or location that is not our corporate headquarters or outside of Miami-Dade or Broward County, Florida. In addition, “good reason” does not include any circumstances that are remedied by us after notice from the executive or the executive does not actually terminate employment within 6 months of the initial existence of any of the circumstances in (i)-(iv) above.</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Change of Control</w:t>
      </w:r>
    </w:p>
    <w:p>
      <w:pPr>
        <w:spacing w:after="0" w:line="14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4D4D4F"/>
        </w:rPr>
        <w:t>Under the Kasbar Agreement, the Birns Agreement and the ESP, a “change of control” is in general deemed to have occurred if (i) any person or “group” (as defined in Section 13(d)(3) of the Exchange Act), excluding any employee benefit plans, becomes the beneficial owner of at least (a) 30% (in the case of the ESP) or (b) 20% (in the case of the Kasbar Agreement or the Birns Agreement) of the combined voting power of our outstanding common stock; (ii) we merge, consolidate, reorganize or carry out any similar event which results in (a) the holders of our common stock prior to the event owning, directly or indirectly, less than 51% of the total voting power of the capital stock of the surviving entity or (b) in the case of the Kasbar Agreement, at least a majority of the members of the board of directors of the entity resulting from such transaction are not members of the Board at the time of the execution of the initial agreement or the action of the Board providing for such transaction; (iii) our current Board ceases to make up at least 2/3 of our Board, the board of the surviving company or the board of the controlling company, as the case may be, with the exception that any director whose election, or nomination for election, was approved by a vote of at least 2/3 of our current Board will be considered to be a member of our current Board; or (iv) we are liquidated or dissolved or we sell all or substantially all of our assets. In addition, the Kasbar Agreement provides that a change of control is deemed to have occurred, if we enter into an agreement or series of agreements or our Board passes a resolution that will result in the occurrence of any of the matters listed in (i)-(iv) above and Mr. Kasbar’s employment is terminated after the execution of any such agreement or the passage of any such resolution, but before the occurrence of any of the foregoing maters in (i)-(iv) above; provided further, that such change of control will be deemed to have retroactively occurred on the date of the execution of the earliest of such agreements or the passage of such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69</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2" w:name="page73"/>
    <w:bookmarkEnd w:id="72"/>
    <w:p>
      <w:pPr>
        <w:ind w:left="20"/>
        <w:spacing w:after="0"/>
        <w:rPr>
          <w:sz w:val="20"/>
          <w:szCs w:val="20"/>
          <w:color w:val="auto"/>
        </w:rPr>
      </w:pPr>
      <w:r>
        <w:rPr>
          <w:rFonts w:ascii="Arial" w:cs="Arial" w:eastAsia="Arial" w:hAnsi="Arial"/>
          <w:sz w:val="14"/>
          <w:szCs w:val="14"/>
          <w:b w:val="1"/>
          <w:bCs w:val="1"/>
          <w:color w:val="5B6770"/>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Severance Payments and Benefits</w:t>
      </w:r>
    </w:p>
    <w:p>
      <w:pPr>
        <w:spacing w:after="0" w:line="144"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b w:val="1"/>
          <w:bCs w:val="1"/>
          <w:color w:val="4D4D4F"/>
        </w:rPr>
        <w:t xml:space="preserve">Kasbar Agreement </w:t>
      </w:r>
      <w:r>
        <w:rPr>
          <w:rFonts w:ascii="Arial" w:cs="Arial" w:eastAsia="Arial" w:hAnsi="Arial"/>
          <w:sz w:val="16"/>
          <w:szCs w:val="16"/>
          <w:color w:val="4D4D4F"/>
        </w:rPr>
        <w:t>— As set forth below, upon the occurrence of a termination by Mr. Kasbar for “good reason”, by the Company without “cause”, following</w:t>
      </w:r>
      <w:r>
        <w:rPr>
          <w:rFonts w:ascii="Arial" w:cs="Arial" w:eastAsia="Arial" w:hAnsi="Arial"/>
          <w:sz w:val="16"/>
          <w:szCs w:val="16"/>
          <w:b w:val="1"/>
          <w:bCs w:val="1"/>
          <w:color w:val="4D4D4F"/>
        </w:rPr>
        <w:t xml:space="preserve"> </w:t>
      </w:r>
      <w:r>
        <w:rPr>
          <w:rFonts w:ascii="Arial" w:cs="Arial" w:eastAsia="Arial" w:hAnsi="Arial"/>
          <w:sz w:val="16"/>
          <w:szCs w:val="16"/>
          <w:color w:val="4D4D4F"/>
        </w:rPr>
        <w:t>a “change of control” or non-renewal, we will make the following payments:</w:t>
      </w:r>
    </w:p>
    <w:p>
      <w:pPr>
        <w:spacing w:after="0" w:line="102"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6"/>
          <w:szCs w:val="16"/>
          <w:color w:val="4D4D4F"/>
        </w:rPr>
      </w:pPr>
      <w:r>
        <w:rPr>
          <w:rFonts w:ascii="Arial" w:cs="Arial" w:eastAsia="Arial" w:hAnsi="Arial"/>
          <w:sz w:val="16"/>
          <w:szCs w:val="16"/>
          <w:color w:val="4D4D4F"/>
        </w:rPr>
        <w:t>the Accrued Obligations (as defined in the Kasbar Agreement);</w:t>
      </w:r>
    </w:p>
    <w:p>
      <w:pPr>
        <w:spacing w:after="0" w:line="140" w:lineRule="exact"/>
        <w:rPr>
          <w:rFonts w:ascii="Arial" w:cs="Arial" w:eastAsia="Arial" w:hAnsi="Arial"/>
          <w:sz w:val="16"/>
          <w:szCs w:val="16"/>
          <w:color w:val="4D4D4F"/>
        </w:rPr>
      </w:pPr>
    </w:p>
    <w:p>
      <w:pPr>
        <w:ind w:left="660" w:right="180" w:hanging="328"/>
        <w:spacing w:after="0" w:line="321" w:lineRule="auto"/>
        <w:tabs>
          <w:tab w:leader="none" w:pos="651" w:val="left"/>
        </w:tabs>
        <w:numPr>
          <w:ilvl w:val="0"/>
          <w:numId w:val="107"/>
        </w:numPr>
        <w:rPr>
          <w:rFonts w:ascii="Arial" w:cs="Arial" w:eastAsia="Arial" w:hAnsi="Arial"/>
          <w:sz w:val="16"/>
          <w:szCs w:val="16"/>
          <w:color w:val="4D4D4F"/>
        </w:rPr>
      </w:pPr>
      <w:r>
        <w:rPr>
          <w:rFonts w:ascii="Arial" w:cs="Arial" w:eastAsia="Arial" w:hAnsi="Arial"/>
          <w:sz w:val="16"/>
          <w:szCs w:val="16"/>
          <w:color w:val="4D4D4F"/>
        </w:rPr>
        <w:t>an amount equal to the product of (A) two (three for a covered termination following a change in control) and (B) the sum of (1) Mr. Kasbar’s base salary and (2) his target bonus;</w:t>
      </w:r>
    </w:p>
    <w:p>
      <w:pPr>
        <w:spacing w:after="0" w:line="47" w:lineRule="exact"/>
        <w:rPr>
          <w:rFonts w:ascii="Arial" w:cs="Arial" w:eastAsia="Arial" w:hAnsi="Arial"/>
          <w:sz w:val="16"/>
          <w:szCs w:val="16"/>
          <w:color w:val="4D4D4F"/>
        </w:rPr>
      </w:pPr>
    </w:p>
    <w:p>
      <w:pPr>
        <w:ind w:left="660" w:right="40" w:hanging="328"/>
        <w:spacing w:after="0" w:line="301" w:lineRule="auto"/>
        <w:tabs>
          <w:tab w:leader="none" w:pos="660" w:val="left"/>
        </w:tabs>
        <w:numPr>
          <w:ilvl w:val="0"/>
          <w:numId w:val="107"/>
        </w:numPr>
        <w:rPr>
          <w:rFonts w:ascii="Arial" w:cs="Arial" w:eastAsia="Arial" w:hAnsi="Arial"/>
          <w:sz w:val="16"/>
          <w:szCs w:val="16"/>
          <w:color w:val="4D4D4F"/>
        </w:rPr>
      </w:pPr>
      <w:r>
        <w:rPr>
          <w:rFonts w:ascii="Arial" w:cs="Arial" w:eastAsia="Arial" w:hAnsi="Arial"/>
          <w:sz w:val="16"/>
          <w:szCs w:val="16"/>
          <w:color w:val="4D4D4F"/>
        </w:rPr>
        <w:t>continued health insurance coverage in effect as of the termination date for Mr. Kasbar and his immediate family until Mr. Kasbar is no longer eligible for coverage under our health plans through COBRA or he becomes eligible for health insurance coverage through employment or services provided to another person or entity; and</w:t>
      </w:r>
    </w:p>
    <w:p>
      <w:pPr>
        <w:spacing w:after="0" w:line="63" w:lineRule="exact"/>
        <w:rPr>
          <w:rFonts w:ascii="Arial" w:cs="Arial" w:eastAsia="Arial" w:hAnsi="Arial"/>
          <w:sz w:val="16"/>
          <w:szCs w:val="16"/>
          <w:color w:val="4D4D4F"/>
        </w:rPr>
      </w:pPr>
    </w:p>
    <w:p>
      <w:pPr>
        <w:ind w:left="660" w:right="360" w:hanging="328"/>
        <w:spacing w:after="0" w:line="321" w:lineRule="auto"/>
        <w:tabs>
          <w:tab w:leader="none" w:pos="655" w:val="left"/>
        </w:tabs>
        <w:numPr>
          <w:ilvl w:val="0"/>
          <w:numId w:val="107"/>
        </w:numPr>
        <w:rPr>
          <w:rFonts w:ascii="Arial" w:cs="Arial" w:eastAsia="Arial" w:hAnsi="Arial"/>
          <w:sz w:val="16"/>
          <w:szCs w:val="16"/>
          <w:color w:val="4D4D4F"/>
        </w:rPr>
      </w:pPr>
      <w:r>
        <w:rPr>
          <w:rFonts w:ascii="Arial" w:cs="Arial" w:eastAsia="Arial" w:hAnsi="Arial"/>
          <w:sz w:val="16"/>
          <w:szCs w:val="16"/>
          <w:color w:val="4D4D4F"/>
        </w:rPr>
        <w:t>a lump sum in the amount of $1,500,000 ($2,500,000 for termination following a change of control) within 5 business days of the last day of the restricted period.</w:t>
      </w:r>
    </w:p>
    <w:p>
      <w:pPr>
        <w:spacing w:after="0" w:line="88"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4D4D4F"/>
        </w:rPr>
        <w:t>Upon the occurrence of a termination by Mr. Kasbar without “good reason”, by the Company for “cause” or by the Company due to Mr. Kasbar’s death or disability, Mr. Kasbar will be entitled to the payments specified in (i) above.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4D4D4F"/>
        </w:rPr>
        <w:t xml:space="preserve">Birns Agreement and ESP </w:t>
      </w:r>
      <w:r>
        <w:rPr>
          <w:rFonts w:ascii="Arial" w:cs="Arial" w:eastAsia="Arial" w:hAnsi="Arial"/>
          <w:sz w:val="16"/>
          <w:szCs w:val="16"/>
          <w:color w:val="4D4D4F"/>
        </w:rPr>
        <w:t>— As set forth in the table below, under the Birns Agreement and the ESP, upon the occurrence of a termination by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4D4D4F"/>
        </w:rPr>
        <w:t>Company without “cause” or by the executive for “good reason” we will make the following payments:</w:t>
      </w:r>
    </w:p>
    <w:p>
      <w:pPr>
        <w:spacing w:after="0" w:line="187" w:lineRule="exact"/>
        <w:rPr>
          <w:sz w:val="20"/>
          <w:szCs w:val="20"/>
          <w:color w:val="auto"/>
        </w:rPr>
      </w:pPr>
    </w:p>
    <w:p>
      <w:pPr>
        <w:ind w:left="660" w:right="240" w:hanging="328"/>
        <w:spacing w:after="0" w:line="301" w:lineRule="auto"/>
        <w:tabs>
          <w:tab w:leader="none" w:pos="655" w:val="left"/>
        </w:tabs>
        <w:numPr>
          <w:ilvl w:val="0"/>
          <w:numId w:val="108"/>
        </w:numPr>
        <w:rPr>
          <w:rFonts w:ascii="Arial" w:cs="Arial" w:eastAsia="Arial" w:hAnsi="Arial"/>
          <w:sz w:val="16"/>
          <w:szCs w:val="16"/>
          <w:color w:val="4D4D4F"/>
        </w:rPr>
      </w:pPr>
      <w:r>
        <w:rPr>
          <w:rFonts w:ascii="Arial" w:cs="Arial" w:eastAsia="Arial" w:hAnsi="Arial"/>
          <w:sz w:val="16"/>
          <w:szCs w:val="16"/>
          <w:color w:val="4D4D4F"/>
        </w:rPr>
        <w:t>an amount equal to accrued but unpaid base salary and benefits (including accrued but unused vacations) through the date of termination, in the case of Mr. Birns, or Accrued Obligations (as defined in the ESP) such Accrued Obligations to be paid no later than 60 days after the date of termination, in the case of an ESP Executive;</w:t>
      </w:r>
    </w:p>
    <w:p>
      <w:pPr>
        <w:spacing w:after="0" w:line="63" w:lineRule="exact"/>
        <w:rPr>
          <w:rFonts w:ascii="Arial" w:cs="Arial" w:eastAsia="Arial" w:hAnsi="Arial"/>
          <w:sz w:val="16"/>
          <w:szCs w:val="16"/>
          <w:color w:val="4D4D4F"/>
        </w:rPr>
      </w:pPr>
    </w:p>
    <w:p>
      <w:pPr>
        <w:ind w:left="660" w:right="480" w:hanging="328"/>
        <w:spacing w:after="0" w:line="321" w:lineRule="auto"/>
        <w:tabs>
          <w:tab w:leader="none" w:pos="651" w:val="left"/>
        </w:tabs>
        <w:numPr>
          <w:ilvl w:val="0"/>
          <w:numId w:val="108"/>
        </w:numPr>
        <w:rPr>
          <w:rFonts w:ascii="Arial" w:cs="Arial" w:eastAsia="Arial" w:hAnsi="Arial"/>
          <w:sz w:val="16"/>
          <w:szCs w:val="16"/>
          <w:color w:val="4D4D4F"/>
        </w:rPr>
      </w:pPr>
      <w:r>
        <w:rPr>
          <w:rFonts w:ascii="Arial" w:cs="Arial" w:eastAsia="Arial" w:hAnsi="Arial"/>
          <w:sz w:val="16"/>
          <w:szCs w:val="16"/>
          <w:color w:val="4D4D4F"/>
        </w:rPr>
        <w:t>any unpaid bonus for the year prior to the year of termination to be paid on the same date that bonuses are paid to our other senior executive officers;</w:t>
      </w:r>
    </w:p>
    <w:p>
      <w:pPr>
        <w:spacing w:after="0" w:line="47" w:lineRule="exact"/>
        <w:rPr>
          <w:rFonts w:ascii="Arial" w:cs="Arial" w:eastAsia="Arial" w:hAnsi="Arial"/>
          <w:sz w:val="16"/>
          <w:szCs w:val="16"/>
          <w:color w:val="4D4D4F"/>
        </w:rPr>
      </w:pPr>
    </w:p>
    <w:p>
      <w:pPr>
        <w:ind w:left="660" w:right="20" w:hanging="328"/>
        <w:spacing w:after="0" w:line="295" w:lineRule="auto"/>
        <w:tabs>
          <w:tab w:leader="none" w:pos="660" w:val="left"/>
        </w:tabs>
        <w:numPr>
          <w:ilvl w:val="0"/>
          <w:numId w:val="108"/>
        </w:numPr>
        <w:rPr>
          <w:rFonts w:ascii="Arial" w:cs="Arial" w:eastAsia="Arial" w:hAnsi="Arial"/>
          <w:sz w:val="16"/>
          <w:szCs w:val="16"/>
          <w:color w:val="4D4D4F"/>
        </w:rPr>
      </w:pPr>
      <w:r>
        <w:rPr>
          <w:rFonts w:ascii="Arial" w:cs="Arial" w:eastAsia="Arial" w:hAnsi="Arial"/>
          <w:sz w:val="16"/>
          <w:szCs w:val="16"/>
          <w:color w:val="4D4D4F"/>
        </w:rPr>
        <w:t>a prorated bonus for the calendar year in which the executive’s employment is terminated, however, no prorated bonus will be paid if the executive’s termination date occurs before the payment of bonuses for the prior calendar year. Any such bonus will be prorated based on the bonus the executive would have earned if he or she had remained employed by us for the entire year. Any such bonus will be paid on the same date that bonuses are paid to our other senior executive officers;</w:t>
      </w:r>
    </w:p>
    <w:p>
      <w:pPr>
        <w:spacing w:after="0" w:line="67" w:lineRule="exact"/>
        <w:rPr>
          <w:rFonts w:ascii="Arial" w:cs="Arial" w:eastAsia="Arial" w:hAnsi="Arial"/>
          <w:sz w:val="16"/>
          <w:szCs w:val="16"/>
          <w:color w:val="4D4D4F"/>
        </w:rPr>
      </w:pPr>
    </w:p>
    <w:p>
      <w:pPr>
        <w:ind w:left="660" w:hanging="328"/>
        <w:spacing w:after="0" w:line="301" w:lineRule="auto"/>
        <w:tabs>
          <w:tab w:leader="none" w:pos="655" w:val="left"/>
        </w:tabs>
        <w:numPr>
          <w:ilvl w:val="0"/>
          <w:numId w:val="108"/>
        </w:numPr>
        <w:rPr>
          <w:rFonts w:ascii="Arial" w:cs="Arial" w:eastAsia="Arial" w:hAnsi="Arial"/>
          <w:sz w:val="16"/>
          <w:szCs w:val="16"/>
          <w:color w:val="4D4D4F"/>
        </w:rPr>
      </w:pPr>
      <w:r>
        <w:rPr>
          <w:rFonts w:ascii="Arial" w:cs="Arial" w:eastAsia="Arial" w:hAnsi="Arial"/>
          <w:sz w:val="16"/>
          <w:szCs w:val="16"/>
          <w:color w:val="4D4D4F"/>
        </w:rPr>
        <w:t>continued health insurance coverage in effect as of the termination date for the executive and his or her immediate family, or covered dependents in the case of the ESP, for a period of up to 18 months. Such coverage will terminate earlier if the executive becomes eligible for health insurance coverage through employment or services provided to another person or entity, or, in the case of the ESP, if the executive attains the age of 65; and</w:t>
      </w:r>
    </w:p>
    <w:p>
      <w:pPr>
        <w:spacing w:after="0" w:line="63" w:lineRule="exact"/>
        <w:rPr>
          <w:rFonts w:ascii="Arial" w:cs="Arial" w:eastAsia="Arial" w:hAnsi="Arial"/>
          <w:sz w:val="16"/>
          <w:szCs w:val="16"/>
          <w:color w:val="4D4D4F"/>
        </w:rPr>
      </w:pPr>
    </w:p>
    <w:p>
      <w:pPr>
        <w:ind w:left="660" w:right="40" w:hanging="328"/>
        <w:spacing w:after="0" w:line="301" w:lineRule="auto"/>
        <w:tabs>
          <w:tab w:leader="none" w:pos="660" w:val="left"/>
        </w:tabs>
        <w:numPr>
          <w:ilvl w:val="0"/>
          <w:numId w:val="108"/>
        </w:numPr>
        <w:rPr>
          <w:rFonts w:ascii="Arial" w:cs="Arial" w:eastAsia="Arial" w:hAnsi="Arial"/>
          <w:sz w:val="16"/>
          <w:szCs w:val="16"/>
          <w:color w:val="4D4D4F"/>
        </w:rPr>
      </w:pPr>
      <w:r>
        <w:rPr>
          <w:rFonts w:ascii="Arial" w:cs="Arial" w:eastAsia="Arial" w:hAnsi="Arial"/>
          <w:sz w:val="16"/>
          <w:szCs w:val="16"/>
          <w:color w:val="4D4D4F"/>
        </w:rPr>
        <w:t>in the case of Mr. Birns, a severance payment in an amount equal to two times base salary as of the termination date and, in the case of the ESP, a multiple (one or two times as determined by the Compensation Committee) of the executive’s base salary as of the termination date, which will be paid, in either case, to each executive in regular payroll installments over a 24-month period following termination.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4D4D4F"/>
        </w:rPr>
        <w:t>Upon the occurrence of a termination due to death or disability, Mr. Birns will be entitled to the payments specified in (i)-(iii) above and, under the ESP, Mr.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D4D4F"/>
        </w:rPr>
        <w:t>Rau will be entitled to the payments specified in (i)-(iv)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0" w:hanging="534"/>
        <w:spacing w:after="0"/>
        <w:tabs>
          <w:tab w:leader="none" w:pos="560" w:val="left"/>
        </w:tabs>
        <w:numPr>
          <w:ilvl w:val="0"/>
          <w:numId w:val="109"/>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3" w:name="page74"/>
    <w:bookmarkEnd w:id="73"/>
    <w:p>
      <w:pPr>
        <w:ind w:left="20"/>
        <w:spacing w:after="0"/>
        <w:rPr>
          <w:sz w:val="20"/>
          <w:szCs w:val="20"/>
          <w:color w:val="auto"/>
        </w:rPr>
      </w:pPr>
      <w:r>
        <w:rPr>
          <w:rFonts w:ascii="Arial" w:cs="Arial" w:eastAsia="Arial" w:hAnsi="Arial"/>
          <w:sz w:val="14"/>
          <w:szCs w:val="14"/>
          <w:b w:val="1"/>
          <w:bCs w:val="1"/>
          <w:color w:val="5B6770"/>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Potential Payments Upon Termination Table</w:t>
      </w:r>
    </w:p>
    <w:p>
      <w:pPr>
        <w:spacing w:after="0" w:line="155"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4D4D4F"/>
        </w:rPr>
        <w:t>The estimated payments and benefits that would be provided to each of the NEOs pursuant to their respective agreements or the ESP, as the case may be, as a result of (1) termination by the Company for “cause” or by the executive without “good reason”, (2) termination by the Company without cause, (3) termination by the executive for “good reason”, (4) termination by the Company without “cause” or by the executive for “good reason” within two (2) years of a “change of control”, and (5) termination due to death or disability are set forth in the table below. Calculations for this table are based on the assumption that the termination took place on December 29, 2023. In order to receive the benefits set forth below, an executive must satisfy any post-termination obligations and certain restrictive covenants for a specified period of time after the termination event for any cash severance payment to be made. We have the right to not pay or provide these benefits or discontinue the payment and provision of these benefits if the executive fails to satisfy such obligations.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32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Severance</w:t>
            </w:r>
          </w:p>
        </w:tc>
        <w:tc>
          <w:tcPr>
            <w:tcW w:w="1280" w:type="dxa"/>
            <w:vAlign w:val="bottom"/>
            <w:vMerge w:val="restart"/>
            <w:shd w:val="clear" w:color="auto" w:fill="132440"/>
          </w:tcPr>
          <w:p>
            <w:pPr>
              <w:jc w:val="right"/>
              <w:spacing w:after="0"/>
              <w:rPr>
                <w:sz w:val="20"/>
                <w:szCs w:val="20"/>
                <w:color w:val="auto"/>
              </w:rPr>
            </w:pPr>
            <w:r>
              <w:rPr>
                <w:rFonts w:ascii="Arial" w:cs="Arial" w:eastAsia="Arial" w:hAnsi="Arial"/>
                <w:sz w:val="14"/>
                <w:szCs w:val="14"/>
                <w:b w:val="1"/>
                <w:bCs w:val="1"/>
                <w:color w:val="FFFFFF"/>
              </w:rPr>
              <w:t>Pro-Rata Bonus</w:t>
            </w:r>
            <w:r>
              <w:rPr>
                <w:rFonts w:ascii="Arial" w:cs="Arial" w:eastAsia="Arial" w:hAnsi="Arial"/>
                <w:sz w:val="9"/>
                <w:szCs w:val="9"/>
                <w:b w:val="1"/>
                <w:bCs w:val="1"/>
                <w:color w:val="FFFFFF"/>
              </w:rPr>
              <w:t>(2)</w:t>
            </w:r>
          </w:p>
        </w:tc>
        <w:tc>
          <w:tcPr>
            <w:tcW w:w="1300" w:type="dxa"/>
            <w:vAlign w:val="bottom"/>
            <w:vMerge w:val="restart"/>
            <w:shd w:val="clear" w:color="auto" w:fill="132440"/>
          </w:tcPr>
          <w:p>
            <w:pPr>
              <w:jc w:val="right"/>
              <w:spacing w:after="0"/>
              <w:rPr>
                <w:sz w:val="20"/>
                <w:szCs w:val="20"/>
                <w:color w:val="auto"/>
              </w:rPr>
            </w:pPr>
            <w:r>
              <w:rPr>
                <w:rFonts w:ascii="Arial" w:cs="Arial" w:eastAsia="Arial" w:hAnsi="Arial"/>
                <w:sz w:val="14"/>
                <w:szCs w:val="14"/>
                <w:b w:val="1"/>
                <w:bCs w:val="1"/>
                <w:color w:val="FFFFFF"/>
              </w:rPr>
              <w:t>Medical Benefits</w:t>
            </w:r>
            <w:r>
              <w:rPr>
                <w:rFonts w:ascii="Arial" w:cs="Arial" w:eastAsia="Arial" w:hAnsi="Arial"/>
                <w:sz w:val="9"/>
                <w:szCs w:val="9"/>
                <w:b w:val="1"/>
                <w:bCs w:val="1"/>
                <w:color w:val="FFFFFF"/>
              </w:rPr>
              <w:t>(3)</w:t>
            </w:r>
          </w:p>
        </w:tc>
        <w:tc>
          <w:tcPr>
            <w:tcW w:w="1340" w:type="dxa"/>
            <w:vAlign w:val="bottom"/>
            <w:vMerge w:val="restart"/>
            <w:shd w:val="clear" w:color="auto" w:fill="298655"/>
          </w:tcPr>
          <w:p>
            <w:pPr>
              <w:jc w:val="right"/>
              <w:ind w:right="48"/>
              <w:spacing w:after="0"/>
              <w:rPr>
                <w:sz w:val="20"/>
                <w:szCs w:val="20"/>
                <w:color w:val="auto"/>
              </w:rPr>
            </w:pPr>
            <w:r>
              <w:rPr>
                <w:rFonts w:ascii="Arial" w:cs="Arial" w:eastAsia="Arial" w:hAnsi="Arial"/>
                <w:sz w:val="14"/>
                <w:szCs w:val="14"/>
                <w:b w:val="1"/>
                <w:bCs w:val="1"/>
                <w:color w:val="FFFFFF"/>
              </w:rPr>
              <w:t>Total</w:t>
            </w:r>
            <w:r>
              <w:rPr>
                <w:rFonts w:ascii="Arial" w:cs="Arial" w:eastAsia="Arial" w:hAnsi="Arial"/>
                <w:sz w:val="9"/>
                <w:szCs w:val="9"/>
                <w:b w:val="1"/>
                <w:bCs w:val="1"/>
                <w:color w:val="FFFFFF"/>
              </w:rPr>
              <w:t>(4)</w:t>
            </w:r>
          </w:p>
        </w:tc>
        <w:tc>
          <w:tcPr>
            <w:tcW w:w="0" w:type="dxa"/>
            <w:vAlign w:val="bottom"/>
          </w:tcPr>
          <w:p>
            <w:pPr>
              <w:spacing w:after="0"/>
              <w:rPr>
                <w:sz w:val="1"/>
                <w:szCs w:val="1"/>
                <w:color w:val="auto"/>
              </w:rPr>
            </w:pPr>
          </w:p>
        </w:tc>
      </w:tr>
      <w:tr>
        <w:trPr>
          <w:trHeight w:val="164"/>
        </w:trPr>
        <w:tc>
          <w:tcPr>
            <w:tcW w:w="7320" w:type="dxa"/>
            <w:vAlign w:val="bottom"/>
            <w:shd w:val="clear" w:color="auto" w:fill="132440"/>
          </w:tcPr>
          <w:p>
            <w:pPr>
              <w:jc w:val="right"/>
              <w:spacing w:after="0" w:line="164" w:lineRule="exact"/>
              <w:rPr>
                <w:sz w:val="20"/>
                <w:szCs w:val="20"/>
                <w:color w:val="auto"/>
              </w:rPr>
            </w:pPr>
            <w:r>
              <w:rPr>
                <w:rFonts w:ascii="Arial" w:cs="Arial" w:eastAsia="Arial" w:hAnsi="Arial"/>
                <w:sz w:val="14"/>
                <w:szCs w:val="14"/>
                <w:b w:val="1"/>
                <w:bCs w:val="1"/>
                <w:color w:val="FFFFFF"/>
              </w:rPr>
              <w:t>Payment</w:t>
            </w:r>
            <w:r>
              <w:rPr>
                <w:rFonts w:ascii="Arial" w:cs="Arial" w:eastAsia="Arial" w:hAnsi="Arial"/>
                <w:sz w:val="18"/>
                <w:szCs w:val="18"/>
                <w:b w:val="1"/>
                <w:bCs w:val="1"/>
                <w:color w:val="FFFFFF"/>
                <w:vertAlign w:val="superscript"/>
              </w:rPr>
              <w:t>(1)</w:t>
            </w:r>
          </w:p>
        </w:tc>
        <w:tc>
          <w:tcPr>
            <w:tcW w:w="1280" w:type="dxa"/>
            <w:vAlign w:val="bottom"/>
            <w:vMerge w:val="continue"/>
            <w:shd w:val="clear" w:color="auto" w:fill="132440"/>
          </w:tcPr>
          <w:p>
            <w:pPr>
              <w:spacing w:after="0"/>
              <w:rPr>
                <w:sz w:val="14"/>
                <w:szCs w:val="14"/>
                <w:color w:val="auto"/>
              </w:rPr>
            </w:pPr>
          </w:p>
        </w:tc>
        <w:tc>
          <w:tcPr>
            <w:tcW w:w="1300" w:type="dxa"/>
            <w:vAlign w:val="bottom"/>
            <w:vMerge w:val="continue"/>
            <w:shd w:val="clear" w:color="auto" w:fill="132440"/>
          </w:tcPr>
          <w:p>
            <w:pPr>
              <w:spacing w:after="0"/>
              <w:rPr>
                <w:sz w:val="14"/>
                <w:szCs w:val="14"/>
                <w:color w:val="auto"/>
              </w:rPr>
            </w:pPr>
          </w:p>
        </w:tc>
        <w:tc>
          <w:tcPr>
            <w:tcW w:w="1340" w:type="dxa"/>
            <w:vAlign w:val="bottom"/>
            <w:vMerge w:val="continue"/>
            <w:shd w:val="clear" w:color="auto" w:fill="298655"/>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128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298655"/>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4D4D4F"/>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82" w:lineRule="exact"/>
        <w:rPr>
          <w:sz w:val="20"/>
          <w:szCs w:val="20"/>
          <w:color w:val="auto"/>
        </w:rPr>
      </w:pPr>
    </w:p>
    <w:p>
      <w:pPr>
        <w:ind w:left="100" w:right="900"/>
        <w:spacing w:after="0" w:line="382" w:lineRule="auto"/>
        <w:rPr>
          <w:sz w:val="20"/>
          <w:szCs w:val="20"/>
          <w:color w:val="auto"/>
        </w:rPr>
      </w:pPr>
      <w:r>
        <w:rPr>
          <w:rFonts w:ascii="Arial" w:cs="Arial" w:eastAsia="Arial" w:hAnsi="Arial"/>
          <w:sz w:val="14"/>
          <w:szCs w:val="14"/>
          <w:color w:val="4D4D4F"/>
        </w:rPr>
        <w:t>Termination by Company for Cause or by Executive Without Good Reason Termination by Company Without Cause</w:t>
      </w:r>
      <w:r>
        <w:rPr>
          <w:rFonts w:ascii="Arial" w:cs="Arial" w:eastAsia="Arial" w:hAnsi="Arial"/>
          <w:sz w:val="9"/>
          <w:szCs w:val="9"/>
          <w:color w:val="4D4D4F"/>
        </w:rPr>
        <w:t>(5)</w:t>
      </w:r>
      <w:r>
        <w:rPr>
          <w:rFonts w:ascii="Arial" w:cs="Arial" w:eastAsia="Arial" w:hAnsi="Arial"/>
          <w:sz w:val="14"/>
          <w:szCs w:val="14"/>
          <w:color w:val="4D4D4F"/>
        </w:rPr>
        <w:t xml:space="preserve"> or by Executive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283325" cy="2654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283325" cy="265430"/>
                    </a:xfrm>
                    <a:prstGeom prst="rect">
                      <a:avLst/>
                    </a:prstGeom>
                    <a:noFill/>
                  </pic:spPr>
                </pic:pic>
              </a:graphicData>
            </a:graphic>
          </wp:anchor>
        </w:drawing>
      </w:r>
    </w:p>
    <w:p>
      <w:pPr>
        <w:ind w:left="100" w:right="140"/>
        <w:spacing w:after="0" w:line="311" w:lineRule="auto"/>
        <w:rPr>
          <w:sz w:val="20"/>
          <w:szCs w:val="20"/>
          <w:color w:val="auto"/>
        </w:rPr>
      </w:pPr>
      <w:r>
        <w:rPr>
          <w:rFonts w:ascii="Arial" w:cs="Arial" w:eastAsia="Arial" w:hAnsi="Arial"/>
          <w:sz w:val="14"/>
          <w:szCs w:val="14"/>
          <w:color w:val="4D4D4F"/>
        </w:rPr>
        <w:t>Termination by Company Without Cause or by Executive for Good Reason within two (2) years of a Change of Control</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000" w:type="dxa"/>
            <w:vAlign w:val="bottom"/>
          </w:tcPr>
          <w:p>
            <w:pPr>
              <w:jc w:val="right"/>
              <w:ind w:right="248"/>
              <w:spacing w:after="0"/>
              <w:rPr>
                <w:sz w:val="20"/>
                <w:szCs w:val="20"/>
                <w:color w:val="auto"/>
              </w:rPr>
            </w:pPr>
            <w:r>
              <w:rPr>
                <w:rFonts w:ascii="Arial" w:cs="Arial" w:eastAsia="Arial" w:hAnsi="Arial"/>
                <w:sz w:val="14"/>
                <w:szCs w:val="14"/>
                <w:color w:val="4D4D4F"/>
              </w:rPr>
              <w:t>—</w:t>
            </w:r>
          </w:p>
        </w:tc>
        <w:tc>
          <w:tcPr>
            <w:tcW w:w="1580" w:type="dxa"/>
            <w:vAlign w:val="bottom"/>
          </w:tcPr>
          <w:p>
            <w:pPr>
              <w:jc w:val="right"/>
              <w:ind w:right="508"/>
              <w:spacing w:after="0"/>
              <w:rPr>
                <w:sz w:val="20"/>
                <w:szCs w:val="20"/>
                <w:color w:val="auto"/>
              </w:rPr>
            </w:pPr>
            <w:r>
              <w:rPr>
                <w:rFonts w:ascii="Arial" w:cs="Arial" w:eastAsia="Arial" w:hAnsi="Arial"/>
                <w:sz w:val="14"/>
                <w:szCs w:val="14"/>
                <w:color w:val="4D4D4F"/>
              </w:rPr>
              <w:t>—</w:t>
            </w:r>
          </w:p>
        </w:tc>
        <w:tc>
          <w:tcPr>
            <w:tcW w:w="740" w:type="dxa"/>
            <w:vAlign w:val="bottom"/>
          </w:tcPr>
          <w:p>
            <w:pPr>
              <w:ind w:left="580"/>
              <w:spacing w:after="0"/>
              <w:rPr>
                <w:sz w:val="20"/>
                <w:szCs w:val="20"/>
                <w:color w:val="auto"/>
              </w:rPr>
            </w:pPr>
            <w:r>
              <w:rPr>
                <w:rFonts w:ascii="Arial" w:cs="Arial" w:eastAsia="Arial" w:hAnsi="Arial"/>
                <w:sz w:val="14"/>
                <w:szCs w:val="14"/>
                <w:color w:val="4D4D4F"/>
                <w:w w:val="99"/>
              </w:rPr>
              <w:t>—</w:t>
            </w:r>
          </w:p>
        </w:tc>
        <w:tc>
          <w:tcPr>
            <w:tcW w:w="1340" w:type="dxa"/>
            <w:vAlign w:val="bottom"/>
            <w:tcBorders>
              <w:bottom w:val="single" w:sz="8" w:color="DFEDE5"/>
            </w:tcBorders>
            <w:shd w:val="clear" w:color="auto" w:fill="DFEDE5"/>
          </w:tcPr>
          <w:p>
            <w:pPr>
              <w:jc w:val="right"/>
              <w:ind w:right="48"/>
              <w:spacing w:after="0"/>
              <w:rPr>
                <w:sz w:val="20"/>
                <w:szCs w:val="20"/>
                <w:color w:val="auto"/>
              </w:rPr>
            </w:pPr>
            <w:r>
              <w:rPr>
                <w:rFonts w:ascii="Arial" w:cs="Arial" w:eastAsia="Arial" w:hAnsi="Arial"/>
                <w:sz w:val="14"/>
                <w:szCs w:val="14"/>
                <w:color w:val="4D4D4F"/>
              </w:rPr>
              <w:t>—</w:t>
            </w:r>
          </w:p>
        </w:tc>
      </w:tr>
      <w:tr>
        <w:trPr>
          <w:trHeight w:val="235"/>
        </w:trPr>
        <w:tc>
          <w:tcPr>
            <w:tcW w:w="1000" w:type="dxa"/>
            <w:vAlign w:val="bottom"/>
          </w:tcPr>
          <w:p>
            <w:pPr>
              <w:jc w:val="right"/>
              <w:ind w:right="288"/>
              <w:spacing w:after="0"/>
              <w:rPr>
                <w:sz w:val="20"/>
                <w:szCs w:val="20"/>
                <w:color w:val="auto"/>
              </w:rPr>
            </w:pPr>
            <w:r>
              <w:rPr>
                <w:rFonts w:ascii="Arial" w:cs="Arial" w:eastAsia="Arial" w:hAnsi="Arial"/>
                <w:sz w:val="14"/>
                <w:szCs w:val="14"/>
                <w:color w:val="4D4D4F"/>
                <w:w w:val="99"/>
              </w:rPr>
              <w:t>5,500,000</w:t>
            </w:r>
          </w:p>
        </w:tc>
        <w:tc>
          <w:tcPr>
            <w:tcW w:w="1580" w:type="dxa"/>
            <w:vAlign w:val="bottom"/>
          </w:tcPr>
          <w:p>
            <w:pPr>
              <w:jc w:val="right"/>
              <w:ind w:right="568"/>
              <w:spacing w:after="0"/>
              <w:rPr>
                <w:sz w:val="20"/>
                <w:szCs w:val="20"/>
                <w:color w:val="auto"/>
              </w:rPr>
            </w:pPr>
            <w:r>
              <w:rPr>
                <w:rFonts w:ascii="Arial" w:cs="Arial" w:eastAsia="Arial" w:hAnsi="Arial"/>
                <w:sz w:val="14"/>
                <w:szCs w:val="14"/>
                <w:color w:val="4D4D4F"/>
              </w:rPr>
              <w:t>1,250,000</w:t>
            </w:r>
          </w:p>
        </w:tc>
        <w:tc>
          <w:tcPr>
            <w:tcW w:w="740" w:type="dxa"/>
            <w:vAlign w:val="bottom"/>
          </w:tcPr>
          <w:p>
            <w:pPr>
              <w:spacing w:after="0"/>
              <w:rPr>
                <w:sz w:val="20"/>
                <w:szCs w:val="20"/>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4D4D4F"/>
              </w:rPr>
              <w:t>6,750,000</w:t>
            </w:r>
          </w:p>
        </w:tc>
      </w:tr>
      <w:tr>
        <w:trPr>
          <w:trHeight w:val="48"/>
        </w:trPr>
        <w:tc>
          <w:tcPr>
            <w:tcW w:w="10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303"/>
        </w:trPr>
        <w:tc>
          <w:tcPr>
            <w:tcW w:w="1000" w:type="dxa"/>
            <w:vAlign w:val="bottom"/>
          </w:tcPr>
          <w:p>
            <w:pPr>
              <w:jc w:val="right"/>
              <w:ind w:right="288"/>
              <w:spacing w:after="0"/>
              <w:rPr>
                <w:sz w:val="20"/>
                <w:szCs w:val="20"/>
                <w:color w:val="auto"/>
              </w:rPr>
            </w:pPr>
            <w:r>
              <w:rPr>
                <w:rFonts w:ascii="Arial" w:cs="Arial" w:eastAsia="Arial" w:hAnsi="Arial"/>
                <w:sz w:val="14"/>
                <w:szCs w:val="14"/>
                <w:color w:val="4D4D4F"/>
                <w:w w:val="99"/>
              </w:rPr>
              <w:t>8,250,000</w:t>
            </w:r>
          </w:p>
        </w:tc>
        <w:tc>
          <w:tcPr>
            <w:tcW w:w="1580" w:type="dxa"/>
            <w:vAlign w:val="bottom"/>
          </w:tcPr>
          <w:p>
            <w:pPr>
              <w:jc w:val="right"/>
              <w:ind w:right="568"/>
              <w:spacing w:after="0"/>
              <w:rPr>
                <w:sz w:val="20"/>
                <w:szCs w:val="20"/>
                <w:color w:val="auto"/>
              </w:rPr>
            </w:pPr>
            <w:r>
              <w:rPr>
                <w:rFonts w:ascii="Arial" w:cs="Arial" w:eastAsia="Arial" w:hAnsi="Arial"/>
                <w:sz w:val="14"/>
                <w:szCs w:val="14"/>
                <w:color w:val="4D4D4F"/>
              </w:rPr>
              <w:t>1,250,000</w:t>
            </w:r>
          </w:p>
        </w:tc>
        <w:tc>
          <w:tcPr>
            <w:tcW w:w="740" w:type="dxa"/>
            <w:vAlign w:val="bottom"/>
          </w:tcPr>
          <w:p>
            <w:pPr>
              <w:spacing w:after="0"/>
              <w:rPr>
                <w:sz w:val="24"/>
                <w:szCs w:val="24"/>
                <w:color w:val="auto"/>
              </w:rPr>
            </w:pPr>
          </w:p>
        </w:tc>
        <w:tc>
          <w:tcPr>
            <w:tcW w:w="1340" w:type="dxa"/>
            <w:vAlign w:val="bottom"/>
            <w:shd w:val="clear" w:color="auto" w:fill="DFEDE5"/>
          </w:tcPr>
          <w:p>
            <w:pPr>
              <w:jc w:val="right"/>
              <w:ind w:right="88"/>
              <w:spacing w:after="0"/>
              <w:rPr>
                <w:sz w:val="20"/>
                <w:szCs w:val="20"/>
                <w:color w:val="auto"/>
              </w:rPr>
            </w:pPr>
            <w:r>
              <w:rPr>
                <w:rFonts w:ascii="Arial" w:cs="Arial" w:eastAsia="Arial" w:hAnsi="Arial"/>
                <w:sz w:val="14"/>
                <w:szCs w:val="14"/>
                <w:color w:val="4D4D4F"/>
              </w:rPr>
              <w:t>9,500,000</w:t>
            </w:r>
          </w:p>
        </w:tc>
      </w:tr>
      <w:tr>
        <w:trPr>
          <w:trHeight w:val="116"/>
        </w:trPr>
        <w:tc>
          <w:tcPr>
            <w:tcW w:w="10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shd w:val="clear" w:color="auto" w:fill="DFEDE5"/>
          </w:tcPr>
          <w:p>
            <w:pPr>
              <w:spacing w:after="0"/>
              <w:rPr>
                <w:sz w:val="10"/>
                <w:szCs w:val="10"/>
                <w:color w:val="auto"/>
              </w:rPr>
            </w:pPr>
          </w:p>
        </w:tc>
      </w:tr>
      <w:tr>
        <w:trPr>
          <w:trHeight w:val="208"/>
        </w:trPr>
        <w:tc>
          <w:tcPr>
            <w:tcW w:w="1000" w:type="dxa"/>
            <w:vAlign w:val="bottom"/>
          </w:tcPr>
          <w:p>
            <w:pPr>
              <w:spacing w:after="0"/>
              <w:rPr>
                <w:sz w:val="18"/>
                <w:szCs w:val="18"/>
                <w:color w:val="auto"/>
              </w:rPr>
            </w:pPr>
          </w:p>
        </w:tc>
        <w:tc>
          <w:tcPr>
            <w:tcW w:w="1580" w:type="dxa"/>
            <w:vAlign w:val="bottom"/>
          </w:tcPr>
          <w:p>
            <w:pPr>
              <w:jc w:val="right"/>
              <w:ind w:right="568"/>
              <w:spacing w:after="0"/>
              <w:rPr>
                <w:sz w:val="20"/>
                <w:szCs w:val="20"/>
                <w:color w:val="auto"/>
              </w:rPr>
            </w:pPr>
            <w:r>
              <w:rPr>
                <w:rFonts w:ascii="Arial" w:cs="Arial" w:eastAsia="Arial" w:hAnsi="Arial"/>
                <w:sz w:val="14"/>
                <w:szCs w:val="14"/>
                <w:color w:val="4D4D4F"/>
              </w:rPr>
              <w:t>1,250,000</w:t>
            </w:r>
          </w:p>
        </w:tc>
        <w:tc>
          <w:tcPr>
            <w:tcW w:w="740" w:type="dxa"/>
            <w:vAlign w:val="bottom"/>
          </w:tcPr>
          <w:p>
            <w:pPr>
              <w:spacing w:after="0"/>
              <w:rPr>
                <w:sz w:val="18"/>
                <w:szCs w:val="18"/>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4D4D4F"/>
              </w:rPr>
              <w:t>1,250,000</w:t>
            </w:r>
          </w:p>
        </w:tc>
      </w:tr>
    </w:tbl>
    <w:p>
      <w:pPr>
        <w:spacing w:after="0" w:line="53" w:lineRule="exact"/>
        <w:rPr>
          <w:sz w:val="20"/>
          <w:szCs w:val="20"/>
          <w:color w:val="auto"/>
        </w:rPr>
      </w:pPr>
    </w:p>
    <w:p>
      <w:pPr>
        <w:sectPr>
          <w:pgSz w:w="11900" w:h="16838" w:orient="portrait"/>
          <w:cols w:equalWidth="0" w:num="2">
            <w:col w:w="5860" w:space="720"/>
            <w:col w:w="4660"/>
          </w:cols>
          <w:pgMar w:left="320" w:top="279" w:right="33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4D4D4F"/>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p>
      <w:pPr>
        <w:spacing w:after="0" w:line="82"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Termination by Company for Cause or by Executive Without Good Reason</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Termination by Company Without Cause or by Executive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6283325" cy="2654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283325" cy="265430"/>
                    </a:xfrm>
                    <a:prstGeom prst="rect">
                      <a:avLst/>
                    </a:prstGeom>
                    <a:noFill/>
                  </pic:spPr>
                </pic:pic>
              </a:graphicData>
            </a:graphic>
          </wp:anchor>
        </w:drawing>
      </w:r>
    </w:p>
    <w:p>
      <w:pPr>
        <w:spacing w:after="0" w:line="49" w:lineRule="exact"/>
        <w:rPr>
          <w:sz w:val="20"/>
          <w:szCs w:val="20"/>
          <w:color w:val="auto"/>
        </w:rPr>
      </w:pPr>
    </w:p>
    <w:p>
      <w:pPr>
        <w:ind w:left="100" w:right="140"/>
        <w:spacing w:after="0" w:line="311" w:lineRule="auto"/>
        <w:rPr>
          <w:sz w:val="20"/>
          <w:szCs w:val="20"/>
          <w:color w:val="auto"/>
        </w:rPr>
      </w:pPr>
      <w:r>
        <w:rPr>
          <w:rFonts w:ascii="Arial" w:cs="Arial" w:eastAsia="Arial" w:hAnsi="Arial"/>
          <w:sz w:val="14"/>
          <w:szCs w:val="14"/>
          <w:color w:val="4D4D4F"/>
        </w:rPr>
        <w:t>Termination by Company Without Cause or by Executive for Good Reason within two (2) years of a Change of Control</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jc w:val="right"/>
              <w:ind w:right="328"/>
              <w:spacing w:after="0"/>
              <w:rPr>
                <w:sz w:val="20"/>
                <w:szCs w:val="20"/>
                <w:color w:val="auto"/>
              </w:rPr>
            </w:pPr>
            <w:r>
              <w:rPr>
                <w:rFonts w:ascii="Arial" w:cs="Arial" w:eastAsia="Arial" w:hAnsi="Arial"/>
                <w:sz w:val="14"/>
                <w:szCs w:val="14"/>
                <w:color w:val="4D4D4F"/>
                <w:w w:val="99"/>
              </w:rPr>
              <w:t>1,400,000</w:t>
            </w:r>
          </w:p>
        </w:tc>
        <w:tc>
          <w:tcPr>
            <w:tcW w:w="1340" w:type="dxa"/>
            <w:vAlign w:val="bottom"/>
          </w:tcPr>
          <w:p>
            <w:pPr>
              <w:jc w:val="right"/>
              <w:ind w:right="368"/>
              <w:spacing w:after="0"/>
              <w:rPr>
                <w:sz w:val="20"/>
                <w:szCs w:val="20"/>
                <w:color w:val="auto"/>
              </w:rPr>
            </w:pPr>
            <w:r>
              <w:rPr>
                <w:rFonts w:ascii="Arial" w:cs="Arial" w:eastAsia="Arial" w:hAnsi="Arial"/>
                <w:sz w:val="14"/>
                <w:szCs w:val="14"/>
                <w:color w:val="4D4D4F"/>
              </w:rPr>
              <w:t>543,000</w:t>
            </w:r>
          </w:p>
        </w:tc>
        <w:tc>
          <w:tcPr>
            <w:tcW w:w="940" w:type="dxa"/>
            <w:vAlign w:val="bottom"/>
          </w:tcPr>
          <w:p>
            <w:pPr>
              <w:jc w:val="right"/>
              <w:spacing w:after="0"/>
              <w:rPr>
                <w:sz w:val="20"/>
                <w:szCs w:val="20"/>
                <w:color w:val="auto"/>
              </w:rPr>
            </w:pPr>
            <w:r>
              <w:rPr>
                <w:rFonts w:ascii="Arial" w:cs="Arial" w:eastAsia="Arial" w:hAnsi="Arial"/>
                <w:sz w:val="14"/>
                <w:szCs w:val="14"/>
                <w:color w:val="4D4D4F"/>
              </w:rPr>
              <w:t>45,826</w:t>
            </w:r>
          </w:p>
        </w:tc>
        <w:tc>
          <w:tcPr>
            <w:tcW w:w="1340" w:type="dxa"/>
            <w:vAlign w:val="bottom"/>
          </w:tcPr>
          <w:p>
            <w:pPr>
              <w:jc w:val="right"/>
              <w:ind w:right="88"/>
              <w:spacing w:after="0"/>
              <w:rPr>
                <w:sz w:val="20"/>
                <w:szCs w:val="20"/>
                <w:color w:val="auto"/>
              </w:rPr>
            </w:pPr>
            <w:r>
              <w:rPr>
                <w:rFonts w:ascii="Arial" w:cs="Arial" w:eastAsia="Arial" w:hAnsi="Arial"/>
                <w:sz w:val="14"/>
                <w:szCs w:val="14"/>
                <w:color w:val="4D4D4F"/>
              </w:rPr>
              <w:t>1,988,826</w:t>
            </w:r>
          </w:p>
        </w:tc>
      </w:tr>
      <w:tr>
        <w:trPr>
          <w:trHeight w:val="22"/>
        </w:trPr>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3"/>
        </w:trPr>
        <w:tc>
          <w:tcPr>
            <w:tcW w:w="1040" w:type="dxa"/>
            <w:vAlign w:val="bottom"/>
          </w:tcPr>
          <w:p>
            <w:pPr>
              <w:jc w:val="right"/>
              <w:ind w:right="328"/>
              <w:spacing w:after="0"/>
              <w:rPr>
                <w:sz w:val="20"/>
                <w:szCs w:val="20"/>
                <w:color w:val="auto"/>
              </w:rPr>
            </w:pPr>
            <w:r>
              <w:rPr>
                <w:rFonts w:ascii="Arial" w:cs="Arial" w:eastAsia="Arial" w:hAnsi="Arial"/>
                <w:sz w:val="14"/>
                <w:szCs w:val="14"/>
                <w:color w:val="4D4D4F"/>
                <w:w w:val="99"/>
              </w:rPr>
              <w:t>1,400,000</w:t>
            </w:r>
          </w:p>
        </w:tc>
        <w:tc>
          <w:tcPr>
            <w:tcW w:w="1340" w:type="dxa"/>
            <w:vAlign w:val="bottom"/>
          </w:tcPr>
          <w:p>
            <w:pPr>
              <w:jc w:val="right"/>
              <w:ind w:right="368"/>
              <w:spacing w:after="0"/>
              <w:rPr>
                <w:sz w:val="20"/>
                <w:szCs w:val="20"/>
                <w:color w:val="auto"/>
              </w:rPr>
            </w:pPr>
            <w:r>
              <w:rPr>
                <w:rFonts w:ascii="Arial" w:cs="Arial" w:eastAsia="Arial" w:hAnsi="Arial"/>
                <w:sz w:val="14"/>
                <w:szCs w:val="14"/>
                <w:color w:val="4D4D4F"/>
              </w:rPr>
              <w:t>543,000</w:t>
            </w:r>
          </w:p>
        </w:tc>
        <w:tc>
          <w:tcPr>
            <w:tcW w:w="940" w:type="dxa"/>
            <w:vAlign w:val="bottom"/>
          </w:tcPr>
          <w:p>
            <w:pPr>
              <w:jc w:val="right"/>
              <w:spacing w:after="0"/>
              <w:rPr>
                <w:sz w:val="20"/>
                <w:szCs w:val="20"/>
                <w:color w:val="auto"/>
              </w:rPr>
            </w:pPr>
            <w:r>
              <w:rPr>
                <w:rFonts w:ascii="Arial" w:cs="Arial" w:eastAsia="Arial" w:hAnsi="Arial"/>
                <w:sz w:val="14"/>
                <w:szCs w:val="14"/>
                <w:color w:val="4D4D4F"/>
              </w:rPr>
              <w:t>45,826</w:t>
            </w:r>
          </w:p>
        </w:tc>
        <w:tc>
          <w:tcPr>
            <w:tcW w:w="1340" w:type="dxa"/>
            <w:vAlign w:val="bottom"/>
            <w:shd w:val="clear" w:color="auto" w:fill="DFEDE5"/>
          </w:tcPr>
          <w:p>
            <w:pPr>
              <w:jc w:val="right"/>
              <w:ind w:right="88"/>
              <w:spacing w:after="0"/>
              <w:rPr>
                <w:sz w:val="20"/>
                <w:szCs w:val="20"/>
                <w:color w:val="auto"/>
              </w:rPr>
            </w:pPr>
            <w:r>
              <w:rPr>
                <w:rFonts w:ascii="Arial" w:cs="Arial" w:eastAsia="Arial" w:hAnsi="Arial"/>
                <w:sz w:val="14"/>
                <w:szCs w:val="14"/>
                <w:color w:val="4D4D4F"/>
              </w:rPr>
              <w:t>1,988,826</w:t>
            </w:r>
          </w:p>
        </w:tc>
      </w:tr>
      <w:tr>
        <w:trPr>
          <w:trHeight w:val="116"/>
        </w:trPr>
        <w:tc>
          <w:tcPr>
            <w:tcW w:w="1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shd w:val="clear" w:color="auto" w:fill="DFEDE5"/>
          </w:tcPr>
          <w:p>
            <w:pPr>
              <w:spacing w:after="0"/>
              <w:rPr>
                <w:sz w:val="10"/>
                <w:szCs w:val="10"/>
                <w:color w:val="auto"/>
              </w:rPr>
            </w:pPr>
          </w:p>
        </w:tc>
      </w:tr>
      <w:tr>
        <w:trPr>
          <w:trHeight w:val="208"/>
        </w:trPr>
        <w:tc>
          <w:tcPr>
            <w:tcW w:w="1040" w:type="dxa"/>
            <w:vAlign w:val="bottom"/>
          </w:tcPr>
          <w:p>
            <w:pPr>
              <w:spacing w:after="0"/>
              <w:rPr>
                <w:sz w:val="18"/>
                <w:szCs w:val="18"/>
                <w:color w:val="auto"/>
              </w:rPr>
            </w:pPr>
          </w:p>
        </w:tc>
        <w:tc>
          <w:tcPr>
            <w:tcW w:w="1340" w:type="dxa"/>
            <w:vAlign w:val="bottom"/>
          </w:tcPr>
          <w:p>
            <w:pPr>
              <w:jc w:val="right"/>
              <w:ind w:right="368"/>
              <w:spacing w:after="0"/>
              <w:rPr>
                <w:sz w:val="20"/>
                <w:szCs w:val="20"/>
                <w:color w:val="auto"/>
              </w:rPr>
            </w:pPr>
            <w:r>
              <w:rPr>
                <w:rFonts w:ascii="Arial" w:cs="Arial" w:eastAsia="Arial" w:hAnsi="Arial"/>
                <w:sz w:val="14"/>
                <w:szCs w:val="14"/>
                <w:color w:val="4D4D4F"/>
              </w:rPr>
              <w:t>543,000</w:t>
            </w:r>
          </w:p>
        </w:tc>
        <w:tc>
          <w:tcPr>
            <w:tcW w:w="940" w:type="dxa"/>
            <w:vAlign w:val="bottom"/>
          </w:tcPr>
          <w:p>
            <w:pPr>
              <w:spacing w:after="0"/>
              <w:rPr>
                <w:sz w:val="18"/>
                <w:szCs w:val="18"/>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4D4D4F"/>
              </w:rPr>
              <w:t>543,000</w:t>
            </w:r>
          </w:p>
        </w:tc>
      </w:tr>
    </w:tbl>
    <w:p>
      <w:pPr>
        <w:spacing w:after="0" w:line="53" w:lineRule="exact"/>
        <w:rPr>
          <w:sz w:val="20"/>
          <w:szCs w:val="20"/>
          <w:color w:val="auto"/>
        </w:rPr>
      </w:pPr>
    </w:p>
    <w:p>
      <w:pPr>
        <w:sectPr>
          <w:pgSz w:w="11900" w:h="16838" w:orient="portrait"/>
          <w:cols w:equalWidth="0" w:num="2">
            <w:col w:w="5860" w:space="720"/>
            <w:col w:w="4660"/>
          </w:cols>
          <w:pgMar w:left="320" w:top="279" w:right="33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4D4D4F"/>
        </w:rPr>
        <w:t>John P. Rau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p>
      <w:pPr>
        <w:spacing w:after="0" w:line="82" w:lineRule="exact"/>
        <w:rPr>
          <w:sz w:val="20"/>
          <w:szCs w:val="20"/>
          <w:color w:val="auto"/>
        </w:rPr>
      </w:pPr>
    </w:p>
    <w:p>
      <w:pPr>
        <w:ind w:left="100" w:right="1020"/>
        <w:spacing w:after="0" w:line="342" w:lineRule="auto"/>
        <w:rPr>
          <w:sz w:val="20"/>
          <w:szCs w:val="20"/>
          <w:color w:val="auto"/>
        </w:rPr>
      </w:pPr>
      <w:r>
        <w:rPr>
          <w:rFonts w:ascii="Arial" w:cs="Arial" w:eastAsia="Arial" w:hAnsi="Arial"/>
          <w:sz w:val="14"/>
          <w:szCs w:val="14"/>
          <w:color w:val="4D4D4F"/>
        </w:rPr>
        <w:t>Termination by Company for Cause or by Executive Without Good Reason Termination by Company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283325" cy="3003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283325" cy="300355"/>
                    </a:xfrm>
                    <a:prstGeom prst="rect">
                      <a:avLst/>
                    </a:prstGeom>
                    <a:noFill/>
                  </pic:spPr>
                </pic:pic>
              </a:graphicData>
            </a:graphic>
          </wp:anchor>
        </w:drawing>
      </w:r>
    </w:p>
    <w:p>
      <w:pPr>
        <w:ind w:left="100" w:right="40"/>
        <w:spacing w:after="0" w:line="325" w:lineRule="auto"/>
        <w:rPr>
          <w:sz w:val="20"/>
          <w:szCs w:val="20"/>
          <w:color w:val="auto"/>
        </w:rPr>
      </w:pPr>
      <w:r>
        <w:rPr>
          <w:rFonts w:ascii="Arial" w:cs="Arial" w:eastAsia="Arial" w:hAnsi="Arial"/>
          <w:sz w:val="14"/>
          <w:szCs w:val="14"/>
          <w:color w:val="4D4D4F"/>
        </w:rPr>
        <w:t>Termination by Company Without Cause or by Executive for Good Reason</w:t>
      </w:r>
      <w:r>
        <w:rPr>
          <w:rFonts w:ascii="Arial" w:cs="Arial" w:eastAsia="Arial" w:hAnsi="Arial"/>
          <w:sz w:val="9"/>
          <w:szCs w:val="9"/>
          <w:color w:val="4D4D4F"/>
        </w:rPr>
        <w:t>(6)</w:t>
      </w:r>
      <w:r>
        <w:rPr>
          <w:rFonts w:ascii="Arial" w:cs="Arial" w:eastAsia="Arial" w:hAnsi="Arial"/>
          <w:sz w:val="14"/>
          <w:szCs w:val="14"/>
          <w:color w:val="4D4D4F"/>
        </w:rPr>
        <w:t xml:space="preserve"> within two (2) years of a Change of Control</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jc w:val="right"/>
              <w:ind w:right="328"/>
              <w:spacing w:after="0"/>
              <w:rPr>
                <w:sz w:val="20"/>
                <w:szCs w:val="20"/>
                <w:color w:val="auto"/>
              </w:rPr>
            </w:pPr>
            <w:r>
              <w:rPr>
                <w:rFonts w:ascii="Arial" w:cs="Arial" w:eastAsia="Arial" w:hAnsi="Arial"/>
                <w:sz w:val="14"/>
                <w:szCs w:val="14"/>
                <w:color w:val="4D4D4F"/>
                <w:w w:val="99"/>
              </w:rPr>
              <w:t>1,400,000</w:t>
            </w:r>
          </w:p>
        </w:tc>
        <w:tc>
          <w:tcPr>
            <w:tcW w:w="1340" w:type="dxa"/>
            <w:vAlign w:val="bottom"/>
          </w:tcPr>
          <w:p>
            <w:pPr>
              <w:jc w:val="right"/>
              <w:ind w:right="368"/>
              <w:spacing w:after="0"/>
              <w:rPr>
                <w:sz w:val="20"/>
                <w:szCs w:val="20"/>
                <w:color w:val="auto"/>
              </w:rPr>
            </w:pPr>
            <w:r>
              <w:rPr>
                <w:rFonts w:ascii="Arial" w:cs="Arial" w:eastAsia="Arial" w:hAnsi="Arial"/>
                <w:sz w:val="14"/>
                <w:szCs w:val="14"/>
                <w:color w:val="4D4D4F"/>
              </w:rPr>
              <w:t>309,000</w:t>
            </w:r>
          </w:p>
        </w:tc>
        <w:tc>
          <w:tcPr>
            <w:tcW w:w="940" w:type="dxa"/>
            <w:vAlign w:val="bottom"/>
          </w:tcPr>
          <w:p>
            <w:pPr>
              <w:jc w:val="right"/>
              <w:spacing w:after="0"/>
              <w:rPr>
                <w:sz w:val="20"/>
                <w:szCs w:val="20"/>
                <w:color w:val="auto"/>
              </w:rPr>
            </w:pPr>
            <w:r>
              <w:rPr>
                <w:rFonts w:ascii="Arial" w:cs="Arial" w:eastAsia="Arial" w:hAnsi="Arial"/>
                <w:sz w:val="14"/>
                <w:szCs w:val="14"/>
                <w:color w:val="4D4D4F"/>
              </w:rPr>
              <w:t>38,220</w:t>
            </w:r>
          </w:p>
        </w:tc>
        <w:tc>
          <w:tcPr>
            <w:tcW w:w="1340" w:type="dxa"/>
            <w:vAlign w:val="bottom"/>
          </w:tcPr>
          <w:p>
            <w:pPr>
              <w:jc w:val="right"/>
              <w:ind w:right="88"/>
              <w:spacing w:after="0"/>
              <w:rPr>
                <w:sz w:val="20"/>
                <w:szCs w:val="20"/>
                <w:color w:val="auto"/>
              </w:rPr>
            </w:pPr>
            <w:r>
              <w:rPr>
                <w:rFonts w:ascii="Arial" w:cs="Arial" w:eastAsia="Arial" w:hAnsi="Arial"/>
                <w:sz w:val="14"/>
                <w:szCs w:val="14"/>
                <w:color w:val="4D4D4F"/>
              </w:rPr>
              <w:t>1,747,220</w:t>
            </w:r>
          </w:p>
        </w:tc>
      </w:tr>
      <w:tr>
        <w:trPr>
          <w:trHeight w:val="22"/>
        </w:trPr>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29"/>
        </w:trPr>
        <w:tc>
          <w:tcPr>
            <w:tcW w:w="1040" w:type="dxa"/>
            <w:vAlign w:val="bottom"/>
          </w:tcPr>
          <w:p>
            <w:pPr>
              <w:jc w:val="right"/>
              <w:ind w:right="328"/>
              <w:spacing w:after="0"/>
              <w:rPr>
                <w:sz w:val="20"/>
                <w:szCs w:val="20"/>
                <w:color w:val="auto"/>
              </w:rPr>
            </w:pPr>
            <w:r>
              <w:rPr>
                <w:rFonts w:ascii="Arial" w:cs="Arial" w:eastAsia="Arial" w:hAnsi="Arial"/>
                <w:sz w:val="14"/>
                <w:szCs w:val="14"/>
                <w:color w:val="4D4D4F"/>
                <w:w w:val="99"/>
              </w:rPr>
              <w:t>1,400,000</w:t>
            </w:r>
          </w:p>
        </w:tc>
        <w:tc>
          <w:tcPr>
            <w:tcW w:w="1340" w:type="dxa"/>
            <w:vAlign w:val="bottom"/>
          </w:tcPr>
          <w:p>
            <w:pPr>
              <w:jc w:val="right"/>
              <w:ind w:right="368"/>
              <w:spacing w:after="0"/>
              <w:rPr>
                <w:sz w:val="20"/>
                <w:szCs w:val="20"/>
                <w:color w:val="auto"/>
              </w:rPr>
            </w:pPr>
            <w:r>
              <w:rPr>
                <w:rFonts w:ascii="Arial" w:cs="Arial" w:eastAsia="Arial" w:hAnsi="Arial"/>
                <w:sz w:val="14"/>
                <w:szCs w:val="14"/>
                <w:color w:val="4D4D4F"/>
              </w:rPr>
              <w:t>543,000</w:t>
            </w:r>
          </w:p>
        </w:tc>
        <w:tc>
          <w:tcPr>
            <w:tcW w:w="940" w:type="dxa"/>
            <w:vAlign w:val="bottom"/>
          </w:tcPr>
          <w:p>
            <w:pPr>
              <w:jc w:val="right"/>
              <w:spacing w:after="0"/>
              <w:rPr>
                <w:sz w:val="20"/>
                <w:szCs w:val="20"/>
                <w:color w:val="auto"/>
              </w:rPr>
            </w:pPr>
            <w:r>
              <w:rPr>
                <w:rFonts w:ascii="Arial" w:cs="Arial" w:eastAsia="Arial" w:hAnsi="Arial"/>
                <w:sz w:val="14"/>
                <w:szCs w:val="14"/>
                <w:color w:val="4D4D4F"/>
              </w:rPr>
              <w:t>38,220</w:t>
            </w:r>
          </w:p>
        </w:tc>
        <w:tc>
          <w:tcPr>
            <w:tcW w:w="1340" w:type="dxa"/>
            <w:vAlign w:val="bottom"/>
            <w:shd w:val="clear" w:color="auto" w:fill="DFEDE5"/>
          </w:tcPr>
          <w:p>
            <w:pPr>
              <w:jc w:val="right"/>
              <w:ind w:right="88"/>
              <w:spacing w:after="0"/>
              <w:rPr>
                <w:sz w:val="20"/>
                <w:szCs w:val="20"/>
                <w:color w:val="auto"/>
              </w:rPr>
            </w:pPr>
            <w:r>
              <w:rPr>
                <w:rFonts w:ascii="Arial" w:cs="Arial" w:eastAsia="Arial" w:hAnsi="Arial"/>
                <w:sz w:val="14"/>
                <w:szCs w:val="14"/>
                <w:color w:val="4D4D4F"/>
              </w:rPr>
              <w:t>1,981,220</w:t>
            </w:r>
          </w:p>
        </w:tc>
      </w:tr>
      <w:tr>
        <w:trPr>
          <w:trHeight w:val="143"/>
        </w:trPr>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shd w:val="clear" w:color="auto" w:fill="DFEDE5"/>
          </w:tcPr>
          <w:p>
            <w:pPr>
              <w:spacing w:after="0"/>
              <w:rPr>
                <w:sz w:val="12"/>
                <w:szCs w:val="12"/>
                <w:color w:val="auto"/>
              </w:rPr>
            </w:pPr>
          </w:p>
        </w:tc>
      </w:tr>
      <w:tr>
        <w:trPr>
          <w:trHeight w:val="208"/>
        </w:trPr>
        <w:tc>
          <w:tcPr>
            <w:tcW w:w="1040" w:type="dxa"/>
            <w:vAlign w:val="bottom"/>
          </w:tcPr>
          <w:p>
            <w:pPr>
              <w:spacing w:after="0"/>
              <w:rPr>
                <w:sz w:val="18"/>
                <w:szCs w:val="18"/>
                <w:color w:val="auto"/>
              </w:rPr>
            </w:pPr>
          </w:p>
        </w:tc>
        <w:tc>
          <w:tcPr>
            <w:tcW w:w="1340" w:type="dxa"/>
            <w:vAlign w:val="bottom"/>
          </w:tcPr>
          <w:p>
            <w:pPr>
              <w:jc w:val="right"/>
              <w:ind w:right="368"/>
              <w:spacing w:after="0"/>
              <w:rPr>
                <w:sz w:val="20"/>
                <w:szCs w:val="20"/>
                <w:color w:val="auto"/>
              </w:rPr>
            </w:pPr>
            <w:r>
              <w:rPr>
                <w:rFonts w:ascii="Arial" w:cs="Arial" w:eastAsia="Arial" w:hAnsi="Arial"/>
                <w:sz w:val="14"/>
                <w:szCs w:val="14"/>
                <w:color w:val="4D4D4F"/>
              </w:rPr>
              <w:t>543,000</w:t>
            </w:r>
          </w:p>
        </w:tc>
        <w:tc>
          <w:tcPr>
            <w:tcW w:w="940" w:type="dxa"/>
            <w:vAlign w:val="bottom"/>
          </w:tcPr>
          <w:p>
            <w:pPr>
              <w:jc w:val="right"/>
              <w:spacing w:after="0"/>
              <w:rPr>
                <w:sz w:val="20"/>
                <w:szCs w:val="20"/>
                <w:color w:val="auto"/>
              </w:rPr>
            </w:pPr>
            <w:r>
              <w:rPr>
                <w:rFonts w:ascii="Arial" w:cs="Arial" w:eastAsia="Arial" w:hAnsi="Arial"/>
                <w:sz w:val="14"/>
                <w:szCs w:val="14"/>
                <w:color w:val="4D4D4F"/>
              </w:rPr>
              <w:t>38,220</w:t>
            </w:r>
          </w:p>
        </w:tc>
        <w:tc>
          <w:tcPr>
            <w:tcW w:w="1340" w:type="dxa"/>
            <w:vAlign w:val="bottom"/>
          </w:tcPr>
          <w:p>
            <w:pPr>
              <w:jc w:val="right"/>
              <w:ind w:right="88"/>
              <w:spacing w:after="0"/>
              <w:rPr>
                <w:sz w:val="20"/>
                <w:szCs w:val="20"/>
                <w:color w:val="auto"/>
              </w:rPr>
            </w:pPr>
            <w:r>
              <w:rPr>
                <w:rFonts w:ascii="Arial" w:cs="Arial" w:eastAsia="Arial" w:hAnsi="Arial"/>
                <w:sz w:val="14"/>
                <w:szCs w:val="14"/>
                <w:color w:val="4D4D4F"/>
              </w:rPr>
              <w:t>581,220</w:t>
            </w:r>
          </w:p>
        </w:tc>
      </w:tr>
    </w:tbl>
    <w:p>
      <w:pPr>
        <w:spacing w:after="0" w:line="174" w:lineRule="exact"/>
        <w:rPr>
          <w:sz w:val="20"/>
          <w:szCs w:val="20"/>
          <w:color w:val="auto"/>
        </w:rPr>
      </w:pPr>
    </w:p>
    <w:p>
      <w:pPr>
        <w:sectPr>
          <w:pgSz w:w="11900" w:h="16838" w:orient="portrait"/>
          <w:cols w:equalWidth="0" w:num="2">
            <w:col w:w="5860" w:space="720"/>
            <w:col w:w="4660"/>
          </w:cols>
          <w:pgMar w:left="320" w:top="279" w:right="339" w:bottom="1440" w:gutter="0" w:footer="0" w:header="0"/>
          <w:type w:val="continuous"/>
        </w:sectPr>
      </w:pPr>
    </w:p>
    <w:p>
      <w:pPr>
        <w:jc w:val="both"/>
        <w:ind w:left="500" w:right="120" w:hanging="330"/>
        <w:spacing w:after="0" w:line="281" w:lineRule="auto"/>
        <w:tabs>
          <w:tab w:leader="none" w:pos="498" w:val="left"/>
        </w:tabs>
        <w:numPr>
          <w:ilvl w:val="0"/>
          <w:numId w:val="110"/>
        </w:numPr>
        <w:rPr>
          <w:rFonts w:ascii="Arial" w:cs="Arial" w:eastAsia="Arial" w:hAnsi="Arial"/>
          <w:sz w:val="14"/>
          <w:szCs w:val="14"/>
          <w:color w:val="4D4D4F"/>
        </w:rPr>
      </w:pPr>
      <w:r>
        <w:rPr>
          <w:rFonts w:ascii="Arial" w:cs="Arial" w:eastAsia="Arial" w:hAnsi="Arial"/>
          <w:sz w:val="14"/>
          <w:szCs w:val="14"/>
          <w:color w:val="4D4D4F"/>
        </w:rPr>
        <w:t>The amounts in this column are the severance payments payable to our NEOs upon the occurrence of the relevant event. For Messrs. Birns and Rau, this represents a severance payment equal to a multiple of their base salary as of the termination date (based on their actual salary as of December 29, 2023), payable over a 24-month period.</w:t>
      </w:r>
    </w:p>
    <w:p>
      <w:pPr>
        <w:spacing w:after="0" w:line="1" w:lineRule="exact"/>
        <w:rPr>
          <w:rFonts w:ascii="Arial" w:cs="Arial" w:eastAsia="Arial" w:hAnsi="Arial"/>
          <w:sz w:val="14"/>
          <w:szCs w:val="14"/>
          <w:color w:val="4D4D4F"/>
        </w:rPr>
      </w:pPr>
    </w:p>
    <w:p>
      <w:pPr>
        <w:ind w:left="500" w:right="80" w:hanging="330"/>
        <w:spacing w:after="0" w:line="272" w:lineRule="auto"/>
        <w:tabs>
          <w:tab w:leader="none" w:pos="498" w:val="left"/>
        </w:tabs>
        <w:numPr>
          <w:ilvl w:val="0"/>
          <w:numId w:val="110"/>
        </w:numPr>
        <w:rPr>
          <w:rFonts w:ascii="Arial" w:cs="Arial" w:eastAsia="Arial" w:hAnsi="Arial"/>
          <w:sz w:val="14"/>
          <w:szCs w:val="14"/>
          <w:color w:val="4D4D4F"/>
        </w:rPr>
      </w:pPr>
      <w:r>
        <w:rPr>
          <w:rFonts w:ascii="Arial" w:cs="Arial" w:eastAsia="Arial" w:hAnsi="Arial"/>
          <w:sz w:val="14"/>
          <w:szCs w:val="14"/>
          <w:color w:val="4D4D4F"/>
        </w:rPr>
        <w:t>The amounts in this column are the bonuses payable to the NEO, prorated through the date of termination. Amounts are paid when, and to the extent that, they would have been paid had the NEO’s employment not terminated. For Messrs. Kasbar and Birns, this amount reflects the amounts earned by the executive for the year-ended December 31, 2023. For Mr. Rau this amount reflects the amounts earned by the NEO for the year-ended December 31, 2023, other than any bonuses that may be earned based on achievement of non-financial objectives, which are payable at target only in the case of death or disability or upon a termination without cause or for good reason within the two-year period following a change of control.</w:t>
      </w:r>
    </w:p>
    <w:p>
      <w:pPr>
        <w:spacing w:after="0" w:line="5" w:lineRule="exact"/>
        <w:rPr>
          <w:rFonts w:ascii="Arial" w:cs="Arial" w:eastAsia="Arial" w:hAnsi="Arial"/>
          <w:sz w:val="14"/>
          <w:szCs w:val="14"/>
          <w:color w:val="4D4D4F"/>
        </w:rPr>
      </w:pPr>
    </w:p>
    <w:p>
      <w:pPr>
        <w:ind w:left="500" w:right="220" w:hanging="330"/>
        <w:spacing w:after="0" w:line="301" w:lineRule="auto"/>
        <w:tabs>
          <w:tab w:leader="none" w:pos="498" w:val="left"/>
        </w:tabs>
        <w:numPr>
          <w:ilvl w:val="0"/>
          <w:numId w:val="110"/>
        </w:numPr>
        <w:rPr>
          <w:rFonts w:ascii="Arial" w:cs="Arial" w:eastAsia="Arial" w:hAnsi="Arial"/>
          <w:sz w:val="14"/>
          <w:szCs w:val="14"/>
          <w:color w:val="4D4D4F"/>
        </w:rPr>
      </w:pPr>
      <w:r>
        <w:rPr>
          <w:rFonts w:ascii="Arial" w:cs="Arial" w:eastAsia="Arial" w:hAnsi="Arial"/>
          <w:sz w:val="14"/>
          <w:szCs w:val="14"/>
          <w:color w:val="4D4D4F"/>
        </w:rPr>
        <w:t>Each NEO is entitled to receive continuation of their medical benefits generally for 18 months following the date of termination. This column reflects the current cost of COBRA premiums for such period and for purposes of this table, we have assumed the maximum premiums would be paid.</w:t>
      </w:r>
    </w:p>
    <w:p>
      <w:pPr>
        <w:spacing w:after="0" w:line="1" w:lineRule="exact"/>
        <w:rPr>
          <w:rFonts w:ascii="Arial" w:cs="Arial" w:eastAsia="Arial" w:hAnsi="Arial"/>
          <w:sz w:val="14"/>
          <w:szCs w:val="14"/>
          <w:color w:val="4D4D4F"/>
        </w:rPr>
      </w:pPr>
    </w:p>
    <w:p>
      <w:pPr>
        <w:ind w:left="500" w:right="40" w:hanging="330"/>
        <w:spacing w:after="0" w:line="266" w:lineRule="auto"/>
        <w:tabs>
          <w:tab w:leader="none" w:pos="498" w:val="left"/>
        </w:tabs>
        <w:numPr>
          <w:ilvl w:val="0"/>
          <w:numId w:val="110"/>
        </w:numPr>
        <w:rPr>
          <w:rFonts w:ascii="Arial" w:cs="Arial" w:eastAsia="Arial" w:hAnsi="Arial"/>
          <w:sz w:val="14"/>
          <w:szCs w:val="14"/>
          <w:color w:val="4D4D4F"/>
        </w:rPr>
      </w:pPr>
      <w:r>
        <w:rPr>
          <w:rFonts w:ascii="Arial" w:cs="Arial" w:eastAsia="Arial" w:hAnsi="Arial"/>
          <w:sz w:val="14"/>
          <w:szCs w:val="14"/>
          <w:color w:val="4D4D4F"/>
        </w:rPr>
        <w:t>The totals in this column do not include (i) additional amounts payable to the executive under the Company’s other employment programs that are applicable to all employees and (ii) any amounts that may be realized upon acceleration of outstanding equity to the extent that such executive is terminated, including after a “change of control”. Specifically, in accordance with the Company’s policies, upon any termination, all employees are entitled to certain accrued obligations including salary earned through the date of termination, unreimbursed business expenses incurred in accordance with Company policy and a payment for unused paid time off. In addition, Mr. Kasbar is entitled to receive his non-qualified deferred compensation from a previously earned bonus upon any separation from us. Please see “Non-Qualified Deferred Compensation” table beginning on page 67 for an explanation of this amount.</w:t>
      </w:r>
    </w:p>
    <w:p>
      <w:pPr>
        <w:spacing w:after="0" w:line="22" w:lineRule="exact"/>
        <w:rPr>
          <w:rFonts w:ascii="Arial" w:cs="Arial" w:eastAsia="Arial" w:hAnsi="Arial"/>
          <w:sz w:val="14"/>
          <w:szCs w:val="14"/>
          <w:color w:val="4D4D4F"/>
        </w:rPr>
      </w:pPr>
    </w:p>
    <w:p>
      <w:pPr>
        <w:ind w:left="500" w:right="700" w:hanging="330"/>
        <w:spacing w:after="0" w:line="291" w:lineRule="auto"/>
        <w:tabs>
          <w:tab w:leader="none" w:pos="498" w:val="left"/>
        </w:tabs>
        <w:numPr>
          <w:ilvl w:val="0"/>
          <w:numId w:val="110"/>
        </w:numPr>
        <w:rPr>
          <w:rFonts w:ascii="Arial" w:cs="Arial" w:eastAsia="Arial" w:hAnsi="Arial"/>
          <w:sz w:val="14"/>
          <w:szCs w:val="14"/>
          <w:color w:val="4D4D4F"/>
        </w:rPr>
      </w:pPr>
      <w:r>
        <w:rPr>
          <w:rFonts w:ascii="Arial" w:cs="Arial" w:eastAsia="Arial" w:hAnsi="Arial"/>
          <w:sz w:val="14"/>
          <w:szCs w:val="14"/>
          <w:color w:val="4D4D4F"/>
        </w:rPr>
        <w:t>If Mr. Kasbar’s employment agreement is not renewed at the end of its term, Mr. Kasbar is entitled to the same amount of payments and benefits as if he were terminated without “cause”.</w:t>
      </w:r>
    </w:p>
    <w:p>
      <w:pPr>
        <w:spacing w:after="0" w:line="1" w:lineRule="exact"/>
        <w:rPr>
          <w:rFonts w:ascii="Arial" w:cs="Arial" w:eastAsia="Arial" w:hAnsi="Arial"/>
          <w:sz w:val="14"/>
          <w:szCs w:val="14"/>
          <w:color w:val="4D4D4F"/>
        </w:rPr>
      </w:pPr>
    </w:p>
    <w:p>
      <w:pPr>
        <w:ind w:left="500" w:right="260" w:hanging="330"/>
        <w:spacing w:after="0" w:line="305" w:lineRule="auto"/>
        <w:tabs>
          <w:tab w:leader="none" w:pos="498" w:val="left"/>
        </w:tabs>
        <w:numPr>
          <w:ilvl w:val="0"/>
          <w:numId w:val="110"/>
        </w:numPr>
        <w:rPr>
          <w:rFonts w:ascii="Arial" w:cs="Arial" w:eastAsia="Arial" w:hAnsi="Arial"/>
          <w:sz w:val="14"/>
          <w:szCs w:val="14"/>
          <w:color w:val="4D4D4F"/>
        </w:rPr>
      </w:pPr>
      <w:r>
        <w:rPr>
          <w:rFonts w:ascii="Arial" w:cs="Arial" w:eastAsia="Arial" w:hAnsi="Arial"/>
          <w:sz w:val="14"/>
          <w:szCs w:val="14"/>
          <w:color w:val="4D4D4F"/>
        </w:rPr>
        <w:t>As discussed above, our ESP defines “good reason” to have occurred only if certain events have happened within two years after a “change of control” has occurred. Consequently, for Mr. Rau, any termination by him of his employment absent a “change of control” would be deemed a Termination without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71</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74" w:name="page75"/>
    <w:bookmarkEnd w:id="74"/>
    <w:p>
      <w:pPr>
        <w:ind w:left="20"/>
        <w:spacing w:after="0"/>
        <w:rPr>
          <w:sz w:val="20"/>
          <w:szCs w:val="20"/>
          <w:color w:val="auto"/>
        </w:rPr>
      </w:pPr>
      <w:r>
        <w:rPr>
          <w:rFonts w:ascii="Arial" w:cs="Arial" w:eastAsia="Arial" w:hAnsi="Arial"/>
          <w:sz w:val="14"/>
          <w:szCs w:val="14"/>
          <w:b w:val="1"/>
          <w:bCs w:val="1"/>
          <w:color w:val="5B6770"/>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Equity Treatment</w:t>
      </w:r>
    </w:p>
    <w:p>
      <w:pPr>
        <w:spacing w:after="0" w:line="144"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4D4D4F"/>
        </w:rPr>
        <w:t>Our outstanding equity awards are subject to a “double-trigger” in the event of a Change of Control where the awards are replaced or substituted by the acquiror. Consequently, in addition to the amounts set forth in the table above, outstanding equity held by each of the NEOs would only accelerate to the extent that such executive was terminated in the two years following a “change of control”. Specifically, (i) our outstanding service-based SSARs would vest and be exercisable until the earlier of (a) two years plus 90 days following the termination date or (b) the expiration date, (ii) our service-based RSUs would vest and (iii) our outstanding RSUs and SSARs granted under any LTIP would vest at either target or actual, as determined by the Compensation Committee, depending on the date of termination. Any LTIP SSARs are thereafter exercisable until the earlier of: (a) one year after the termination date, or</w:t>
      </w:r>
    </w:p>
    <w:p>
      <w:pPr>
        <w:spacing w:after="0" w:line="4" w:lineRule="exact"/>
        <w:rPr>
          <w:sz w:val="20"/>
          <w:szCs w:val="20"/>
          <w:color w:val="auto"/>
        </w:rPr>
      </w:pPr>
    </w:p>
    <w:p>
      <w:pPr>
        <w:ind w:firstLine="8"/>
        <w:spacing w:after="0" w:line="301" w:lineRule="auto"/>
        <w:tabs>
          <w:tab w:leader="none" w:pos="243" w:val="left"/>
        </w:tabs>
        <w:numPr>
          <w:ilvl w:val="0"/>
          <w:numId w:val="111"/>
        </w:numPr>
        <w:rPr>
          <w:rFonts w:ascii="Arial" w:cs="Arial" w:eastAsia="Arial" w:hAnsi="Arial"/>
          <w:sz w:val="16"/>
          <w:szCs w:val="16"/>
          <w:color w:val="4D4D4F"/>
        </w:rPr>
      </w:pPr>
      <w:r>
        <w:rPr>
          <w:rFonts w:ascii="Arial" w:cs="Arial" w:eastAsia="Arial" w:hAnsi="Arial"/>
          <w:sz w:val="16"/>
          <w:szCs w:val="16"/>
          <w:color w:val="4D4D4F"/>
        </w:rPr>
        <w:t>the expiration date. With respect to any of the SSARs that vest as set forth above, the executive would be entitled to receive shares with a value equal to the difference between the exercise price of the SSAR, which ranges from $23.39 to $29.68, and the closing price of our common stock on the date of exercise.</w:t>
      </w:r>
    </w:p>
    <w:p>
      <w:pPr>
        <w:spacing w:after="0" w:line="118"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4D4D4F"/>
        </w:rPr>
        <w:t>Our equity award agreements further provide that the outstanding equity awards held by our NEOs will pro-rata accelerate upon a termination without “cause” or upon death or disability. Mr. Kasbar’s employment agreement also provides that, in addition to the conditions for acceleration set forth above, the outstanding equity held by him will accelerate upon a termination with “good reason” or upon the non-renewal of his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0" w:hanging="534"/>
        <w:spacing w:after="0"/>
        <w:tabs>
          <w:tab w:leader="none" w:pos="560" w:val="left"/>
        </w:tabs>
        <w:numPr>
          <w:ilvl w:val="0"/>
          <w:numId w:val="112"/>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sectPr>
      </w:pPr>
    </w:p>
    <w:bookmarkStart w:id="75" w:name="page76"/>
    <w:bookmarkEnd w:id="75"/>
    <w:p>
      <w:pPr>
        <w:ind w:left="20"/>
        <w:spacing w:after="0"/>
        <w:rPr>
          <w:sz w:val="20"/>
          <w:szCs w:val="20"/>
          <w:color w:val="auto"/>
        </w:rPr>
      </w:pPr>
      <w:r>
        <w:rPr>
          <w:rFonts w:ascii="Arial" w:cs="Arial" w:eastAsia="Arial" w:hAnsi="Arial"/>
          <w:sz w:val="14"/>
          <w:szCs w:val="14"/>
          <w:b w:val="1"/>
          <w:bCs w:val="1"/>
          <w:color w:val="5B6770"/>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522922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522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60" w:hanging="488"/>
        <w:spacing w:after="0"/>
        <w:tabs>
          <w:tab w:leader="none" w:pos="960" w:val="left"/>
        </w:tabs>
        <w:numPr>
          <w:ilvl w:val="0"/>
          <w:numId w:val="113"/>
        </w:numPr>
        <w:rPr>
          <w:rFonts w:ascii="Arial" w:cs="Arial" w:eastAsia="Arial" w:hAnsi="Arial"/>
          <w:sz w:val="40"/>
          <w:szCs w:val="40"/>
          <w:b w:val="1"/>
          <w:bCs w:val="1"/>
          <w:color w:val="00529B"/>
        </w:rPr>
      </w:pPr>
      <w:r>
        <w:rPr>
          <w:rFonts w:ascii="Arial" w:cs="Arial" w:eastAsia="Arial" w:hAnsi="Arial"/>
          <w:sz w:val="40"/>
          <w:szCs w:val="40"/>
          <w:color w:val="00529B"/>
        </w:rPr>
        <w:t>Non-Binding,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387985</wp:posOffset>
            </wp:positionV>
            <wp:extent cx="6995160" cy="41319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132440"/>
        </w:rPr>
        <w:t>INTRODUCTION</w:t>
      </w:r>
    </w:p>
    <w:p>
      <w:pPr>
        <w:spacing w:after="0" w:line="140" w:lineRule="exact"/>
        <w:rPr>
          <w:sz w:val="20"/>
          <w:szCs w:val="20"/>
          <w:color w:val="auto"/>
        </w:rPr>
      </w:pPr>
    </w:p>
    <w:p>
      <w:pPr>
        <w:ind w:left="400" w:right="660"/>
        <w:spacing w:after="0" w:line="295" w:lineRule="auto"/>
        <w:rPr>
          <w:sz w:val="20"/>
          <w:szCs w:val="20"/>
          <w:color w:val="auto"/>
        </w:rPr>
      </w:pPr>
      <w:r>
        <w:rPr>
          <w:rFonts w:ascii="Arial" w:cs="Arial" w:eastAsia="Arial" w:hAnsi="Arial"/>
          <w:sz w:val="16"/>
          <w:szCs w:val="16"/>
          <w:color w:val="4D4D4F"/>
        </w:rPr>
        <w:t>The Board recognizes that executive compensation is an important matter for our shareholders. The guiding principles of our executive compensation philosophy and practice continue to be to: (i) attract, motivate and retain the exceptional management talent required to achieve above average growth and profitability, (ii) focus on rewarding the types of performance that increase shareholder value, (iii) link executive compensation to our long-term strategic objectives and (iv) align executives’ interests with those of our shareholders.</w:t>
      </w:r>
    </w:p>
    <w:p>
      <w:pPr>
        <w:spacing w:after="0" w:line="121" w:lineRule="exact"/>
        <w:rPr>
          <w:sz w:val="20"/>
          <w:szCs w:val="20"/>
          <w:color w:val="auto"/>
        </w:rPr>
      </w:pPr>
    </w:p>
    <w:p>
      <w:pPr>
        <w:ind w:left="400" w:right="300"/>
        <w:spacing w:after="0" w:line="286" w:lineRule="auto"/>
        <w:rPr>
          <w:sz w:val="20"/>
          <w:szCs w:val="20"/>
          <w:color w:val="auto"/>
        </w:rPr>
      </w:pPr>
      <w:r>
        <w:rPr>
          <w:rFonts w:ascii="Arial" w:cs="Arial" w:eastAsia="Arial" w:hAnsi="Arial"/>
          <w:sz w:val="16"/>
          <w:szCs w:val="16"/>
          <w:color w:val="4D4D4F"/>
        </w:rPr>
        <w:t>Pursuant to amendments to Section 14A of the Exchange Act, we are asking our shareholders to vote to approve or not approve, on a non-binding, advisory basis, the executive compensation philosophy, policies and procedures described in the Compensation Discussion and Analysis section beginning on page 46 of this proxy statement, and the compensation of our NEOs, as disclosed in this proxy statement. As an advisory vote, the results of this vote will not be binding on us, our Board or the Compensation Committee. However, our Board and Compensation Committee value the opinions of our shareholders, and will consider the outcome of this vote when making future decisions on the compensation of our NEOs and evaluating our executive compensation principles, policies and procedures.</w:t>
      </w:r>
    </w:p>
    <w:p>
      <w:pPr>
        <w:spacing w:after="0" w:line="129" w:lineRule="exact"/>
        <w:rPr>
          <w:sz w:val="20"/>
          <w:szCs w:val="20"/>
          <w:color w:val="auto"/>
        </w:rPr>
      </w:pPr>
    </w:p>
    <w:p>
      <w:pPr>
        <w:ind w:left="400" w:right="240"/>
        <w:spacing w:after="0" w:line="321" w:lineRule="auto"/>
        <w:rPr>
          <w:sz w:val="20"/>
          <w:szCs w:val="20"/>
          <w:color w:val="auto"/>
        </w:rPr>
      </w:pPr>
      <w:r>
        <w:rPr>
          <w:rFonts w:ascii="Arial" w:cs="Arial" w:eastAsia="Arial" w:hAnsi="Arial"/>
          <w:sz w:val="16"/>
          <w:szCs w:val="16"/>
          <w:color w:val="4D4D4F"/>
        </w:rPr>
        <w:t>The Board believes that our executive compensation programs follow the guiding principles stated above. In order to align the interests of our senior executives with those of our shareholders, our executive compensation framework emphasizes the following:</w:t>
      </w:r>
    </w:p>
    <w:p>
      <w:pPr>
        <w:spacing w:after="0" w:line="102" w:lineRule="exact"/>
        <w:rPr>
          <w:sz w:val="20"/>
          <w:szCs w:val="20"/>
          <w:color w:val="auto"/>
        </w:rPr>
      </w:pPr>
    </w:p>
    <w:p>
      <w:pPr>
        <w:ind w:left="720" w:right="560" w:hanging="235"/>
        <w:spacing w:after="0" w:line="321" w:lineRule="auto"/>
        <w:tabs>
          <w:tab w:leader="none" w:pos="709" w:val="left"/>
        </w:tabs>
        <w:numPr>
          <w:ilvl w:val="0"/>
          <w:numId w:val="114"/>
        </w:numPr>
        <w:rPr>
          <w:rFonts w:ascii="Arial" w:cs="Arial" w:eastAsia="Arial" w:hAnsi="Arial"/>
          <w:sz w:val="16"/>
          <w:szCs w:val="16"/>
          <w:b w:val="1"/>
          <w:bCs w:val="1"/>
          <w:color w:val="00529B"/>
        </w:rPr>
      </w:pPr>
      <w:r>
        <w:rPr>
          <w:rFonts w:ascii="Arial" w:cs="Arial" w:eastAsia="Arial" w:hAnsi="Arial"/>
          <w:sz w:val="16"/>
          <w:szCs w:val="16"/>
          <w:color w:val="4D4D4F"/>
        </w:rPr>
        <w:t>Total compensation is tied to performance. The majority of total executive compensation is variable and delivered on a pay-for-performance basis.</w:t>
      </w:r>
    </w:p>
    <w:p>
      <w:pPr>
        <w:spacing w:after="0" w:line="101" w:lineRule="exact"/>
        <w:rPr>
          <w:rFonts w:ascii="Arial" w:cs="Arial" w:eastAsia="Arial" w:hAnsi="Arial"/>
          <w:sz w:val="16"/>
          <w:szCs w:val="16"/>
          <w:b w:val="1"/>
          <w:bCs w:val="1"/>
          <w:color w:val="00529B"/>
        </w:rPr>
      </w:pPr>
    </w:p>
    <w:p>
      <w:pPr>
        <w:ind w:left="720" w:right="460" w:hanging="235"/>
        <w:spacing w:after="0" w:line="321" w:lineRule="auto"/>
        <w:tabs>
          <w:tab w:leader="none" w:pos="709" w:val="left"/>
        </w:tabs>
        <w:numPr>
          <w:ilvl w:val="0"/>
          <w:numId w:val="114"/>
        </w:numPr>
        <w:rPr>
          <w:rFonts w:ascii="Arial" w:cs="Arial" w:eastAsia="Arial" w:hAnsi="Arial"/>
          <w:sz w:val="16"/>
          <w:szCs w:val="16"/>
          <w:b w:val="1"/>
          <w:bCs w:val="1"/>
          <w:color w:val="00529B"/>
        </w:rPr>
      </w:pPr>
      <w:r>
        <w:rPr>
          <w:rFonts w:ascii="Arial" w:cs="Arial" w:eastAsia="Arial" w:hAnsi="Arial"/>
          <w:sz w:val="16"/>
          <w:szCs w:val="16"/>
          <w:color w:val="4D4D4F"/>
        </w:rPr>
        <w:t>Long-term equity compensation aligns executives’ and shareholders’ interests. Our NEOs receive equity awards, which generally have multi-year vesting requirements.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color w:val="4D4D4F"/>
        </w:rPr>
        <w:t>Accordingly, we are asking our shareholders to vote, in an advisory manner, “FOR” the adoption of the following resolution:</w:t>
      </w:r>
    </w:p>
    <w:p>
      <w:pPr>
        <w:spacing w:after="0" w:line="194" w:lineRule="exact"/>
        <w:rPr>
          <w:sz w:val="20"/>
          <w:szCs w:val="20"/>
          <w:color w:val="auto"/>
        </w:rPr>
      </w:pPr>
    </w:p>
    <w:p>
      <w:pPr>
        <w:jc w:val="both"/>
        <w:ind w:left="720" w:right="380"/>
        <w:spacing w:after="0" w:line="332" w:lineRule="auto"/>
        <w:rPr>
          <w:sz w:val="20"/>
          <w:szCs w:val="20"/>
          <w:color w:val="auto"/>
        </w:rPr>
      </w:pPr>
      <w:r>
        <w:rPr>
          <w:rFonts w:ascii="Arial" w:cs="Arial" w:eastAsia="Arial" w:hAnsi="Arial"/>
          <w:sz w:val="16"/>
          <w:szCs w:val="16"/>
          <w:b w:val="1"/>
          <w:bCs w:val="1"/>
          <w:color w:val="4D4D4F"/>
        </w:rPr>
        <w:t>“RESOLVED, that the compensation paid to our NEOs, as disclosed in this proxy statement pursuant to Item 402 of Regulation S-K, including the Compensation Discussion and Analysis, compensation tables and narrative discussion above is hereby APPROVED.”</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132440"/>
        </w:rPr>
        <w:t>VOTE REQUIRED</w:t>
      </w:r>
    </w:p>
    <w:p>
      <w:pPr>
        <w:spacing w:after="0" w:line="140" w:lineRule="exact"/>
        <w:rPr>
          <w:sz w:val="20"/>
          <w:szCs w:val="20"/>
          <w:color w:val="auto"/>
        </w:rPr>
      </w:pPr>
    </w:p>
    <w:p>
      <w:pPr>
        <w:ind w:left="400" w:right="800"/>
        <w:spacing w:after="0" w:line="321" w:lineRule="auto"/>
        <w:rPr>
          <w:sz w:val="20"/>
          <w:szCs w:val="20"/>
          <w:color w:val="auto"/>
        </w:rPr>
      </w:pPr>
      <w:r>
        <w:rPr>
          <w:rFonts w:ascii="Arial" w:cs="Arial" w:eastAsia="Arial" w:hAnsi="Arial"/>
          <w:sz w:val="16"/>
          <w:szCs w:val="16"/>
          <w:color w:val="4D4D4F"/>
        </w:rPr>
        <w:t>The affirmative vote of a majority of the votes cast on the proposal is required for the approval of the non-binding, advisory vote on executive compensation.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620" w:type="dxa"/>
            <w:vAlign w:val="bottom"/>
            <w:shd w:val="clear" w:color="auto" w:fill="132440"/>
          </w:tcPr>
          <w:p>
            <w:pPr>
              <w:ind w:left="400"/>
              <w:spacing w:after="0"/>
              <w:rPr>
                <w:sz w:val="20"/>
                <w:szCs w:val="20"/>
                <w:color w:val="auto"/>
              </w:rPr>
            </w:pPr>
            <w:r>
              <w:rPr>
                <w:rFonts w:ascii="Arial" w:cs="Arial" w:eastAsia="Arial" w:hAnsi="Arial"/>
                <w:sz w:val="20"/>
                <w:szCs w:val="20"/>
                <w:color w:val="FFFFFF"/>
              </w:rPr>
              <w:t>The Board of Directors unanimously recommends a vote “FOR” adoption of the resolution</w:t>
            </w:r>
          </w:p>
        </w:tc>
        <w:tc>
          <w:tcPr>
            <w:tcW w:w="2620" w:type="dxa"/>
            <w:vAlign w:val="bottom"/>
            <w:vMerge w:val="restart"/>
            <w:shd w:val="clear" w:color="auto" w:fill="298655"/>
          </w:tcPr>
          <w:p>
            <w:pPr>
              <w:ind w:left="880"/>
              <w:spacing w:after="0"/>
              <w:rPr>
                <w:sz w:val="20"/>
                <w:szCs w:val="20"/>
                <w:color w:val="auto"/>
              </w:rPr>
            </w:pPr>
            <w:r>
              <w:rPr>
                <w:rFonts w:ascii="Arial" w:cs="Arial" w:eastAsia="Arial" w:hAnsi="Arial"/>
                <w:sz w:val="32"/>
                <w:szCs w:val="32"/>
                <w:b w:val="1"/>
                <w:bCs w:val="1"/>
                <w:color w:val="FFFFFF"/>
              </w:rPr>
              <w:t>“FOR”</w:t>
            </w:r>
          </w:p>
        </w:tc>
        <w:tc>
          <w:tcPr>
            <w:tcW w:w="0" w:type="dxa"/>
            <w:vAlign w:val="bottom"/>
          </w:tcPr>
          <w:p>
            <w:pPr>
              <w:spacing w:after="0"/>
              <w:rPr>
                <w:sz w:val="1"/>
                <w:szCs w:val="1"/>
                <w:color w:val="auto"/>
              </w:rPr>
            </w:pPr>
          </w:p>
        </w:tc>
      </w:tr>
      <w:tr>
        <w:trPr>
          <w:trHeight w:val="238"/>
        </w:trPr>
        <w:tc>
          <w:tcPr>
            <w:tcW w:w="8620" w:type="dxa"/>
            <w:vAlign w:val="bottom"/>
            <w:shd w:val="clear" w:color="auto" w:fill="132440"/>
          </w:tcPr>
          <w:p>
            <w:pPr>
              <w:ind w:left="400"/>
              <w:spacing w:after="0"/>
              <w:rPr>
                <w:sz w:val="20"/>
                <w:szCs w:val="20"/>
                <w:color w:val="auto"/>
              </w:rPr>
            </w:pPr>
            <w:r>
              <w:rPr>
                <w:rFonts w:ascii="Arial" w:cs="Arial" w:eastAsia="Arial" w:hAnsi="Arial"/>
                <w:sz w:val="20"/>
                <w:szCs w:val="20"/>
                <w:color w:val="FFFFFF"/>
              </w:rPr>
              <w:t>approving the compensation of our named executive officers, as described in the</w:t>
            </w:r>
          </w:p>
        </w:tc>
        <w:tc>
          <w:tcPr>
            <w:tcW w:w="2620" w:type="dxa"/>
            <w:vAlign w:val="bottom"/>
            <w:vMerge w:val="continue"/>
            <w:shd w:val="clear" w:color="auto" w:fill="298655"/>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620" w:type="dxa"/>
            <w:vAlign w:val="bottom"/>
            <w:shd w:val="clear" w:color="auto" w:fill="132440"/>
          </w:tcPr>
          <w:p>
            <w:pPr>
              <w:ind w:left="400"/>
              <w:spacing w:after="0"/>
              <w:rPr>
                <w:sz w:val="20"/>
                <w:szCs w:val="20"/>
                <w:color w:val="auto"/>
              </w:rPr>
            </w:pPr>
            <w:r>
              <w:rPr>
                <w:rFonts w:ascii="Arial" w:cs="Arial" w:eastAsia="Arial" w:hAnsi="Arial"/>
                <w:sz w:val="20"/>
                <w:szCs w:val="20"/>
                <w:i w:val="1"/>
                <w:iCs w:val="1"/>
                <w:color w:val="FFFFFF"/>
              </w:rPr>
              <w:t xml:space="preserve">Compensation Discussion and Analysis </w:t>
            </w:r>
            <w:r>
              <w:rPr>
                <w:rFonts w:ascii="Arial" w:cs="Arial" w:eastAsia="Arial" w:hAnsi="Arial"/>
                <w:sz w:val="20"/>
                <w:szCs w:val="20"/>
                <w:color w:val="FFFFFF"/>
              </w:rPr>
              <w:t>section.</w:t>
            </w:r>
          </w:p>
        </w:tc>
        <w:tc>
          <w:tcPr>
            <w:tcW w:w="2620" w:type="dxa"/>
            <w:vAlign w:val="bottom"/>
            <w:shd w:val="clear" w:color="auto" w:fill="298655"/>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8620" w:type="dxa"/>
            <w:vAlign w:val="bottom"/>
            <w:shd w:val="clear" w:color="auto" w:fill="132440"/>
          </w:tcPr>
          <w:p>
            <w:pPr>
              <w:spacing w:after="0" w:line="20" w:lineRule="exact"/>
              <w:rPr>
                <w:sz w:val="1"/>
                <w:szCs w:val="1"/>
                <w:color w:val="auto"/>
              </w:rPr>
            </w:pPr>
          </w:p>
        </w:tc>
        <w:tc>
          <w:tcPr>
            <w:tcW w:w="2620" w:type="dxa"/>
            <w:vAlign w:val="bottom"/>
            <w:shd w:val="clear" w:color="auto" w:fill="29865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73</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6" w:name="page77"/>
    <w:bookmarkEnd w:id="76"/>
    <w:p>
      <w:pPr>
        <w:ind w:left="20"/>
        <w:spacing w:after="0"/>
        <w:rPr>
          <w:sz w:val="20"/>
          <w:szCs w:val="20"/>
          <w:color w:val="auto"/>
        </w:rPr>
      </w:pPr>
      <w:r>
        <w:rPr>
          <w:rFonts w:ascii="Arial" w:cs="Arial" w:eastAsia="Arial" w:hAnsi="Arial"/>
          <w:sz w:val="14"/>
          <w:szCs w:val="14"/>
          <w:b w:val="1"/>
          <w:bCs w:val="1"/>
          <w:color w:val="5B6770"/>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41230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60" w:hanging="488"/>
        <w:spacing w:after="0"/>
        <w:tabs>
          <w:tab w:leader="none" w:pos="960" w:val="left"/>
        </w:tabs>
        <w:numPr>
          <w:ilvl w:val="0"/>
          <w:numId w:val="115"/>
        </w:numPr>
        <w:rPr>
          <w:rFonts w:ascii="Arial" w:cs="Arial" w:eastAsia="Arial" w:hAnsi="Arial"/>
          <w:sz w:val="40"/>
          <w:szCs w:val="40"/>
          <w:b w:val="1"/>
          <w:bCs w:val="1"/>
          <w:color w:val="00529B"/>
        </w:rPr>
      </w:pPr>
      <w:r>
        <w:rPr>
          <w:rFonts w:ascii="Arial" w:cs="Arial" w:eastAsia="Arial" w:hAnsi="Arial"/>
          <w:sz w:val="40"/>
          <w:szCs w:val="40"/>
          <w:color w:val="00529B"/>
        </w:rPr>
        <w:t>Ratification of Independent Registered Public Accounting</w:t>
      </w:r>
    </w:p>
    <w:p>
      <w:pPr>
        <w:spacing w:after="0" w:line="51" w:lineRule="exact"/>
        <w:rPr>
          <w:sz w:val="20"/>
          <w:szCs w:val="20"/>
          <w:color w:val="auto"/>
        </w:rPr>
      </w:pPr>
    </w:p>
    <w:p>
      <w:pPr>
        <w:ind w:left="960"/>
        <w:spacing w:after="0"/>
        <w:rPr>
          <w:sz w:val="20"/>
          <w:szCs w:val="20"/>
          <w:color w:val="auto"/>
        </w:rPr>
      </w:pPr>
      <w:r>
        <w:rPr>
          <w:rFonts w:ascii="Arial" w:cs="Arial" w:eastAsia="Arial" w:hAnsi="Arial"/>
          <w:sz w:val="40"/>
          <w:szCs w:val="40"/>
          <w:color w:val="00529B"/>
        </w:rPr>
        <w:t>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115570</wp:posOffset>
            </wp:positionV>
            <wp:extent cx="6995160" cy="29743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5160" cy="2974340"/>
                    </a:xfrm>
                    <a:prstGeom prst="rect">
                      <a:avLst/>
                    </a:prstGeom>
                    <a:noFill/>
                  </pic:spPr>
                </pic:pic>
              </a:graphicData>
            </a:graphic>
          </wp:anchor>
        </w:drawing>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132440"/>
        </w:rPr>
        <w:t>INTRODUCTION</w:t>
      </w:r>
    </w:p>
    <w:p>
      <w:pPr>
        <w:spacing w:after="0" w:line="140" w:lineRule="exact"/>
        <w:rPr>
          <w:sz w:val="20"/>
          <w:szCs w:val="20"/>
          <w:color w:val="auto"/>
        </w:rPr>
      </w:pPr>
    </w:p>
    <w:p>
      <w:pPr>
        <w:ind w:left="400" w:right="660"/>
        <w:spacing w:after="0" w:line="301" w:lineRule="auto"/>
        <w:rPr>
          <w:sz w:val="20"/>
          <w:szCs w:val="20"/>
          <w:color w:val="auto"/>
        </w:rPr>
      </w:pPr>
      <w:r>
        <w:rPr>
          <w:rFonts w:ascii="Arial" w:cs="Arial" w:eastAsia="Arial" w:hAnsi="Arial"/>
          <w:sz w:val="16"/>
          <w:szCs w:val="16"/>
          <w:color w:val="4D4D4F"/>
        </w:rPr>
        <w:t>The Audit Committee appoints, compensates, retains and oversees our auditors. The Audit Committee engages in an annual evaluation of the independent registered public accounting firm, or “independent auditor,” its qualifications, performance and independence and considers the advisability and potential impact of selecting a different independent auditor.</w:t>
      </w:r>
    </w:p>
    <w:p>
      <w:pPr>
        <w:spacing w:after="0" w:line="118" w:lineRule="exact"/>
        <w:rPr>
          <w:sz w:val="20"/>
          <w:szCs w:val="20"/>
          <w:color w:val="auto"/>
        </w:rPr>
      </w:pPr>
    </w:p>
    <w:p>
      <w:pPr>
        <w:ind w:left="400" w:right="200"/>
        <w:spacing w:after="0" w:line="287" w:lineRule="auto"/>
        <w:rPr>
          <w:sz w:val="20"/>
          <w:szCs w:val="20"/>
          <w:color w:val="auto"/>
        </w:rPr>
      </w:pPr>
      <w:r>
        <w:rPr>
          <w:rFonts w:ascii="Arial" w:cs="Arial" w:eastAsia="Arial" w:hAnsi="Arial"/>
          <w:sz w:val="16"/>
          <w:szCs w:val="16"/>
          <w:color w:val="4D4D4F"/>
        </w:rPr>
        <w:t>The Audit Committee has selected PricewaterhouseCoopers LLP, or PwC, to serve as our independent auditor for 2024. In accordance with SEC rules and PwC policies, audit partners are subject to rotation requirements to limit the number of consecutive years an individual partner may provide audit service to us. For lead and concurring review audit partners, the maximum number of consecutive years of service in that capacity is five years. The process for selection of our lead audit partner pursuant to this rotation policy includes meetings between the Chairman and the members of the Audit Committee and the candidates for the role, as well as discussion by the full committee with input from management.</w:t>
      </w:r>
    </w:p>
    <w:p>
      <w:pPr>
        <w:spacing w:after="0" w:line="128" w:lineRule="exact"/>
        <w:rPr>
          <w:sz w:val="20"/>
          <w:szCs w:val="20"/>
          <w:color w:val="auto"/>
        </w:rPr>
      </w:pPr>
    </w:p>
    <w:p>
      <w:pPr>
        <w:ind w:left="400" w:right="260"/>
        <w:spacing w:after="0" w:line="288" w:lineRule="auto"/>
        <w:rPr>
          <w:sz w:val="20"/>
          <w:szCs w:val="20"/>
          <w:color w:val="auto"/>
        </w:rPr>
      </w:pPr>
      <w:r>
        <w:rPr>
          <w:rFonts w:ascii="Arial" w:cs="Arial" w:eastAsia="Arial" w:hAnsi="Arial"/>
          <w:sz w:val="16"/>
          <w:szCs w:val="16"/>
          <w:color w:val="4D4D4F"/>
        </w:rPr>
        <w:t>The Audit Committee and the Board believe that the continued retention of PwC as our independent auditor is in our best interests and those of our shareholders, and we are asking our shareholders to ratify the selection of PwC as our independent auditor for 2024. Although the Board is submitting the selection of PwC to our shareholders for ratification, the Audit Committee is not required to take any action as a result of the outcome of the vote on this proposal. If our shareholders do not ratify the selection of PwC as our independent auditor, other independent registered public accounting firms will be considered by our Audit Committee, but the Audit Committee may nonetheless choose to engage PwC. Even if the appointment is ratified, the Audit Committee may, in its discretion, select a different independent registered public accounting firm at any time during the year if it determines that such a change would be in the best interest of our Company and our shareholders.</w:t>
      </w:r>
    </w:p>
    <w:p>
      <w:pPr>
        <w:spacing w:after="0" w:line="129" w:lineRule="exact"/>
        <w:rPr>
          <w:sz w:val="20"/>
          <w:szCs w:val="20"/>
          <w:color w:val="auto"/>
        </w:rPr>
      </w:pPr>
    </w:p>
    <w:p>
      <w:pPr>
        <w:ind w:left="400" w:right="440"/>
        <w:spacing w:after="0" w:line="321" w:lineRule="auto"/>
        <w:rPr>
          <w:sz w:val="20"/>
          <w:szCs w:val="20"/>
          <w:color w:val="auto"/>
        </w:rPr>
      </w:pPr>
      <w:r>
        <w:rPr>
          <w:rFonts w:ascii="Arial" w:cs="Arial" w:eastAsia="Arial" w:hAnsi="Arial"/>
          <w:sz w:val="16"/>
          <w:szCs w:val="16"/>
          <w:color w:val="4D4D4F"/>
        </w:rPr>
        <w:t>Representatives of PwC are expected to be present at the Annual Meeting, will have an opportunity to make a statement if they desire and will be available to respond to questions.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620" w:type="dxa"/>
            <w:vAlign w:val="bottom"/>
            <w:shd w:val="clear" w:color="auto" w:fill="132440"/>
          </w:tcPr>
          <w:p>
            <w:pPr>
              <w:ind w:left="400"/>
              <w:spacing w:after="0"/>
              <w:rPr>
                <w:sz w:val="20"/>
                <w:szCs w:val="20"/>
                <w:color w:val="auto"/>
              </w:rPr>
            </w:pPr>
            <w:r>
              <w:rPr>
                <w:rFonts w:ascii="Arial" w:cs="Arial" w:eastAsia="Arial" w:hAnsi="Arial"/>
                <w:sz w:val="20"/>
                <w:szCs w:val="20"/>
                <w:color w:val="FFFFFF"/>
              </w:rPr>
              <w:t>The Board of Directors unanimously recommends a vote “FOR” the ratification of the</w:t>
            </w:r>
          </w:p>
        </w:tc>
        <w:tc>
          <w:tcPr>
            <w:tcW w:w="2620" w:type="dxa"/>
            <w:vAlign w:val="bottom"/>
            <w:vMerge w:val="restart"/>
            <w:shd w:val="clear" w:color="auto" w:fill="298655"/>
          </w:tcPr>
          <w:p>
            <w:pPr>
              <w:ind w:left="880"/>
              <w:spacing w:after="0"/>
              <w:rPr>
                <w:sz w:val="20"/>
                <w:szCs w:val="20"/>
                <w:color w:val="auto"/>
              </w:rPr>
            </w:pPr>
            <w:r>
              <w:rPr>
                <w:rFonts w:ascii="Arial" w:cs="Arial" w:eastAsia="Arial" w:hAnsi="Arial"/>
                <w:sz w:val="32"/>
                <w:szCs w:val="32"/>
                <w:b w:val="1"/>
                <w:bCs w:val="1"/>
                <w:color w:val="FFFFFF"/>
              </w:rPr>
              <w:t>“FOR”</w:t>
            </w:r>
          </w:p>
        </w:tc>
        <w:tc>
          <w:tcPr>
            <w:tcW w:w="0" w:type="dxa"/>
            <w:vAlign w:val="bottom"/>
          </w:tcPr>
          <w:p>
            <w:pPr>
              <w:spacing w:after="0"/>
              <w:rPr>
                <w:sz w:val="1"/>
                <w:szCs w:val="1"/>
                <w:color w:val="auto"/>
              </w:rPr>
            </w:pPr>
          </w:p>
        </w:tc>
      </w:tr>
      <w:tr>
        <w:trPr>
          <w:trHeight w:val="238"/>
        </w:trPr>
        <w:tc>
          <w:tcPr>
            <w:tcW w:w="8620" w:type="dxa"/>
            <w:vAlign w:val="bottom"/>
            <w:shd w:val="clear" w:color="auto" w:fill="132440"/>
          </w:tcPr>
          <w:p>
            <w:pPr>
              <w:ind w:left="400"/>
              <w:spacing w:after="0"/>
              <w:rPr>
                <w:sz w:val="20"/>
                <w:szCs w:val="20"/>
                <w:color w:val="auto"/>
              </w:rPr>
            </w:pPr>
            <w:r>
              <w:rPr>
                <w:rFonts w:ascii="Arial" w:cs="Arial" w:eastAsia="Arial" w:hAnsi="Arial"/>
                <w:sz w:val="20"/>
                <w:szCs w:val="20"/>
                <w:color w:val="FFFFFF"/>
              </w:rPr>
              <w:t>appointment of PricewaterhouseCoopers LLP as our independent registered public</w:t>
            </w:r>
          </w:p>
        </w:tc>
        <w:tc>
          <w:tcPr>
            <w:tcW w:w="2620" w:type="dxa"/>
            <w:vAlign w:val="bottom"/>
            <w:vMerge w:val="continue"/>
            <w:shd w:val="clear" w:color="auto" w:fill="298655"/>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620" w:type="dxa"/>
            <w:vAlign w:val="bottom"/>
            <w:shd w:val="clear" w:color="auto" w:fill="132440"/>
          </w:tcPr>
          <w:p>
            <w:pPr>
              <w:ind w:left="400"/>
              <w:spacing w:after="0"/>
              <w:rPr>
                <w:sz w:val="20"/>
                <w:szCs w:val="20"/>
                <w:color w:val="auto"/>
              </w:rPr>
            </w:pPr>
            <w:r>
              <w:rPr>
                <w:rFonts w:ascii="Arial" w:cs="Arial" w:eastAsia="Arial" w:hAnsi="Arial"/>
                <w:sz w:val="20"/>
                <w:szCs w:val="20"/>
                <w:color w:val="FFFFFF"/>
              </w:rPr>
              <w:t>accounting firm for the 2024 fiscal year.</w:t>
            </w:r>
          </w:p>
        </w:tc>
        <w:tc>
          <w:tcPr>
            <w:tcW w:w="2620" w:type="dxa"/>
            <w:vAlign w:val="bottom"/>
            <w:shd w:val="clear" w:color="auto" w:fill="298655"/>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8620" w:type="dxa"/>
            <w:vAlign w:val="bottom"/>
            <w:shd w:val="clear" w:color="auto" w:fill="132440"/>
          </w:tcPr>
          <w:p>
            <w:pPr>
              <w:spacing w:after="0" w:line="20" w:lineRule="exact"/>
              <w:rPr>
                <w:sz w:val="1"/>
                <w:szCs w:val="1"/>
                <w:color w:val="auto"/>
              </w:rPr>
            </w:pPr>
          </w:p>
        </w:tc>
        <w:tc>
          <w:tcPr>
            <w:tcW w:w="2620" w:type="dxa"/>
            <w:vAlign w:val="bottom"/>
            <w:shd w:val="clear" w:color="auto" w:fill="29865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0" w:hanging="534"/>
        <w:spacing w:after="0"/>
        <w:tabs>
          <w:tab w:leader="none" w:pos="560" w:val="left"/>
        </w:tabs>
        <w:numPr>
          <w:ilvl w:val="0"/>
          <w:numId w:val="116"/>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7" w:name="page78"/>
    <w:bookmarkEnd w:id="77"/>
    <w:p>
      <w:pPr>
        <w:ind w:left="20"/>
        <w:spacing w:after="0"/>
        <w:rPr>
          <w:sz w:val="20"/>
          <w:szCs w:val="20"/>
          <w:color w:val="auto"/>
        </w:rPr>
      </w:pPr>
      <w:r>
        <w:rPr>
          <w:rFonts w:ascii="Arial" w:cs="Arial" w:eastAsia="Arial" w:hAnsi="Arial"/>
          <w:sz w:val="14"/>
          <w:szCs w:val="14"/>
          <w:b w:val="1"/>
          <w:bCs w:val="1"/>
          <w:color w:val="5B6770"/>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Fees and Services of PricewaterhouseCoopers LLP</w:t>
      </w:r>
    </w:p>
    <w:p>
      <w:pPr>
        <w:spacing w:after="0" w:line="155"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4D4D4F"/>
        </w:rPr>
        <w:t>The following table presents aggregate fees for professional audit services rendered by PwC for the audit of our consolidated financial statements for the fiscal years ended December 31, 2023 and 2022, and fees billed for other services rendered by PwC during those periods.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Services Rendered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00" w:type="dxa"/>
            <w:vAlign w:val="bottom"/>
            <w:shd w:val="clear" w:color="auto" w:fill="132440"/>
          </w:tcPr>
          <w:p>
            <w:pPr>
              <w:spacing w:after="0"/>
              <w:rPr>
                <w:sz w:val="15"/>
                <w:szCs w:val="15"/>
                <w:color w:val="auto"/>
              </w:rPr>
            </w:pPr>
          </w:p>
        </w:tc>
        <w:tc>
          <w:tcPr>
            <w:tcW w:w="4840" w:type="dxa"/>
            <w:vAlign w:val="bottom"/>
            <w:shd w:val="clear" w:color="auto" w:fill="132440"/>
          </w:tcPr>
          <w:p>
            <w:pPr>
              <w:jc w:val="right"/>
              <w:ind w:right="1608"/>
              <w:spacing w:after="0"/>
              <w:rPr>
                <w:sz w:val="20"/>
                <w:szCs w:val="20"/>
                <w:color w:val="auto"/>
              </w:rPr>
            </w:pPr>
            <w:r>
              <w:rPr>
                <w:rFonts w:ascii="Arial" w:cs="Arial" w:eastAsia="Arial" w:hAnsi="Arial"/>
                <w:sz w:val="14"/>
                <w:szCs w:val="14"/>
                <w:b w:val="1"/>
                <w:bCs w:val="1"/>
                <w:color w:val="FFFFFF"/>
              </w:rPr>
              <w:t>2023</w:t>
            </w:r>
          </w:p>
        </w:tc>
        <w:tc>
          <w:tcPr>
            <w:tcW w:w="210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2022</w:t>
            </w:r>
          </w:p>
        </w:tc>
      </w:tr>
      <w:tr>
        <w:trPr>
          <w:trHeight w:val="205"/>
        </w:trPr>
        <w:tc>
          <w:tcPr>
            <w:tcW w:w="4300" w:type="dxa"/>
            <w:vAlign w:val="bottom"/>
            <w:tcBorders>
              <w:bottom w:val="single" w:sz="8" w:color="132440"/>
            </w:tcBorders>
            <w:shd w:val="clear" w:color="auto" w:fill="132440"/>
          </w:tcPr>
          <w:p>
            <w:pPr>
              <w:spacing w:after="0"/>
              <w:rPr>
                <w:sz w:val="17"/>
                <w:szCs w:val="17"/>
                <w:color w:val="auto"/>
              </w:rPr>
            </w:pPr>
          </w:p>
        </w:tc>
        <w:tc>
          <w:tcPr>
            <w:tcW w:w="4840" w:type="dxa"/>
            <w:vAlign w:val="bottom"/>
            <w:tcBorders>
              <w:bottom w:val="single" w:sz="8" w:color="132440"/>
            </w:tcBorders>
            <w:shd w:val="clear" w:color="auto" w:fill="132440"/>
          </w:tcPr>
          <w:p>
            <w:pPr>
              <w:jc w:val="right"/>
              <w:ind w:right="1608"/>
              <w:spacing w:after="0"/>
              <w:rPr>
                <w:sz w:val="20"/>
                <w:szCs w:val="20"/>
                <w:color w:val="auto"/>
              </w:rPr>
            </w:pPr>
            <w:r>
              <w:rPr>
                <w:rFonts w:ascii="Arial" w:cs="Arial" w:eastAsia="Arial" w:hAnsi="Arial"/>
                <w:sz w:val="14"/>
                <w:szCs w:val="14"/>
                <w:b w:val="1"/>
                <w:bCs w:val="1"/>
                <w:color w:val="FFFFFF"/>
              </w:rPr>
              <w:t>($M)</w:t>
            </w:r>
          </w:p>
        </w:tc>
        <w:tc>
          <w:tcPr>
            <w:tcW w:w="2100" w:type="dxa"/>
            <w:vAlign w:val="bottom"/>
            <w:tcBorders>
              <w:bottom w:val="single" w:sz="8" w:color="132440"/>
            </w:tcBorders>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($M)</w:t>
            </w:r>
          </w:p>
        </w:tc>
      </w:tr>
      <w:tr>
        <w:trPr>
          <w:trHeight w:val="283"/>
        </w:trPr>
        <w:tc>
          <w:tcPr>
            <w:tcW w:w="430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Audit Fees</w:t>
            </w:r>
            <w:r>
              <w:rPr>
                <w:rFonts w:ascii="Arial" w:cs="Arial" w:eastAsia="Arial" w:hAnsi="Arial"/>
                <w:sz w:val="18"/>
                <w:szCs w:val="18"/>
                <w:color w:val="4D4D4F"/>
                <w:vertAlign w:val="superscript"/>
              </w:rPr>
              <w:t>(1)</w:t>
            </w:r>
          </w:p>
        </w:tc>
        <w:tc>
          <w:tcPr>
            <w:tcW w:w="4840" w:type="dxa"/>
            <w:vAlign w:val="bottom"/>
            <w:shd w:val="clear" w:color="auto" w:fill="EAEEF2"/>
          </w:tcPr>
          <w:p>
            <w:pPr>
              <w:jc w:val="right"/>
              <w:ind w:right="1608"/>
              <w:spacing w:after="0"/>
              <w:rPr>
                <w:sz w:val="20"/>
                <w:szCs w:val="20"/>
                <w:color w:val="auto"/>
              </w:rPr>
            </w:pPr>
            <w:r>
              <w:rPr>
                <w:rFonts w:ascii="Arial" w:cs="Arial" w:eastAsia="Arial" w:hAnsi="Arial"/>
                <w:sz w:val="14"/>
                <w:szCs w:val="14"/>
                <w:color w:val="4D4D4F"/>
              </w:rPr>
              <w:t>6.9</w:t>
            </w:r>
          </w:p>
        </w:tc>
        <w:tc>
          <w:tcPr>
            <w:tcW w:w="2100" w:type="dxa"/>
            <w:vAlign w:val="bottom"/>
            <w:shd w:val="clear" w:color="auto" w:fill="EAEEF2"/>
          </w:tcPr>
          <w:p>
            <w:pPr>
              <w:jc w:val="right"/>
              <w:ind w:right="48"/>
              <w:spacing w:after="0"/>
              <w:rPr>
                <w:sz w:val="20"/>
                <w:szCs w:val="20"/>
                <w:color w:val="auto"/>
              </w:rPr>
            </w:pPr>
            <w:r>
              <w:rPr>
                <w:rFonts w:ascii="Arial" w:cs="Arial" w:eastAsia="Arial" w:hAnsi="Arial"/>
                <w:sz w:val="14"/>
                <w:szCs w:val="14"/>
                <w:color w:val="4D4D4F"/>
              </w:rPr>
              <w:t>6.4</w:t>
            </w:r>
          </w:p>
        </w:tc>
      </w:tr>
      <w:tr>
        <w:trPr>
          <w:trHeight w:val="274"/>
        </w:trPr>
        <w:tc>
          <w:tcPr>
            <w:tcW w:w="4300" w:type="dxa"/>
            <w:vAlign w:val="bottom"/>
          </w:tcPr>
          <w:p>
            <w:pPr>
              <w:ind w:left="100"/>
              <w:spacing w:after="0"/>
              <w:rPr>
                <w:sz w:val="20"/>
                <w:szCs w:val="20"/>
                <w:color w:val="auto"/>
              </w:rPr>
            </w:pPr>
            <w:r>
              <w:rPr>
                <w:rFonts w:ascii="Arial" w:cs="Arial" w:eastAsia="Arial" w:hAnsi="Arial"/>
                <w:sz w:val="14"/>
                <w:szCs w:val="14"/>
                <w:color w:val="4D4D4F"/>
              </w:rPr>
              <w:t>Audit-Related Fees</w:t>
            </w:r>
            <w:r>
              <w:rPr>
                <w:rFonts w:ascii="Arial" w:cs="Arial" w:eastAsia="Arial" w:hAnsi="Arial"/>
                <w:sz w:val="18"/>
                <w:szCs w:val="18"/>
                <w:color w:val="4D4D4F"/>
                <w:vertAlign w:val="superscript"/>
              </w:rPr>
              <w:t>(2)</w:t>
            </w:r>
          </w:p>
        </w:tc>
        <w:tc>
          <w:tcPr>
            <w:tcW w:w="4840" w:type="dxa"/>
            <w:vAlign w:val="bottom"/>
          </w:tcPr>
          <w:p>
            <w:pPr>
              <w:jc w:val="right"/>
              <w:ind w:right="1668"/>
              <w:spacing w:after="0"/>
              <w:rPr>
                <w:sz w:val="20"/>
                <w:szCs w:val="20"/>
                <w:color w:val="auto"/>
              </w:rPr>
            </w:pPr>
            <w:r>
              <w:rPr>
                <w:rFonts w:ascii="Arial" w:cs="Arial" w:eastAsia="Arial" w:hAnsi="Arial"/>
                <w:sz w:val="14"/>
                <w:szCs w:val="14"/>
                <w:color w:val="4D4D4F"/>
              </w:rPr>
              <w:t>—</w:t>
            </w:r>
          </w:p>
        </w:tc>
        <w:tc>
          <w:tcPr>
            <w:tcW w:w="2100" w:type="dxa"/>
            <w:vAlign w:val="bottom"/>
          </w:tcPr>
          <w:p>
            <w:pPr>
              <w:jc w:val="right"/>
              <w:ind w:right="48"/>
              <w:spacing w:after="0"/>
              <w:rPr>
                <w:sz w:val="20"/>
                <w:szCs w:val="20"/>
                <w:color w:val="auto"/>
              </w:rPr>
            </w:pPr>
            <w:r>
              <w:rPr>
                <w:rFonts w:ascii="Arial" w:cs="Arial" w:eastAsia="Arial" w:hAnsi="Arial"/>
                <w:sz w:val="14"/>
                <w:szCs w:val="14"/>
                <w:color w:val="4D4D4F"/>
              </w:rPr>
              <w:t>0.4</w:t>
            </w:r>
          </w:p>
        </w:tc>
      </w:tr>
      <w:tr>
        <w:trPr>
          <w:trHeight w:val="293"/>
        </w:trPr>
        <w:tc>
          <w:tcPr>
            <w:tcW w:w="430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Tax Fees</w:t>
            </w:r>
            <w:r>
              <w:rPr>
                <w:rFonts w:ascii="Arial" w:cs="Arial" w:eastAsia="Arial" w:hAnsi="Arial"/>
                <w:sz w:val="18"/>
                <w:szCs w:val="18"/>
                <w:color w:val="4D4D4F"/>
                <w:vertAlign w:val="superscript"/>
              </w:rPr>
              <w:t>(3)</w:t>
            </w:r>
          </w:p>
        </w:tc>
        <w:tc>
          <w:tcPr>
            <w:tcW w:w="4840" w:type="dxa"/>
            <w:vAlign w:val="bottom"/>
            <w:shd w:val="clear" w:color="auto" w:fill="EAEEF2"/>
          </w:tcPr>
          <w:p>
            <w:pPr>
              <w:jc w:val="right"/>
              <w:ind w:right="1608"/>
              <w:spacing w:after="0"/>
              <w:rPr>
                <w:sz w:val="20"/>
                <w:szCs w:val="20"/>
                <w:color w:val="auto"/>
              </w:rPr>
            </w:pPr>
            <w:r>
              <w:rPr>
                <w:rFonts w:ascii="Arial" w:cs="Arial" w:eastAsia="Arial" w:hAnsi="Arial"/>
                <w:sz w:val="14"/>
                <w:szCs w:val="14"/>
                <w:color w:val="4D4D4F"/>
              </w:rPr>
              <w:t>1.6</w:t>
            </w:r>
          </w:p>
        </w:tc>
        <w:tc>
          <w:tcPr>
            <w:tcW w:w="2100" w:type="dxa"/>
            <w:vAlign w:val="bottom"/>
            <w:shd w:val="clear" w:color="auto" w:fill="EAEEF2"/>
          </w:tcPr>
          <w:p>
            <w:pPr>
              <w:jc w:val="right"/>
              <w:ind w:right="48"/>
              <w:spacing w:after="0"/>
              <w:rPr>
                <w:sz w:val="20"/>
                <w:szCs w:val="20"/>
                <w:color w:val="auto"/>
              </w:rPr>
            </w:pPr>
            <w:r>
              <w:rPr>
                <w:rFonts w:ascii="Arial" w:cs="Arial" w:eastAsia="Arial" w:hAnsi="Arial"/>
                <w:sz w:val="14"/>
                <w:szCs w:val="14"/>
                <w:color w:val="4D4D4F"/>
              </w:rPr>
              <w:t>1</w:t>
            </w:r>
          </w:p>
        </w:tc>
      </w:tr>
      <w:tr>
        <w:trPr>
          <w:trHeight w:val="208"/>
        </w:trPr>
        <w:tc>
          <w:tcPr>
            <w:tcW w:w="4300" w:type="dxa"/>
            <w:vAlign w:val="bottom"/>
          </w:tcPr>
          <w:p>
            <w:pPr>
              <w:ind w:left="100"/>
              <w:spacing w:after="0"/>
              <w:rPr>
                <w:sz w:val="20"/>
                <w:szCs w:val="20"/>
                <w:color w:val="auto"/>
              </w:rPr>
            </w:pPr>
            <w:r>
              <w:rPr>
                <w:rFonts w:ascii="Arial" w:cs="Arial" w:eastAsia="Arial" w:hAnsi="Arial"/>
                <w:sz w:val="14"/>
                <w:szCs w:val="14"/>
                <w:color w:val="4D4D4F"/>
              </w:rPr>
              <w:t>All Other Fees</w:t>
            </w:r>
          </w:p>
        </w:tc>
        <w:tc>
          <w:tcPr>
            <w:tcW w:w="4840" w:type="dxa"/>
            <w:vAlign w:val="bottom"/>
          </w:tcPr>
          <w:p>
            <w:pPr>
              <w:jc w:val="right"/>
              <w:ind w:right="1608"/>
              <w:spacing w:after="0"/>
              <w:rPr>
                <w:sz w:val="20"/>
                <w:szCs w:val="20"/>
                <w:color w:val="auto"/>
              </w:rPr>
            </w:pPr>
            <w:r>
              <w:rPr>
                <w:rFonts w:ascii="Arial" w:cs="Arial" w:eastAsia="Arial" w:hAnsi="Arial"/>
                <w:sz w:val="14"/>
                <w:szCs w:val="14"/>
                <w:color w:val="4D4D4F"/>
              </w:rPr>
              <w:t>—</w:t>
            </w:r>
          </w:p>
        </w:tc>
        <w:tc>
          <w:tcPr>
            <w:tcW w:w="2100" w:type="dxa"/>
            <w:vAlign w:val="bottom"/>
          </w:tcPr>
          <w:p>
            <w:pPr>
              <w:jc w:val="right"/>
              <w:ind w:right="48"/>
              <w:spacing w:after="0"/>
              <w:rPr>
                <w:sz w:val="20"/>
                <w:szCs w:val="20"/>
                <w:color w:val="auto"/>
              </w:rPr>
            </w:pPr>
            <w:r>
              <w:rPr>
                <w:rFonts w:ascii="Arial" w:cs="Arial" w:eastAsia="Arial" w:hAnsi="Arial"/>
                <w:sz w:val="14"/>
                <w:szCs w:val="14"/>
                <w:color w:val="4D4D4F"/>
              </w:rPr>
              <w:t>—</w:t>
            </w:r>
          </w:p>
        </w:tc>
      </w:tr>
      <w:tr>
        <w:trPr>
          <w:trHeight w:val="22"/>
        </w:trPr>
        <w:tc>
          <w:tcPr>
            <w:tcW w:w="4300" w:type="dxa"/>
            <w:vAlign w:val="bottom"/>
            <w:tcBorders>
              <w:bottom w:val="single" w:sz="8" w:color="298655"/>
            </w:tcBorders>
          </w:tcPr>
          <w:p>
            <w:pPr>
              <w:spacing w:after="0" w:line="20" w:lineRule="exact"/>
              <w:rPr>
                <w:sz w:val="1"/>
                <w:szCs w:val="1"/>
                <w:color w:val="auto"/>
              </w:rPr>
            </w:pPr>
          </w:p>
        </w:tc>
        <w:tc>
          <w:tcPr>
            <w:tcW w:w="4840" w:type="dxa"/>
            <w:vAlign w:val="bottom"/>
            <w:tcBorders>
              <w:bottom w:val="single" w:sz="8" w:color="298655"/>
            </w:tcBorders>
          </w:tcPr>
          <w:p>
            <w:pPr>
              <w:spacing w:after="0" w:line="20" w:lineRule="exact"/>
              <w:rPr>
                <w:sz w:val="1"/>
                <w:szCs w:val="1"/>
                <w:color w:val="auto"/>
              </w:rPr>
            </w:pPr>
          </w:p>
        </w:tc>
        <w:tc>
          <w:tcPr>
            <w:tcW w:w="2100" w:type="dxa"/>
            <w:vAlign w:val="bottom"/>
            <w:tcBorders>
              <w:bottom w:val="single" w:sz="8" w:color="298655"/>
            </w:tcBorders>
          </w:tcPr>
          <w:p>
            <w:pPr>
              <w:spacing w:after="0" w:line="20" w:lineRule="exact"/>
              <w:rPr>
                <w:sz w:val="1"/>
                <w:szCs w:val="1"/>
                <w:color w:val="auto"/>
              </w:rPr>
            </w:pPr>
          </w:p>
        </w:tc>
      </w:tr>
      <w:tr>
        <w:trPr>
          <w:trHeight w:val="217"/>
        </w:trPr>
        <w:tc>
          <w:tcPr>
            <w:tcW w:w="4300" w:type="dxa"/>
            <w:vAlign w:val="bottom"/>
            <w:tcBorders>
              <w:bottom w:val="single" w:sz="8" w:color="298655"/>
            </w:tcBorders>
          </w:tcPr>
          <w:p>
            <w:pPr>
              <w:ind w:left="100"/>
              <w:spacing w:after="0"/>
              <w:rPr>
                <w:sz w:val="20"/>
                <w:szCs w:val="20"/>
                <w:color w:val="auto"/>
              </w:rPr>
            </w:pPr>
            <w:r>
              <w:rPr>
                <w:rFonts w:ascii="Arial" w:cs="Arial" w:eastAsia="Arial" w:hAnsi="Arial"/>
                <w:sz w:val="14"/>
                <w:szCs w:val="14"/>
                <w:b w:val="1"/>
                <w:bCs w:val="1"/>
                <w:color w:val="298655"/>
              </w:rPr>
              <w:t>Total</w:t>
            </w:r>
          </w:p>
        </w:tc>
        <w:tc>
          <w:tcPr>
            <w:tcW w:w="4840" w:type="dxa"/>
            <w:vAlign w:val="bottom"/>
            <w:tcBorders>
              <w:bottom w:val="single" w:sz="8" w:color="298655"/>
            </w:tcBorders>
          </w:tcPr>
          <w:p>
            <w:pPr>
              <w:jc w:val="right"/>
              <w:ind w:right="1608"/>
              <w:spacing w:after="0"/>
              <w:rPr>
                <w:sz w:val="20"/>
                <w:szCs w:val="20"/>
                <w:color w:val="auto"/>
              </w:rPr>
            </w:pPr>
            <w:r>
              <w:rPr>
                <w:rFonts w:ascii="Arial" w:cs="Arial" w:eastAsia="Arial" w:hAnsi="Arial"/>
                <w:sz w:val="14"/>
                <w:szCs w:val="14"/>
                <w:b w:val="1"/>
                <w:bCs w:val="1"/>
                <w:color w:val="298655"/>
              </w:rPr>
              <w:t>8.5</w:t>
            </w:r>
          </w:p>
        </w:tc>
        <w:tc>
          <w:tcPr>
            <w:tcW w:w="2100" w:type="dxa"/>
            <w:vAlign w:val="bottom"/>
            <w:tcBorders>
              <w:bottom w:val="single" w:sz="8" w:color="298655"/>
            </w:tcBorders>
          </w:tcPr>
          <w:p>
            <w:pPr>
              <w:jc w:val="right"/>
              <w:ind w:right="48"/>
              <w:spacing w:after="0"/>
              <w:rPr>
                <w:sz w:val="20"/>
                <w:szCs w:val="20"/>
                <w:color w:val="auto"/>
              </w:rPr>
            </w:pPr>
            <w:r>
              <w:rPr>
                <w:rFonts w:ascii="Arial" w:cs="Arial" w:eastAsia="Arial" w:hAnsi="Arial"/>
                <w:sz w:val="14"/>
                <w:szCs w:val="14"/>
                <w:b w:val="1"/>
                <w:bCs w:val="1"/>
                <w:color w:val="298655"/>
              </w:rPr>
              <w:t>7.8</w:t>
            </w:r>
          </w:p>
        </w:tc>
      </w:tr>
    </w:tbl>
    <w:p>
      <w:pPr>
        <w:spacing w:after="0" w:line="126" w:lineRule="exact"/>
        <w:rPr>
          <w:sz w:val="20"/>
          <w:szCs w:val="20"/>
          <w:color w:val="auto"/>
        </w:rPr>
      </w:pPr>
    </w:p>
    <w:p>
      <w:pPr>
        <w:ind w:left="500" w:right="260" w:hanging="330"/>
        <w:spacing w:after="0" w:line="276" w:lineRule="auto"/>
        <w:tabs>
          <w:tab w:leader="none" w:pos="498" w:val="left"/>
        </w:tabs>
        <w:numPr>
          <w:ilvl w:val="0"/>
          <w:numId w:val="117"/>
        </w:numPr>
        <w:rPr>
          <w:rFonts w:ascii="Arial" w:cs="Arial" w:eastAsia="Arial" w:hAnsi="Arial"/>
          <w:sz w:val="14"/>
          <w:szCs w:val="14"/>
          <w:color w:val="4D4D4F"/>
        </w:rPr>
      </w:pPr>
      <w:r>
        <w:rPr>
          <w:rFonts w:ascii="Arial" w:cs="Arial" w:eastAsia="Arial" w:hAnsi="Arial"/>
          <w:sz w:val="14"/>
          <w:szCs w:val="14"/>
          <w:color w:val="4D4D4F"/>
        </w:rPr>
        <w:t>These amounts represent fees for professional services rendered for the audits of our consolidated financial statements included in our Annual Report on Form 10-K, reviews of the quarterly consolidated financial statements included in our quarterly reports on Form 10-Q, statutory audits, the assessment of our internal control assertions required by Section 404 of the Sarbanes-Oxley Act of 2002 and other SEC filings and accounting consultations on matters related to the annual audits or interim reviews. Additionally, audit fees for 2023 include fees related to issuance of a comfort letter in connection with our convertible debt issuance in June 2023.</w:t>
      </w:r>
    </w:p>
    <w:p>
      <w:pPr>
        <w:spacing w:after="0" w:line="1" w:lineRule="exact"/>
        <w:rPr>
          <w:rFonts w:ascii="Arial" w:cs="Arial" w:eastAsia="Arial" w:hAnsi="Arial"/>
          <w:sz w:val="14"/>
          <w:szCs w:val="14"/>
          <w:color w:val="4D4D4F"/>
        </w:rPr>
      </w:pPr>
    </w:p>
    <w:p>
      <w:pPr>
        <w:ind w:left="500" w:hanging="330"/>
        <w:spacing w:after="0"/>
        <w:tabs>
          <w:tab w:leader="none" w:pos="500" w:val="left"/>
        </w:tabs>
        <w:numPr>
          <w:ilvl w:val="0"/>
          <w:numId w:val="117"/>
        </w:numPr>
        <w:rPr>
          <w:rFonts w:ascii="Arial" w:cs="Arial" w:eastAsia="Arial" w:hAnsi="Arial"/>
          <w:sz w:val="14"/>
          <w:szCs w:val="14"/>
          <w:color w:val="4D4D4F"/>
        </w:rPr>
      </w:pPr>
      <w:r>
        <w:rPr>
          <w:rFonts w:ascii="Arial" w:cs="Arial" w:eastAsia="Arial" w:hAnsi="Arial"/>
          <w:sz w:val="14"/>
          <w:szCs w:val="14"/>
          <w:color w:val="4D4D4F"/>
        </w:rPr>
        <w:t>For 2022, this amount represents fees for professional services rendered in connection with service organization control reports.</w:t>
      </w:r>
    </w:p>
    <w:p>
      <w:pPr>
        <w:spacing w:after="0" w:line="68" w:lineRule="exact"/>
        <w:rPr>
          <w:rFonts w:ascii="Arial" w:cs="Arial" w:eastAsia="Arial" w:hAnsi="Arial"/>
          <w:sz w:val="14"/>
          <w:szCs w:val="14"/>
          <w:color w:val="4D4D4F"/>
        </w:rPr>
      </w:pPr>
    </w:p>
    <w:p>
      <w:pPr>
        <w:ind w:left="500" w:hanging="330"/>
        <w:spacing w:after="0"/>
        <w:tabs>
          <w:tab w:leader="none" w:pos="500" w:val="left"/>
        </w:tabs>
        <w:numPr>
          <w:ilvl w:val="0"/>
          <w:numId w:val="117"/>
        </w:numPr>
        <w:rPr>
          <w:rFonts w:ascii="Arial" w:cs="Arial" w:eastAsia="Arial" w:hAnsi="Arial"/>
          <w:sz w:val="14"/>
          <w:szCs w:val="14"/>
          <w:color w:val="4D4D4F"/>
        </w:rPr>
      </w:pPr>
      <w:r>
        <w:rPr>
          <w:rFonts w:ascii="Arial" w:cs="Arial" w:eastAsia="Arial" w:hAnsi="Arial"/>
          <w:sz w:val="14"/>
          <w:szCs w:val="14"/>
          <w:color w:val="4D4D4F"/>
        </w:rPr>
        <w:t>This amount represents fees for tax consulting and compliance services in our U.S. and non-U.S. locations.</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Audit Committee Pre-Approval Policy</w:t>
      </w:r>
    </w:p>
    <w:p>
      <w:pPr>
        <w:spacing w:after="0" w:line="15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4D4D4F"/>
        </w:rPr>
        <w:t>Consistent with requirements of the SEC and the Public Company Accounting Oversight Board (“PCAOB”) regarding auditor independence, the Audit Committee (i) appoints, (ii) negotiates and sets the compensation of and (iii) oversees the performance of the independent registered public accounting firm. In recognition of this responsibility, the Audit Committee has established a pre-approval policy for all audit and permitted non-audit services performed by our independent auditors to ensure that providing such services does not impair the auditors’ independence. There are two types of pre-approvals under the policy, general and specific. Under the general type of pre-approval, proposed services are pre-approved on a categorical basis for up to 12 months and must be detailed as to the particular services provided and sufficiently specific and objective so that no judgments by management are required to determine whether a specific service falls within the pre-approved category. The Audit Committee reviews the general pre-approval categories on a periodic basis and approves the fee levels for each category annually. Under the specific type of pre-approval, proposed services, such as the annual audit engagement terms and fees, are approved on a case-by-case basis. Any services that have not been generally pre-approved or that exceed the approved fee levels must be specifically pre-approved by the Audit Committee.</w:t>
      </w:r>
    </w:p>
    <w:p>
      <w:pPr>
        <w:spacing w:after="0" w:line="1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4D4D4F"/>
        </w:rPr>
        <w:t>The Audit Committee has delegated the authority to the Chairman of the Audit Committee to pre-approve audit and permitted non-audit services to be provided by our independent auditor so long as such services: (a) involve fees of less than $100,000, and (b) are subsequently reported to and approved by the full Audit Committee at its next scheduled meeting. The Audit Committee approved all services provided by, and all fees paid to, PwC. The Audit Committee has considered the services provided by PwC as described above and has determined that such services are compatible with maintaining PwC’s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75</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8" w:name="page79"/>
    <w:bookmarkEnd w:id="78"/>
    <w:p>
      <w:pPr>
        <w:ind w:left="20"/>
        <w:spacing w:after="0"/>
        <w:rPr>
          <w:sz w:val="20"/>
          <w:szCs w:val="20"/>
          <w:color w:val="auto"/>
        </w:rPr>
      </w:pPr>
      <w:r>
        <w:rPr>
          <w:rFonts w:ascii="Arial" w:cs="Arial" w:eastAsia="Arial" w:hAnsi="Arial"/>
          <w:sz w:val="14"/>
          <w:szCs w:val="14"/>
          <w:b w:val="1"/>
          <w:bCs w:val="1"/>
          <w:color w:val="5B6770"/>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Report of the Audit Committee</w:t>
      </w:r>
    </w:p>
    <w:p>
      <w:pPr>
        <w:spacing w:after="0" w:line="155"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4D4D4F"/>
        </w:rPr>
        <w:t>The Audit Committee has reviewed and discussed with management and with the independent registered public accounting firm the audited consolidated financial statements for the 2023 fiscal year. The Audit Committee has also performed the other reviews and duties set forth in its charter. The Audit Committee discussed with the independent registered public accounting firm the matters required to be discussed by Auditing Standard No. 1301, Communication with Audit Committees, as adopted by the PCAOB.</w:t>
      </w:r>
    </w:p>
    <w:p>
      <w:pPr>
        <w:spacing w:after="0" w:line="12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4D4D4F"/>
        </w:rPr>
        <w:t>Additionally, the Audit Committee has: (i) received the written disclosures and the letter from the independent registered public accounting firm required by the applicable requirements of the PCAOB regarding the independent registered public accounting firm’s communications with the Audit Committee concerning independence; (ii) considered whether the provision of tax and accounting research and other non-audit services by our independent registered public accounting firm is compatible with maintaining their independence; and (iii) discussed with the independent registered public accounting firm their independence from us and our management.</w:t>
      </w:r>
    </w:p>
    <w:p>
      <w:pPr>
        <w:spacing w:after="0" w:line="128"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4D4D4F"/>
        </w:rPr>
        <w:t>In reliance on the foregoing reviews and discussions, the Audit Committee recommended to the Board that the audited consolidated financial statements referred to above be included in our Annual Report on Form 10-K for the 2023 fiscal year for filing with the SEC.</w:t>
      </w:r>
    </w:p>
    <w:p>
      <w:pPr>
        <w:spacing w:after="0" w:line="102"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4D4D4F"/>
        </w:rPr>
        <w:t>In determining whether to reappoint PwC as our independent registered public accounting firm for 2024, the Audit Committee considered the qualifications, performance and independence of the firm and the audit engagement team, together with the following factors:</w:t>
      </w:r>
    </w:p>
    <w:p>
      <w:pPr>
        <w:spacing w:after="0" w:line="102" w:lineRule="exact"/>
        <w:rPr>
          <w:sz w:val="20"/>
          <w:szCs w:val="20"/>
          <w:color w:val="auto"/>
        </w:rPr>
      </w:pPr>
    </w:p>
    <w:p>
      <w:pPr>
        <w:ind w:left="480" w:hanging="229"/>
        <w:spacing w:after="0"/>
        <w:tabs>
          <w:tab w:leader="none" w:pos="480" w:val="left"/>
        </w:tabs>
        <w:numPr>
          <w:ilvl w:val="0"/>
          <w:numId w:val="118"/>
        </w:numPr>
        <w:rPr>
          <w:rFonts w:ascii="Arial" w:cs="Arial" w:eastAsia="Arial" w:hAnsi="Arial"/>
          <w:sz w:val="16"/>
          <w:szCs w:val="16"/>
          <w:b w:val="1"/>
          <w:bCs w:val="1"/>
          <w:color w:val="00529B"/>
        </w:rPr>
      </w:pPr>
      <w:r>
        <w:rPr>
          <w:rFonts w:ascii="Arial" w:cs="Arial" w:eastAsia="Arial" w:hAnsi="Arial"/>
          <w:sz w:val="16"/>
          <w:szCs w:val="16"/>
          <w:color w:val="4D4D4F"/>
        </w:rPr>
        <w:t>PwC’s capabilities to handle the breadth and complexity of our global operations;</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118"/>
        </w:numPr>
        <w:rPr>
          <w:rFonts w:ascii="Arial" w:cs="Arial" w:eastAsia="Arial" w:hAnsi="Arial"/>
          <w:sz w:val="16"/>
          <w:szCs w:val="16"/>
          <w:b w:val="1"/>
          <w:bCs w:val="1"/>
          <w:color w:val="00529B"/>
        </w:rPr>
      </w:pPr>
      <w:r>
        <w:rPr>
          <w:rFonts w:ascii="Arial" w:cs="Arial" w:eastAsia="Arial" w:hAnsi="Arial"/>
          <w:sz w:val="16"/>
          <w:szCs w:val="16"/>
          <w:color w:val="4D4D4F"/>
        </w:rPr>
        <w:t>PwC’s familiarity with our industry, accounting policies, financial reporting process, and internal control over financial reporting;</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118"/>
        </w:numPr>
        <w:rPr>
          <w:rFonts w:ascii="Arial" w:cs="Arial" w:eastAsia="Arial" w:hAnsi="Arial"/>
          <w:sz w:val="16"/>
          <w:szCs w:val="16"/>
          <w:b w:val="1"/>
          <w:bCs w:val="1"/>
          <w:color w:val="00529B"/>
        </w:rPr>
      </w:pPr>
      <w:r>
        <w:rPr>
          <w:rFonts w:ascii="Arial" w:cs="Arial" w:eastAsia="Arial" w:hAnsi="Arial"/>
          <w:sz w:val="16"/>
          <w:szCs w:val="16"/>
          <w:color w:val="4D4D4F"/>
        </w:rPr>
        <w:t>the quality and candor of PwC’s communications with the Audit Committee and management;</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118"/>
        </w:numPr>
        <w:rPr>
          <w:rFonts w:ascii="Arial" w:cs="Arial" w:eastAsia="Arial" w:hAnsi="Arial"/>
          <w:sz w:val="16"/>
          <w:szCs w:val="16"/>
          <w:b w:val="1"/>
          <w:bCs w:val="1"/>
          <w:color w:val="00529B"/>
        </w:rPr>
      </w:pPr>
      <w:r>
        <w:rPr>
          <w:rFonts w:ascii="Arial" w:cs="Arial" w:eastAsia="Arial" w:hAnsi="Arial"/>
          <w:sz w:val="16"/>
          <w:szCs w:val="16"/>
          <w:color w:val="4D4D4F"/>
        </w:rPr>
        <w:t>external data on the firm’s audit quality and performance, including recent PCAOB reports on PwC and its peer firms;</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118"/>
        </w:numPr>
        <w:rPr>
          <w:rFonts w:ascii="Arial" w:cs="Arial" w:eastAsia="Arial" w:hAnsi="Arial"/>
          <w:sz w:val="16"/>
          <w:szCs w:val="16"/>
          <w:b w:val="1"/>
          <w:bCs w:val="1"/>
          <w:color w:val="00529B"/>
        </w:rPr>
      </w:pPr>
      <w:r>
        <w:rPr>
          <w:rFonts w:ascii="Arial" w:cs="Arial" w:eastAsia="Arial" w:hAnsi="Arial"/>
          <w:sz w:val="16"/>
          <w:szCs w:val="16"/>
          <w:color w:val="4D4D4F"/>
        </w:rPr>
        <w:t>the performance of the lead engagement partner and the other professionals on our account; and</w:t>
      </w:r>
    </w:p>
    <w:p>
      <w:pPr>
        <w:spacing w:after="0" w:line="140" w:lineRule="exact"/>
        <w:rPr>
          <w:rFonts w:ascii="Arial" w:cs="Arial" w:eastAsia="Arial" w:hAnsi="Arial"/>
          <w:sz w:val="16"/>
          <w:szCs w:val="16"/>
          <w:b w:val="1"/>
          <w:bCs w:val="1"/>
          <w:color w:val="00529B"/>
        </w:rPr>
      </w:pPr>
    </w:p>
    <w:p>
      <w:pPr>
        <w:ind w:left="480" w:hanging="229"/>
        <w:spacing w:after="0"/>
        <w:tabs>
          <w:tab w:leader="none" w:pos="480" w:val="left"/>
        </w:tabs>
        <w:numPr>
          <w:ilvl w:val="0"/>
          <w:numId w:val="118"/>
        </w:numPr>
        <w:rPr>
          <w:rFonts w:ascii="Arial" w:cs="Arial" w:eastAsia="Arial" w:hAnsi="Arial"/>
          <w:sz w:val="16"/>
          <w:szCs w:val="16"/>
          <w:b w:val="1"/>
          <w:bCs w:val="1"/>
          <w:color w:val="00529B"/>
        </w:rPr>
      </w:pPr>
      <w:r>
        <w:rPr>
          <w:rFonts w:ascii="Arial" w:cs="Arial" w:eastAsia="Arial" w:hAnsi="Arial"/>
          <w:sz w:val="16"/>
          <w:szCs w:val="16"/>
          <w:color w:val="4D4D4F"/>
        </w:rPr>
        <w:t>the appropriateness of PwC’s fees based on the scope of activities.</w:t>
      </w:r>
    </w:p>
    <w:p>
      <w:pPr>
        <w:spacing w:after="0" w:line="194"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4D4D4F"/>
        </w:rPr>
        <w:t>In light of the Audit Committee’s views on the performance of PwC, it is the Audit Committee’s belief that continuing to retain PwC is in our best interest and those of our shareholders. Consequently, the Audit Committee has appointed PwC as our independent registered public accounting firm for fiscal year 2024 and recommends that shareholders ratify the appointment at the Annual Meeting.</w:t>
      </w:r>
    </w:p>
    <w:p>
      <w:pPr>
        <w:spacing w:after="0" w:line="120" w:lineRule="exact"/>
        <w:rPr>
          <w:sz w:val="20"/>
          <w:szCs w:val="20"/>
          <w:color w:val="auto"/>
        </w:rPr>
      </w:pPr>
    </w:p>
    <w:p>
      <w:pPr>
        <w:spacing w:after="0" w:line="300" w:lineRule="auto"/>
        <w:rPr>
          <w:sz w:val="20"/>
          <w:szCs w:val="20"/>
          <w:color w:val="auto"/>
        </w:rPr>
      </w:pPr>
      <w:r>
        <w:rPr>
          <w:rFonts w:ascii="Arial" w:cs="Arial" w:eastAsia="Arial" w:hAnsi="Arial"/>
          <w:sz w:val="16"/>
          <w:szCs w:val="16"/>
          <w:i w:val="1"/>
          <w:iCs w:val="1"/>
          <w:color w:val="4D4D4F"/>
        </w:rPr>
        <w:t>Notwithstanding anything to the contrary set forth in any of our previous filings under the Securities Act of 1933, as amended, or the Exchange Act that might incorporate future filings, including this proxy statement, in whole or in part, the Report of the Audit Committee and the Compensation Committee Report above shall not be incorporated by reference into this proxy statement.</w:t>
      </w:r>
    </w:p>
    <w:p>
      <w:pPr>
        <w:spacing w:after="0" w:line="17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4D4D4F"/>
        </w:rPr>
        <w:t xml:space="preserve">John L. Manley, </w:t>
      </w:r>
      <w:r>
        <w:rPr>
          <w:rFonts w:ascii="Arial" w:cs="Arial" w:eastAsia="Arial" w:hAnsi="Arial"/>
          <w:sz w:val="16"/>
          <w:szCs w:val="16"/>
          <w:color w:val="4D4D4F"/>
        </w:rPr>
        <w:t>Chair</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4D4D4F"/>
        </w:rPr>
        <w:t>Jorge L. Benitez</w:t>
      </w:r>
    </w:p>
    <w:p>
      <w:pPr>
        <w:spacing w:after="0" w:line="73"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4D4D4F"/>
        </w:rPr>
        <w:t>Sharda Cherwoo</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4D4D4F"/>
        </w:rPr>
        <w:t>Richard A. Kassar</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6"/>
          <w:szCs w:val="16"/>
          <w:color w:val="4D4D4F"/>
        </w:rPr>
        <w:t>March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0" w:hanging="534"/>
        <w:spacing w:after="0"/>
        <w:tabs>
          <w:tab w:leader="none" w:pos="560" w:val="left"/>
        </w:tabs>
        <w:numPr>
          <w:ilvl w:val="0"/>
          <w:numId w:val="119"/>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9" w:name="page80"/>
    <w:bookmarkEnd w:id="79"/>
    <w:p>
      <w:pPr>
        <w:ind w:left="20" w:right="3480"/>
        <w:spacing w:after="0" w:line="259" w:lineRule="auto"/>
        <w:rPr>
          <w:sz w:val="20"/>
          <w:szCs w:val="20"/>
          <w:color w:val="auto"/>
        </w:rPr>
      </w:pPr>
      <w:r>
        <w:rPr>
          <w:rFonts w:ascii="Arial" w:cs="Arial" w:eastAsia="Arial" w:hAnsi="Arial"/>
          <w:sz w:val="54"/>
          <w:szCs w:val="54"/>
          <w:b w:val="1"/>
          <w:bCs w:val="1"/>
          <w:color w:val="01549C"/>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-1178560</wp:posOffset>
            </wp:positionV>
            <wp:extent cx="1157605" cy="6172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157605" cy="61722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4D4D4F"/>
        </w:rPr>
        <w:t>The following table sets forth certain information with respect to the beneficial ownership of our common stock, as of April 11, 2024 (the “Reporting Date”), by</w:t>
      </w:r>
    </w:p>
    <w:p>
      <w:pPr>
        <w:spacing w:after="0" w:line="32" w:lineRule="exact"/>
        <w:rPr>
          <w:sz w:val="20"/>
          <w:szCs w:val="20"/>
          <w:color w:val="auto"/>
        </w:rPr>
      </w:pPr>
    </w:p>
    <w:p>
      <w:pPr>
        <w:ind w:right="80" w:firstLine="8"/>
        <w:spacing w:after="0" w:line="301" w:lineRule="auto"/>
        <w:tabs>
          <w:tab w:leader="none" w:pos="189" w:val="left"/>
        </w:tabs>
        <w:numPr>
          <w:ilvl w:val="0"/>
          <w:numId w:val="120"/>
        </w:numPr>
        <w:rPr>
          <w:rFonts w:ascii="Arial" w:cs="Arial" w:eastAsia="Arial" w:hAnsi="Arial"/>
          <w:sz w:val="16"/>
          <w:szCs w:val="16"/>
          <w:color w:val="4D4D4F"/>
        </w:rPr>
      </w:pPr>
      <w:r>
        <w:rPr>
          <w:rFonts w:ascii="Arial" w:cs="Arial" w:eastAsia="Arial" w:hAnsi="Arial"/>
          <w:sz w:val="16"/>
          <w:szCs w:val="16"/>
          <w:color w:val="4D4D4F"/>
        </w:rPr>
        <w:t>each person known to us to beneficially own more than 5% of our outstanding common stock; (ii) our named executive officers for the fiscal year ended December 31, 2023; (iii) each director and nominee for director and (iv) all of our current executive officers and directors as a group. Except as shown in the table, no other person is known by us to beneficially own more than 5% of our outstanding common stock.</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shd w:val="clear" w:color="auto" w:fill="132440"/>
          </w:tcPr>
          <w:p>
            <w:pPr>
              <w:spacing w:after="0"/>
              <w:rPr>
                <w:sz w:val="16"/>
                <w:szCs w:val="16"/>
                <w:color w:val="auto"/>
              </w:rPr>
            </w:pPr>
          </w:p>
        </w:tc>
        <w:tc>
          <w:tcPr>
            <w:tcW w:w="5480" w:type="dxa"/>
            <w:vAlign w:val="bottom"/>
            <w:shd w:val="clear" w:color="auto" w:fill="132440"/>
          </w:tcPr>
          <w:p>
            <w:pPr>
              <w:jc w:val="right"/>
              <w:ind w:right="168"/>
              <w:spacing w:after="0"/>
              <w:rPr>
                <w:sz w:val="20"/>
                <w:szCs w:val="20"/>
                <w:color w:val="auto"/>
              </w:rPr>
            </w:pPr>
            <w:r>
              <w:rPr>
                <w:rFonts w:ascii="Arial" w:cs="Arial" w:eastAsia="Arial" w:hAnsi="Arial"/>
                <w:sz w:val="14"/>
                <w:szCs w:val="14"/>
                <w:b w:val="1"/>
                <w:bCs w:val="1"/>
                <w:color w:val="FFFFFF"/>
              </w:rPr>
              <w:t>Number of Shares of Common Stock</w:t>
            </w:r>
          </w:p>
        </w:tc>
        <w:tc>
          <w:tcPr>
            <w:tcW w:w="1020" w:type="dxa"/>
            <w:vAlign w:val="bottom"/>
            <w:vMerge w:val="restart"/>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 xml:space="preserve">Percent </w:t>
            </w:r>
            <w:r>
              <w:rPr>
                <w:rFonts w:ascii="Arial" w:cs="Arial" w:eastAsia="Arial" w:hAnsi="Arial"/>
                <w:sz w:val="9"/>
                <w:szCs w:val="9"/>
                <w:b w:val="1"/>
                <w:bCs w:val="1"/>
                <w:color w:val="FFFFFF"/>
              </w:rPr>
              <w:t>(2)</w:t>
            </w:r>
          </w:p>
        </w:tc>
        <w:tc>
          <w:tcPr>
            <w:tcW w:w="0" w:type="dxa"/>
            <w:vAlign w:val="bottom"/>
          </w:tcPr>
          <w:p>
            <w:pPr>
              <w:spacing w:after="0"/>
              <w:rPr>
                <w:sz w:val="1"/>
                <w:szCs w:val="1"/>
                <w:color w:val="auto"/>
              </w:rPr>
            </w:pPr>
          </w:p>
        </w:tc>
      </w:tr>
      <w:tr>
        <w:trPr>
          <w:trHeight w:val="162"/>
        </w:trPr>
        <w:tc>
          <w:tcPr>
            <w:tcW w:w="4740" w:type="dxa"/>
            <w:vAlign w:val="bottom"/>
            <w:shd w:val="clear" w:color="auto" w:fill="132440"/>
          </w:tcPr>
          <w:p>
            <w:pPr>
              <w:spacing w:after="0"/>
              <w:rPr>
                <w:sz w:val="14"/>
                <w:szCs w:val="14"/>
                <w:color w:val="auto"/>
              </w:rPr>
            </w:pPr>
          </w:p>
        </w:tc>
        <w:tc>
          <w:tcPr>
            <w:tcW w:w="5480" w:type="dxa"/>
            <w:vAlign w:val="bottom"/>
            <w:shd w:val="clear" w:color="auto" w:fill="132440"/>
          </w:tcPr>
          <w:p>
            <w:pPr>
              <w:jc w:val="right"/>
              <w:ind w:right="168"/>
              <w:spacing w:after="0"/>
              <w:rPr>
                <w:sz w:val="20"/>
                <w:szCs w:val="20"/>
                <w:color w:val="auto"/>
              </w:rPr>
            </w:pPr>
            <w:r>
              <w:rPr>
                <w:rFonts w:ascii="Arial" w:cs="Arial" w:eastAsia="Arial" w:hAnsi="Arial"/>
                <w:sz w:val="14"/>
                <w:szCs w:val="14"/>
                <w:b w:val="1"/>
                <w:bCs w:val="1"/>
                <w:color w:val="FFFFFF"/>
              </w:rPr>
              <w:t xml:space="preserve">Beneficially Owned </w:t>
            </w:r>
            <w:r>
              <w:rPr>
                <w:rFonts w:ascii="Arial" w:cs="Arial" w:eastAsia="Arial" w:hAnsi="Arial"/>
                <w:sz w:val="9"/>
                <w:szCs w:val="9"/>
                <w:b w:val="1"/>
                <w:bCs w:val="1"/>
                <w:color w:val="FFFFFF"/>
              </w:rPr>
              <w:t>(2)</w:t>
            </w:r>
          </w:p>
        </w:tc>
        <w:tc>
          <w:tcPr>
            <w:tcW w:w="1020" w:type="dxa"/>
            <w:vAlign w:val="bottom"/>
            <w:vMerge w:val="continue"/>
            <w:shd w:val="clear" w:color="auto" w:fill="132440"/>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74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Name of Beneficial Owner</w:t>
            </w:r>
            <w:r>
              <w:rPr>
                <w:rFonts w:ascii="Arial" w:cs="Arial" w:eastAsia="Arial" w:hAnsi="Arial"/>
                <w:sz w:val="9"/>
                <w:szCs w:val="9"/>
                <w:b w:val="1"/>
                <w:bCs w:val="1"/>
                <w:color w:val="FFFFFF"/>
              </w:rPr>
              <w:t>(1)</w:t>
            </w:r>
          </w:p>
        </w:tc>
        <w:tc>
          <w:tcPr>
            <w:tcW w:w="5480" w:type="dxa"/>
            <w:vAlign w:val="bottom"/>
            <w:shd w:val="clear" w:color="auto" w:fill="132440"/>
          </w:tcPr>
          <w:p>
            <w:pPr>
              <w:jc w:val="right"/>
              <w:ind w:right="168"/>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bl>
    <w:p>
      <w:pPr>
        <w:spacing w:after="0" w:line="18" w:lineRule="exact"/>
        <w:rPr>
          <w:sz w:val="20"/>
          <w:szCs w:val="20"/>
          <w:color w:val="auto"/>
        </w:rPr>
      </w:pPr>
    </w:p>
    <w:p>
      <w:pPr>
        <w:sectPr>
          <w:pgSz w:w="11900" w:h="16838" w:orient="portrait"/>
          <w:cols w:equalWidth="0" w:num="1">
            <w:col w:w="11240"/>
          </w:cols>
          <w:pgMar w:left="320" w:top="945" w:right="339" w:bottom="1440" w:gutter="0" w:footer="0" w:header="0"/>
        </w:sectPr>
      </w:pPr>
    </w:p>
    <w:p>
      <w:pPr>
        <w:ind w:left="100"/>
        <w:spacing w:after="0"/>
        <w:rPr>
          <w:sz w:val="20"/>
          <w:szCs w:val="20"/>
          <w:color w:val="auto"/>
        </w:rPr>
      </w:pPr>
      <w:r>
        <w:rPr>
          <w:rFonts w:ascii="Arial" w:cs="Arial" w:eastAsia="Arial" w:hAnsi="Arial"/>
          <w:sz w:val="14"/>
          <w:szCs w:val="14"/>
          <w:b w:val="1"/>
          <w:bCs w:val="1"/>
          <w:color w:val="132440"/>
        </w:rPr>
        <w:t>Holding more than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8859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BlackRock, Inc.</w:t>
      </w:r>
      <w:r>
        <w:rPr>
          <w:rFonts w:ascii="Arial" w:cs="Arial" w:eastAsia="Arial" w:hAnsi="Arial"/>
          <w:sz w:val="9"/>
          <w:szCs w:val="9"/>
          <w:color w:val="4D4D4F"/>
        </w:rPr>
        <w:t>(3)</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The Vanguard Group, Inc.</w:t>
      </w:r>
      <w:r>
        <w:rPr>
          <w:rFonts w:ascii="Arial" w:cs="Arial" w:eastAsia="Arial" w:hAnsi="Arial"/>
          <w:sz w:val="9"/>
          <w:szCs w:val="9"/>
          <w:color w:val="4D4D4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803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Dimensional Fund Advisors LP</w:t>
      </w:r>
      <w:r>
        <w:rPr>
          <w:rFonts w:ascii="Arial" w:cs="Arial" w:eastAsia="Arial" w:hAnsi="Arial"/>
          <w:sz w:val="9"/>
          <w:szCs w:val="9"/>
          <w:color w:val="4D4D4F"/>
        </w:rPr>
        <w:t>(5)</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State Street Corporation</w:t>
      </w:r>
      <w:r>
        <w:rPr>
          <w:rFonts w:ascii="Arial" w:cs="Arial" w:eastAsia="Arial" w:hAnsi="Arial"/>
          <w:sz w:val="9"/>
          <w:szCs w:val="9"/>
          <w:color w:val="4D4D4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97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4"/>
          <w:szCs w:val="14"/>
          <w:color w:val="4D4D4F"/>
        </w:rPr>
        <w:t>Invesco Ltd.</w:t>
      </w:r>
      <w:r>
        <w:rPr>
          <w:rFonts w:ascii="Arial" w:cs="Arial" w:eastAsia="Arial" w:hAnsi="Arial"/>
          <w:sz w:val="9"/>
          <w:szCs w:val="9"/>
          <w:color w:val="4D4D4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32440"/>
        </w:rPr>
        <w:t>Named executive officers and directors: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tabs>
          <w:tab w:leader="none" w:pos="1600" w:val="left"/>
        </w:tabs>
        <w:rPr>
          <w:sz w:val="20"/>
          <w:szCs w:val="20"/>
          <w:color w:val="auto"/>
        </w:rPr>
      </w:pPr>
      <w:r>
        <w:rPr>
          <w:rFonts w:ascii="Arial" w:cs="Arial" w:eastAsia="Arial" w:hAnsi="Arial"/>
          <w:sz w:val="14"/>
          <w:szCs w:val="14"/>
          <w:color w:val="4D4D4F"/>
        </w:rPr>
        <w:t>11,722,874</w:t>
      </w:r>
      <w:r>
        <w:rPr>
          <w:sz w:val="20"/>
          <w:szCs w:val="20"/>
          <w:color w:val="auto"/>
        </w:rPr>
        <w:tab/>
      </w:r>
      <w:r>
        <w:rPr>
          <w:rFonts w:ascii="Arial" w:cs="Arial" w:eastAsia="Arial" w:hAnsi="Arial"/>
          <w:sz w:val="14"/>
          <w:szCs w:val="14"/>
          <w:color w:val="4D4D4F"/>
        </w:rPr>
        <w:t>19.6</w:t>
      </w:r>
    </w:p>
    <w:p>
      <w:pPr>
        <w:spacing w:after="0" w:line="123"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3"/>
          <w:szCs w:val="13"/>
          <w:color w:val="4D4D4F"/>
        </w:rPr>
        <w:t>6,909,331</w:t>
      </w:r>
      <w:r>
        <w:rPr>
          <w:sz w:val="20"/>
          <w:szCs w:val="20"/>
          <w:color w:val="auto"/>
        </w:rPr>
        <w:tab/>
      </w:r>
      <w:r>
        <w:rPr>
          <w:rFonts w:ascii="Arial" w:cs="Arial" w:eastAsia="Arial" w:hAnsi="Arial"/>
          <w:sz w:val="13"/>
          <w:szCs w:val="13"/>
          <w:color w:val="4D4D4F"/>
        </w:rPr>
        <w:t>11.5</w:t>
      </w:r>
    </w:p>
    <w:p>
      <w:pPr>
        <w:spacing w:after="0" w:line="134" w:lineRule="exact"/>
        <w:rPr>
          <w:sz w:val="20"/>
          <w:szCs w:val="20"/>
          <w:color w:val="auto"/>
        </w:rPr>
      </w:pPr>
    </w:p>
    <w:p>
      <w:pPr>
        <w:ind w:left="80"/>
        <w:spacing w:after="0"/>
        <w:tabs>
          <w:tab w:leader="none" w:pos="1680" w:val="left"/>
        </w:tabs>
        <w:rPr>
          <w:sz w:val="20"/>
          <w:szCs w:val="20"/>
          <w:color w:val="auto"/>
        </w:rPr>
      </w:pPr>
      <w:r>
        <w:rPr>
          <w:rFonts w:ascii="Arial" w:cs="Arial" w:eastAsia="Arial" w:hAnsi="Arial"/>
          <w:sz w:val="14"/>
          <w:szCs w:val="14"/>
          <w:color w:val="4D4D4F"/>
        </w:rPr>
        <w:t>3,976,545</w:t>
      </w:r>
      <w:r>
        <w:rPr>
          <w:sz w:val="20"/>
          <w:szCs w:val="20"/>
          <w:color w:val="auto"/>
        </w:rPr>
        <w:tab/>
      </w:r>
      <w:r>
        <w:rPr>
          <w:rFonts w:ascii="Arial" w:cs="Arial" w:eastAsia="Arial" w:hAnsi="Arial"/>
          <w:sz w:val="14"/>
          <w:szCs w:val="14"/>
          <w:color w:val="4D4D4F"/>
        </w:rPr>
        <w:t>6.6</w:t>
      </w:r>
    </w:p>
    <w:p>
      <w:pPr>
        <w:spacing w:after="0" w:line="123" w:lineRule="exact"/>
        <w:rPr>
          <w:sz w:val="20"/>
          <w:szCs w:val="20"/>
          <w:color w:val="auto"/>
        </w:rPr>
      </w:pPr>
    </w:p>
    <w:p>
      <w:pPr>
        <w:ind w:left="80"/>
        <w:spacing w:after="0"/>
        <w:tabs>
          <w:tab w:leader="none" w:pos="1680" w:val="left"/>
        </w:tabs>
        <w:rPr>
          <w:sz w:val="20"/>
          <w:szCs w:val="20"/>
          <w:color w:val="auto"/>
        </w:rPr>
      </w:pPr>
      <w:r>
        <w:rPr>
          <w:rFonts w:ascii="Arial" w:cs="Arial" w:eastAsia="Arial" w:hAnsi="Arial"/>
          <w:sz w:val="14"/>
          <w:szCs w:val="14"/>
          <w:color w:val="4D4D4F"/>
        </w:rPr>
        <w:t>3,392,412</w:t>
      </w:r>
      <w:r>
        <w:rPr>
          <w:sz w:val="20"/>
          <w:szCs w:val="20"/>
          <w:color w:val="auto"/>
        </w:rPr>
        <w:tab/>
      </w:r>
      <w:r>
        <w:rPr>
          <w:rFonts w:ascii="Arial" w:cs="Arial" w:eastAsia="Arial" w:hAnsi="Arial"/>
          <w:sz w:val="14"/>
          <w:szCs w:val="14"/>
          <w:color w:val="4D4D4F"/>
        </w:rPr>
        <w:t>5.7</w:t>
      </w:r>
    </w:p>
    <w:p>
      <w:pPr>
        <w:spacing w:after="0" w:line="123" w:lineRule="exact"/>
        <w:rPr>
          <w:sz w:val="20"/>
          <w:szCs w:val="20"/>
          <w:color w:val="auto"/>
        </w:rPr>
      </w:pPr>
    </w:p>
    <w:p>
      <w:pPr>
        <w:ind w:left="80"/>
        <w:spacing w:after="0"/>
        <w:tabs>
          <w:tab w:leader="none" w:pos="1680" w:val="left"/>
        </w:tabs>
        <w:rPr>
          <w:sz w:val="20"/>
          <w:szCs w:val="20"/>
          <w:color w:val="auto"/>
        </w:rPr>
      </w:pPr>
      <w:r>
        <w:rPr>
          <w:rFonts w:ascii="Arial" w:cs="Arial" w:eastAsia="Arial" w:hAnsi="Arial"/>
          <w:sz w:val="14"/>
          <w:szCs w:val="14"/>
          <w:color w:val="4D4D4F"/>
        </w:rPr>
        <w:t>3,266,901</w:t>
      </w:r>
      <w:r>
        <w:rPr>
          <w:sz w:val="20"/>
          <w:szCs w:val="20"/>
          <w:color w:val="auto"/>
        </w:rPr>
        <w:tab/>
      </w:r>
      <w:r>
        <w:rPr>
          <w:rFonts w:ascii="Arial" w:cs="Arial" w:eastAsia="Arial" w:hAnsi="Arial"/>
          <w:sz w:val="14"/>
          <w:szCs w:val="14"/>
          <w:color w:val="4D4D4F"/>
        </w:rPr>
        <w:t>5.5</w:t>
      </w:r>
    </w:p>
    <w:p>
      <w:pPr>
        <w:spacing w:after="0" w:line="305" w:lineRule="exact"/>
        <w:rPr>
          <w:sz w:val="20"/>
          <w:szCs w:val="20"/>
          <w:color w:val="auto"/>
        </w:rPr>
      </w:pPr>
    </w:p>
    <w:p>
      <w:pPr>
        <w:sectPr>
          <w:pgSz w:w="11900" w:h="16838" w:orient="portrait"/>
          <w:cols w:equalWidth="0" w:num="2">
            <w:col w:w="8500" w:space="720"/>
            <w:col w:w="2020"/>
          </w:cols>
          <w:pgMar w:left="320" w:top="945" w:right="339" w:bottom="1440" w:gutter="0" w:footer="0" w:header="0"/>
          <w:type w:val="continuous"/>
        </w:sectPr>
      </w:pPr>
    </w:p>
    <w:tbl>
      <w:tblPr>
        <w:tblLayout w:type="fixed"/>
        <w:tblInd w:w="0" w:type="dxa"/>
        <w:tblCellMar>
          <w:top w:w="0" w:type="dxa"/>
          <w:left w:w="0" w:type="dxa"/>
          <w:bottom w:w="0" w:type="dxa"/>
          <w:right w:w="0" w:type="dxa"/>
        </w:tblCellMar>
      </w:tblPr>
      <w:tr>
        <w:trPr>
          <w:trHeight w:val="273"/>
        </w:trPr>
        <w:tc>
          <w:tcPr>
            <w:tcW w:w="7080" w:type="dxa"/>
            <w:vAlign w:val="bottom"/>
            <w:tcBorders>
              <w:top w:val="single" w:sz="8" w:color="132440"/>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Michael J. Kasbar</w:t>
            </w:r>
            <w:r>
              <w:rPr>
                <w:rFonts w:ascii="Arial" w:cs="Arial" w:eastAsia="Arial" w:hAnsi="Arial"/>
                <w:sz w:val="9"/>
                <w:szCs w:val="9"/>
                <w:color w:val="4D4D4F"/>
              </w:rPr>
              <w:t>(8)</w:t>
            </w:r>
          </w:p>
        </w:tc>
        <w:tc>
          <w:tcPr>
            <w:tcW w:w="3340" w:type="dxa"/>
            <w:vAlign w:val="bottom"/>
            <w:tcBorders>
              <w:top w:val="single" w:sz="8" w:color="132440"/>
              <w:bottom w:val="single" w:sz="8" w:color="EAEEF2"/>
            </w:tcBorders>
            <w:shd w:val="clear" w:color="auto" w:fill="EAEEF2"/>
          </w:tcPr>
          <w:p>
            <w:pPr>
              <w:jc w:val="right"/>
              <w:ind w:right="408"/>
              <w:spacing w:after="0"/>
              <w:rPr>
                <w:sz w:val="20"/>
                <w:szCs w:val="20"/>
                <w:color w:val="auto"/>
              </w:rPr>
            </w:pPr>
            <w:r>
              <w:rPr>
                <w:rFonts w:ascii="Arial" w:cs="Arial" w:eastAsia="Arial" w:hAnsi="Arial"/>
                <w:sz w:val="14"/>
                <w:szCs w:val="14"/>
                <w:color w:val="4D4D4F"/>
              </w:rPr>
              <w:t>938,381</w:t>
            </w:r>
          </w:p>
        </w:tc>
        <w:tc>
          <w:tcPr>
            <w:tcW w:w="820" w:type="dxa"/>
            <w:vAlign w:val="bottom"/>
            <w:tcBorders>
              <w:top w:val="single" w:sz="8" w:color="132440"/>
              <w:bottom w:val="single" w:sz="8" w:color="EAEEF2"/>
            </w:tcBorders>
            <w:shd w:val="clear" w:color="auto" w:fill="EAEEF2"/>
          </w:tcPr>
          <w:p>
            <w:pPr>
              <w:jc w:val="right"/>
              <w:ind w:right="48"/>
              <w:spacing w:after="0"/>
              <w:rPr>
                <w:sz w:val="20"/>
                <w:szCs w:val="20"/>
                <w:color w:val="auto"/>
              </w:rPr>
            </w:pPr>
            <w:r>
              <w:rPr>
                <w:rFonts w:ascii="Arial" w:cs="Arial" w:eastAsia="Arial" w:hAnsi="Arial"/>
                <w:sz w:val="14"/>
                <w:szCs w:val="14"/>
                <w:color w:val="4D4D4F"/>
              </w:rPr>
              <w:t>1.6</w:t>
            </w:r>
          </w:p>
        </w:tc>
      </w:tr>
      <w:tr>
        <w:trPr>
          <w:trHeight w:val="235"/>
        </w:trPr>
        <w:tc>
          <w:tcPr>
            <w:tcW w:w="7080" w:type="dxa"/>
            <w:vAlign w:val="bottom"/>
          </w:tcPr>
          <w:p>
            <w:pPr>
              <w:ind w:left="100"/>
              <w:spacing w:after="0"/>
              <w:rPr>
                <w:sz w:val="20"/>
                <w:szCs w:val="20"/>
                <w:color w:val="auto"/>
              </w:rPr>
            </w:pPr>
            <w:r>
              <w:rPr>
                <w:rFonts w:ascii="Arial" w:cs="Arial" w:eastAsia="Arial" w:hAnsi="Arial"/>
                <w:sz w:val="14"/>
                <w:szCs w:val="14"/>
                <w:color w:val="4D4D4F"/>
              </w:rPr>
              <w:t>Ira M. Birns</w:t>
            </w:r>
            <w:r>
              <w:rPr>
                <w:rFonts w:ascii="Arial" w:cs="Arial" w:eastAsia="Arial" w:hAnsi="Arial"/>
                <w:sz w:val="9"/>
                <w:szCs w:val="9"/>
                <w:color w:val="4D4D4F"/>
              </w:rPr>
              <w:t>(9)</w:t>
            </w:r>
          </w:p>
        </w:tc>
        <w:tc>
          <w:tcPr>
            <w:tcW w:w="3340" w:type="dxa"/>
            <w:vAlign w:val="bottom"/>
          </w:tcPr>
          <w:p>
            <w:pPr>
              <w:jc w:val="right"/>
              <w:ind w:right="408"/>
              <w:spacing w:after="0"/>
              <w:rPr>
                <w:sz w:val="20"/>
                <w:szCs w:val="20"/>
                <w:color w:val="auto"/>
              </w:rPr>
            </w:pPr>
            <w:r>
              <w:rPr>
                <w:rFonts w:ascii="Arial" w:cs="Arial" w:eastAsia="Arial" w:hAnsi="Arial"/>
                <w:sz w:val="14"/>
                <w:szCs w:val="14"/>
                <w:color w:val="4D4D4F"/>
              </w:rPr>
              <w:t>143,945</w:t>
            </w:r>
          </w:p>
        </w:tc>
        <w:tc>
          <w:tcPr>
            <w:tcW w:w="820" w:type="dxa"/>
            <w:vAlign w:val="bottom"/>
          </w:tcPr>
          <w:p>
            <w:pPr>
              <w:jc w:val="right"/>
              <w:ind w:right="48"/>
              <w:spacing w:after="0"/>
              <w:rPr>
                <w:sz w:val="20"/>
                <w:szCs w:val="20"/>
                <w:color w:val="auto"/>
              </w:rPr>
            </w:pPr>
            <w:r>
              <w:rPr>
                <w:rFonts w:ascii="Arial" w:cs="Arial" w:eastAsia="Arial" w:hAnsi="Arial"/>
                <w:sz w:val="14"/>
                <w:szCs w:val="14"/>
                <w:color w:val="4D4D4F"/>
              </w:rPr>
              <w:t>*</w:t>
            </w:r>
          </w:p>
        </w:tc>
      </w:tr>
      <w:tr>
        <w:trPr>
          <w:trHeight w:val="49"/>
        </w:trPr>
        <w:tc>
          <w:tcPr>
            <w:tcW w:w="70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63"/>
        </w:trPr>
        <w:tc>
          <w:tcPr>
            <w:tcW w:w="708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John P. Rau</w:t>
            </w:r>
            <w:r>
              <w:rPr>
                <w:rFonts w:ascii="Arial" w:cs="Arial" w:eastAsia="Arial" w:hAnsi="Arial"/>
                <w:sz w:val="9"/>
                <w:szCs w:val="9"/>
                <w:color w:val="4D4D4F"/>
              </w:rPr>
              <w:t>(10)</w:t>
            </w:r>
          </w:p>
        </w:tc>
        <w:tc>
          <w:tcPr>
            <w:tcW w:w="3340" w:type="dxa"/>
            <w:vAlign w:val="bottom"/>
            <w:tcBorders>
              <w:bottom w:val="single" w:sz="8" w:color="EAEEF2"/>
            </w:tcBorders>
            <w:shd w:val="clear" w:color="auto" w:fill="EAEEF2"/>
          </w:tcPr>
          <w:p>
            <w:pPr>
              <w:jc w:val="right"/>
              <w:ind w:right="408"/>
              <w:spacing w:after="0"/>
              <w:rPr>
                <w:sz w:val="20"/>
                <w:szCs w:val="20"/>
                <w:color w:val="auto"/>
              </w:rPr>
            </w:pPr>
            <w:r>
              <w:rPr>
                <w:rFonts w:ascii="Arial" w:cs="Arial" w:eastAsia="Arial" w:hAnsi="Arial"/>
                <w:sz w:val="14"/>
                <w:szCs w:val="14"/>
                <w:color w:val="4D4D4F"/>
              </w:rPr>
              <w:t>82,840</w:t>
            </w:r>
          </w:p>
        </w:tc>
        <w:tc>
          <w:tcPr>
            <w:tcW w:w="820" w:type="dxa"/>
            <w:vAlign w:val="bottom"/>
            <w:tcBorders>
              <w:bottom w:val="single" w:sz="8" w:color="EAEEF2"/>
            </w:tcBorders>
            <w:shd w:val="clear" w:color="auto" w:fill="EAEEF2"/>
          </w:tcPr>
          <w:p>
            <w:pPr>
              <w:jc w:val="right"/>
              <w:ind w:right="48"/>
              <w:spacing w:after="0"/>
              <w:rPr>
                <w:sz w:val="20"/>
                <w:szCs w:val="20"/>
                <w:color w:val="auto"/>
              </w:rPr>
            </w:pPr>
            <w:r>
              <w:rPr>
                <w:rFonts w:ascii="Arial" w:cs="Arial" w:eastAsia="Arial" w:hAnsi="Arial"/>
                <w:sz w:val="14"/>
                <w:szCs w:val="14"/>
                <w:color w:val="4D4D4F"/>
              </w:rPr>
              <w:t>*</w:t>
            </w:r>
          </w:p>
        </w:tc>
      </w:tr>
      <w:tr>
        <w:trPr>
          <w:trHeight w:val="235"/>
        </w:trPr>
        <w:tc>
          <w:tcPr>
            <w:tcW w:w="7080" w:type="dxa"/>
            <w:vAlign w:val="bottom"/>
          </w:tcPr>
          <w:p>
            <w:pPr>
              <w:ind w:left="100"/>
              <w:spacing w:after="0"/>
              <w:rPr>
                <w:sz w:val="20"/>
                <w:szCs w:val="20"/>
                <w:color w:val="auto"/>
              </w:rPr>
            </w:pPr>
            <w:r>
              <w:rPr>
                <w:rFonts w:ascii="Arial" w:cs="Arial" w:eastAsia="Arial" w:hAnsi="Arial"/>
                <w:sz w:val="14"/>
                <w:szCs w:val="14"/>
                <w:color w:val="4D4D4F"/>
              </w:rPr>
              <w:t>Ken Bakshi</w:t>
            </w:r>
            <w:r>
              <w:rPr>
                <w:rFonts w:ascii="Arial" w:cs="Arial" w:eastAsia="Arial" w:hAnsi="Arial"/>
                <w:sz w:val="9"/>
                <w:szCs w:val="9"/>
                <w:color w:val="4D4D4F"/>
              </w:rPr>
              <w:t>(11)</w:t>
            </w:r>
          </w:p>
        </w:tc>
        <w:tc>
          <w:tcPr>
            <w:tcW w:w="3340" w:type="dxa"/>
            <w:vAlign w:val="bottom"/>
          </w:tcPr>
          <w:p>
            <w:pPr>
              <w:jc w:val="right"/>
              <w:ind w:right="408"/>
              <w:spacing w:after="0"/>
              <w:rPr>
                <w:sz w:val="20"/>
                <w:szCs w:val="20"/>
                <w:color w:val="auto"/>
              </w:rPr>
            </w:pPr>
            <w:r>
              <w:rPr>
                <w:rFonts w:ascii="Arial" w:cs="Arial" w:eastAsia="Arial" w:hAnsi="Arial"/>
                <w:sz w:val="14"/>
                <w:szCs w:val="14"/>
                <w:color w:val="4D4D4F"/>
              </w:rPr>
              <w:t>52,382</w:t>
            </w:r>
          </w:p>
        </w:tc>
        <w:tc>
          <w:tcPr>
            <w:tcW w:w="820" w:type="dxa"/>
            <w:vAlign w:val="bottom"/>
          </w:tcPr>
          <w:p>
            <w:pPr>
              <w:jc w:val="right"/>
              <w:ind w:right="48"/>
              <w:spacing w:after="0"/>
              <w:rPr>
                <w:sz w:val="20"/>
                <w:szCs w:val="20"/>
                <w:color w:val="auto"/>
              </w:rPr>
            </w:pPr>
            <w:r>
              <w:rPr>
                <w:rFonts w:ascii="Arial" w:cs="Arial" w:eastAsia="Arial" w:hAnsi="Arial"/>
                <w:sz w:val="14"/>
                <w:szCs w:val="14"/>
                <w:color w:val="4D4D4F"/>
              </w:rPr>
              <w:t>*</w:t>
            </w:r>
          </w:p>
        </w:tc>
      </w:tr>
      <w:tr>
        <w:trPr>
          <w:trHeight w:val="49"/>
        </w:trPr>
        <w:tc>
          <w:tcPr>
            <w:tcW w:w="70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63"/>
        </w:trPr>
        <w:tc>
          <w:tcPr>
            <w:tcW w:w="708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Jorge L. Benitez</w:t>
            </w:r>
            <w:r>
              <w:rPr>
                <w:rFonts w:ascii="Arial" w:cs="Arial" w:eastAsia="Arial" w:hAnsi="Arial"/>
                <w:sz w:val="9"/>
                <w:szCs w:val="9"/>
                <w:color w:val="4D4D4F"/>
              </w:rPr>
              <w:t>(12)</w:t>
            </w:r>
          </w:p>
        </w:tc>
        <w:tc>
          <w:tcPr>
            <w:tcW w:w="3340" w:type="dxa"/>
            <w:vAlign w:val="bottom"/>
            <w:tcBorders>
              <w:bottom w:val="single" w:sz="8" w:color="EAEEF2"/>
            </w:tcBorders>
            <w:shd w:val="clear" w:color="auto" w:fill="EAEEF2"/>
          </w:tcPr>
          <w:p>
            <w:pPr>
              <w:jc w:val="right"/>
              <w:ind w:right="408"/>
              <w:spacing w:after="0"/>
              <w:rPr>
                <w:sz w:val="20"/>
                <w:szCs w:val="20"/>
                <w:color w:val="auto"/>
              </w:rPr>
            </w:pPr>
            <w:r>
              <w:rPr>
                <w:rFonts w:ascii="Arial" w:cs="Arial" w:eastAsia="Arial" w:hAnsi="Arial"/>
                <w:sz w:val="14"/>
                <w:szCs w:val="14"/>
                <w:color w:val="4D4D4F"/>
              </w:rPr>
              <w:t>48,046</w:t>
            </w:r>
          </w:p>
        </w:tc>
        <w:tc>
          <w:tcPr>
            <w:tcW w:w="820" w:type="dxa"/>
            <w:vAlign w:val="bottom"/>
            <w:tcBorders>
              <w:bottom w:val="single" w:sz="8" w:color="EAEEF2"/>
            </w:tcBorders>
            <w:shd w:val="clear" w:color="auto" w:fill="EAEEF2"/>
          </w:tcPr>
          <w:p>
            <w:pPr>
              <w:jc w:val="right"/>
              <w:ind w:right="48"/>
              <w:spacing w:after="0"/>
              <w:rPr>
                <w:sz w:val="20"/>
                <w:szCs w:val="20"/>
                <w:color w:val="auto"/>
              </w:rPr>
            </w:pPr>
            <w:r>
              <w:rPr>
                <w:rFonts w:ascii="Arial" w:cs="Arial" w:eastAsia="Arial" w:hAnsi="Arial"/>
                <w:sz w:val="14"/>
                <w:szCs w:val="14"/>
                <w:color w:val="4D4D4F"/>
              </w:rPr>
              <w:t>*</w:t>
            </w:r>
          </w:p>
        </w:tc>
      </w:tr>
      <w:tr>
        <w:trPr>
          <w:trHeight w:val="235"/>
        </w:trPr>
        <w:tc>
          <w:tcPr>
            <w:tcW w:w="7080" w:type="dxa"/>
            <w:vAlign w:val="bottom"/>
          </w:tcPr>
          <w:p>
            <w:pPr>
              <w:ind w:left="100"/>
              <w:spacing w:after="0"/>
              <w:rPr>
                <w:sz w:val="20"/>
                <w:szCs w:val="20"/>
                <w:color w:val="auto"/>
              </w:rPr>
            </w:pPr>
            <w:r>
              <w:rPr>
                <w:rFonts w:ascii="Arial" w:cs="Arial" w:eastAsia="Arial" w:hAnsi="Arial"/>
                <w:sz w:val="14"/>
                <w:szCs w:val="14"/>
                <w:color w:val="4D4D4F"/>
              </w:rPr>
              <w:t>Sharda Cherwoo</w:t>
            </w:r>
            <w:r>
              <w:rPr>
                <w:rFonts w:ascii="Arial" w:cs="Arial" w:eastAsia="Arial" w:hAnsi="Arial"/>
                <w:sz w:val="9"/>
                <w:szCs w:val="9"/>
                <w:color w:val="4D4D4F"/>
              </w:rPr>
              <w:t>(13)</w:t>
            </w:r>
          </w:p>
        </w:tc>
        <w:tc>
          <w:tcPr>
            <w:tcW w:w="3340" w:type="dxa"/>
            <w:vAlign w:val="bottom"/>
          </w:tcPr>
          <w:p>
            <w:pPr>
              <w:jc w:val="right"/>
              <w:ind w:right="408"/>
              <w:spacing w:after="0"/>
              <w:rPr>
                <w:sz w:val="20"/>
                <w:szCs w:val="20"/>
                <w:color w:val="auto"/>
              </w:rPr>
            </w:pPr>
            <w:r>
              <w:rPr>
                <w:rFonts w:ascii="Arial" w:cs="Arial" w:eastAsia="Arial" w:hAnsi="Arial"/>
                <w:sz w:val="14"/>
                <w:szCs w:val="14"/>
                <w:color w:val="4D4D4F"/>
              </w:rPr>
              <w:t>27,996</w:t>
            </w:r>
          </w:p>
        </w:tc>
        <w:tc>
          <w:tcPr>
            <w:tcW w:w="820" w:type="dxa"/>
            <w:vAlign w:val="bottom"/>
          </w:tcPr>
          <w:p>
            <w:pPr>
              <w:jc w:val="right"/>
              <w:ind w:right="48"/>
              <w:spacing w:after="0"/>
              <w:rPr>
                <w:sz w:val="20"/>
                <w:szCs w:val="20"/>
                <w:color w:val="auto"/>
              </w:rPr>
            </w:pPr>
            <w:r>
              <w:rPr>
                <w:rFonts w:ascii="Arial" w:cs="Arial" w:eastAsia="Arial" w:hAnsi="Arial"/>
                <w:sz w:val="14"/>
                <w:szCs w:val="14"/>
                <w:color w:val="4D4D4F"/>
              </w:rPr>
              <w:t>*</w:t>
            </w:r>
          </w:p>
        </w:tc>
      </w:tr>
      <w:tr>
        <w:trPr>
          <w:trHeight w:val="48"/>
        </w:trPr>
        <w:tc>
          <w:tcPr>
            <w:tcW w:w="70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64"/>
        </w:trPr>
        <w:tc>
          <w:tcPr>
            <w:tcW w:w="708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Richard A. Kassar</w:t>
            </w:r>
            <w:r>
              <w:rPr>
                <w:rFonts w:ascii="Arial" w:cs="Arial" w:eastAsia="Arial" w:hAnsi="Arial"/>
                <w:sz w:val="9"/>
                <w:szCs w:val="9"/>
                <w:color w:val="4D4D4F"/>
              </w:rPr>
              <w:t>(14)</w:t>
            </w:r>
          </w:p>
        </w:tc>
        <w:tc>
          <w:tcPr>
            <w:tcW w:w="3340" w:type="dxa"/>
            <w:vAlign w:val="bottom"/>
            <w:tcBorders>
              <w:bottom w:val="single" w:sz="8" w:color="EAEEF2"/>
            </w:tcBorders>
            <w:shd w:val="clear" w:color="auto" w:fill="EAEEF2"/>
          </w:tcPr>
          <w:p>
            <w:pPr>
              <w:jc w:val="right"/>
              <w:ind w:right="408"/>
              <w:spacing w:after="0"/>
              <w:rPr>
                <w:sz w:val="20"/>
                <w:szCs w:val="20"/>
                <w:color w:val="auto"/>
              </w:rPr>
            </w:pPr>
            <w:r>
              <w:rPr>
                <w:rFonts w:ascii="Arial" w:cs="Arial" w:eastAsia="Arial" w:hAnsi="Arial"/>
                <w:sz w:val="14"/>
                <w:szCs w:val="14"/>
                <w:color w:val="4D4D4F"/>
              </w:rPr>
              <w:t>80,103</w:t>
            </w:r>
          </w:p>
        </w:tc>
        <w:tc>
          <w:tcPr>
            <w:tcW w:w="820" w:type="dxa"/>
            <w:vAlign w:val="bottom"/>
            <w:tcBorders>
              <w:bottom w:val="single" w:sz="8" w:color="EAEEF2"/>
            </w:tcBorders>
            <w:shd w:val="clear" w:color="auto" w:fill="EAEEF2"/>
          </w:tcPr>
          <w:p>
            <w:pPr>
              <w:jc w:val="right"/>
              <w:ind w:right="48"/>
              <w:spacing w:after="0"/>
              <w:rPr>
                <w:sz w:val="20"/>
                <w:szCs w:val="20"/>
                <w:color w:val="auto"/>
              </w:rPr>
            </w:pPr>
            <w:r>
              <w:rPr>
                <w:rFonts w:ascii="Arial" w:cs="Arial" w:eastAsia="Arial" w:hAnsi="Arial"/>
                <w:sz w:val="14"/>
                <w:szCs w:val="14"/>
                <w:color w:val="4D4D4F"/>
              </w:rPr>
              <w:t>*</w:t>
            </w:r>
          </w:p>
        </w:tc>
      </w:tr>
      <w:tr>
        <w:trPr>
          <w:trHeight w:val="250"/>
        </w:trPr>
        <w:tc>
          <w:tcPr>
            <w:tcW w:w="7080" w:type="dxa"/>
            <w:vAlign w:val="bottom"/>
          </w:tcPr>
          <w:p>
            <w:pPr>
              <w:ind w:left="100"/>
              <w:spacing w:after="0"/>
              <w:rPr>
                <w:sz w:val="20"/>
                <w:szCs w:val="20"/>
                <w:color w:val="auto"/>
              </w:rPr>
            </w:pPr>
            <w:r>
              <w:rPr>
                <w:rFonts w:ascii="Arial" w:cs="Arial" w:eastAsia="Arial" w:hAnsi="Arial"/>
                <w:sz w:val="14"/>
                <w:szCs w:val="14"/>
                <w:color w:val="4D4D4F"/>
              </w:rPr>
              <w:t>John L. Manley</w:t>
            </w:r>
            <w:r>
              <w:rPr>
                <w:rFonts w:ascii="Arial" w:cs="Arial" w:eastAsia="Arial" w:hAnsi="Arial"/>
                <w:sz w:val="18"/>
                <w:szCs w:val="18"/>
                <w:color w:val="4D4D4F"/>
                <w:vertAlign w:val="subscript"/>
              </w:rPr>
              <w:t>(15)</w:t>
            </w:r>
          </w:p>
        </w:tc>
        <w:tc>
          <w:tcPr>
            <w:tcW w:w="3340" w:type="dxa"/>
            <w:vAlign w:val="bottom"/>
          </w:tcPr>
          <w:p>
            <w:pPr>
              <w:jc w:val="right"/>
              <w:ind w:right="408"/>
              <w:spacing w:after="0"/>
              <w:rPr>
                <w:sz w:val="20"/>
                <w:szCs w:val="20"/>
                <w:color w:val="auto"/>
              </w:rPr>
            </w:pPr>
            <w:r>
              <w:rPr>
                <w:rFonts w:ascii="Arial" w:cs="Arial" w:eastAsia="Arial" w:hAnsi="Arial"/>
                <w:sz w:val="14"/>
                <w:szCs w:val="14"/>
                <w:color w:val="4D4D4F"/>
              </w:rPr>
              <w:t>58,063</w:t>
            </w:r>
          </w:p>
        </w:tc>
        <w:tc>
          <w:tcPr>
            <w:tcW w:w="820" w:type="dxa"/>
            <w:vAlign w:val="bottom"/>
          </w:tcPr>
          <w:p>
            <w:pPr>
              <w:jc w:val="right"/>
              <w:ind w:right="48"/>
              <w:spacing w:after="0"/>
              <w:rPr>
                <w:sz w:val="20"/>
                <w:szCs w:val="20"/>
                <w:color w:val="auto"/>
              </w:rPr>
            </w:pPr>
            <w:r>
              <w:rPr>
                <w:rFonts w:ascii="Arial" w:cs="Arial" w:eastAsia="Arial" w:hAnsi="Arial"/>
                <w:sz w:val="14"/>
                <w:szCs w:val="14"/>
                <w:color w:val="4D4D4F"/>
              </w:rPr>
              <w:t>*</w:t>
            </w:r>
          </w:p>
        </w:tc>
      </w:tr>
      <w:tr>
        <w:trPr>
          <w:trHeight w:val="34"/>
        </w:trPr>
        <w:tc>
          <w:tcPr>
            <w:tcW w:w="7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3"/>
        </w:trPr>
        <w:tc>
          <w:tcPr>
            <w:tcW w:w="708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Stephen K. Roddenberry</w:t>
            </w:r>
            <w:r>
              <w:rPr>
                <w:rFonts w:ascii="Arial" w:cs="Arial" w:eastAsia="Arial" w:hAnsi="Arial"/>
                <w:sz w:val="9"/>
                <w:szCs w:val="9"/>
                <w:color w:val="4D4D4F"/>
              </w:rPr>
              <w:t>(16)</w:t>
            </w:r>
          </w:p>
        </w:tc>
        <w:tc>
          <w:tcPr>
            <w:tcW w:w="3340" w:type="dxa"/>
            <w:vAlign w:val="bottom"/>
            <w:tcBorders>
              <w:bottom w:val="single" w:sz="8" w:color="EAEEF2"/>
            </w:tcBorders>
            <w:shd w:val="clear" w:color="auto" w:fill="EAEEF2"/>
          </w:tcPr>
          <w:p>
            <w:pPr>
              <w:jc w:val="right"/>
              <w:ind w:right="408"/>
              <w:spacing w:after="0"/>
              <w:rPr>
                <w:sz w:val="20"/>
                <w:szCs w:val="20"/>
                <w:color w:val="auto"/>
              </w:rPr>
            </w:pPr>
            <w:r>
              <w:rPr>
                <w:rFonts w:ascii="Arial" w:cs="Arial" w:eastAsia="Arial" w:hAnsi="Arial"/>
                <w:sz w:val="14"/>
                <w:szCs w:val="14"/>
                <w:color w:val="4D4D4F"/>
              </w:rPr>
              <w:t>119,193</w:t>
            </w:r>
          </w:p>
        </w:tc>
        <w:tc>
          <w:tcPr>
            <w:tcW w:w="820" w:type="dxa"/>
            <w:vAlign w:val="bottom"/>
            <w:tcBorders>
              <w:bottom w:val="single" w:sz="8" w:color="EAEEF2"/>
            </w:tcBorders>
            <w:shd w:val="clear" w:color="auto" w:fill="EAEEF2"/>
          </w:tcPr>
          <w:p>
            <w:pPr>
              <w:jc w:val="right"/>
              <w:ind w:right="48"/>
              <w:spacing w:after="0"/>
              <w:rPr>
                <w:sz w:val="20"/>
                <w:szCs w:val="20"/>
                <w:color w:val="auto"/>
              </w:rPr>
            </w:pPr>
            <w:r>
              <w:rPr>
                <w:rFonts w:ascii="Arial" w:cs="Arial" w:eastAsia="Arial" w:hAnsi="Arial"/>
                <w:sz w:val="14"/>
                <w:szCs w:val="14"/>
                <w:color w:val="4D4D4F"/>
              </w:rPr>
              <w:t>*</w:t>
            </w:r>
          </w:p>
        </w:tc>
      </w:tr>
      <w:tr>
        <w:trPr>
          <w:trHeight w:val="235"/>
        </w:trPr>
        <w:tc>
          <w:tcPr>
            <w:tcW w:w="7080" w:type="dxa"/>
            <w:vAlign w:val="bottom"/>
          </w:tcPr>
          <w:p>
            <w:pPr>
              <w:ind w:left="100"/>
              <w:spacing w:after="0"/>
              <w:rPr>
                <w:sz w:val="20"/>
                <w:szCs w:val="20"/>
                <w:color w:val="auto"/>
              </w:rPr>
            </w:pPr>
            <w:r>
              <w:rPr>
                <w:rFonts w:ascii="Arial" w:cs="Arial" w:eastAsia="Arial" w:hAnsi="Arial"/>
                <w:sz w:val="14"/>
                <w:szCs w:val="14"/>
                <w:color w:val="4D4D4F"/>
              </w:rPr>
              <w:t>Jill B. Smart</w:t>
            </w:r>
            <w:r>
              <w:rPr>
                <w:rFonts w:ascii="Arial" w:cs="Arial" w:eastAsia="Arial" w:hAnsi="Arial"/>
                <w:sz w:val="9"/>
                <w:szCs w:val="9"/>
                <w:color w:val="4D4D4F"/>
              </w:rPr>
              <w:t>(17)</w:t>
            </w:r>
          </w:p>
        </w:tc>
        <w:tc>
          <w:tcPr>
            <w:tcW w:w="3340" w:type="dxa"/>
            <w:vAlign w:val="bottom"/>
          </w:tcPr>
          <w:p>
            <w:pPr>
              <w:jc w:val="right"/>
              <w:ind w:right="408"/>
              <w:spacing w:after="0"/>
              <w:rPr>
                <w:sz w:val="20"/>
                <w:szCs w:val="20"/>
                <w:color w:val="auto"/>
              </w:rPr>
            </w:pPr>
            <w:r>
              <w:rPr>
                <w:rFonts w:ascii="Arial" w:cs="Arial" w:eastAsia="Arial" w:hAnsi="Arial"/>
                <w:sz w:val="14"/>
                <w:szCs w:val="14"/>
                <w:color w:val="4D4D4F"/>
              </w:rPr>
              <w:t>18,280</w:t>
            </w:r>
          </w:p>
        </w:tc>
        <w:tc>
          <w:tcPr>
            <w:tcW w:w="820" w:type="dxa"/>
            <w:vAlign w:val="bottom"/>
          </w:tcPr>
          <w:p>
            <w:pPr>
              <w:jc w:val="right"/>
              <w:ind w:right="48"/>
              <w:spacing w:after="0"/>
              <w:rPr>
                <w:sz w:val="20"/>
                <w:szCs w:val="20"/>
                <w:color w:val="auto"/>
              </w:rPr>
            </w:pPr>
            <w:r>
              <w:rPr>
                <w:rFonts w:ascii="Arial" w:cs="Arial" w:eastAsia="Arial" w:hAnsi="Arial"/>
                <w:sz w:val="14"/>
                <w:szCs w:val="14"/>
                <w:color w:val="4D4D4F"/>
              </w:rPr>
              <w:t>*</w:t>
            </w:r>
          </w:p>
        </w:tc>
      </w:tr>
      <w:tr>
        <w:trPr>
          <w:trHeight w:val="49"/>
        </w:trPr>
        <w:tc>
          <w:tcPr>
            <w:tcW w:w="70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88"/>
        </w:trPr>
        <w:tc>
          <w:tcPr>
            <w:tcW w:w="708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Paul H. Stebbins</w:t>
            </w:r>
            <w:r>
              <w:rPr>
                <w:rFonts w:ascii="Arial" w:cs="Arial" w:eastAsia="Arial" w:hAnsi="Arial"/>
                <w:sz w:val="9"/>
                <w:szCs w:val="9"/>
                <w:color w:val="4D4D4F"/>
              </w:rPr>
              <w:t>(18)</w:t>
            </w:r>
          </w:p>
        </w:tc>
        <w:tc>
          <w:tcPr>
            <w:tcW w:w="3340" w:type="dxa"/>
            <w:vAlign w:val="bottom"/>
            <w:tcBorders>
              <w:bottom w:val="single" w:sz="8" w:color="EAEEF2"/>
            </w:tcBorders>
            <w:shd w:val="clear" w:color="auto" w:fill="EAEEF2"/>
          </w:tcPr>
          <w:p>
            <w:pPr>
              <w:jc w:val="right"/>
              <w:ind w:right="408"/>
              <w:spacing w:after="0"/>
              <w:rPr>
                <w:sz w:val="20"/>
                <w:szCs w:val="20"/>
                <w:color w:val="auto"/>
              </w:rPr>
            </w:pPr>
            <w:r>
              <w:rPr>
                <w:rFonts w:ascii="Arial" w:cs="Arial" w:eastAsia="Arial" w:hAnsi="Arial"/>
                <w:sz w:val="14"/>
                <w:szCs w:val="14"/>
                <w:color w:val="4D4D4F"/>
              </w:rPr>
              <w:t>156,229</w:t>
            </w:r>
          </w:p>
        </w:tc>
        <w:tc>
          <w:tcPr>
            <w:tcW w:w="820" w:type="dxa"/>
            <w:vAlign w:val="bottom"/>
            <w:tcBorders>
              <w:bottom w:val="single" w:sz="8" w:color="EAEEF2"/>
            </w:tcBorders>
            <w:shd w:val="clear" w:color="auto" w:fill="EAEEF2"/>
          </w:tcPr>
          <w:p>
            <w:pPr>
              <w:jc w:val="right"/>
              <w:ind w:right="48"/>
              <w:spacing w:after="0"/>
              <w:rPr>
                <w:sz w:val="20"/>
                <w:szCs w:val="20"/>
                <w:color w:val="auto"/>
              </w:rPr>
            </w:pPr>
            <w:r>
              <w:rPr>
                <w:rFonts w:ascii="Arial" w:cs="Arial" w:eastAsia="Arial" w:hAnsi="Arial"/>
                <w:sz w:val="14"/>
                <w:szCs w:val="14"/>
                <w:color w:val="4D4D4F"/>
              </w:rPr>
              <w:t>*</w:t>
            </w:r>
          </w:p>
        </w:tc>
      </w:tr>
      <w:tr>
        <w:trPr>
          <w:trHeight w:val="217"/>
        </w:trPr>
        <w:tc>
          <w:tcPr>
            <w:tcW w:w="7080" w:type="dxa"/>
            <w:vAlign w:val="bottom"/>
            <w:tcBorders>
              <w:top w:val="single" w:sz="8" w:color="298655"/>
              <w:bottom w:val="single" w:sz="8" w:color="298655"/>
            </w:tcBorders>
          </w:tcPr>
          <w:p>
            <w:pPr>
              <w:ind w:left="100"/>
              <w:spacing w:after="0"/>
              <w:rPr>
                <w:sz w:val="20"/>
                <w:szCs w:val="20"/>
                <w:color w:val="auto"/>
              </w:rPr>
            </w:pPr>
            <w:r>
              <w:rPr>
                <w:rFonts w:ascii="Arial" w:cs="Arial" w:eastAsia="Arial" w:hAnsi="Arial"/>
                <w:sz w:val="14"/>
                <w:szCs w:val="14"/>
                <w:b w:val="1"/>
                <w:bCs w:val="1"/>
                <w:color w:val="298655"/>
              </w:rPr>
              <w:t>All current executive officers and directors as a group (11 persons)</w:t>
            </w:r>
            <w:r>
              <w:rPr>
                <w:rFonts w:ascii="Arial" w:cs="Arial" w:eastAsia="Arial" w:hAnsi="Arial"/>
                <w:sz w:val="9"/>
                <w:szCs w:val="9"/>
                <w:b w:val="1"/>
                <w:bCs w:val="1"/>
                <w:color w:val="298655"/>
              </w:rPr>
              <w:t>(19)</w:t>
            </w:r>
          </w:p>
        </w:tc>
        <w:tc>
          <w:tcPr>
            <w:tcW w:w="3340" w:type="dxa"/>
            <w:vAlign w:val="bottom"/>
            <w:tcBorders>
              <w:top w:val="single" w:sz="8" w:color="298655"/>
              <w:bottom w:val="single" w:sz="8" w:color="298655"/>
            </w:tcBorders>
          </w:tcPr>
          <w:p>
            <w:pPr>
              <w:jc w:val="right"/>
              <w:ind w:right="408"/>
              <w:spacing w:after="0"/>
              <w:rPr>
                <w:sz w:val="20"/>
                <w:szCs w:val="20"/>
                <w:color w:val="auto"/>
              </w:rPr>
            </w:pPr>
            <w:r>
              <w:rPr>
                <w:rFonts w:ascii="Arial" w:cs="Arial" w:eastAsia="Arial" w:hAnsi="Arial"/>
                <w:sz w:val="14"/>
                <w:szCs w:val="14"/>
                <w:b w:val="1"/>
                <w:bCs w:val="1"/>
                <w:color w:val="298655"/>
              </w:rPr>
              <w:t>1,725,458</w:t>
            </w:r>
          </w:p>
        </w:tc>
        <w:tc>
          <w:tcPr>
            <w:tcW w:w="820" w:type="dxa"/>
            <w:vAlign w:val="bottom"/>
            <w:tcBorders>
              <w:top w:val="single" w:sz="8" w:color="298655"/>
              <w:bottom w:val="single" w:sz="8" w:color="298655"/>
            </w:tcBorders>
          </w:tcPr>
          <w:p>
            <w:pPr>
              <w:jc w:val="right"/>
              <w:ind w:right="48"/>
              <w:spacing w:after="0"/>
              <w:rPr>
                <w:sz w:val="20"/>
                <w:szCs w:val="20"/>
                <w:color w:val="auto"/>
              </w:rPr>
            </w:pPr>
            <w:r>
              <w:rPr>
                <w:rFonts w:ascii="Arial" w:cs="Arial" w:eastAsia="Arial" w:hAnsi="Arial"/>
                <w:sz w:val="14"/>
                <w:szCs w:val="14"/>
                <w:b w:val="1"/>
                <w:bCs w:val="1"/>
                <w:color w:val="298655"/>
              </w:rPr>
              <w:t>2.9</w:t>
            </w:r>
          </w:p>
        </w:tc>
      </w:tr>
    </w:tbl>
    <w:p>
      <w:pPr>
        <w:spacing w:after="0" w:line="139" w:lineRule="exact"/>
        <w:rPr>
          <w:sz w:val="20"/>
          <w:szCs w:val="20"/>
          <w:color w:val="auto"/>
        </w:rPr>
      </w:pPr>
    </w:p>
    <w:p>
      <w:pPr>
        <w:ind w:left="180"/>
        <w:spacing w:after="0"/>
        <w:rPr>
          <w:sz w:val="20"/>
          <w:szCs w:val="20"/>
          <w:color w:val="auto"/>
        </w:rPr>
      </w:pPr>
      <w:r>
        <w:rPr>
          <w:rFonts w:ascii="Arial" w:cs="Arial" w:eastAsia="Arial" w:hAnsi="Arial"/>
          <w:sz w:val="14"/>
          <w:szCs w:val="14"/>
          <w:color w:val="4D4D4F"/>
        </w:rPr>
        <w:t>* Less than one percent.</w:t>
      </w:r>
    </w:p>
    <w:p>
      <w:pPr>
        <w:spacing w:after="0" w:line="69" w:lineRule="exact"/>
        <w:rPr>
          <w:sz w:val="20"/>
          <w:szCs w:val="20"/>
          <w:color w:val="auto"/>
        </w:rPr>
      </w:pPr>
    </w:p>
    <w:p>
      <w:pPr>
        <w:ind w:left="500" w:hanging="330"/>
        <w:spacing w:after="0"/>
        <w:tabs>
          <w:tab w:leader="none" w:pos="500" w:val="left"/>
        </w:tabs>
        <w:numPr>
          <w:ilvl w:val="0"/>
          <w:numId w:val="121"/>
        </w:numPr>
        <w:rPr>
          <w:rFonts w:ascii="Arial" w:cs="Arial" w:eastAsia="Arial" w:hAnsi="Arial"/>
          <w:sz w:val="14"/>
          <w:szCs w:val="14"/>
          <w:color w:val="4D4D4F"/>
        </w:rPr>
      </w:pPr>
      <w:r>
        <w:rPr>
          <w:rFonts w:ascii="Arial" w:cs="Arial" w:eastAsia="Arial" w:hAnsi="Arial"/>
          <w:sz w:val="14"/>
          <w:szCs w:val="14"/>
          <w:color w:val="4D4D4F"/>
        </w:rPr>
        <w:t>Unless otherwise indicated, the address of each of the beneficial owners identified is c/o World Kinect Corporation, 9800 Northwest 41st Street, Miami, Florida 33178.</w:t>
      </w:r>
    </w:p>
    <w:p>
      <w:pPr>
        <w:spacing w:after="0" w:line="68" w:lineRule="exact"/>
        <w:rPr>
          <w:rFonts w:ascii="Arial" w:cs="Arial" w:eastAsia="Arial" w:hAnsi="Arial"/>
          <w:sz w:val="14"/>
          <w:szCs w:val="14"/>
          <w:color w:val="4D4D4F"/>
        </w:rPr>
      </w:pPr>
    </w:p>
    <w:p>
      <w:pPr>
        <w:ind w:left="500" w:hanging="330"/>
        <w:spacing w:after="0" w:line="262" w:lineRule="auto"/>
        <w:tabs>
          <w:tab w:leader="none" w:pos="498" w:val="left"/>
        </w:tabs>
        <w:numPr>
          <w:ilvl w:val="0"/>
          <w:numId w:val="121"/>
        </w:numPr>
        <w:rPr>
          <w:rFonts w:ascii="Arial" w:cs="Arial" w:eastAsia="Arial" w:hAnsi="Arial"/>
          <w:sz w:val="14"/>
          <w:szCs w:val="14"/>
          <w:color w:val="4D4D4F"/>
        </w:rPr>
      </w:pPr>
      <w:r>
        <w:rPr>
          <w:rFonts w:ascii="Arial" w:cs="Arial" w:eastAsia="Arial" w:hAnsi="Arial"/>
          <w:sz w:val="14"/>
          <w:szCs w:val="14"/>
          <w:color w:val="4D4D4F"/>
        </w:rPr>
        <w:t>The number and percentage of shares beneficially owned by each person has been determined in accordance with Rule 13d-3 of the Exchange Act and the information is not necessarily indicative of beneficial ownership for any other purpose. Accordingly, in determining the percentage of shares beneficially owned by each person, shares that may be acquired by such person within 60 days of the Reporting Date are deemed outstanding for purposes of determining the total number of outstanding shares for such person and are not deemed outstanding for such purpose for any other person. Unless otherwise indicated in the footnotes or table, each person or entity has sole voting and dispositive power with respect to the shares shown as beneficially owned. The number of shares of common stock that could be obtained on exercise of SSARs is calculated by (a) multiplying the number of outstanding SSARs which can be exercised within 60 days of the Reporting Date, by the difference between the closing price of $25.87 for our common stock on the Reporting Date and the SSAR exercise price and (b) dividing such number by $25.87. The percentages shown are based on 59,938,301 shares of common stock issued and outstanding on the Reporting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77</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b w:val="1"/>
          <w:bCs w:val="1"/>
          <w:color w:val="5B6770"/>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80" w:right="40" w:hanging="330"/>
        <w:spacing w:after="0" w:line="281" w:lineRule="auto"/>
        <w:tabs>
          <w:tab w:leader="none" w:pos="478"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Based on information contained in a Schedule 13G/A, as filed with the SEC on January 22, 2024, by BlackRock, Inc., 50 Hudson Yards, New York, NY 10001. The Schedule 13G/A indicates that BlackRock, Inc. is the beneficial owner of 11,722,874 shares of our outstanding common stock, of which they hold sole voting power with respect to 11,269,320 shares and sole dispositive power with respect to all of the beneficially owned shares.</w:t>
      </w:r>
    </w:p>
    <w:p>
      <w:pPr>
        <w:spacing w:after="0" w:line="1" w:lineRule="exact"/>
        <w:rPr>
          <w:rFonts w:ascii="Arial" w:cs="Arial" w:eastAsia="Arial" w:hAnsi="Arial"/>
          <w:sz w:val="14"/>
          <w:szCs w:val="14"/>
          <w:color w:val="4D4D4F"/>
        </w:rPr>
      </w:pPr>
    </w:p>
    <w:p>
      <w:pPr>
        <w:ind w:left="480" w:right="140" w:hanging="330"/>
        <w:spacing w:after="0" w:line="283" w:lineRule="auto"/>
        <w:tabs>
          <w:tab w:leader="none" w:pos="478"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Based on information contained in a Schedule 13G/A filed with the SEC on February 13, 2024, by The Vanguard Group, Inc., 100 Vanguard Blvd., Malvern, PA 19355. The Schedule 13G/A indicates that The Vanguard Group, Inc. holds sole voting power with respect to none of the shares, shared voting power with respect to 53,297 shares, sole dispositive power with respect to 6,800,462 shares and shared dispositive power with respect to 108,869 shares.</w:t>
      </w:r>
    </w:p>
    <w:p>
      <w:pPr>
        <w:spacing w:after="0" w:line="10" w:lineRule="exact"/>
        <w:rPr>
          <w:rFonts w:ascii="Arial" w:cs="Arial" w:eastAsia="Arial" w:hAnsi="Arial"/>
          <w:sz w:val="14"/>
          <w:szCs w:val="14"/>
          <w:color w:val="4D4D4F"/>
        </w:rPr>
      </w:pPr>
    </w:p>
    <w:p>
      <w:pPr>
        <w:jc w:val="both"/>
        <w:ind w:left="480" w:hanging="330"/>
        <w:spacing w:after="0" w:line="273" w:lineRule="auto"/>
        <w:tabs>
          <w:tab w:leader="none" w:pos="478"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Based on information contained in a Schedule 13G/A, as filed with the SEC on February 9, 2024 by Dimensional Fund Advisors LP, 6300 Bee Cave Road, Building One, Austin, TX 78746. The Schedule 13G/A indicates that Dimensional Fund Advisors LP has sole voting power with respect to 3,908,479 shares and sole dispositive power with respect to all of the beneficially owned shares.</w:t>
      </w:r>
    </w:p>
    <w:p>
      <w:pPr>
        <w:spacing w:after="0" w:line="17" w:lineRule="exact"/>
        <w:rPr>
          <w:rFonts w:ascii="Arial" w:cs="Arial" w:eastAsia="Arial" w:hAnsi="Arial"/>
          <w:sz w:val="14"/>
          <w:szCs w:val="14"/>
          <w:color w:val="4D4D4F"/>
        </w:rPr>
      </w:pPr>
    </w:p>
    <w:p>
      <w:pPr>
        <w:ind w:left="480" w:hanging="330"/>
        <w:spacing w:after="0" w:line="283" w:lineRule="auto"/>
        <w:tabs>
          <w:tab w:leader="none" w:pos="478"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Based on information contained in a Schedule 13G/A, as filed with the SEC on January 24, 2024, by State Street Corporation, State Street Financial Center, 1 Congress Street, Suite 1, Boston, MA 02114-2016. The Schedule 13G/A indicates that State Street Corporation has sole voting power with respect to none of the shares, shared voting power with respect to 3,108,207 shares, sole dispositive power with respect to none of the shares and shared dispositive power with respect to 3,392,412 shares.</w:t>
      </w:r>
    </w:p>
    <w:p>
      <w:pPr>
        <w:spacing w:after="0" w:line="10" w:lineRule="exact"/>
        <w:rPr>
          <w:rFonts w:ascii="Arial" w:cs="Arial" w:eastAsia="Arial" w:hAnsi="Arial"/>
          <w:sz w:val="14"/>
          <w:szCs w:val="14"/>
          <w:color w:val="4D4D4F"/>
        </w:rPr>
      </w:pPr>
    </w:p>
    <w:p>
      <w:pPr>
        <w:ind w:left="480" w:right="60" w:hanging="330"/>
        <w:spacing w:after="0" w:line="273" w:lineRule="auto"/>
        <w:tabs>
          <w:tab w:leader="none" w:pos="478"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Based on information contained in a Schedule 13G, as filed with the SEC on February 9, 2024, by Invesco Ltd., 1331 Spring Street NW, Suite 2500, Atlanta, GA 30309. The Schedule 13G indicates that Invesco Ltd. has sole voting power with respect to 3,243,932 shares and sole dispositive power with respect to all of the beneficially owned shares.</w:t>
      </w:r>
    </w:p>
    <w:p>
      <w:pPr>
        <w:spacing w:after="0" w:line="17" w:lineRule="exact"/>
        <w:rPr>
          <w:rFonts w:ascii="Arial" w:cs="Arial" w:eastAsia="Arial" w:hAnsi="Arial"/>
          <w:sz w:val="14"/>
          <w:szCs w:val="14"/>
          <w:color w:val="4D4D4F"/>
        </w:rPr>
      </w:pPr>
    </w:p>
    <w:p>
      <w:pPr>
        <w:ind w:left="480" w:right="40" w:hanging="330"/>
        <w:spacing w:after="0" w:line="269" w:lineRule="auto"/>
        <w:tabs>
          <w:tab w:leader="none" w:pos="478"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This amount includes 1,340 shares of common stock that are indirectly held by Mr. Kasbar’s spouse. This amount includes 13,934 shares of common stock issuable pursuant to the settlement of SSARs that are exercisable within 60 days of the Reporting Date. This amount excludes 154,904 RSUs that have not yet vested. Pursuant to the terms of the agreements governing these equity awards, Mr. Kasbar has contractually agreed not to exercise any voting rights with respect to the shares prior to vesting. This amount also includes 403,784 shares that were pledged as collateral for a personal loan.</w:t>
      </w:r>
    </w:p>
    <w:p>
      <w:pPr>
        <w:spacing w:after="0" w:line="20" w:lineRule="exact"/>
        <w:rPr>
          <w:rFonts w:ascii="Arial" w:cs="Arial" w:eastAsia="Arial" w:hAnsi="Arial"/>
          <w:sz w:val="14"/>
          <w:szCs w:val="14"/>
          <w:color w:val="4D4D4F"/>
        </w:rPr>
      </w:pPr>
    </w:p>
    <w:p>
      <w:pPr>
        <w:ind w:left="480" w:right="440" w:hanging="330"/>
        <w:spacing w:after="0" w:line="301" w:lineRule="auto"/>
        <w:tabs>
          <w:tab w:leader="none" w:pos="478"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This amount excludes 56,262 RSUs that have not yet vested. Pursuant to the terms of the agreements governing these equity awards, Mr. Birns has contractually agreed not to exercise any voting rights with respect to the shares prior to vesting.</w:t>
      </w:r>
    </w:p>
    <w:p>
      <w:pPr>
        <w:spacing w:after="0" w:line="1" w:lineRule="exact"/>
        <w:rPr>
          <w:rFonts w:ascii="Arial" w:cs="Arial" w:eastAsia="Arial" w:hAnsi="Arial"/>
          <w:sz w:val="14"/>
          <w:szCs w:val="14"/>
          <w:color w:val="4D4D4F"/>
        </w:rPr>
      </w:pPr>
    </w:p>
    <w:p>
      <w:pPr>
        <w:ind w:left="480" w:hanging="330"/>
        <w:spacing w:after="0" w:line="291" w:lineRule="auto"/>
        <w:tabs>
          <w:tab w:leader="none" w:pos="477"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This amount excludes 52,672 RSUs that have not yet vested. Pursuant to the terms of the agreements governing these equity awards, Mr. Rau has contractually agreed not to exercise any voting rights with respect to the shares prior to vesting.</w:t>
      </w:r>
    </w:p>
    <w:p>
      <w:pPr>
        <w:spacing w:after="0" w:line="1" w:lineRule="exact"/>
        <w:rPr>
          <w:rFonts w:ascii="Arial" w:cs="Arial" w:eastAsia="Arial" w:hAnsi="Arial"/>
          <w:sz w:val="14"/>
          <w:szCs w:val="14"/>
          <w:color w:val="4D4D4F"/>
        </w:rPr>
      </w:pPr>
    </w:p>
    <w:p>
      <w:pPr>
        <w:ind w:left="480" w:right="40" w:hanging="330"/>
        <w:spacing w:after="0" w:line="283" w:lineRule="auto"/>
        <w:tabs>
          <w:tab w:leader="none" w:pos="467"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This amount includes 39,166 shares of common stock issuable pursuant to the settlement of RSUs and deferred stock units that are vested or will vest within 60 days of the Reporting Date. Upon settlement, 9,496 shares will be delivered to Mr. Bakshi in May 2024, 8,305 shares will be delivered in June 2024, 4,686 shares will be delivered in May 2025, and 16,679 shares will be delivered upon his departure from the Board.</w:t>
      </w:r>
    </w:p>
    <w:p>
      <w:pPr>
        <w:spacing w:after="0" w:line="10" w:lineRule="exact"/>
        <w:rPr>
          <w:rFonts w:ascii="Arial" w:cs="Arial" w:eastAsia="Arial" w:hAnsi="Arial"/>
          <w:sz w:val="14"/>
          <w:szCs w:val="14"/>
          <w:color w:val="4D4D4F"/>
        </w:rPr>
      </w:pPr>
    </w:p>
    <w:p>
      <w:pPr>
        <w:ind w:left="480" w:right="20" w:hanging="330"/>
        <w:spacing w:after="0" w:line="291" w:lineRule="auto"/>
        <w:tabs>
          <w:tab w:leader="none" w:pos="477"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This amount includes 8,305 shares of common stock issuable pursuant to the settlement of RSUs that are vested or will vest within 60 days of the Reporting Date. Upon settlement of the RSUs, the shares will be delivered to Mr. Benitez in June 2024.</w:t>
      </w:r>
    </w:p>
    <w:p>
      <w:pPr>
        <w:spacing w:after="0" w:line="1" w:lineRule="exact"/>
        <w:rPr>
          <w:rFonts w:ascii="Arial" w:cs="Arial" w:eastAsia="Arial" w:hAnsi="Arial"/>
          <w:sz w:val="14"/>
          <w:szCs w:val="14"/>
          <w:color w:val="4D4D4F"/>
        </w:rPr>
      </w:pPr>
    </w:p>
    <w:p>
      <w:pPr>
        <w:ind w:left="480" w:right="20" w:hanging="330"/>
        <w:spacing w:after="0" w:line="301" w:lineRule="auto"/>
        <w:tabs>
          <w:tab w:leader="none" w:pos="477"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This amount includes 7,454 shares of common stock issuable pursuant to the settlement of RSUs that are vested or will vest within 60 days of the Reporting Date. Upon settlement of the RSUs, the shares will be delivered to Ms. Cherwoo in June 2024.</w:t>
      </w:r>
    </w:p>
    <w:p>
      <w:pPr>
        <w:spacing w:after="0" w:line="1" w:lineRule="exact"/>
        <w:rPr>
          <w:rFonts w:ascii="Arial" w:cs="Arial" w:eastAsia="Arial" w:hAnsi="Arial"/>
          <w:sz w:val="14"/>
          <w:szCs w:val="14"/>
          <w:color w:val="4D4D4F"/>
        </w:rPr>
      </w:pPr>
    </w:p>
    <w:p>
      <w:pPr>
        <w:ind w:left="480" w:right="320" w:hanging="330"/>
        <w:spacing w:after="0" w:line="301" w:lineRule="auto"/>
        <w:tabs>
          <w:tab w:leader="none" w:pos="477"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This amount includes 24,133 shares of common stock issuable pursuant to the settlement of RSUs that are vested or will vest within 60 days of the Reporting Date. Upon settlement of the RSUs, 7,454 shares will be delivered to Mr. Kassar in June 2024 and 16,679 shares will be delivered upon his departure from the Board.</w:t>
      </w:r>
    </w:p>
    <w:p>
      <w:pPr>
        <w:spacing w:after="0" w:line="1" w:lineRule="exact"/>
        <w:rPr>
          <w:rFonts w:ascii="Arial" w:cs="Arial" w:eastAsia="Arial" w:hAnsi="Arial"/>
          <w:sz w:val="14"/>
          <w:szCs w:val="14"/>
          <w:color w:val="4D4D4F"/>
        </w:rPr>
      </w:pPr>
    </w:p>
    <w:p>
      <w:pPr>
        <w:ind w:left="480" w:right="20" w:hanging="330"/>
        <w:spacing w:after="0" w:line="285" w:lineRule="auto"/>
        <w:tabs>
          <w:tab w:leader="none" w:pos="477"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This amount includes 9,841 shares of common stock issuable pursuant to the settlement of RSUs that are vested or will vest within 60 days of the Reporting Date. Upon settlement of the RSUs, 8,092 shares will be delivered to Mr. Manley in June 2024 and 1,749 shares will be delivered upon his departure from the Board.</w:t>
      </w:r>
    </w:p>
    <w:p>
      <w:pPr>
        <w:spacing w:after="0" w:line="9" w:lineRule="exact"/>
        <w:rPr>
          <w:rFonts w:ascii="Arial" w:cs="Arial" w:eastAsia="Arial" w:hAnsi="Arial"/>
          <w:sz w:val="14"/>
          <w:szCs w:val="14"/>
          <w:color w:val="4D4D4F"/>
        </w:rPr>
      </w:pPr>
    </w:p>
    <w:p>
      <w:pPr>
        <w:ind w:left="480" w:right="160" w:hanging="330"/>
        <w:spacing w:after="0" w:line="301" w:lineRule="auto"/>
        <w:tabs>
          <w:tab w:leader="none" w:pos="477"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This amount includes 24,559 shares of common stock issuable pursuant to the settlement of RSUs that are vested or will vest within 60 days of the Reporting Date. Upon settlement of the RSUs, 7,880 shares will be delivered to Mr. Roddenberry in June 2024 and 16,679 shares will be delivered upon his departure from the Board.</w:t>
      </w:r>
    </w:p>
    <w:p>
      <w:pPr>
        <w:spacing w:after="0" w:line="1" w:lineRule="exact"/>
        <w:rPr>
          <w:rFonts w:ascii="Arial" w:cs="Arial" w:eastAsia="Arial" w:hAnsi="Arial"/>
          <w:sz w:val="14"/>
          <w:szCs w:val="14"/>
          <w:color w:val="4D4D4F"/>
        </w:rPr>
      </w:pPr>
    </w:p>
    <w:p>
      <w:pPr>
        <w:ind w:left="480" w:right="240" w:hanging="330"/>
        <w:spacing w:after="0" w:line="285" w:lineRule="auto"/>
        <w:tabs>
          <w:tab w:leader="none" w:pos="477"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This amount represents 7,454 shares of common stock issuable pursuant to the settlement of RSUs that are vested or will vest within 60 days of the Reporting Date. Upon settlement of the RSUs, the shares will be delivered to Ms. Smart in June 2024.</w:t>
      </w:r>
    </w:p>
    <w:p>
      <w:pPr>
        <w:spacing w:after="0" w:line="9" w:lineRule="exact"/>
        <w:rPr>
          <w:rFonts w:ascii="Arial" w:cs="Arial" w:eastAsia="Arial" w:hAnsi="Arial"/>
          <w:sz w:val="14"/>
          <w:szCs w:val="14"/>
          <w:color w:val="4D4D4F"/>
        </w:rPr>
      </w:pPr>
    </w:p>
    <w:p>
      <w:pPr>
        <w:ind w:left="480" w:right="20" w:hanging="330"/>
        <w:spacing w:after="0" w:line="283" w:lineRule="auto"/>
        <w:tabs>
          <w:tab w:leader="none" w:pos="477"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This amount includes 7,028 shares of common stock issuable pursuant to the settlement of RSUs that are vested or will vest within 60 days of the Reporting Date. Upon settlement of the RSUs, the shares will be delivered to Mr. Stebbins in June 2024. Reflects 72,326 shares of common stock held by an irrevocable trust for which Mr. Stebbins serves as trustee, and 35,375 shares held by a revocable trust for which Mr. Stebbins’ spouse is the trustee.</w:t>
      </w:r>
    </w:p>
    <w:p>
      <w:pPr>
        <w:spacing w:after="0" w:line="10" w:lineRule="exact"/>
        <w:rPr>
          <w:rFonts w:ascii="Arial" w:cs="Arial" w:eastAsia="Arial" w:hAnsi="Arial"/>
          <w:sz w:val="14"/>
          <w:szCs w:val="14"/>
          <w:color w:val="4D4D4F"/>
        </w:rPr>
      </w:pPr>
    </w:p>
    <w:p>
      <w:pPr>
        <w:ind w:left="480" w:right="240" w:hanging="330"/>
        <w:spacing w:after="0" w:line="285" w:lineRule="auto"/>
        <w:tabs>
          <w:tab w:leader="none" w:pos="477" w:val="left"/>
        </w:tabs>
        <w:numPr>
          <w:ilvl w:val="0"/>
          <w:numId w:val="122"/>
        </w:numPr>
        <w:rPr>
          <w:rFonts w:ascii="Arial" w:cs="Arial" w:eastAsia="Arial" w:hAnsi="Arial"/>
          <w:sz w:val="14"/>
          <w:szCs w:val="14"/>
          <w:color w:val="4D4D4F"/>
        </w:rPr>
      </w:pPr>
      <w:r>
        <w:rPr>
          <w:rFonts w:ascii="Arial" w:cs="Arial" w:eastAsia="Arial" w:hAnsi="Arial"/>
          <w:sz w:val="14"/>
          <w:szCs w:val="14"/>
          <w:color w:val="4D4D4F"/>
        </w:rPr>
        <w:t>This amount includes an aggregate of 141,874 shares issuable pursuant to RSUs, SSARs and deferred stock units that vested, will vest, or are exercisable within 60 days of the Reporting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1323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0" w:hanging="534"/>
        <w:spacing w:after="0"/>
        <w:tabs>
          <w:tab w:leader="none" w:pos="540" w:val="left"/>
        </w:tabs>
        <w:numPr>
          <w:ilvl w:val="0"/>
          <w:numId w:val="123"/>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139700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279" w:right="379" w:bottom="1440" w:gutter="0" w:footer="0" w:header="0"/>
        </w:sectPr>
      </w:pPr>
    </w:p>
    <w:bookmarkStart w:id="81" w:name="page82"/>
    <w:bookmarkEnd w:id="81"/>
    <w:p>
      <w:pPr>
        <w:ind w:left="20"/>
        <w:spacing w:after="0"/>
        <w:rPr>
          <w:sz w:val="20"/>
          <w:szCs w:val="20"/>
          <w:color w:val="auto"/>
        </w:rPr>
      </w:pPr>
      <w:r>
        <w:rPr>
          <w:rFonts w:ascii="Arial" w:cs="Arial" w:eastAsia="Arial" w:hAnsi="Arial"/>
          <w:sz w:val="14"/>
          <w:szCs w:val="14"/>
          <w:b w:val="1"/>
          <w:bCs w:val="1"/>
          <w:color w:val="5B6770"/>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Equity Compensation Plan Information</w:t>
      </w:r>
    </w:p>
    <w:p>
      <w:pPr>
        <w:spacing w:after="0" w:line="155"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4D4D4F"/>
        </w:rPr>
        <w:t>As of December 31, 2023, we had equity awards outstanding under our 2021 Plan and its predecessor equity plans. Only our 2021 Plan is authorized for future issuance of equity awards.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60" w:type="dxa"/>
            <w:vAlign w:val="bottom"/>
          </w:tcPr>
          <w:p>
            <w:pPr>
              <w:spacing w:after="0"/>
              <w:rPr>
                <w:sz w:val="19"/>
                <w:szCs w:val="19"/>
                <w:color w:val="auto"/>
              </w:rPr>
            </w:pPr>
          </w:p>
        </w:tc>
        <w:tc>
          <w:tcPr>
            <w:tcW w:w="8580" w:type="dxa"/>
            <w:vAlign w:val="bottom"/>
            <w:gridSpan w:val="4"/>
            <w:shd w:val="clear" w:color="auto" w:fill="578EB1"/>
          </w:tcPr>
          <w:p>
            <w:pPr>
              <w:jc w:val="right"/>
              <w:ind w:right="2088"/>
              <w:spacing w:after="0"/>
              <w:rPr>
                <w:sz w:val="20"/>
                <w:szCs w:val="20"/>
                <w:color w:val="auto"/>
              </w:rPr>
            </w:pPr>
            <w:r>
              <w:rPr>
                <w:rFonts w:ascii="Arial" w:cs="Arial" w:eastAsia="Arial" w:hAnsi="Arial"/>
                <w:sz w:val="14"/>
                <w:szCs w:val="14"/>
                <w:b w:val="1"/>
                <w:bCs w:val="1"/>
                <w:color w:val="FFFFFF"/>
              </w:rPr>
              <w:t>Equity Compensation Plan Information as of December 31, 2023</w:t>
            </w:r>
          </w:p>
        </w:tc>
        <w:tc>
          <w:tcPr>
            <w:tcW w:w="0" w:type="dxa"/>
            <w:vAlign w:val="bottom"/>
          </w:tcPr>
          <w:p>
            <w:pPr>
              <w:spacing w:after="0"/>
              <w:rPr>
                <w:sz w:val="1"/>
                <w:szCs w:val="1"/>
                <w:color w:val="auto"/>
              </w:rPr>
            </w:pPr>
          </w:p>
        </w:tc>
      </w:tr>
      <w:tr>
        <w:trPr>
          <w:trHeight w:val="186"/>
        </w:trPr>
        <w:tc>
          <w:tcPr>
            <w:tcW w:w="2660" w:type="dxa"/>
            <w:vAlign w:val="bottom"/>
            <w:shd w:val="clear" w:color="auto" w:fill="132440"/>
          </w:tcPr>
          <w:p>
            <w:pPr>
              <w:spacing w:after="0"/>
              <w:rPr>
                <w:sz w:val="16"/>
                <w:szCs w:val="16"/>
                <w:color w:val="auto"/>
              </w:rPr>
            </w:pPr>
          </w:p>
        </w:tc>
        <w:tc>
          <w:tcPr>
            <w:tcW w:w="2720" w:type="dxa"/>
            <w:vAlign w:val="bottom"/>
            <w:shd w:val="clear" w:color="auto" w:fill="132440"/>
          </w:tcPr>
          <w:p>
            <w:pPr>
              <w:jc w:val="right"/>
              <w:ind w:right="28"/>
              <w:spacing w:after="0"/>
              <w:rPr>
                <w:sz w:val="20"/>
                <w:szCs w:val="20"/>
                <w:color w:val="auto"/>
              </w:rPr>
            </w:pPr>
            <w:r>
              <w:rPr>
                <w:rFonts w:ascii="Arial" w:cs="Arial" w:eastAsia="Arial" w:hAnsi="Arial"/>
                <w:sz w:val="14"/>
                <w:szCs w:val="14"/>
                <w:b w:val="1"/>
                <w:bCs w:val="1"/>
                <w:color w:val="FFFFFF"/>
              </w:rPr>
              <w:t>Number of Securities to be Issued</w:t>
            </w:r>
          </w:p>
        </w:tc>
        <w:tc>
          <w:tcPr>
            <w:tcW w:w="1600" w:type="dxa"/>
            <w:vAlign w:val="bottom"/>
            <w:shd w:val="clear" w:color="auto" w:fill="132440"/>
          </w:tcPr>
          <w:p>
            <w:pPr>
              <w:spacing w:after="0"/>
              <w:rPr>
                <w:sz w:val="16"/>
                <w:szCs w:val="16"/>
                <w:color w:val="auto"/>
              </w:rPr>
            </w:pPr>
          </w:p>
        </w:tc>
        <w:tc>
          <w:tcPr>
            <w:tcW w:w="800" w:type="dxa"/>
            <w:vAlign w:val="bottom"/>
            <w:shd w:val="clear" w:color="auto" w:fill="132440"/>
          </w:tcPr>
          <w:p>
            <w:pPr>
              <w:spacing w:after="0"/>
              <w:rPr>
                <w:sz w:val="16"/>
                <w:szCs w:val="16"/>
                <w:color w:val="auto"/>
              </w:rPr>
            </w:pPr>
          </w:p>
        </w:tc>
        <w:tc>
          <w:tcPr>
            <w:tcW w:w="346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Number of Securities Remaining Available for</w:t>
            </w:r>
          </w:p>
        </w:tc>
        <w:tc>
          <w:tcPr>
            <w:tcW w:w="0" w:type="dxa"/>
            <w:vAlign w:val="bottom"/>
          </w:tcPr>
          <w:p>
            <w:pPr>
              <w:spacing w:after="0"/>
              <w:rPr>
                <w:sz w:val="1"/>
                <w:szCs w:val="1"/>
                <w:color w:val="auto"/>
              </w:rPr>
            </w:pPr>
          </w:p>
        </w:tc>
      </w:tr>
      <w:tr>
        <w:trPr>
          <w:trHeight w:val="175"/>
        </w:trPr>
        <w:tc>
          <w:tcPr>
            <w:tcW w:w="2660" w:type="dxa"/>
            <w:vAlign w:val="bottom"/>
            <w:shd w:val="clear" w:color="auto" w:fill="132440"/>
          </w:tcPr>
          <w:p>
            <w:pPr>
              <w:spacing w:after="0"/>
              <w:rPr>
                <w:sz w:val="15"/>
                <w:szCs w:val="15"/>
                <w:color w:val="auto"/>
              </w:rPr>
            </w:pPr>
          </w:p>
        </w:tc>
        <w:tc>
          <w:tcPr>
            <w:tcW w:w="2720" w:type="dxa"/>
            <w:vAlign w:val="bottom"/>
            <w:shd w:val="clear" w:color="auto" w:fill="132440"/>
          </w:tcPr>
          <w:p>
            <w:pPr>
              <w:jc w:val="right"/>
              <w:ind w:right="28"/>
              <w:spacing w:after="0"/>
              <w:rPr>
                <w:sz w:val="20"/>
                <w:szCs w:val="20"/>
                <w:color w:val="auto"/>
              </w:rPr>
            </w:pPr>
            <w:r>
              <w:rPr>
                <w:rFonts w:ascii="Arial" w:cs="Arial" w:eastAsia="Arial" w:hAnsi="Arial"/>
                <w:sz w:val="14"/>
                <w:szCs w:val="14"/>
                <w:b w:val="1"/>
                <w:bCs w:val="1"/>
                <w:color w:val="FFFFFF"/>
              </w:rPr>
              <w:t>Upon Exercise of Outstanding</w:t>
            </w:r>
          </w:p>
        </w:tc>
        <w:tc>
          <w:tcPr>
            <w:tcW w:w="2400" w:type="dxa"/>
            <w:vAlign w:val="bottom"/>
            <w:gridSpan w:val="2"/>
            <w:shd w:val="clear" w:color="auto" w:fill="132440"/>
          </w:tcPr>
          <w:p>
            <w:pPr>
              <w:jc w:val="right"/>
              <w:spacing w:after="0"/>
              <w:rPr>
                <w:sz w:val="20"/>
                <w:szCs w:val="20"/>
                <w:color w:val="auto"/>
              </w:rPr>
            </w:pPr>
            <w:r>
              <w:rPr>
                <w:rFonts w:ascii="Arial" w:cs="Arial" w:eastAsia="Arial" w:hAnsi="Arial"/>
                <w:sz w:val="14"/>
                <w:szCs w:val="14"/>
                <w:b w:val="1"/>
                <w:bCs w:val="1"/>
                <w:color w:val="FFFFFF"/>
              </w:rPr>
              <w:t>Weighted Average Exercise Price</w:t>
            </w:r>
          </w:p>
        </w:tc>
        <w:tc>
          <w:tcPr>
            <w:tcW w:w="346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Future Issuance Under Equity Compensation</w:t>
            </w:r>
          </w:p>
        </w:tc>
        <w:tc>
          <w:tcPr>
            <w:tcW w:w="0" w:type="dxa"/>
            <w:vAlign w:val="bottom"/>
          </w:tcPr>
          <w:p>
            <w:pPr>
              <w:spacing w:after="0"/>
              <w:rPr>
                <w:sz w:val="1"/>
                <w:szCs w:val="1"/>
                <w:color w:val="auto"/>
              </w:rPr>
            </w:pPr>
          </w:p>
        </w:tc>
      </w:tr>
      <w:tr>
        <w:trPr>
          <w:trHeight w:val="173"/>
        </w:trPr>
        <w:tc>
          <w:tcPr>
            <w:tcW w:w="2660" w:type="dxa"/>
            <w:vAlign w:val="bottom"/>
            <w:shd w:val="clear" w:color="auto" w:fill="132440"/>
          </w:tcPr>
          <w:p>
            <w:pPr>
              <w:spacing w:after="0"/>
              <w:rPr>
                <w:sz w:val="15"/>
                <w:szCs w:val="15"/>
                <w:color w:val="auto"/>
              </w:rPr>
            </w:pPr>
          </w:p>
        </w:tc>
        <w:tc>
          <w:tcPr>
            <w:tcW w:w="2720" w:type="dxa"/>
            <w:vAlign w:val="bottom"/>
            <w:shd w:val="clear" w:color="auto" w:fill="132440"/>
          </w:tcPr>
          <w:p>
            <w:pPr>
              <w:jc w:val="right"/>
              <w:ind w:right="28"/>
              <w:spacing w:after="0"/>
              <w:rPr>
                <w:sz w:val="20"/>
                <w:szCs w:val="20"/>
                <w:color w:val="auto"/>
              </w:rPr>
            </w:pPr>
            <w:r>
              <w:rPr>
                <w:rFonts w:ascii="Arial" w:cs="Arial" w:eastAsia="Arial" w:hAnsi="Arial"/>
                <w:sz w:val="14"/>
                <w:szCs w:val="14"/>
                <w:b w:val="1"/>
                <w:bCs w:val="1"/>
                <w:color w:val="FFFFFF"/>
              </w:rPr>
              <w:t>Options, SSARs, Warrants and</w:t>
            </w:r>
          </w:p>
        </w:tc>
        <w:tc>
          <w:tcPr>
            <w:tcW w:w="2400" w:type="dxa"/>
            <w:vAlign w:val="bottom"/>
            <w:gridSpan w:val="2"/>
            <w:shd w:val="clear" w:color="auto" w:fill="132440"/>
          </w:tcPr>
          <w:p>
            <w:pPr>
              <w:jc w:val="right"/>
              <w:spacing w:after="0"/>
              <w:rPr>
                <w:sz w:val="20"/>
                <w:szCs w:val="20"/>
                <w:color w:val="auto"/>
              </w:rPr>
            </w:pPr>
            <w:r>
              <w:rPr>
                <w:rFonts w:ascii="Arial" w:cs="Arial" w:eastAsia="Arial" w:hAnsi="Arial"/>
                <w:sz w:val="14"/>
                <w:szCs w:val="14"/>
                <w:b w:val="1"/>
                <w:bCs w:val="1"/>
                <w:color w:val="FFFFFF"/>
              </w:rPr>
              <w:t>of Outstanding Options, SSARs,</w:t>
            </w:r>
          </w:p>
        </w:tc>
        <w:tc>
          <w:tcPr>
            <w:tcW w:w="346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Plans (Excluding Securities Reflected in column</w:t>
            </w:r>
          </w:p>
        </w:tc>
        <w:tc>
          <w:tcPr>
            <w:tcW w:w="0" w:type="dxa"/>
            <w:vAlign w:val="bottom"/>
          </w:tcPr>
          <w:p>
            <w:pPr>
              <w:spacing w:after="0"/>
              <w:rPr>
                <w:sz w:val="1"/>
                <w:szCs w:val="1"/>
                <w:color w:val="auto"/>
              </w:rPr>
            </w:pPr>
          </w:p>
        </w:tc>
      </w:tr>
      <w:tr>
        <w:trPr>
          <w:trHeight w:val="178"/>
        </w:trPr>
        <w:tc>
          <w:tcPr>
            <w:tcW w:w="2660" w:type="dxa"/>
            <w:vAlign w:val="bottom"/>
            <w:shd w:val="clear" w:color="auto" w:fill="132440"/>
          </w:tcPr>
          <w:p>
            <w:pPr>
              <w:spacing w:after="0"/>
              <w:rPr>
                <w:sz w:val="15"/>
                <w:szCs w:val="15"/>
                <w:color w:val="auto"/>
              </w:rPr>
            </w:pPr>
          </w:p>
        </w:tc>
        <w:tc>
          <w:tcPr>
            <w:tcW w:w="2720" w:type="dxa"/>
            <w:vAlign w:val="bottom"/>
            <w:shd w:val="clear" w:color="auto" w:fill="132440"/>
          </w:tcPr>
          <w:p>
            <w:pPr>
              <w:jc w:val="right"/>
              <w:ind w:right="28"/>
              <w:spacing w:after="0" w:line="178" w:lineRule="exact"/>
              <w:rPr>
                <w:sz w:val="20"/>
                <w:szCs w:val="20"/>
                <w:color w:val="auto"/>
              </w:rPr>
            </w:pPr>
            <w:r>
              <w:rPr>
                <w:rFonts w:ascii="Arial" w:cs="Arial" w:eastAsia="Arial" w:hAnsi="Arial"/>
                <w:sz w:val="14"/>
                <w:szCs w:val="14"/>
                <w:b w:val="1"/>
                <w:bCs w:val="1"/>
                <w:color w:val="FFFFFF"/>
              </w:rPr>
              <w:t>Rights</w:t>
            </w:r>
            <w:r>
              <w:rPr>
                <w:rFonts w:ascii="Arial" w:cs="Arial" w:eastAsia="Arial" w:hAnsi="Arial"/>
                <w:sz w:val="18"/>
                <w:szCs w:val="18"/>
                <w:b w:val="1"/>
                <w:bCs w:val="1"/>
                <w:color w:val="FFFFFF"/>
                <w:vertAlign w:val="superscript"/>
              </w:rPr>
              <w:t>(1)</w:t>
            </w:r>
          </w:p>
        </w:tc>
        <w:tc>
          <w:tcPr>
            <w:tcW w:w="2400" w:type="dxa"/>
            <w:vAlign w:val="bottom"/>
            <w:gridSpan w:val="2"/>
            <w:shd w:val="clear" w:color="auto" w:fill="132440"/>
          </w:tcPr>
          <w:p>
            <w:pPr>
              <w:jc w:val="right"/>
              <w:spacing w:after="0"/>
              <w:rPr>
                <w:sz w:val="20"/>
                <w:szCs w:val="20"/>
                <w:color w:val="auto"/>
              </w:rPr>
            </w:pPr>
            <w:r>
              <w:rPr>
                <w:rFonts w:ascii="Arial" w:cs="Arial" w:eastAsia="Arial" w:hAnsi="Arial"/>
                <w:sz w:val="14"/>
                <w:szCs w:val="14"/>
                <w:b w:val="1"/>
                <w:bCs w:val="1"/>
                <w:color w:val="FFFFFF"/>
              </w:rPr>
              <w:t>Warrants and Rights</w:t>
            </w:r>
            <w:r>
              <w:rPr>
                <w:rFonts w:ascii="Arial" w:cs="Arial" w:eastAsia="Arial" w:hAnsi="Arial"/>
                <w:sz w:val="9"/>
                <w:szCs w:val="9"/>
                <w:b w:val="1"/>
                <w:bCs w:val="1"/>
                <w:color w:val="FFFFFF"/>
              </w:rPr>
              <w:t>(2)</w:t>
            </w:r>
          </w:p>
        </w:tc>
        <w:tc>
          <w:tcPr>
            <w:tcW w:w="346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(a))</w:t>
            </w:r>
          </w:p>
        </w:tc>
        <w:tc>
          <w:tcPr>
            <w:tcW w:w="0" w:type="dxa"/>
            <w:vAlign w:val="bottom"/>
          </w:tcPr>
          <w:p>
            <w:pPr>
              <w:spacing w:after="0"/>
              <w:rPr>
                <w:sz w:val="1"/>
                <w:szCs w:val="1"/>
                <w:color w:val="auto"/>
              </w:rPr>
            </w:pPr>
          </w:p>
        </w:tc>
      </w:tr>
      <w:tr>
        <w:trPr>
          <w:trHeight w:val="212"/>
        </w:trPr>
        <w:tc>
          <w:tcPr>
            <w:tcW w:w="2660" w:type="dxa"/>
            <w:vAlign w:val="bottom"/>
            <w:shd w:val="clear" w:color="auto" w:fill="132440"/>
          </w:tcPr>
          <w:p>
            <w:pPr>
              <w:spacing w:after="0"/>
              <w:rPr>
                <w:sz w:val="18"/>
                <w:szCs w:val="18"/>
                <w:color w:val="auto"/>
              </w:rPr>
            </w:pPr>
          </w:p>
        </w:tc>
        <w:tc>
          <w:tcPr>
            <w:tcW w:w="2720" w:type="dxa"/>
            <w:vAlign w:val="bottom"/>
            <w:shd w:val="clear" w:color="auto" w:fill="132440"/>
          </w:tcPr>
          <w:p>
            <w:pPr>
              <w:jc w:val="right"/>
              <w:ind w:right="28"/>
              <w:spacing w:after="0"/>
              <w:rPr>
                <w:sz w:val="20"/>
                <w:szCs w:val="20"/>
                <w:color w:val="auto"/>
              </w:rPr>
            </w:pPr>
            <w:r>
              <w:rPr>
                <w:rFonts w:ascii="Arial" w:cs="Arial" w:eastAsia="Arial" w:hAnsi="Arial"/>
                <w:sz w:val="14"/>
                <w:szCs w:val="14"/>
                <w:b w:val="1"/>
                <w:bCs w:val="1"/>
                <w:color w:val="FFFFFF"/>
              </w:rPr>
              <w:t>($M)</w:t>
            </w:r>
          </w:p>
        </w:tc>
        <w:tc>
          <w:tcPr>
            <w:tcW w:w="1600" w:type="dxa"/>
            <w:vAlign w:val="bottom"/>
            <w:shd w:val="clear" w:color="auto" w:fill="132440"/>
          </w:tcPr>
          <w:p>
            <w:pPr>
              <w:spacing w:after="0"/>
              <w:rPr>
                <w:sz w:val="18"/>
                <w:szCs w:val="18"/>
                <w:color w:val="auto"/>
              </w:rPr>
            </w:pPr>
          </w:p>
        </w:tc>
        <w:tc>
          <w:tcPr>
            <w:tcW w:w="80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346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132440"/>
            </w:tcBorders>
          </w:tcPr>
          <w:p>
            <w:pPr>
              <w:spacing w:after="0"/>
              <w:rPr>
                <w:sz w:val="19"/>
                <w:szCs w:val="19"/>
                <w:color w:val="auto"/>
              </w:rPr>
            </w:pPr>
          </w:p>
        </w:tc>
        <w:tc>
          <w:tcPr>
            <w:tcW w:w="2720" w:type="dxa"/>
            <w:vAlign w:val="bottom"/>
            <w:tcBorders>
              <w:bottom w:val="single" w:sz="8" w:color="132440"/>
            </w:tcBorders>
          </w:tcPr>
          <w:p>
            <w:pPr>
              <w:jc w:val="right"/>
              <w:ind w:right="28"/>
              <w:spacing w:after="0"/>
              <w:rPr>
                <w:sz w:val="20"/>
                <w:szCs w:val="20"/>
                <w:color w:val="auto"/>
              </w:rPr>
            </w:pPr>
            <w:r>
              <w:rPr>
                <w:rFonts w:ascii="Arial" w:cs="Arial" w:eastAsia="Arial" w:hAnsi="Arial"/>
                <w:sz w:val="14"/>
                <w:szCs w:val="14"/>
                <w:b w:val="1"/>
                <w:bCs w:val="1"/>
                <w:color w:val="132440"/>
              </w:rPr>
              <w:t>(a)</w:t>
            </w:r>
          </w:p>
        </w:tc>
        <w:tc>
          <w:tcPr>
            <w:tcW w:w="1600" w:type="dxa"/>
            <w:vAlign w:val="bottom"/>
            <w:tcBorders>
              <w:bottom w:val="single" w:sz="8" w:color="132440"/>
            </w:tcBorders>
          </w:tcPr>
          <w:p>
            <w:pPr>
              <w:spacing w:after="0"/>
              <w:rPr>
                <w:sz w:val="19"/>
                <w:szCs w:val="19"/>
                <w:color w:val="auto"/>
              </w:rPr>
            </w:pPr>
          </w:p>
        </w:tc>
        <w:tc>
          <w:tcPr>
            <w:tcW w:w="800" w:type="dxa"/>
            <w:vAlign w:val="bottom"/>
            <w:tcBorders>
              <w:bottom w:val="single" w:sz="8" w:color="132440"/>
            </w:tcBorders>
          </w:tcPr>
          <w:p>
            <w:pPr>
              <w:jc w:val="right"/>
              <w:spacing w:after="0"/>
              <w:rPr>
                <w:sz w:val="20"/>
                <w:szCs w:val="20"/>
                <w:color w:val="auto"/>
              </w:rPr>
            </w:pPr>
            <w:r>
              <w:rPr>
                <w:rFonts w:ascii="Arial" w:cs="Arial" w:eastAsia="Arial" w:hAnsi="Arial"/>
                <w:sz w:val="14"/>
                <w:szCs w:val="14"/>
                <w:b w:val="1"/>
                <w:bCs w:val="1"/>
                <w:color w:val="132440"/>
              </w:rPr>
              <w:t>(b)</w:t>
            </w:r>
          </w:p>
        </w:tc>
        <w:tc>
          <w:tcPr>
            <w:tcW w:w="3460" w:type="dxa"/>
            <w:vAlign w:val="bottom"/>
            <w:tcBorders>
              <w:bottom w:val="single" w:sz="8" w:color="132440"/>
            </w:tcBorders>
          </w:tcPr>
          <w:p>
            <w:pPr>
              <w:jc w:val="right"/>
              <w:ind w:right="48"/>
              <w:spacing w:after="0"/>
              <w:rPr>
                <w:sz w:val="20"/>
                <w:szCs w:val="20"/>
                <w:color w:val="auto"/>
              </w:rPr>
            </w:pPr>
            <w:r>
              <w:rPr>
                <w:rFonts w:ascii="Arial" w:cs="Arial" w:eastAsia="Arial" w:hAnsi="Arial"/>
                <w:sz w:val="14"/>
                <w:szCs w:val="14"/>
                <w:b w:val="1"/>
                <w:bCs w:val="1"/>
                <w:color w:val="132440"/>
              </w:rPr>
              <w:t>(c)</w:t>
            </w:r>
          </w:p>
        </w:tc>
        <w:tc>
          <w:tcPr>
            <w:tcW w:w="0" w:type="dxa"/>
            <w:vAlign w:val="bottom"/>
          </w:tcPr>
          <w:p>
            <w:pPr>
              <w:spacing w:after="0"/>
              <w:rPr>
                <w:sz w:val="1"/>
                <w:szCs w:val="1"/>
                <w:color w:val="auto"/>
              </w:rPr>
            </w:pPr>
          </w:p>
        </w:tc>
      </w:tr>
      <w:tr>
        <w:trPr>
          <w:trHeight w:val="193"/>
        </w:trPr>
        <w:tc>
          <w:tcPr>
            <w:tcW w:w="266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Equity compensation plans approved</w:t>
            </w:r>
          </w:p>
        </w:tc>
        <w:tc>
          <w:tcPr>
            <w:tcW w:w="2720" w:type="dxa"/>
            <w:vAlign w:val="bottom"/>
            <w:vMerge w:val="restart"/>
            <w:shd w:val="clear" w:color="auto" w:fill="EAEEF2"/>
          </w:tcPr>
          <w:p>
            <w:pPr>
              <w:jc w:val="right"/>
              <w:ind w:right="28"/>
              <w:spacing w:after="0"/>
              <w:rPr>
                <w:sz w:val="20"/>
                <w:szCs w:val="20"/>
                <w:color w:val="auto"/>
              </w:rPr>
            </w:pPr>
            <w:r>
              <w:rPr>
                <w:rFonts w:ascii="Arial" w:cs="Arial" w:eastAsia="Arial" w:hAnsi="Arial"/>
                <w:sz w:val="14"/>
                <w:szCs w:val="14"/>
                <w:color w:val="4D4D4F"/>
              </w:rPr>
              <w:t>2.98</w:t>
            </w:r>
          </w:p>
        </w:tc>
        <w:tc>
          <w:tcPr>
            <w:tcW w:w="1600" w:type="dxa"/>
            <w:vAlign w:val="bottom"/>
            <w:vMerge w:val="restart"/>
            <w:shd w:val="clear" w:color="auto" w:fill="EAEEF2"/>
          </w:tcPr>
          <w:p>
            <w:pPr>
              <w:jc w:val="right"/>
              <w:ind w:right="388"/>
              <w:spacing w:after="0"/>
              <w:rPr>
                <w:sz w:val="20"/>
                <w:szCs w:val="20"/>
                <w:color w:val="auto"/>
              </w:rPr>
            </w:pPr>
            <w:r>
              <w:rPr>
                <w:rFonts w:ascii="Arial" w:cs="Arial" w:eastAsia="Arial" w:hAnsi="Arial"/>
                <w:sz w:val="14"/>
                <w:szCs w:val="14"/>
                <w:color w:val="4D4D4F"/>
              </w:rPr>
              <w:t>$</w:t>
            </w:r>
          </w:p>
        </w:tc>
        <w:tc>
          <w:tcPr>
            <w:tcW w:w="800" w:type="dxa"/>
            <w:vAlign w:val="bottom"/>
            <w:vMerge w:val="restart"/>
            <w:shd w:val="clear" w:color="auto" w:fill="EAEEF2"/>
          </w:tcPr>
          <w:p>
            <w:pPr>
              <w:jc w:val="right"/>
              <w:spacing w:after="0"/>
              <w:rPr>
                <w:sz w:val="20"/>
                <w:szCs w:val="20"/>
                <w:color w:val="auto"/>
              </w:rPr>
            </w:pPr>
            <w:r>
              <w:rPr>
                <w:rFonts w:ascii="Arial" w:cs="Arial" w:eastAsia="Arial" w:hAnsi="Arial"/>
                <w:sz w:val="14"/>
                <w:szCs w:val="14"/>
                <w:color w:val="4D4D4F"/>
              </w:rPr>
              <w:t>2.05</w:t>
            </w:r>
          </w:p>
        </w:tc>
        <w:tc>
          <w:tcPr>
            <w:tcW w:w="3460" w:type="dxa"/>
            <w:vAlign w:val="bottom"/>
            <w:vMerge w:val="restart"/>
            <w:shd w:val="clear" w:color="auto" w:fill="EAEEF2"/>
          </w:tcPr>
          <w:p>
            <w:pPr>
              <w:jc w:val="right"/>
              <w:ind w:right="48"/>
              <w:spacing w:after="0"/>
              <w:rPr>
                <w:sz w:val="20"/>
                <w:szCs w:val="20"/>
                <w:color w:val="auto"/>
              </w:rPr>
            </w:pPr>
            <w:r>
              <w:rPr>
                <w:rFonts w:ascii="Arial" w:cs="Arial" w:eastAsia="Arial" w:hAnsi="Arial"/>
                <w:sz w:val="14"/>
                <w:szCs w:val="14"/>
                <w:color w:val="4D4D4F"/>
              </w:rPr>
              <w:t>1.94</w:t>
            </w:r>
          </w:p>
        </w:tc>
        <w:tc>
          <w:tcPr>
            <w:tcW w:w="0" w:type="dxa"/>
            <w:vAlign w:val="bottom"/>
          </w:tcPr>
          <w:p>
            <w:pPr>
              <w:spacing w:after="0"/>
              <w:rPr>
                <w:sz w:val="1"/>
                <w:szCs w:val="1"/>
                <w:color w:val="auto"/>
              </w:rPr>
            </w:pPr>
          </w:p>
        </w:tc>
      </w:tr>
      <w:tr>
        <w:trPr>
          <w:trHeight w:val="109"/>
        </w:trPr>
        <w:tc>
          <w:tcPr>
            <w:tcW w:w="266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by security holders</w:t>
            </w:r>
          </w:p>
        </w:tc>
        <w:tc>
          <w:tcPr>
            <w:tcW w:w="2720" w:type="dxa"/>
            <w:vAlign w:val="bottom"/>
            <w:vMerge w:val="continue"/>
            <w:shd w:val="clear" w:color="auto" w:fill="EAEEF2"/>
          </w:tcPr>
          <w:p>
            <w:pPr>
              <w:spacing w:after="0"/>
              <w:rPr>
                <w:sz w:val="9"/>
                <w:szCs w:val="9"/>
                <w:color w:val="auto"/>
              </w:rPr>
            </w:pPr>
          </w:p>
        </w:tc>
        <w:tc>
          <w:tcPr>
            <w:tcW w:w="1600" w:type="dxa"/>
            <w:vAlign w:val="bottom"/>
            <w:vMerge w:val="continue"/>
            <w:shd w:val="clear" w:color="auto" w:fill="EAEEF2"/>
          </w:tcPr>
          <w:p>
            <w:pPr>
              <w:spacing w:after="0"/>
              <w:rPr>
                <w:sz w:val="9"/>
                <w:szCs w:val="9"/>
                <w:color w:val="auto"/>
              </w:rPr>
            </w:pPr>
          </w:p>
        </w:tc>
        <w:tc>
          <w:tcPr>
            <w:tcW w:w="800" w:type="dxa"/>
            <w:vAlign w:val="bottom"/>
            <w:vMerge w:val="continue"/>
            <w:shd w:val="clear" w:color="auto" w:fill="EAEEF2"/>
          </w:tcPr>
          <w:p>
            <w:pPr>
              <w:spacing w:after="0"/>
              <w:rPr>
                <w:sz w:val="9"/>
                <w:szCs w:val="9"/>
                <w:color w:val="auto"/>
              </w:rPr>
            </w:pPr>
          </w:p>
        </w:tc>
        <w:tc>
          <w:tcPr>
            <w:tcW w:w="3460" w:type="dxa"/>
            <w:vAlign w:val="bottom"/>
            <w:vMerge w:val="continue"/>
            <w:shd w:val="clear" w:color="auto" w:fill="EAEEF2"/>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660" w:type="dxa"/>
            <w:vAlign w:val="bottom"/>
            <w:tcBorders>
              <w:bottom w:val="single" w:sz="8" w:color="EAEEF2"/>
            </w:tcBorders>
            <w:vMerge w:val="continue"/>
            <w:shd w:val="clear" w:color="auto" w:fill="EAEEF2"/>
          </w:tcPr>
          <w:p>
            <w:pPr>
              <w:spacing w:after="0"/>
              <w:rPr>
                <w:sz w:val="8"/>
                <w:szCs w:val="8"/>
                <w:color w:val="auto"/>
              </w:rPr>
            </w:pPr>
          </w:p>
        </w:tc>
        <w:tc>
          <w:tcPr>
            <w:tcW w:w="2720" w:type="dxa"/>
            <w:vAlign w:val="bottom"/>
            <w:tcBorders>
              <w:bottom w:val="single" w:sz="8" w:color="EAEEF2"/>
            </w:tcBorders>
            <w:shd w:val="clear" w:color="auto" w:fill="EAEEF2"/>
          </w:tcPr>
          <w:p>
            <w:pPr>
              <w:spacing w:after="0"/>
              <w:rPr>
                <w:sz w:val="8"/>
                <w:szCs w:val="8"/>
                <w:color w:val="auto"/>
              </w:rPr>
            </w:pPr>
          </w:p>
        </w:tc>
        <w:tc>
          <w:tcPr>
            <w:tcW w:w="1600" w:type="dxa"/>
            <w:vAlign w:val="bottom"/>
            <w:tcBorders>
              <w:bottom w:val="single" w:sz="8" w:color="EAEEF2"/>
            </w:tcBorders>
            <w:shd w:val="clear" w:color="auto" w:fill="EAEEF2"/>
          </w:tcPr>
          <w:p>
            <w:pPr>
              <w:spacing w:after="0"/>
              <w:rPr>
                <w:sz w:val="8"/>
                <w:szCs w:val="8"/>
                <w:color w:val="auto"/>
              </w:rPr>
            </w:pPr>
          </w:p>
        </w:tc>
        <w:tc>
          <w:tcPr>
            <w:tcW w:w="800" w:type="dxa"/>
            <w:vAlign w:val="bottom"/>
            <w:tcBorders>
              <w:bottom w:val="single" w:sz="8" w:color="EAEEF2"/>
            </w:tcBorders>
            <w:shd w:val="clear" w:color="auto" w:fill="EAEEF2"/>
          </w:tcPr>
          <w:p>
            <w:pPr>
              <w:spacing w:after="0"/>
              <w:rPr>
                <w:sz w:val="8"/>
                <w:szCs w:val="8"/>
                <w:color w:val="auto"/>
              </w:rPr>
            </w:pPr>
          </w:p>
        </w:tc>
        <w:tc>
          <w:tcPr>
            <w:tcW w:w="3460" w:type="dxa"/>
            <w:vAlign w:val="bottom"/>
            <w:tcBorders>
              <w:bottom w:val="single" w:sz="8" w:color="EAEEF2"/>
            </w:tcBorders>
            <w:shd w:val="clear" w:color="auto" w:fill="EAEEF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660" w:type="dxa"/>
            <w:vAlign w:val="bottom"/>
          </w:tcPr>
          <w:p>
            <w:pPr>
              <w:ind w:left="100"/>
              <w:spacing w:after="0"/>
              <w:rPr>
                <w:sz w:val="20"/>
                <w:szCs w:val="20"/>
                <w:color w:val="auto"/>
              </w:rPr>
            </w:pPr>
            <w:r>
              <w:rPr>
                <w:rFonts w:ascii="Arial" w:cs="Arial" w:eastAsia="Arial" w:hAnsi="Arial"/>
                <w:sz w:val="14"/>
                <w:szCs w:val="14"/>
                <w:color w:val="4D4D4F"/>
              </w:rPr>
              <w:t>Equity compensation plans not</w:t>
            </w:r>
          </w:p>
        </w:tc>
        <w:tc>
          <w:tcPr>
            <w:tcW w:w="2720" w:type="dxa"/>
            <w:vAlign w:val="bottom"/>
            <w:vMerge w:val="restart"/>
          </w:tcPr>
          <w:p>
            <w:pPr>
              <w:jc w:val="right"/>
              <w:ind w:right="28"/>
              <w:spacing w:after="0"/>
              <w:rPr>
                <w:sz w:val="20"/>
                <w:szCs w:val="20"/>
                <w:color w:val="auto"/>
              </w:rPr>
            </w:pPr>
            <w:r>
              <w:rPr>
                <w:rFonts w:ascii="Arial" w:cs="Arial" w:eastAsia="Arial" w:hAnsi="Arial"/>
                <w:sz w:val="14"/>
                <w:szCs w:val="14"/>
                <w:color w:val="4D4D4F"/>
              </w:rPr>
              <w:t>—</w:t>
            </w:r>
          </w:p>
        </w:tc>
        <w:tc>
          <w:tcPr>
            <w:tcW w:w="16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4D4D4F"/>
              </w:rPr>
              <w:t>—</w:t>
            </w:r>
          </w:p>
        </w:tc>
        <w:tc>
          <w:tcPr>
            <w:tcW w:w="3460" w:type="dxa"/>
            <w:vAlign w:val="bottom"/>
            <w:vMerge w:val="restart"/>
          </w:tcPr>
          <w:p>
            <w:pPr>
              <w:jc w:val="right"/>
              <w:ind w:right="48"/>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109"/>
        </w:trPr>
        <w:tc>
          <w:tcPr>
            <w:tcW w:w="2660" w:type="dxa"/>
            <w:vAlign w:val="bottom"/>
            <w:vMerge w:val="restart"/>
          </w:tcPr>
          <w:p>
            <w:pPr>
              <w:ind w:left="100"/>
              <w:spacing w:after="0"/>
              <w:rPr>
                <w:sz w:val="20"/>
                <w:szCs w:val="20"/>
                <w:color w:val="auto"/>
              </w:rPr>
            </w:pPr>
            <w:r>
              <w:rPr>
                <w:rFonts w:ascii="Arial" w:cs="Arial" w:eastAsia="Arial" w:hAnsi="Arial"/>
                <w:sz w:val="14"/>
                <w:szCs w:val="14"/>
                <w:color w:val="4D4D4F"/>
              </w:rPr>
              <w:t>approved by security holders</w:t>
            </w:r>
          </w:p>
        </w:tc>
        <w:tc>
          <w:tcPr>
            <w:tcW w:w="272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3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60" w:type="dxa"/>
            <w:vAlign w:val="bottom"/>
            <w:vMerge w:val="continue"/>
          </w:tcPr>
          <w:p>
            <w:pPr>
              <w:spacing w:after="0"/>
              <w:rPr>
                <w:sz w:val="7"/>
                <w:szCs w:val="7"/>
                <w:color w:val="auto"/>
              </w:rPr>
            </w:pPr>
          </w:p>
        </w:tc>
        <w:tc>
          <w:tcPr>
            <w:tcW w:w="27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2660" w:type="dxa"/>
            <w:vAlign w:val="bottom"/>
            <w:tcBorders>
              <w:bottom w:val="single" w:sz="8" w:color="298655"/>
            </w:tcBorders>
          </w:tcPr>
          <w:p>
            <w:pPr>
              <w:spacing w:after="0"/>
              <w:rPr>
                <w:sz w:val="3"/>
                <w:szCs w:val="3"/>
                <w:color w:val="auto"/>
              </w:rPr>
            </w:pPr>
          </w:p>
        </w:tc>
        <w:tc>
          <w:tcPr>
            <w:tcW w:w="2720" w:type="dxa"/>
            <w:vAlign w:val="bottom"/>
            <w:tcBorders>
              <w:bottom w:val="single" w:sz="8" w:color="298655"/>
            </w:tcBorders>
          </w:tcPr>
          <w:p>
            <w:pPr>
              <w:spacing w:after="0"/>
              <w:rPr>
                <w:sz w:val="3"/>
                <w:szCs w:val="3"/>
                <w:color w:val="auto"/>
              </w:rPr>
            </w:pPr>
          </w:p>
        </w:tc>
        <w:tc>
          <w:tcPr>
            <w:tcW w:w="1600" w:type="dxa"/>
            <w:vAlign w:val="bottom"/>
            <w:tcBorders>
              <w:bottom w:val="single" w:sz="8" w:color="298655"/>
            </w:tcBorders>
          </w:tcPr>
          <w:p>
            <w:pPr>
              <w:spacing w:after="0"/>
              <w:rPr>
                <w:sz w:val="3"/>
                <w:szCs w:val="3"/>
                <w:color w:val="auto"/>
              </w:rPr>
            </w:pPr>
          </w:p>
        </w:tc>
        <w:tc>
          <w:tcPr>
            <w:tcW w:w="800" w:type="dxa"/>
            <w:vAlign w:val="bottom"/>
            <w:tcBorders>
              <w:bottom w:val="single" w:sz="8" w:color="298655"/>
            </w:tcBorders>
          </w:tcPr>
          <w:p>
            <w:pPr>
              <w:spacing w:after="0"/>
              <w:rPr>
                <w:sz w:val="3"/>
                <w:szCs w:val="3"/>
                <w:color w:val="auto"/>
              </w:rPr>
            </w:pPr>
          </w:p>
        </w:tc>
        <w:tc>
          <w:tcPr>
            <w:tcW w:w="3460" w:type="dxa"/>
            <w:vAlign w:val="bottom"/>
            <w:tcBorders>
              <w:bottom w:val="single" w:sz="8" w:color="298655"/>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660" w:type="dxa"/>
            <w:vAlign w:val="bottom"/>
            <w:tcBorders>
              <w:bottom w:val="single" w:sz="8" w:color="298655"/>
            </w:tcBorders>
          </w:tcPr>
          <w:p>
            <w:pPr>
              <w:ind w:left="100"/>
              <w:spacing w:after="0"/>
              <w:rPr>
                <w:sz w:val="20"/>
                <w:szCs w:val="20"/>
                <w:color w:val="auto"/>
              </w:rPr>
            </w:pPr>
            <w:r>
              <w:rPr>
                <w:rFonts w:ascii="Arial" w:cs="Arial" w:eastAsia="Arial" w:hAnsi="Arial"/>
                <w:sz w:val="14"/>
                <w:szCs w:val="14"/>
                <w:b w:val="1"/>
                <w:bCs w:val="1"/>
                <w:color w:val="298655"/>
              </w:rPr>
              <w:t>Total</w:t>
            </w:r>
          </w:p>
        </w:tc>
        <w:tc>
          <w:tcPr>
            <w:tcW w:w="2720" w:type="dxa"/>
            <w:vAlign w:val="bottom"/>
            <w:tcBorders>
              <w:bottom w:val="single" w:sz="8" w:color="298655"/>
            </w:tcBorders>
          </w:tcPr>
          <w:p>
            <w:pPr>
              <w:jc w:val="right"/>
              <w:ind w:right="28"/>
              <w:spacing w:after="0"/>
              <w:rPr>
                <w:sz w:val="20"/>
                <w:szCs w:val="20"/>
                <w:color w:val="auto"/>
              </w:rPr>
            </w:pPr>
            <w:r>
              <w:rPr>
                <w:rFonts w:ascii="Arial" w:cs="Arial" w:eastAsia="Arial" w:hAnsi="Arial"/>
                <w:sz w:val="14"/>
                <w:szCs w:val="14"/>
                <w:b w:val="1"/>
                <w:bCs w:val="1"/>
                <w:color w:val="298655"/>
              </w:rPr>
              <w:t>2.98</w:t>
            </w:r>
          </w:p>
        </w:tc>
        <w:tc>
          <w:tcPr>
            <w:tcW w:w="1600" w:type="dxa"/>
            <w:vAlign w:val="bottom"/>
            <w:tcBorders>
              <w:bottom w:val="single" w:sz="8" w:color="298655"/>
            </w:tcBorders>
          </w:tcPr>
          <w:p>
            <w:pPr>
              <w:jc w:val="right"/>
              <w:ind w:right="388"/>
              <w:spacing w:after="0"/>
              <w:rPr>
                <w:sz w:val="20"/>
                <w:szCs w:val="20"/>
                <w:color w:val="auto"/>
              </w:rPr>
            </w:pPr>
            <w:r>
              <w:rPr>
                <w:rFonts w:ascii="Arial" w:cs="Arial" w:eastAsia="Arial" w:hAnsi="Arial"/>
                <w:sz w:val="14"/>
                <w:szCs w:val="14"/>
                <w:b w:val="1"/>
                <w:bCs w:val="1"/>
                <w:color w:val="298655"/>
              </w:rPr>
              <w:t>$</w:t>
            </w:r>
          </w:p>
        </w:tc>
        <w:tc>
          <w:tcPr>
            <w:tcW w:w="800" w:type="dxa"/>
            <w:vAlign w:val="bottom"/>
            <w:tcBorders>
              <w:bottom w:val="single" w:sz="8" w:color="298655"/>
            </w:tcBorders>
          </w:tcPr>
          <w:p>
            <w:pPr>
              <w:jc w:val="right"/>
              <w:spacing w:after="0"/>
              <w:rPr>
                <w:sz w:val="20"/>
                <w:szCs w:val="20"/>
                <w:color w:val="auto"/>
              </w:rPr>
            </w:pPr>
            <w:r>
              <w:rPr>
                <w:rFonts w:ascii="Arial" w:cs="Arial" w:eastAsia="Arial" w:hAnsi="Arial"/>
                <w:sz w:val="14"/>
                <w:szCs w:val="14"/>
                <w:b w:val="1"/>
                <w:bCs w:val="1"/>
                <w:color w:val="298655"/>
              </w:rPr>
              <w:t>2.05</w:t>
            </w:r>
          </w:p>
        </w:tc>
        <w:tc>
          <w:tcPr>
            <w:tcW w:w="3460" w:type="dxa"/>
            <w:vAlign w:val="bottom"/>
            <w:tcBorders>
              <w:bottom w:val="single" w:sz="8" w:color="298655"/>
            </w:tcBorders>
          </w:tcPr>
          <w:p>
            <w:pPr>
              <w:jc w:val="right"/>
              <w:ind w:right="48"/>
              <w:spacing w:after="0"/>
              <w:rPr>
                <w:sz w:val="20"/>
                <w:szCs w:val="20"/>
                <w:color w:val="auto"/>
              </w:rPr>
            </w:pPr>
            <w:r>
              <w:rPr>
                <w:rFonts w:ascii="Arial" w:cs="Arial" w:eastAsia="Arial" w:hAnsi="Arial"/>
                <w:sz w:val="14"/>
                <w:szCs w:val="14"/>
                <w:b w:val="1"/>
                <w:bCs w:val="1"/>
                <w:color w:val="298655"/>
              </w:rPr>
              <w:t>1.94</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right="160" w:hanging="330"/>
        <w:spacing w:after="0" w:line="283" w:lineRule="auto"/>
        <w:tabs>
          <w:tab w:leader="none" w:pos="498" w:val="left"/>
        </w:tabs>
        <w:numPr>
          <w:ilvl w:val="0"/>
          <w:numId w:val="124"/>
        </w:numPr>
        <w:rPr>
          <w:rFonts w:ascii="Arial" w:cs="Arial" w:eastAsia="Arial" w:hAnsi="Arial"/>
          <w:sz w:val="14"/>
          <w:szCs w:val="14"/>
          <w:color w:val="4D4D4F"/>
        </w:rPr>
      </w:pPr>
      <w:r>
        <w:rPr>
          <w:rFonts w:ascii="Arial" w:cs="Arial" w:eastAsia="Arial" w:hAnsi="Arial"/>
          <w:sz w:val="14"/>
          <w:szCs w:val="14"/>
          <w:color w:val="4D4D4F"/>
        </w:rPr>
        <w:t>Included in the number of securities in column (a) is 2.98 million shares of Stock to be issued upon vesting of RSUs, which have no exercise price. The number of shares of Stock issuable upon settlement of exercisable in-the-money SSARs is calculated using the closing price of our Stock on December 29, 2023 of $22.78. As of December 31, 2023, there were 0.25 million outstanding SSARs, none of which were in-the-money.</w:t>
      </w:r>
    </w:p>
    <w:p>
      <w:pPr>
        <w:spacing w:after="0" w:line="10" w:lineRule="exact"/>
        <w:rPr>
          <w:rFonts w:ascii="Arial" w:cs="Arial" w:eastAsia="Arial" w:hAnsi="Arial"/>
          <w:sz w:val="14"/>
          <w:szCs w:val="14"/>
          <w:color w:val="4D4D4F"/>
        </w:rPr>
      </w:pPr>
    </w:p>
    <w:p>
      <w:pPr>
        <w:ind w:left="500" w:right="40" w:hanging="330"/>
        <w:spacing w:after="0" w:line="285" w:lineRule="auto"/>
        <w:tabs>
          <w:tab w:leader="none" w:pos="498" w:val="left"/>
        </w:tabs>
        <w:numPr>
          <w:ilvl w:val="0"/>
          <w:numId w:val="124"/>
        </w:numPr>
        <w:rPr>
          <w:rFonts w:ascii="Arial" w:cs="Arial" w:eastAsia="Arial" w:hAnsi="Arial"/>
          <w:sz w:val="14"/>
          <w:szCs w:val="14"/>
          <w:color w:val="4D4D4F"/>
        </w:rPr>
      </w:pPr>
      <w:r>
        <w:rPr>
          <w:rFonts w:ascii="Arial" w:cs="Arial" w:eastAsia="Arial" w:hAnsi="Arial"/>
          <w:sz w:val="14"/>
          <w:szCs w:val="14"/>
          <w:color w:val="4D4D4F"/>
        </w:rPr>
        <w:t>Reflects the weighted average exercise price all of outstanding RSUs, which have no exercise price, and SSARs. The weighted average exercise price of SSARs only is $26.09.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79</w:t>
            </w:r>
          </w:p>
        </w:tc>
      </w:tr>
      <w:tr>
        <w:trPr>
          <w:trHeight w:val="212"/>
        </w:trPr>
        <w:tc>
          <w:tcPr>
            <w:tcW w:w="108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2" w:name="page83"/>
    <w:bookmarkEnd w:id="82"/>
    <w:p>
      <w:pPr>
        <w:ind w:left="20" w:right="5880"/>
        <w:spacing w:after="0" w:line="293" w:lineRule="auto"/>
        <w:rPr>
          <w:sz w:val="20"/>
          <w:szCs w:val="20"/>
          <w:color w:val="auto"/>
        </w:rPr>
      </w:pPr>
      <w:r>
        <w:rPr>
          <w:rFonts w:ascii="Arial" w:cs="Arial" w:eastAsia="Arial" w:hAnsi="Arial"/>
          <w:sz w:val="53"/>
          <w:szCs w:val="53"/>
          <w:b w:val="1"/>
          <w:bCs w:val="1"/>
          <w:color w:val="01549C"/>
        </w:rPr>
        <w:t>Other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-864235</wp:posOffset>
            </wp:positionV>
            <wp:extent cx="1157605" cy="6172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157605" cy="61722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CEO Pay Ratio</w:t>
      </w:r>
    </w:p>
    <w:p>
      <w:pPr>
        <w:spacing w:after="0" w:line="14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4D4D4F"/>
        </w:rPr>
        <w:t>As required by Section 953(b) of the Dodd-Frank Wall Street Reform and Consumer Protection Act, and Item 402(u) of Regulation S-K, we are providing the following information about the relationship of the median of the annual total compensation of our employees (other than our CEO) and the annual total compensation of our CEO, Michael J. Kasbar.</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4D4D4F"/>
        </w:rPr>
        <w:t>As of December 31, 2022, our employee population consisted of approximately 5,200 individuals working at the Company and our subsidiaries, of which approximately half were located in the U.S. We selected December 31, 2022, the last day of our 2022 fiscal year, as the determination date for identifying the median employee for purposes of our 2023 proxy statement. We identified the median employee by calculating the amount of annual total cash compensation (salary plus bonus, commissions, and the portion of long-term cash awards paid in 2022) paid to all of our employees globally (other than our CEO). We did not make any cost-of-living or other adjustments in identifying the median employee. Accordingly, the median employee in 2022 was a full-time, salaried employee in the United States.</w:t>
      </w:r>
    </w:p>
    <w:p>
      <w:pPr>
        <w:spacing w:after="0" w:line="1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4D4D4F"/>
        </w:rPr>
        <w:t>For fiscal 2023, we did not repeat the process conducted last year to identify the median employee, as we believe there has been no change in our employee population or employee compensation arrangements that would significantly impact the pay ratio disclosure. Nonetheless, we believe it is no longer appropriate to use the median employee identified for fiscal 2022 because of a change in such median employee's circumstances. As permitted by the SEC rules, we have selected a different median employee for 2023 whose compensation was substantially similar to the compensation of the previously identified median employee, based on the methodology used to select the original median employee identified for fiscal year 2022.</w:t>
      </w:r>
    </w:p>
    <w:p>
      <w:pPr>
        <w:spacing w:after="0" w:line="12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4D4D4F"/>
        </w:rPr>
        <w:t>Once we confirmed our 2023 median employee, we then calculated the 2023 annual total compensation for such employee in accordance with the requirements of the executive compensation rules for the Summary Compensation Table (Item 402(c)(2)(x) of Regulation S-K). Under this calculation, the median employee’s annual total compensation in 2023 was approximately $64,514. With respect to the annual total compensation of our CEO, we used the amount reported in the “Total” column of the Summary Compensation Table included in this proxy statement. The resulting ratio of the annual total compensation of our CEO to the annual total compensation of the median employee was 105 to 1.</w:t>
      </w:r>
    </w:p>
    <w:p>
      <w:pPr>
        <w:spacing w:after="0" w:line="103"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Pay Versus Performance</w:t>
      </w:r>
    </w:p>
    <w:p>
      <w:pPr>
        <w:spacing w:after="0" w:line="15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4D4D4F"/>
        </w:rPr>
        <w:t>As required by Section 953(a) of the Dodd-Frank Wall Street Reform and Consumer Protection Act, and Item 402(v) of Regulation S-K, we are providing the following information about the relationship between certain executive “compensation actually paid” (or “CAP”), as defined by SEC rules, and certain of our financial performance results for 2023, 2022, 2021 and 2020. For further information concerning our variable pay-for-performance philosophy and how we align executive compensation with our performance, refer to the “Compensation Discussion and Analysis” section of this proxy statement.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00" w:type="dxa"/>
            <w:vAlign w:val="bottom"/>
            <w:gridSpan w:val="2"/>
          </w:tcPr>
          <w:p>
            <w:pPr>
              <w:jc w:val="right"/>
              <w:spacing w:after="0"/>
              <w:rPr>
                <w:sz w:val="20"/>
                <w:szCs w:val="20"/>
                <w:color w:val="auto"/>
              </w:rPr>
            </w:pPr>
            <w:r>
              <w:rPr>
                <w:rFonts w:ascii="Arial" w:cs="Arial" w:eastAsia="Arial" w:hAnsi="Arial"/>
                <w:sz w:val="14"/>
                <w:szCs w:val="14"/>
                <w:b w:val="1"/>
                <w:bCs w:val="1"/>
                <w:color w:val="00529B"/>
              </w:rPr>
              <w:t>PAY VERSUS PERFORMANCE</w:t>
            </w:r>
          </w:p>
        </w:tc>
        <w:tc>
          <w:tcPr>
            <w:tcW w:w="1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7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360" w:type="dxa"/>
            <w:vAlign w:val="bottom"/>
            <w:gridSpan w:val="2"/>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60" w:type="dxa"/>
            <w:vAlign w:val="bottom"/>
            <w:gridSpan w:val="2"/>
            <w:shd w:val="clear" w:color="auto" w:fill="578EB1"/>
          </w:tcPr>
          <w:p>
            <w:pPr>
              <w:jc w:val="right"/>
              <w:ind w:right="48"/>
              <w:spacing w:after="0"/>
              <w:rPr>
                <w:sz w:val="20"/>
                <w:szCs w:val="20"/>
                <w:color w:val="auto"/>
              </w:rPr>
            </w:pPr>
            <w:r>
              <w:rPr>
                <w:rFonts w:ascii="Arial" w:cs="Arial" w:eastAsia="Arial" w:hAnsi="Arial"/>
                <w:sz w:val="14"/>
                <w:szCs w:val="14"/>
                <w:b w:val="1"/>
                <w:bCs w:val="1"/>
                <w:color w:val="FFFFFF"/>
              </w:rPr>
              <w:t>Value of Initial $100 Investment</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60" w:type="dxa"/>
            <w:vAlign w:val="bottom"/>
            <w:gridSpan w:val="2"/>
            <w:shd w:val="clear" w:color="auto" w:fill="578EB1"/>
          </w:tcPr>
          <w:p>
            <w:pPr>
              <w:jc w:val="right"/>
              <w:ind w:right="748"/>
              <w:spacing w:after="0"/>
              <w:rPr>
                <w:sz w:val="20"/>
                <w:szCs w:val="20"/>
                <w:color w:val="auto"/>
              </w:rPr>
            </w:pPr>
            <w:r>
              <w:rPr>
                <w:rFonts w:ascii="Arial" w:cs="Arial" w:eastAsia="Arial" w:hAnsi="Arial"/>
                <w:sz w:val="14"/>
                <w:szCs w:val="14"/>
                <w:b w:val="1"/>
                <w:bCs w:val="1"/>
                <w:color w:val="FFFFFF"/>
              </w:rPr>
              <w:t>Based On:</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20" w:type="dxa"/>
            <w:vAlign w:val="bottom"/>
            <w:shd w:val="clear" w:color="auto" w:fill="132440"/>
          </w:tcPr>
          <w:p>
            <w:pPr>
              <w:spacing w:after="0"/>
              <w:rPr>
                <w:sz w:val="17"/>
                <w:szCs w:val="17"/>
                <w:color w:val="auto"/>
              </w:rPr>
            </w:pPr>
          </w:p>
        </w:tc>
        <w:tc>
          <w:tcPr>
            <w:tcW w:w="1380" w:type="dxa"/>
            <w:vAlign w:val="bottom"/>
            <w:shd w:val="clear" w:color="auto" w:fill="132440"/>
          </w:tcPr>
          <w:p>
            <w:pPr>
              <w:jc w:val="right"/>
              <w:ind w:right="8"/>
              <w:spacing w:after="0"/>
              <w:rPr>
                <w:sz w:val="20"/>
                <w:szCs w:val="20"/>
                <w:color w:val="auto"/>
              </w:rPr>
            </w:pPr>
            <w:r>
              <w:rPr>
                <w:rFonts w:ascii="Arial" w:cs="Arial" w:eastAsia="Arial" w:hAnsi="Arial"/>
                <w:sz w:val="14"/>
                <w:szCs w:val="14"/>
                <w:b w:val="1"/>
                <w:bCs w:val="1"/>
                <w:color w:val="FFFFFF"/>
              </w:rPr>
              <w:t>Summary</w:t>
            </w:r>
          </w:p>
        </w:tc>
        <w:tc>
          <w:tcPr>
            <w:tcW w:w="1580" w:type="dxa"/>
            <w:vAlign w:val="bottom"/>
            <w:shd w:val="clear" w:color="auto" w:fill="132440"/>
          </w:tcPr>
          <w:p>
            <w:pPr>
              <w:spacing w:after="0"/>
              <w:rPr>
                <w:sz w:val="17"/>
                <w:szCs w:val="17"/>
                <w:color w:val="auto"/>
              </w:rPr>
            </w:pPr>
          </w:p>
        </w:tc>
        <w:tc>
          <w:tcPr>
            <w:tcW w:w="1640" w:type="dxa"/>
            <w:vAlign w:val="bottom"/>
            <w:shd w:val="clear" w:color="auto" w:fill="132440"/>
          </w:tcPr>
          <w:p>
            <w:pPr>
              <w:jc w:val="right"/>
              <w:ind w:right="8"/>
              <w:spacing w:after="0"/>
              <w:rPr>
                <w:sz w:val="20"/>
                <w:szCs w:val="20"/>
                <w:color w:val="auto"/>
              </w:rPr>
            </w:pPr>
            <w:r>
              <w:rPr>
                <w:rFonts w:ascii="Arial" w:cs="Arial" w:eastAsia="Arial" w:hAnsi="Arial"/>
                <w:sz w:val="14"/>
                <w:szCs w:val="14"/>
                <w:b w:val="1"/>
                <w:bCs w:val="1"/>
                <w:color w:val="FFFFFF"/>
              </w:rPr>
              <w:t>Average Summary</w:t>
            </w:r>
          </w:p>
        </w:tc>
        <w:tc>
          <w:tcPr>
            <w:tcW w:w="154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Average</w:t>
            </w:r>
          </w:p>
        </w:tc>
        <w:tc>
          <w:tcPr>
            <w:tcW w:w="1340" w:type="dxa"/>
            <w:vAlign w:val="bottom"/>
            <w:shd w:val="clear" w:color="auto" w:fill="132440"/>
          </w:tcPr>
          <w:p>
            <w:pPr>
              <w:spacing w:after="0"/>
              <w:rPr>
                <w:sz w:val="17"/>
                <w:szCs w:val="17"/>
                <w:color w:val="auto"/>
              </w:rPr>
            </w:pPr>
          </w:p>
        </w:tc>
        <w:tc>
          <w:tcPr>
            <w:tcW w:w="102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Peer Group</w:t>
            </w:r>
          </w:p>
        </w:tc>
        <w:tc>
          <w:tcPr>
            <w:tcW w:w="1000" w:type="dxa"/>
            <w:vAlign w:val="bottom"/>
            <w:shd w:val="clear" w:color="auto" w:fill="132440"/>
          </w:tcPr>
          <w:p>
            <w:pPr>
              <w:spacing w:after="0"/>
              <w:rPr>
                <w:sz w:val="17"/>
                <w:szCs w:val="17"/>
                <w:color w:val="auto"/>
              </w:rPr>
            </w:pPr>
          </w:p>
        </w:tc>
        <w:tc>
          <w:tcPr>
            <w:tcW w:w="1020" w:type="dxa"/>
            <w:vAlign w:val="bottom"/>
            <w:shd w:val="clear" w:color="auto" w:fill="132440"/>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132440"/>
          </w:tcPr>
          <w:p>
            <w:pPr>
              <w:spacing w:after="0"/>
              <w:rPr>
                <w:sz w:val="15"/>
                <w:szCs w:val="15"/>
                <w:color w:val="auto"/>
              </w:rPr>
            </w:pPr>
          </w:p>
        </w:tc>
        <w:tc>
          <w:tcPr>
            <w:tcW w:w="1380" w:type="dxa"/>
            <w:vAlign w:val="bottom"/>
            <w:shd w:val="clear" w:color="auto" w:fill="132440"/>
          </w:tcPr>
          <w:p>
            <w:pPr>
              <w:jc w:val="right"/>
              <w:ind w:right="8"/>
              <w:spacing w:after="0"/>
              <w:rPr>
                <w:sz w:val="20"/>
                <w:szCs w:val="20"/>
                <w:color w:val="auto"/>
              </w:rPr>
            </w:pPr>
            <w:r>
              <w:rPr>
                <w:rFonts w:ascii="Arial" w:cs="Arial" w:eastAsia="Arial" w:hAnsi="Arial"/>
                <w:sz w:val="14"/>
                <w:szCs w:val="14"/>
                <w:b w:val="1"/>
                <w:bCs w:val="1"/>
                <w:color w:val="FFFFFF"/>
              </w:rPr>
              <w:t>Compensation</w:t>
            </w:r>
          </w:p>
        </w:tc>
        <w:tc>
          <w:tcPr>
            <w:tcW w:w="1580" w:type="dxa"/>
            <w:vAlign w:val="bottom"/>
            <w:shd w:val="clear" w:color="auto" w:fill="132440"/>
          </w:tcPr>
          <w:p>
            <w:pPr>
              <w:spacing w:after="0"/>
              <w:rPr>
                <w:sz w:val="15"/>
                <w:szCs w:val="15"/>
                <w:color w:val="auto"/>
              </w:rPr>
            </w:pPr>
          </w:p>
        </w:tc>
        <w:tc>
          <w:tcPr>
            <w:tcW w:w="1640" w:type="dxa"/>
            <w:vAlign w:val="bottom"/>
            <w:shd w:val="clear" w:color="auto" w:fill="132440"/>
          </w:tcPr>
          <w:p>
            <w:pPr>
              <w:jc w:val="right"/>
              <w:ind w:right="8"/>
              <w:spacing w:after="0"/>
              <w:rPr>
                <w:sz w:val="20"/>
                <w:szCs w:val="20"/>
                <w:color w:val="auto"/>
              </w:rPr>
            </w:pPr>
            <w:r>
              <w:rPr>
                <w:rFonts w:ascii="Arial" w:cs="Arial" w:eastAsia="Arial" w:hAnsi="Arial"/>
                <w:sz w:val="14"/>
                <w:szCs w:val="14"/>
                <w:b w:val="1"/>
                <w:bCs w:val="1"/>
                <w:color w:val="FFFFFF"/>
              </w:rPr>
              <w:t>Compensation Table</w:t>
            </w:r>
          </w:p>
        </w:tc>
        <w:tc>
          <w:tcPr>
            <w:tcW w:w="154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Compensation</w:t>
            </w:r>
          </w:p>
        </w:tc>
        <w:tc>
          <w:tcPr>
            <w:tcW w:w="1340" w:type="dxa"/>
            <w:vAlign w:val="bottom"/>
            <w:shd w:val="clear" w:color="auto" w:fill="132440"/>
          </w:tcPr>
          <w:p>
            <w:pPr>
              <w:jc w:val="right"/>
              <w:ind w:right="108"/>
              <w:spacing w:after="0"/>
              <w:rPr>
                <w:sz w:val="20"/>
                <w:szCs w:val="20"/>
                <w:color w:val="auto"/>
              </w:rPr>
            </w:pPr>
            <w:r>
              <w:rPr>
                <w:rFonts w:ascii="Arial" w:cs="Arial" w:eastAsia="Arial" w:hAnsi="Arial"/>
                <w:sz w:val="14"/>
                <w:szCs w:val="14"/>
                <w:b w:val="1"/>
                <w:bCs w:val="1"/>
                <w:color w:val="FFFFFF"/>
              </w:rPr>
              <w:t>Company Total</w:t>
            </w:r>
          </w:p>
        </w:tc>
        <w:tc>
          <w:tcPr>
            <w:tcW w:w="102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Total</w:t>
            </w:r>
          </w:p>
        </w:tc>
        <w:tc>
          <w:tcPr>
            <w:tcW w:w="1000" w:type="dxa"/>
            <w:vAlign w:val="bottom"/>
            <w:shd w:val="clear" w:color="auto" w:fill="132440"/>
          </w:tcPr>
          <w:p>
            <w:pPr>
              <w:spacing w:after="0"/>
              <w:rPr>
                <w:sz w:val="15"/>
                <w:szCs w:val="15"/>
                <w:color w:val="auto"/>
              </w:rPr>
            </w:pPr>
          </w:p>
        </w:tc>
        <w:tc>
          <w:tcPr>
            <w:tcW w:w="1020" w:type="dxa"/>
            <w:vAlign w:val="bottom"/>
            <w:shd w:val="clear" w:color="auto" w:fill="132440"/>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132440"/>
          </w:tcPr>
          <w:p>
            <w:pPr>
              <w:spacing w:after="0"/>
              <w:rPr>
                <w:sz w:val="15"/>
                <w:szCs w:val="15"/>
                <w:color w:val="auto"/>
              </w:rPr>
            </w:pPr>
          </w:p>
        </w:tc>
        <w:tc>
          <w:tcPr>
            <w:tcW w:w="1380" w:type="dxa"/>
            <w:vAlign w:val="bottom"/>
            <w:shd w:val="clear" w:color="auto" w:fill="132440"/>
          </w:tcPr>
          <w:p>
            <w:pPr>
              <w:jc w:val="right"/>
              <w:ind w:right="8"/>
              <w:spacing w:after="0"/>
              <w:rPr>
                <w:sz w:val="20"/>
                <w:szCs w:val="20"/>
                <w:color w:val="auto"/>
              </w:rPr>
            </w:pPr>
            <w:r>
              <w:rPr>
                <w:rFonts w:ascii="Arial" w:cs="Arial" w:eastAsia="Arial" w:hAnsi="Arial"/>
                <w:sz w:val="14"/>
                <w:szCs w:val="14"/>
                <w:b w:val="1"/>
                <w:bCs w:val="1"/>
                <w:color w:val="FFFFFF"/>
              </w:rPr>
              <w:t>Table Total for</w:t>
            </w:r>
          </w:p>
        </w:tc>
        <w:tc>
          <w:tcPr>
            <w:tcW w:w="1580" w:type="dxa"/>
            <w:vAlign w:val="bottom"/>
            <w:shd w:val="clear" w:color="auto" w:fill="132440"/>
          </w:tcPr>
          <w:p>
            <w:pPr>
              <w:jc w:val="right"/>
              <w:ind w:right="68"/>
              <w:spacing w:after="0"/>
              <w:rPr>
                <w:sz w:val="20"/>
                <w:szCs w:val="20"/>
                <w:color w:val="auto"/>
              </w:rPr>
            </w:pPr>
            <w:r>
              <w:rPr>
                <w:rFonts w:ascii="Arial" w:cs="Arial" w:eastAsia="Arial" w:hAnsi="Arial"/>
                <w:sz w:val="14"/>
                <w:szCs w:val="14"/>
                <w:b w:val="1"/>
                <w:bCs w:val="1"/>
                <w:color w:val="FFFFFF"/>
              </w:rPr>
              <w:t>Compensation</w:t>
            </w:r>
          </w:p>
        </w:tc>
        <w:tc>
          <w:tcPr>
            <w:tcW w:w="1640" w:type="dxa"/>
            <w:vAlign w:val="bottom"/>
            <w:shd w:val="clear" w:color="auto" w:fill="132440"/>
          </w:tcPr>
          <w:p>
            <w:pPr>
              <w:jc w:val="right"/>
              <w:ind w:right="8"/>
              <w:spacing w:after="0"/>
              <w:rPr>
                <w:sz w:val="20"/>
                <w:szCs w:val="20"/>
                <w:color w:val="auto"/>
              </w:rPr>
            </w:pPr>
            <w:r>
              <w:rPr>
                <w:rFonts w:ascii="Arial" w:cs="Arial" w:eastAsia="Arial" w:hAnsi="Arial"/>
                <w:sz w:val="14"/>
                <w:szCs w:val="14"/>
                <w:b w:val="1"/>
                <w:bCs w:val="1"/>
                <w:color w:val="FFFFFF"/>
              </w:rPr>
              <w:t>Total for Non-PEO</w:t>
            </w:r>
          </w:p>
        </w:tc>
        <w:tc>
          <w:tcPr>
            <w:tcW w:w="154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Actually Paid to Non-</w:t>
            </w:r>
          </w:p>
        </w:tc>
        <w:tc>
          <w:tcPr>
            <w:tcW w:w="1340" w:type="dxa"/>
            <w:vAlign w:val="bottom"/>
            <w:shd w:val="clear" w:color="auto" w:fill="132440"/>
          </w:tcPr>
          <w:p>
            <w:pPr>
              <w:jc w:val="right"/>
              <w:ind w:right="108"/>
              <w:spacing w:after="0"/>
              <w:rPr>
                <w:sz w:val="20"/>
                <w:szCs w:val="20"/>
                <w:color w:val="auto"/>
              </w:rPr>
            </w:pPr>
            <w:r>
              <w:rPr>
                <w:rFonts w:ascii="Arial" w:cs="Arial" w:eastAsia="Arial" w:hAnsi="Arial"/>
                <w:sz w:val="14"/>
                <w:szCs w:val="14"/>
                <w:b w:val="1"/>
                <w:bCs w:val="1"/>
                <w:color w:val="FFFFFF"/>
              </w:rPr>
              <w:t>Shareholder</w:t>
            </w:r>
          </w:p>
        </w:tc>
        <w:tc>
          <w:tcPr>
            <w:tcW w:w="102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Shareholder</w:t>
            </w:r>
          </w:p>
        </w:tc>
        <w:tc>
          <w:tcPr>
            <w:tcW w:w="1000" w:type="dxa"/>
            <w:vAlign w:val="bottom"/>
            <w:vMerge w:val="restart"/>
            <w:shd w:val="clear" w:color="auto" w:fill="132440"/>
          </w:tcPr>
          <w:p>
            <w:pPr>
              <w:jc w:val="right"/>
              <w:spacing w:after="0"/>
              <w:rPr>
                <w:sz w:val="20"/>
                <w:szCs w:val="20"/>
                <w:color w:val="auto"/>
              </w:rPr>
            </w:pPr>
            <w:r>
              <w:rPr>
                <w:rFonts w:ascii="Arial" w:cs="Arial" w:eastAsia="Arial" w:hAnsi="Arial"/>
                <w:sz w:val="14"/>
                <w:szCs w:val="14"/>
                <w:b w:val="1"/>
                <w:bCs w:val="1"/>
                <w:color w:val="FFFFFF"/>
              </w:rPr>
              <w:t>Net Income</w:t>
            </w:r>
          </w:p>
        </w:tc>
        <w:tc>
          <w:tcPr>
            <w:tcW w:w="1020" w:type="dxa"/>
            <w:vAlign w:val="bottom"/>
            <w:vMerge w:val="restart"/>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Adj. EBITDA</w:t>
            </w:r>
          </w:p>
        </w:tc>
        <w:tc>
          <w:tcPr>
            <w:tcW w:w="0" w:type="dxa"/>
            <w:vAlign w:val="bottom"/>
          </w:tcPr>
          <w:p>
            <w:pPr>
              <w:spacing w:after="0"/>
              <w:rPr>
                <w:sz w:val="1"/>
                <w:szCs w:val="1"/>
                <w:color w:val="auto"/>
              </w:rPr>
            </w:pPr>
          </w:p>
        </w:tc>
      </w:tr>
      <w:tr>
        <w:trPr>
          <w:trHeight w:val="162"/>
        </w:trPr>
        <w:tc>
          <w:tcPr>
            <w:tcW w:w="720" w:type="dxa"/>
            <w:vAlign w:val="bottom"/>
            <w:shd w:val="clear" w:color="auto" w:fill="132440"/>
          </w:tcPr>
          <w:p>
            <w:pPr>
              <w:spacing w:after="0"/>
              <w:rPr>
                <w:sz w:val="14"/>
                <w:szCs w:val="14"/>
                <w:color w:val="auto"/>
              </w:rPr>
            </w:pPr>
          </w:p>
        </w:tc>
        <w:tc>
          <w:tcPr>
            <w:tcW w:w="1380" w:type="dxa"/>
            <w:vAlign w:val="bottom"/>
            <w:shd w:val="clear" w:color="auto" w:fill="132440"/>
          </w:tcPr>
          <w:p>
            <w:pPr>
              <w:jc w:val="right"/>
              <w:ind w:right="8"/>
              <w:spacing w:after="0"/>
              <w:rPr>
                <w:sz w:val="20"/>
                <w:szCs w:val="20"/>
                <w:color w:val="auto"/>
              </w:rPr>
            </w:pPr>
            <w:r>
              <w:rPr>
                <w:rFonts w:ascii="Arial" w:cs="Arial" w:eastAsia="Arial" w:hAnsi="Arial"/>
                <w:sz w:val="14"/>
                <w:szCs w:val="14"/>
                <w:b w:val="1"/>
                <w:bCs w:val="1"/>
                <w:color w:val="FFFFFF"/>
              </w:rPr>
              <w:t>PEO</w:t>
            </w:r>
          </w:p>
        </w:tc>
        <w:tc>
          <w:tcPr>
            <w:tcW w:w="1580" w:type="dxa"/>
            <w:vAlign w:val="bottom"/>
            <w:shd w:val="clear" w:color="auto" w:fill="132440"/>
          </w:tcPr>
          <w:p>
            <w:pPr>
              <w:jc w:val="right"/>
              <w:ind w:right="68"/>
              <w:spacing w:after="0"/>
              <w:rPr>
                <w:sz w:val="20"/>
                <w:szCs w:val="20"/>
                <w:color w:val="auto"/>
              </w:rPr>
            </w:pPr>
            <w:r>
              <w:rPr>
                <w:rFonts w:ascii="Arial" w:cs="Arial" w:eastAsia="Arial" w:hAnsi="Arial"/>
                <w:sz w:val="14"/>
                <w:szCs w:val="14"/>
                <w:b w:val="1"/>
                <w:bCs w:val="1"/>
                <w:color w:val="FFFFFF"/>
              </w:rPr>
              <w:t>Actually Paid to PEO</w:t>
            </w:r>
          </w:p>
        </w:tc>
        <w:tc>
          <w:tcPr>
            <w:tcW w:w="1640" w:type="dxa"/>
            <w:vAlign w:val="bottom"/>
            <w:shd w:val="clear" w:color="auto" w:fill="132440"/>
          </w:tcPr>
          <w:p>
            <w:pPr>
              <w:jc w:val="right"/>
              <w:ind w:right="8"/>
              <w:spacing w:after="0"/>
              <w:rPr>
                <w:sz w:val="20"/>
                <w:szCs w:val="20"/>
                <w:color w:val="auto"/>
              </w:rPr>
            </w:pPr>
            <w:r>
              <w:rPr>
                <w:rFonts w:ascii="Arial" w:cs="Arial" w:eastAsia="Arial" w:hAnsi="Arial"/>
                <w:sz w:val="14"/>
                <w:szCs w:val="14"/>
                <w:b w:val="1"/>
                <w:bCs w:val="1"/>
                <w:color w:val="FFFFFF"/>
              </w:rPr>
              <w:t>NEOs</w:t>
            </w:r>
          </w:p>
        </w:tc>
        <w:tc>
          <w:tcPr>
            <w:tcW w:w="154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PEO NEOs</w:t>
            </w:r>
          </w:p>
        </w:tc>
        <w:tc>
          <w:tcPr>
            <w:tcW w:w="1340" w:type="dxa"/>
            <w:vAlign w:val="bottom"/>
            <w:shd w:val="clear" w:color="auto" w:fill="132440"/>
          </w:tcPr>
          <w:p>
            <w:pPr>
              <w:jc w:val="right"/>
              <w:ind w:right="108"/>
              <w:spacing w:after="0"/>
              <w:rPr>
                <w:sz w:val="20"/>
                <w:szCs w:val="20"/>
                <w:color w:val="auto"/>
              </w:rPr>
            </w:pPr>
            <w:r>
              <w:rPr>
                <w:rFonts w:ascii="Arial" w:cs="Arial" w:eastAsia="Arial" w:hAnsi="Arial"/>
                <w:sz w:val="14"/>
                <w:szCs w:val="14"/>
                <w:b w:val="1"/>
                <w:bCs w:val="1"/>
                <w:color w:val="FFFFFF"/>
              </w:rPr>
              <w:t>Return</w:t>
            </w:r>
          </w:p>
        </w:tc>
        <w:tc>
          <w:tcPr>
            <w:tcW w:w="102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Return</w:t>
            </w:r>
          </w:p>
        </w:tc>
        <w:tc>
          <w:tcPr>
            <w:tcW w:w="1000" w:type="dxa"/>
            <w:vAlign w:val="bottom"/>
            <w:vMerge w:val="continue"/>
            <w:shd w:val="clear" w:color="auto" w:fill="132440"/>
          </w:tcPr>
          <w:p>
            <w:pPr>
              <w:spacing w:after="0"/>
              <w:rPr>
                <w:sz w:val="14"/>
                <w:szCs w:val="14"/>
                <w:color w:val="auto"/>
              </w:rPr>
            </w:pPr>
          </w:p>
        </w:tc>
        <w:tc>
          <w:tcPr>
            <w:tcW w:w="1020" w:type="dxa"/>
            <w:vAlign w:val="bottom"/>
            <w:vMerge w:val="continue"/>
            <w:shd w:val="clear" w:color="auto" w:fill="132440"/>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2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Year</w:t>
            </w:r>
          </w:p>
        </w:tc>
        <w:tc>
          <w:tcPr>
            <w:tcW w:w="1380" w:type="dxa"/>
            <w:vAlign w:val="bottom"/>
            <w:shd w:val="clear" w:color="auto" w:fill="132440"/>
          </w:tcPr>
          <w:p>
            <w:pPr>
              <w:jc w:val="right"/>
              <w:ind w:right="8"/>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132440"/>
          </w:tcPr>
          <w:p>
            <w:pPr>
              <w:jc w:val="right"/>
              <w:ind w:right="68"/>
              <w:spacing w:after="0"/>
              <w:rPr>
                <w:sz w:val="20"/>
                <w:szCs w:val="20"/>
                <w:color w:val="auto"/>
              </w:rPr>
            </w:pPr>
            <w:r>
              <w:rPr>
                <w:rFonts w:ascii="Arial" w:cs="Arial" w:eastAsia="Arial" w:hAnsi="Arial"/>
                <w:sz w:val="14"/>
                <w:szCs w:val="14"/>
                <w:b w:val="1"/>
                <w:bCs w:val="1"/>
                <w:color w:val="FFFFFF"/>
              </w:rPr>
              <w:t>($)</w:t>
            </w:r>
          </w:p>
        </w:tc>
        <w:tc>
          <w:tcPr>
            <w:tcW w:w="1640" w:type="dxa"/>
            <w:vAlign w:val="bottom"/>
            <w:shd w:val="clear" w:color="auto" w:fill="132440"/>
          </w:tcPr>
          <w:p>
            <w:pPr>
              <w:jc w:val="right"/>
              <w:ind w:right="8"/>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132440"/>
          </w:tcPr>
          <w:p>
            <w:pPr>
              <w:jc w:val="right"/>
              <w:ind w:right="108"/>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($M)</w:t>
            </w:r>
          </w:p>
        </w:tc>
        <w:tc>
          <w:tcPr>
            <w:tcW w:w="102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($M)</w:t>
            </w:r>
          </w:p>
        </w:tc>
        <w:tc>
          <w:tcPr>
            <w:tcW w:w="0" w:type="dxa"/>
            <w:vAlign w:val="bottom"/>
          </w:tcPr>
          <w:p>
            <w:pPr>
              <w:spacing w:after="0"/>
              <w:rPr>
                <w:sz w:val="1"/>
                <w:szCs w:val="1"/>
                <w:color w:val="auto"/>
              </w:rPr>
            </w:pPr>
          </w:p>
        </w:tc>
      </w:tr>
      <w:tr>
        <w:trPr>
          <w:trHeight w:val="223"/>
        </w:trPr>
        <w:tc>
          <w:tcPr>
            <w:tcW w:w="720" w:type="dxa"/>
            <w:vAlign w:val="bottom"/>
            <w:tcBorders>
              <w:bottom w:val="single" w:sz="8" w:color="132440"/>
            </w:tcBorders>
          </w:tcPr>
          <w:p>
            <w:pPr>
              <w:ind w:left="100"/>
              <w:spacing w:after="0"/>
              <w:rPr>
                <w:sz w:val="20"/>
                <w:szCs w:val="20"/>
                <w:color w:val="auto"/>
              </w:rPr>
            </w:pPr>
            <w:r>
              <w:rPr>
                <w:rFonts w:ascii="Arial" w:cs="Arial" w:eastAsia="Arial" w:hAnsi="Arial"/>
                <w:sz w:val="14"/>
                <w:szCs w:val="14"/>
                <w:b w:val="1"/>
                <w:bCs w:val="1"/>
                <w:color w:val="132440"/>
              </w:rPr>
              <w:t>(a)</w:t>
            </w:r>
          </w:p>
        </w:tc>
        <w:tc>
          <w:tcPr>
            <w:tcW w:w="1380" w:type="dxa"/>
            <w:vAlign w:val="bottom"/>
            <w:tcBorders>
              <w:bottom w:val="single" w:sz="8" w:color="132440"/>
            </w:tcBorders>
          </w:tcPr>
          <w:p>
            <w:pPr>
              <w:jc w:val="right"/>
              <w:ind w:right="8"/>
              <w:spacing w:after="0"/>
              <w:rPr>
                <w:sz w:val="20"/>
                <w:szCs w:val="20"/>
                <w:color w:val="auto"/>
              </w:rPr>
            </w:pPr>
            <w:r>
              <w:rPr>
                <w:rFonts w:ascii="Arial" w:cs="Arial" w:eastAsia="Arial" w:hAnsi="Arial"/>
                <w:sz w:val="14"/>
                <w:szCs w:val="14"/>
                <w:b w:val="1"/>
                <w:bCs w:val="1"/>
                <w:color w:val="132440"/>
              </w:rPr>
              <w:t>(b)</w:t>
            </w:r>
          </w:p>
        </w:tc>
        <w:tc>
          <w:tcPr>
            <w:tcW w:w="1580" w:type="dxa"/>
            <w:vAlign w:val="bottom"/>
            <w:tcBorders>
              <w:bottom w:val="single" w:sz="8" w:color="132440"/>
            </w:tcBorders>
          </w:tcPr>
          <w:p>
            <w:pPr>
              <w:jc w:val="right"/>
              <w:ind w:right="68"/>
              <w:spacing w:after="0"/>
              <w:rPr>
                <w:sz w:val="20"/>
                <w:szCs w:val="20"/>
                <w:color w:val="auto"/>
              </w:rPr>
            </w:pPr>
            <w:r>
              <w:rPr>
                <w:rFonts w:ascii="Arial" w:cs="Arial" w:eastAsia="Arial" w:hAnsi="Arial"/>
                <w:sz w:val="14"/>
                <w:szCs w:val="14"/>
                <w:b w:val="1"/>
                <w:bCs w:val="1"/>
                <w:color w:val="132440"/>
              </w:rPr>
              <w:t>(c)</w:t>
            </w:r>
          </w:p>
        </w:tc>
        <w:tc>
          <w:tcPr>
            <w:tcW w:w="1640" w:type="dxa"/>
            <w:vAlign w:val="bottom"/>
            <w:tcBorders>
              <w:bottom w:val="single" w:sz="8" w:color="132440"/>
            </w:tcBorders>
          </w:tcPr>
          <w:p>
            <w:pPr>
              <w:jc w:val="right"/>
              <w:ind w:right="8"/>
              <w:spacing w:after="0"/>
              <w:rPr>
                <w:sz w:val="20"/>
                <w:szCs w:val="20"/>
                <w:color w:val="auto"/>
              </w:rPr>
            </w:pPr>
            <w:r>
              <w:rPr>
                <w:rFonts w:ascii="Arial" w:cs="Arial" w:eastAsia="Arial" w:hAnsi="Arial"/>
                <w:sz w:val="14"/>
                <w:szCs w:val="14"/>
                <w:b w:val="1"/>
                <w:bCs w:val="1"/>
                <w:color w:val="132440"/>
              </w:rPr>
              <w:t>(d)</w:t>
            </w:r>
          </w:p>
        </w:tc>
        <w:tc>
          <w:tcPr>
            <w:tcW w:w="1540" w:type="dxa"/>
            <w:vAlign w:val="bottom"/>
            <w:tcBorders>
              <w:bottom w:val="single" w:sz="8" w:color="132440"/>
            </w:tcBorders>
          </w:tcPr>
          <w:p>
            <w:pPr>
              <w:jc w:val="right"/>
              <w:spacing w:after="0"/>
              <w:rPr>
                <w:sz w:val="20"/>
                <w:szCs w:val="20"/>
                <w:color w:val="auto"/>
              </w:rPr>
            </w:pPr>
            <w:r>
              <w:rPr>
                <w:rFonts w:ascii="Arial" w:cs="Arial" w:eastAsia="Arial" w:hAnsi="Arial"/>
                <w:sz w:val="14"/>
                <w:szCs w:val="14"/>
                <w:b w:val="1"/>
                <w:bCs w:val="1"/>
                <w:color w:val="132440"/>
              </w:rPr>
              <w:t>(e)</w:t>
            </w:r>
          </w:p>
        </w:tc>
        <w:tc>
          <w:tcPr>
            <w:tcW w:w="1340" w:type="dxa"/>
            <w:vAlign w:val="bottom"/>
            <w:tcBorders>
              <w:bottom w:val="single" w:sz="8" w:color="132440"/>
            </w:tcBorders>
          </w:tcPr>
          <w:p>
            <w:pPr>
              <w:jc w:val="right"/>
              <w:ind w:right="108"/>
              <w:spacing w:after="0"/>
              <w:rPr>
                <w:sz w:val="20"/>
                <w:szCs w:val="20"/>
                <w:color w:val="auto"/>
              </w:rPr>
            </w:pPr>
            <w:r>
              <w:rPr>
                <w:rFonts w:ascii="Arial" w:cs="Arial" w:eastAsia="Arial" w:hAnsi="Arial"/>
                <w:sz w:val="14"/>
                <w:szCs w:val="14"/>
                <w:b w:val="1"/>
                <w:bCs w:val="1"/>
                <w:color w:val="132440"/>
              </w:rPr>
              <w:t>(f)</w:t>
            </w:r>
          </w:p>
        </w:tc>
        <w:tc>
          <w:tcPr>
            <w:tcW w:w="1020" w:type="dxa"/>
            <w:vAlign w:val="bottom"/>
            <w:tcBorders>
              <w:bottom w:val="single" w:sz="8" w:color="132440"/>
            </w:tcBorders>
          </w:tcPr>
          <w:p>
            <w:pPr>
              <w:jc w:val="right"/>
              <w:spacing w:after="0"/>
              <w:rPr>
                <w:sz w:val="20"/>
                <w:szCs w:val="20"/>
                <w:color w:val="auto"/>
              </w:rPr>
            </w:pPr>
            <w:r>
              <w:rPr>
                <w:rFonts w:ascii="Arial" w:cs="Arial" w:eastAsia="Arial" w:hAnsi="Arial"/>
                <w:sz w:val="14"/>
                <w:szCs w:val="14"/>
                <w:b w:val="1"/>
                <w:bCs w:val="1"/>
                <w:color w:val="132440"/>
              </w:rPr>
              <w:t>(g)</w:t>
            </w:r>
          </w:p>
        </w:tc>
        <w:tc>
          <w:tcPr>
            <w:tcW w:w="1000" w:type="dxa"/>
            <w:vAlign w:val="bottom"/>
            <w:tcBorders>
              <w:bottom w:val="single" w:sz="8" w:color="132440"/>
            </w:tcBorders>
          </w:tcPr>
          <w:p>
            <w:pPr>
              <w:jc w:val="right"/>
              <w:spacing w:after="0"/>
              <w:rPr>
                <w:sz w:val="20"/>
                <w:szCs w:val="20"/>
                <w:color w:val="auto"/>
              </w:rPr>
            </w:pPr>
            <w:r>
              <w:rPr>
                <w:rFonts w:ascii="Arial" w:cs="Arial" w:eastAsia="Arial" w:hAnsi="Arial"/>
                <w:sz w:val="14"/>
                <w:szCs w:val="14"/>
                <w:b w:val="1"/>
                <w:bCs w:val="1"/>
                <w:color w:val="132440"/>
              </w:rPr>
              <w:t>(h)</w:t>
            </w:r>
          </w:p>
        </w:tc>
        <w:tc>
          <w:tcPr>
            <w:tcW w:w="1020" w:type="dxa"/>
            <w:vAlign w:val="bottom"/>
            <w:tcBorders>
              <w:bottom w:val="single" w:sz="8" w:color="132440"/>
            </w:tcBorders>
          </w:tcPr>
          <w:p>
            <w:pPr>
              <w:jc w:val="right"/>
              <w:ind w:right="48"/>
              <w:spacing w:after="0"/>
              <w:rPr>
                <w:sz w:val="20"/>
                <w:szCs w:val="20"/>
                <w:color w:val="auto"/>
              </w:rPr>
            </w:pPr>
            <w:r>
              <w:rPr>
                <w:rFonts w:ascii="Arial" w:cs="Arial" w:eastAsia="Arial" w:hAnsi="Arial"/>
                <w:sz w:val="14"/>
                <w:szCs w:val="14"/>
                <w:b w:val="1"/>
                <w:bCs w:val="1"/>
                <w:color w:val="132440"/>
              </w:rPr>
              <w:t>(i)</w:t>
            </w:r>
          </w:p>
        </w:tc>
        <w:tc>
          <w:tcPr>
            <w:tcW w:w="0" w:type="dxa"/>
            <w:vAlign w:val="bottom"/>
          </w:tcPr>
          <w:p>
            <w:pPr>
              <w:spacing w:after="0"/>
              <w:rPr>
                <w:sz w:val="1"/>
                <w:szCs w:val="1"/>
                <w:color w:val="auto"/>
              </w:rPr>
            </w:pPr>
          </w:p>
        </w:tc>
      </w:tr>
      <w:tr>
        <w:trPr>
          <w:trHeight w:val="210"/>
        </w:trPr>
        <w:tc>
          <w:tcPr>
            <w:tcW w:w="72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2023</w:t>
            </w:r>
          </w:p>
        </w:tc>
        <w:tc>
          <w:tcPr>
            <w:tcW w:w="1380" w:type="dxa"/>
            <w:vAlign w:val="bottom"/>
            <w:tcBorders>
              <w:bottom w:val="single" w:sz="8" w:color="EAEEF2"/>
            </w:tcBorders>
            <w:shd w:val="clear" w:color="auto" w:fill="EAEEF2"/>
          </w:tcPr>
          <w:p>
            <w:pPr>
              <w:jc w:val="right"/>
              <w:ind w:right="8"/>
              <w:spacing w:after="0"/>
              <w:rPr>
                <w:sz w:val="20"/>
                <w:szCs w:val="20"/>
                <w:color w:val="auto"/>
              </w:rPr>
            </w:pPr>
            <w:r>
              <w:rPr>
                <w:rFonts w:ascii="Arial" w:cs="Arial" w:eastAsia="Arial" w:hAnsi="Arial"/>
                <w:sz w:val="14"/>
                <w:szCs w:val="14"/>
                <w:color w:val="4D4D4F"/>
              </w:rPr>
              <w:t>6,802,243</w:t>
            </w:r>
          </w:p>
        </w:tc>
        <w:tc>
          <w:tcPr>
            <w:tcW w:w="1580" w:type="dxa"/>
            <w:vAlign w:val="bottom"/>
            <w:tcBorders>
              <w:bottom w:val="single" w:sz="8" w:color="EAEEF2"/>
            </w:tcBorders>
            <w:shd w:val="clear" w:color="auto" w:fill="EAEEF2"/>
          </w:tcPr>
          <w:p>
            <w:pPr>
              <w:jc w:val="right"/>
              <w:ind w:right="68"/>
              <w:spacing w:after="0"/>
              <w:rPr>
                <w:sz w:val="20"/>
                <w:szCs w:val="20"/>
                <w:color w:val="auto"/>
              </w:rPr>
            </w:pPr>
            <w:r>
              <w:rPr>
                <w:rFonts w:ascii="Arial" w:cs="Arial" w:eastAsia="Arial" w:hAnsi="Arial"/>
                <w:sz w:val="14"/>
                <w:szCs w:val="14"/>
                <w:color w:val="4D4D4F"/>
              </w:rPr>
              <w:t>(1,164,913)</w:t>
            </w:r>
          </w:p>
        </w:tc>
        <w:tc>
          <w:tcPr>
            <w:tcW w:w="1640" w:type="dxa"/>
            <w:vAlign w:val="bottom"/>
            <w:tcBorders>
              <w:bottom w:val="single" w:sz="8" w:color="EAEEF2"/>
            </w:tcBorders>
            <w:shd w:val="clear" w:color="auto" w:fill="EAEEF2"/>
          </w:tcPr>
          <w:p>
            <w:pPr>
              <w:jc w:val="right"/>
              <w:ind w:right="8"/>
              <w:spacing w:after="0"/>
              <w:rPr>
                <w:sz w:val="20"/>
                <w:szCs w:val="20"/>
                <w:color w:val="auto"/>
              </w:rPr>
            </w:pPr>
            <w:r>
              <w:rPr>
                <w:rFonts w:ascii="Arial" w:cs="Arial" w:eastAsia="Arial" w:hAnsi="Arial"/>
                <w:sz w:val="14"/>
                <w:szCs w:val="14"/>
                <w:color w:val="4D4D4F"/>
              </w:rPr>
              <w:t>2,821,871</w:t>
            </w:r>
          </w:p>
        </w:tc>
        <w:tc>
          <w:tcPr>
            <w:tcW w:w="1540" w:type="dxa"/>
            <w:vAlign w:val="bottom"/>
            <w:tcBorders>
              <w:bottom w:val="single" w:sz="8" w:color="EAEEF2"/>
            </w:tcBorders>
            <w:shd w:val="clear" w:color="auto" w:fill="EAEEF2"/>
          </w:tcPr>
          <w:p>
            <w:pPr>
              <w:jc w:val="right"/>
              <w:spacing w:after="0"/>
              <w:rPr>
                <w:sz w:val="20"/>
                <w:szCs w:val="20"/>
                <w:color w:val="auto"/>
              </w:rPr>
            </w:pPr>
            <w:r>
              <w:rPr>
                <w:rFonts w:ascii="Arial" w:cs="Arial" w:eastAsia="Arial" w:hAnsi="Arial"/>
                <w:sz w:val="14"/>
                <w:szCs w:val="14"/>
                <w:color w:val="4D4D4F"/>
              </w:rPr>
              <w:t>551,939</w:t>
            </w:r>
          </w:p>
        </w:tc>
        <w:tc>
          <w:tcPr>
            <w:tcW w:w="1340" w:type="dxa"/>
            <w:vAlign w:val="bottom"/>
            <w:tcBorders>
              <w:bottom w:val="single" w:sz="8" w:color="EAEEF2"/>
            </w:tcBorders>
            <w:shd w:val="clear" w:color="auto" w:fill="EAEEF2"/>
          </w:tcPr>
          <w:p>
            <w:pPr>
              <w:jc w:val="right"/>
              <w:ind w:right="108"/>
              <w:spacing w:after="0"/>
              <w:rPr>
                <w:sz w:val="20"/>
                <w:szCs w:val="20"/>
                <w:color w:val="auto"/>
              </w:rPr>
            </w:pPr>
            <w:r>
              <w:rPr>
                <w:rFonts w:ascii="Arial" w:cs="Arial" w:eastAsia="Arial" w:hAnsi="Arial"/>
                <w:sz w:val="14"/>
                <w:szCs w:val="14"/>
                <w:color w:val="4D4D4F"/>
              </w:rPr>
              <w:t>56.55</w:t>
            </w:r>
          </w:p>
        </w:tc>
        <w:tc>
          <w:tcPr>
            <w:tcW w:w="1020" w:type="dxa"/>
            <w:vAlign w:val="bottom"/>
            <w:tcBorders>
              <w:bottom w:val="single" w:sz="8" w:color="EAEEF2"/>
            </w:tcBorders>
            <w:shd w:val="clear" w:color="auto" w:fill="EAEEF2"/>
          </w:tcPr>
          <w:p>
            <w:pPr>
              <w:jc w:val="right"/>
              <w:spacing w:after="0"/>
              <w:rPr>
                <w:sz w:val="20"/>
                <w:szCs w:val="20"/>
                <w:color w:val="auto"/>
              </w:rPr>
            </w:pPr>
            <w:r>
              <w:rPr>
                <w:rFonts w:ascii="Arial" w:cs="Arial" w:eastAsia="Arial" w:hAnsi="Arial"/>
                <w:sz w:val="14"/>
                <w:szCs w:val="14"/>
                <w:color w:val="4D4D4F"/>
              </w:rPr>
              <w:t>167.71</w:t>
            </w:r>
          </w:p>
        </w:tc>
        <w:tc>
          <w:tcPr>
            <w:tcW w:w="1000" w:type="dxa"/>
            <w:vAlign w:val="bottom"/>
            <w:tcBorders>
              <w:bottom w:val="single" w:sz="8" w:color="EAEEF2"/>
            </w:tcBorders>
            <w:shd w:val="clear" w:color="auto" w:fill="EAEEF2"/>
          </w:tcPr>
          <w:p>
            <w:pPr>
              <w:jc w:val="right"/>
              <w:spacing w:after="0"/>
              <w:rPr>
                <w:sz w:val="20"/>
                <w:szCs w:val="20"/>
                <w:color w:val="auto"/>
              </w:rPr>
            </w:pPr>
            <w:r>
              <w:rPr>
                <w:rFonts w:ascii="Arial" w:cs="Arial" w:eastAsia="Arial" w:hAnsi="Arial"/>
                <w:sz w:val="14"/>
                <w:szCs w:val="14"/>
                <w:color w:val="4D4D4F"/>
              </w:rPr>
              <w:t>52.90</w:t>
            </w:r>
          </w:p>
        </w:tc>
        <w:tc>
          <w:tcPr>
            <w:tcW w:w="1020" w:type="dxa"/>
            <w:vAlign w:val="bottom"/>
            <w:tcBorders>
              <w:bottom w:val="single" w:sz="8" w:color="EAEEF2"/>
            </w:tcBorders>
            <w:shd w:val="clear" w:color="auto" w:fill="EAEEF2"/>
          </w:tcPr>
          <w:p>
            <w:pPr>
              <w:jc w:val="right"/>
              <w:ind w:right="48"/>
              <w:spacing w:after="0"/>
              <w:rPr>
                <w:sz w:val="20"/>
                <w:szCs w:val="20"/>
                <w:color w:val="auto"/>
              </w:rPr>
            </w:pPr>
            <w:r>
              <w:rPr>
                <w:rFonts w:ascii="Arial" w:cs="Arial" w:eastAsia="Arial" w:hAnsi="Arial"/>
                <w:sz w:val="14"/>
                <w:szCs w:val="14"/>
                <w:color w:val="4D4D4F"/>
              </w:rPr>
              <w:t>386.40</w:t>
            </w:r>
          </w:p>
        </w:tc>
        <w:tc>
          <w:tcPr>
            <w:tcW w:w="0" w:type="dxa"/>
            <w:vAlign w:val="bottom"/>
          </w:tcPr>
          <w:p>
            <w:pPr>
              <w:spacing w:after="0"/>
              <w:rPr>
                <w:sz w:val="1"/>
                <w:szCs w:val="1"/>
                <w:color w:val="auto"/>
              </w:rPr>
            </w:pPr>
          </w:p>
        </w:tc>
      </w:tr>
      <w:tr>
        <w:trPr>
          <w:trHeight w:val="208"/>
        </w:trPr>
        <w:tc>
          <w:tcPr>
            <w:tcW w:w="720" w:type="dxa"/>
            <w:vAlign w:val="bottom"/>
          </w:tcPr>
          <w:p>
            <w:pPr>
              <w:ind w:left="100"/>
              <w:spacing w:after="0"/>
              <w:rPr>
                <w:sz w:val="20"/>
                <w:szCs w:val="20"/>
                <w:color w:val="auto"/>
              </w:rPr>
            </w:pPr>
            <w:r>
              <w:rPr>
                <w:rFonts w:ascii="Arial" w:cs="Arial" w:eastAsia="Arial" w:hAnsi="Arial"/>
                <w:sz w:val="14"/>
                <w:szCs w:val="14"/>
                <w:color w:val="4D4D4F"/>
              </w:rPr>
              <w:t>2022</w:t>
            </w:r>
          </w:p>
        </w:tc>
        <w:tc>
          <w:tcPr>
            <w:tcW w:w="1380" w:type="dxa"/>
            <w:vAlign w:val="bottom"/>
          </w:tcPr>
          <w:p>
            <w:pPr>
              <w:jc w:val="right"/>
              <w:ind w:right="8"/>
              <w:spacing w:after="0"/>
              <w:rPr>
                <w:sz w:val="20"/>
                <w:szCs w:val="20"/>
                <w:color w:val="auto"/>
              </w:rPr>
            </w:pPr>
            <w:r>
              <w:rPr>
                <w:rFonts w:ascii="Arial" w:cs="Arial" w:eastAsia="Arial" w:hAnsi="Arial"/>
                <w:sz w:val="14"/>
                <w:szCs w:val="14"/>
                <w:color w:val="4D4D4F"/>
              </w:rPr>
              <w:t>15,272,338</w:t>
            </w:r>
          </w:p>
        </w:tc>
        <w:tc>
          <w:tcPr>
            <w:tcW w:w="1580" w:type="dxa"/>
            <w:vAlign w:val="bottom"/>
          </w:tcPr>
          <w:p>
            <w:pPr>
              <w:jc w:val="right"/>
              <w:ind w:right="68"/>
              <w:spacing w:after="0"/>
              <w:rPr>
                <w:sz w:val="20"/>
                <w:szCs w:val="20"/>
                <w:color w:val="auto"/>
              </w:rPr>
            </w:pPr>
            <w:r>
              <w:rPr>
                <w:rFonts w:ascii="Arial" w:cs="Arial" w:eastAsia="Arial" w:hAnsi="Arial"/>
                <w:sz w:val="14"/>
                <w:szCs w:val="14"/>
                <w:color w:val="4D4D4F"/>
              </w:rPr>
              <w:t>14,196,826</w:t>
            </w:r>
          </w:p>
        </w:tc>
        <w:tc>
          <w:tcPr>
            <w:tcW w:w="1640" w:type="dxa"/>
            <w:vAlign w:val="bottom"/>
          </w:tcPr>
          <w:p>
            <w:pPr>
              <w:jc w:val="right"/>
              <w:ind w:right="8"/>
              <w:spacing w:after="0"/>
              <w:rPr>
                <w:sz w:val="20"/>
                <w:szCs w:val="20"/>
                <w:color w:val="auto"/>
              </w:rPr>
            </w:pPr>
            <w:r>
              <w:rPr>
                <w:rFonts w:ascii="Arial" w:cs="Arial" w:eastAsia="Arial" w:hAnsi="Arial"/>
                <w:sz w:val="14"/>
                <w:szCs w:val="14"/>
                <w:color w:val="4D4D4F"/>
              </w:rPr>
              <w:t>3,722,299</w:t>
            </w:r>
          </w:p>
        </w:tc>
        <w:tc>
          <w:tcPr>
            <w:tcW w:w="1540" w:type="dxa"/>
            <w:vAlign w:val="bottom"/>
          </w:tcPr>
          <w:p>
            <w:pPr>
              <w:jc w:val="right"/>
              <w:spacing w:after="0"/>
              <w:rPr>
                <w:sz w:val="20"/>
                <w:szCs w:val="20"/>
                <w:color w:val="auto"/>
              </w:rPr>
            </w:pPr>
            <w:r>
              <w:rPr>
                <w:rFonts w:ascii="Arial" w:cs="Arial" w:eastAsia="Arial" w:hAnsi="Arial"/>
                <w:sz w:val="14"/>
                <w:szCs w:val="14"/>
                <w:color w:val="4D4D4F"/>
              </w:rPr>
              <w:t>3,112,615</w:t>
            </w:r>
          </w:p>
        </w:tc>
        <w:tc>
          <w:tcPr>
            <w:tcW w:w="1340" w:type="dxa"/>
            <w:vAlign w:val="bottom"/>
          </w:tcPr>
          <w:p>
            <w:pPr>
              <w:jc w:val="right"/>
              <w:ind w:right="108"/>
              <w:spacing w:after="0"/>
              <w:rPr>
                <w:sz w:val="20"/>
                <w:szCs w:val="20"/>
                <w:color w:val="auto"/>
              </w:rPr>
            </w:pPr>
            <w:r>
              <w:rPr>
                <w:rFonts w:ascii="Arial" w:cs="Arial" w:eastAsia="Arial" w:hAnsi="Arial"/>
                <w:sz w:val="14"/>
                <w:szCs w:val="14"/>
                <w:color w:val="4D4D4F"/>
              </w:rPr>
              <w:t>66.22</w:t>
            </w:r>
          </w:p>
        </w:tc>
        <w:tc>
          <w:tcPr>
            <w:tcW w:w="1020" w:type="dxa"/>
            <w:vAlign w:val="bottom"/>
          </w:tcPr>
          <w:p>
            <w:pPr>
              <w:jc w:val="right"/>
              <w:spacing w:after="0"/>
              <w:rPr>
                <w:sz w:val="20"/>
                <w:szCs w:val="20"/>
                <w:color w:val="auto"/>
              </w:rPr>
            </w:pPr>
            <w:r>
              <w:rPr>
                <w:rFonts w:ascii="Arial" w:cs="Arial" w:eastAsia="Arial" w:hAnsi="Arial"/>
                <w:sz w:val="14"/>
                <w:szCs w:val="14"/>
                <w:color w:val="4D4D4F"/>
              </w:rPr>
              <w:t>169.96</w:t>
            </w:r>
          </w:p>
        </w:tc>
        <w:tc>
          <w:tcPr>
            <w:tcW w:w="1000" w:type="dxa"/>
            <w:vAlign w:val="bottom"/>
          </w:tcPr>
          <w:p>
            <w:pPr>
              <w:jc w:val="right"/>
              <w:spacing w:after="0"/>
              <w:rPr>
                <w:sz w:val="20"/>
                <w:szCs w:val="20"/>
                <w:color w:val="auto"/>
              </w:rPr>
            </w:pPr>
            <w:r>
              <w:rPr>
                <w:rFonts w:ascii="Arial" w:cs="Arial" w:eastAsia="Arial" w:hAnsi="Arial"/>
                <w:sz w:val="14"/>
                <w:szCs w:val="14"/>
                <w:color w:val="4D4D4F"/>
              </w:rPr>
              <w:t>114.10</w:t>
            </w:r>
          </w:p>
        </w:tc>
        <w:tc>
          <w:tcPr>
            <w:tcW w:w="1020" w:type="dxa"/>
            <w:vAlign w:val="bottom"/>
          </w:tcPr>
          <w:p>
            <w:pPr>
              <w:jc w:val="right"/>
              <w:ind w:right="48"/>
              <w:spacing w:after="0"/>
              <w:rPr>
                <w:sz w:val="20"/>
                <w:szCs w:val="20"/>
                <w:color w:val="auto"/>
              </w:rPr>
            </w:pPr>
            <w:r>
              <w:rPr>
                <w:rFonts w:ascii="Arial" w:cs="Arial" w:eastAsia="Arial" w:hAnsi="Arial"/>
                <w:sz w:val="14"/>
                <w:szCs w:val="14"/>
                <w:color w:val="4D4D4F"/>
              </w:rPr>
              <w:t>380.30</w:t>
            </w:r>
          </w:p>
        </w:tc>
        <w:tc>
          <w:tcPr>
            <w:tcW w:w="0" w:type="dxa"/>
            <w:vAlign w:val="bottom"/>
          </w:tcPr>
          <w:p>
            <w:pPr>
              <w:spacing w:after="0"/>
              <w:rPr>
                <w:sz w:val="1"/>
                <w:szCs w:val="1"/>
                <w:color w:val="auto"/>
              </w:rPr>
            </w:pPr>
          </w:p>
        </w:tc>
      </w:tr>
      <w:tr>
        <w:trPr>
          <w:trHeight w:val="22"/>
        </w:trPr>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2021</w:t>
            </w:r>
          </w:p>
        </w:tc>
        <w:tc>
          <w:tcPr>
            <w:tcW w:w="1380" w:type="dxa"/>
            <w:vAlign w:val="bottom"/>
            <w:tcBorders>
              <w:bottom w:val="single" w:sz="8" w:color="EAEEF2"/>
            </w:tcBorders>
            <w:shd w:val="clear" w:color="auto" w:fill="EAEEF2"/>
          </w:tcPr>
          <w:p>
            <w:pPr>
              <w:jc w:val="right"/>
              <w:ind w:right="8"/>
              <w:spacing w:after="0"/>
              <w:rPr>
                <w:sz w:val="20"/>
                <w:szCs w:val="20"/>
                <w:color w:val="auto"/>
              </w:rPr>
            </w:pPr>
            <w:r>
              <w:rPr>
                <w:rFonts w:ascii="Arial" w:cs="Arial" w:eastAsia="Arial" w:hAnsi="Arial"/>
                <w:sz w:val="14"/>
                <w:szCs w:val="14"/>
                <w:color w:val="4D4D4F"/>
              </w:rPr>
              <w:t>5,141,566</w:t>
            </w:r>
          </w:p>
        </w:tc>
        <w:tc>
          <w:tcPr>
            <w:tcW w:w="1580" w:type="dxa"/>
            <w:vAlign w:val="bottom"/>
            <w:tcBorders>
              <w:bottom w:val="single" w:sz="8" w:color="EAEEF2"/>
            </w:tcBorders>
            <w:shd w:val="clear" w:color="auto" w:fill="EAEEF2"/>
          </w:tcPr>
          <w:p>
            <w:pPr>
              <w:jc w:val="right"/>
              <w:ind w:right="68"/>
              <w:spacing w:after="0"/>
              <w:rPr>
                <w:sz w:val="20"/>
                <w:szCs w:val="20"/>
                <w:color w:val="auto"/>
              </w:rPr>
            </w:pPr>
            <w:r>
              <w:rPr>
                <w:rFonts w:ascii="Arial" w:cs="Arial" w:eastAsia="Arial" w:hAnsi="Arial"/>
                <w:sz w:val="14"/>
                <w:szCs w:val="14"/>
                <w:color w:val="4D4D4F"/>
              </w:rPr>
              <w:t>4,046,678</w:t>
            </w:r>
          </w:p>
        </w:tc>
        <w:tc>
          <w:tcPr>
            <w:tcW w:w="1640" w:type="dxa"/>
            <w:vAlign w:val="bottom"/>
            <w:tcBorders>
              <w:bottom w:val="single" w:sz="8" w:color="EAEEF2"/>
            </w:tcBorders>
            <w:shd w:val="clear" w:color="auto" w:fill="EAEEF2"/>
          </w:tcPr>
          <w:p>
            <w:pPr>
              <w:jc w:val="right"/>
              <w:ind w:right="8"/>
              <w:spacing w:after="0"/>
              <w:rPr>
                <w:sz w:val="20"/>
                <w:szCs w:val="20"/>
                <w:color w:val="auto"/>
              </w:rPr>
            </w:pPr>
            <w:r>
              <w:rPr>
                <w:rFonts w:ascii="Arial" w:cs="Arial" w:eastAsia="Arial" w:hAnsi="Arial"/>
                <w:sz w:val="14"/>
                <w:szCs w:val="14"/>
                <w:color w:val="4D4D4F"/>
              </w:rPr>
              <w:t>1,797,915</w:t>
            </w:r>
          </w:p>
        </w:tc>
        <w:tc>
          <w:tcPr>
            <w:tcW w:w="1540" w:type="dxa"/>
            <w:vAlign w:val="bottom"/>
            <w:tcBorders>
              <w:bottom w:val="single" w:sz="8" w:color="EAEEF2"/>
            </w:tcBorders>
            <w:shd w:val="clear" w:color="auto" w:fill="EAEEF2"/>
          </w:tcPr>
          <w:p>
            <w:pPr>
              <w:jc w:val="right"/>
              <w:spacing w:after="0"/>
              <w:rPr>
                <w:sz w:val="20"/>
                <w:szCs w:val="20"/>
                <w:color w:val="auto"/>
              </w:rPr>
            </w:pPr>
            <w:r>
              <w:rPr>
                <w:rFonts w:ascii="Arial" w:cs="Arial" w:eastAsia="Arial" w:hAnsi="Arial"/>
                <w:sz w:val="14"/>
                <w:szCs w:val="14"/>
                <w:color w:val="4D4D4F"/>
              </w:rPr>
              <w:t>1,687,476</w:t>
            </w:r>
          </w:p>
        </w:tc>
        <w:tc>
          <w:tcPr>
            <w:tcW w:w="1340" w:type="dxa"/>
            <w:vAlign w:val="bottom"/>
            <w:tcBorders>
              <w:bottom w:val="single" w:sz="8" w:color="EAEEF2"/>
            </w:tcBorders>
            <w:shd w:val="clear" w:color="auto" w:fill="EAEEF2"/>
          </w:tcPr>
          <w:p>
            <w:pPr>
              <w:jc w:val="right"/>
              <w:ind w:right="108"/>
              <w:spacing w:after="0"/>
              <w:rPr>
                <w:sz w:val="20"/>
                <w:szCs w:val="20"/>
                <w:color w:val="auto"/>
              </w:rPr>
            </w:pPr>
            <w:r>
              <w:rPr>
                <w:rFonts w:ascii="Arial" w:cs="Arial" w:eastAsia="Arial" w:hAnsi="Arial"/>
                <w:sz w:val="14"/>
                <w:szCs w:val="14"/>
                <w:color w:val="4D4D4F"/>
              </w:rPr>
              <w:t>62.87</w:t>
            </w:r>
          </w:p>
        </w:tc>
        <w:tc>
          <w:tcPr>
            <w:tcW w:w="1020" w:type="dxa"/>
            <w:vAlign w:val="bottom"/>
            <w:tcBorders>
              <w:bottom w:val="single" w:sz="8" w:color="EAEEF2"/>
            </w:tcBorders>
            <w:shd w:val="clear" w:color="auto" w:fill="EAEEF2"/>
          </w:tcPr>
          <w:p>
            <w:pPr>
              <w:jc w:val="right"/>
              <w:spacing w:after="0"/>
              <w:rPr>
                <w:sz w:val="20"/>
                <w:szCs w:val="20"/>
                <w:color w:val="auto"/>
              </w:rPr>
            </w:pPr>
            <w:r>
              <w:rPr>
                <w:rFonts w:ascii="Arial" w:cs="Arial" w:eastAsia="Arial" w:hAnsi="Arial"/>
                <w:sz w:val="14"/>
                <w:szCs w:val="14"/>
                <w:color w:val="4D4D4F"/>
              </w:rPr>
              <w:t>102.56</w:t>
            </w:r>
          </w:p>
        </w:tc>
        <w:tc>
          <w:tcPr>
            <w:tcW w:w="1000" w:type="dxa"/>
            <w:vAlign w:val="bottom"/>
            <w:tcBorders>
              <w:bottom w:val="single" w:sz="8" w:color="EAEEF2"/>
            </w:tcBorders>
            <w:shd w:val="clear" w:color="auto" w:fill="EAEEF2"/>
          </w:tcPr>
          <w:p>
            <w:pPr>
              <w:jc w:val="right"/>
              <w:spacing w:after="0"/>
              <w:rPr>
                <w:sz w:val="20"/>
                <w:szCs w:val="20"/>
                <w:color w:val="auto"/>
              </w:rPr>
            </w:pPr>
            <w:r>
              <w:rPr>
                <w:rFonts w:ascii="Arial" w:cs="Arial" w:eastAsia="Arial" w:hAnsi="Arial"/>
                <w:sz w:val="14"/>
                <w:szCs w:val="14"/>
                <w:color w:val="4D4D4F"/>
              </w:rPr>
              <w:t>73.70</w:t>
            </w:r>
          </w:p>
        </w:tc>
        <w:tc>
          <w:tcPr>
            <w:tcW w:w="1020" w:type="dxa"/>
            <w:vAlign w:val="bottom"/>
            <w:tcBorders>
              <w:bottom w:val="single" w:sz="8" w:color="EAEEF2"/>
            </w:tcBorders>
            <w:shd w:val="clear" w:color="auto" w:fill="EAEEF2"/>
          </w:tcPr>
          <w:p>
            <w:pPr>
              <w:jc w:val="right"/>
              <w:ind w:right="48"/>
              <w:spacing w:after="0"/>
              <w:rPr>
                <w:sz w:val="20"/>
                <w:szCs w:val="20"/>
                <w:color w:val="auto"/>
              </w:rPr>
            </w:pPr>
            <w:r>
              <w:rPr>
                <w:rFonts w:ascii="Arial" w:cs="Arial" w:eastAsia="Arial" w:hAnsi="Arial"/>
                <w:sz w:val="14"/>
                <w:szCs w:val="14"/>
                <w:color w:val="4D4D4F"/>
              </w:rPr>
              <w:t>241.30</w:t>
            </w:r>
          </w:p>
        </w:tc>
        <w:tc>
          <w:tcPr>
            <w:tcW w:w="0" w:type="dxa"/>
            <w:vAlign w:val="bottom"/>
          </w:tcPr>
          <w:p>
            <w:pPr>
              <w:spacing w:after="0"/>
              <w:rPr>
                <w:sz w:val="1"/>
                <w:szCs w:val="1"/>
                <w:color w:val="auto"/>
              </w:rPr>
            </w:pPr>
          </w:p>
        </w:tc>
      </w:tr>
      <w:tr>
        <w:trPr>
          <w:trHeight w:val="208"/>
        </w:trPr>
        <w:tc>
          <w:tcPr>
            <w:tcW w:w="720" w:type="dxa"/>
            <w:vAlign w:val="bottom"/>
          </w:tcPr>
          <w:p>
            <w:pPr>
              <w:ind w:left="100"/>
              <w:spacing w:after="0"/>
              <w:rPr>
                <w:sz w:val="20"/>
                <w:szCs w:val="20"/>
                <w:color w:val="auto"/>
              </w:rPr>
            </w:pPr>
            <w:r>
              <w:rPr>
                <w:rFonts w:ascii="Arial" w:cs="Arial" w:eastAsia="Arial" w:hAnsi="Arial"/>
                <w:sz w:val="14"/>
                <w:szCs w:val="14"/>
                <w:color w:val="4D4D4F"/>
              </w:rPr>
              <w:t>2020</w:t>
            </w:r>
          </w:p>
        </w:tc>
        <w:tc>
          <w:tcPr>
            <w:tcW w:w="1380" w:type="dxa"/>
            <w:vAlign w:val="bottom"/>
          </w:tcPr>
          <w:p>
            <w:pPr>
              <w:jc w:val="right"/>
              <w:ind w:right="8"/>
              <w:spacing w:after="0"/>
              <w:rPr>
                <w:sz w:val="20"/>
                <w:szCs w:val="20"/>
                <w:color w:val="auto"/>
              </w:rPr>
            </w:pPr>
            <w:r>
              <w:rPr>
                <w:rFonts w:ascii="Arial" w:cs="Arial" w:eastAsia="Arial" w:hAnsi="Arial"/>
                <w:sz w:val="14"/>
                <w:szCs w:val="14"/>
                <w:color w:val="4D4D4F"/>
              </w:rPr>
              <w:t>6,514,957</w:t>
            </w:r>
          </w:p>
        </w:tc>
        <w:tc>
          <w:tcPr>
            <w:tcW w:w="1580" w:type="dxa"/>
            <w:vAlign w:val="bottom"/>
          </w:tcPr>
          <w:p>
            <w:pPr>
              <w:jc w:val="right"/>
              <w:ind w:right="68"/>
              <w:spacing w:after="0"/>
              <w:rPr>
                <w:sz w:val="20"/>
                <w:szCs w:val="20"/>
                <w:color w:val="auto"/>
              </w:rPr>
            </w:pPr>
            <w:r>
              <w:rPr>
                <w:rFonts w:ascii="Arial" w:cs="Arial" w:eastAsia="Arial" w:hAnsi="Arial"/>
                <w:sz w:val="14"/>
                <w:szCs w:val="14"/>
                <w:color w:val="4D4D4F"/>
              </w:rPr>
              <w:t>(7,068,994)</w:t>
            </w:r>
          </w:p>
        </w:tc>
        <w:tc>
          <w:tcPr>
            <w:tcW w:w="1640" w:type="dxa"/>
            <w:vAlign w:val="bottom"/>
          </w:tcPr>
          <w:p>
            <w:pPr>
              <w:jc w:val="right"/>
              <w:ind w:right="8"/>
              <w:spacing w:after="0"/>
              <w:rPr>
                <w:sz w:val="20"/>
                <w:szCs w:val="20"/>
                <w:color w:val="auto"/>
              </w:rPr>
            </w:pPr>
            <w:r>
              <w:rPr>
                <w:rFonts w:ascii="Arial" w:cs="Arial" w:eastAsia="Arial" w:hAnsi="Arial"/>
                <w:sz w:val="14"/>
                <w:szCs w:val="14"/>
                <w:color w:val="4D4D4F"/>
              </w:rPr>
              <w:t>2,134,192</w:t>
            </w:r>
          </w:p>
        </w:tc>
        <w:tc>
          <w:tcPr>
            <w:tcW w:w="1540" w:type="dxa"/>
            <w:vAlign w:val="bottom"/>
          </w:tcPr>
          <w:p>
            <w:pPr>
              <w:jc w:val="right"/>
              <w:spacing w:after="0"/>
              <w:rPr>
                <w:sz w:val="20"/>
                <w:szCs w:val="20"/>
                <w:color w:val="auto"/>
              </w:rPr>
            </w:pPr>
            <w:r>
              <w:rPr>
                <w:rFonts w:ascii="Arial" w:cs="Arial" w:eastAsia="Arial" w:hAnsi="Arial"/>
                <w:sz w:val="14"/>
                <w:szCs w:val="14"/>
                <w:color w:val="4D4D4F"/>
              </w:rPr>
              <w:t>(3,412,451)</w:t>
            </w:r>
          </w:p>
        </w:tc>
        <w:tc>
          <w:tcPr>
            <w:tcW w:w="1340" w:type="dxa"/>
            <w:vAlign w:val="bottom"/>
          </w:tcPr>
          <w:p>
            <w:pPr>
              <w:jc w:val="right"/>
              <w:ind w:right="108"/>
              <w:spacing w:after="0"/>
              <w:rPr>
                <w:sz w:val="20"/>
                <w:szCs w:val="20"/>
                <w:color w:val="auto"/>
              </w:rPr>
            </w:pPr>
            <w:r>
              <w:rPr>
                <w:rFonts w:ascii="Arial" w:cs="Arial" w:eastAsia="Arial" w:hAnsi="Arial"/>
                <w:sz w:val="14"/>
                <w:szCs w:val="14"/>
                <w:color w:val="4D4D4F"/>
              </w:rPr>
              <w:t>72.87</w:t>
            </w:r>
          </w:p>
        </w:tc>
        <w:tc>
          <w:tcPr>
            <w:tcW w:w="1020" w:type="dxa"/>
            <w:vAlign w:val="bottom"/>
          </w:tcPr>
          <w:p>
            <w:pPr>
              <w:jc w:val="right"/>
              <w:spacing w:after="0"/>
              <w:rPr>
                <w:sz w:val="20"/>
                <w:szCs w:val="20"/>
                <w:color w:val="auto"/>
              </w:rPr>
            </w:pPr>
            <w:r>
              <w:rPr>
                <w:rFonts w:ascii="Arial" w:cs="Arial" w:eastAsia="Arial" w:hAnsi="Arial"/>
                <w:sz w:val="14"/>
                <w:szCs w:val="14"/>
                <w:color w:val="4D4D4F"/>
              </w:rPr>
              <w:t>66.32</w:t>
            </w:r>
          </w:p>
        </w:tc>
        <w:tc>
          <w:tcPr>
            <w:tcW w:w="1000" w:type="dxa"/>
            <w:vAlign w:val="bottom"/>
          </w:tcPr>
          <w:p>
            <w:pPr>
              <w:jc w:val="right"/>
              <w:spacing w:after="0"/>
              <w:rPr>
                <w:sz w:val="20"/>
                <w:szCs w:val="20"/>
                <w:color w:val="auto"/>
              </w:rPr>
            </w:pPr>
            <w:r>
              <w:rPr>
                <w:rFonts w:ascii="Arial" w:cs="Arial" w:eastAsia="Arial" w:hAnsi="Arial"/>
                <w:sz w:val="14"/>
                <w:szCs w:val="14"/>
                <w:color w:val="4D4D4F"/>
              </w:rPr>
              <w:t>109.60</w:t>
            </w:r>
          </w:p>
        </w:tc>
        <w:tc>
          <w:tcPr>
            <w:tcW w:w="1020" w:type="dxa"/>
            <w:vAlign w:val="bottom"/>
          </w:tcPr>
          <w:p>
            <w:pPr>
              <w:jc w:val="right"/>
              <w:ind w:right="48"/>
              <w:spacing w:after="0"/>
              <w:rPr>
                <w:sz w:val="20"/>
                <w:szCs w:val="20"/>
                <w:color w:val="auto"/>
              </w:rPr>
            </w:pPr>
            <w:r>
              <w:rPr>
                <w:rFonts w:ascii="Arial" w:cs="Arial" w:eastAsia="Arial" w:hAnsi="Arial"/>
                <w:sz w:val="14"/>
                <w:szCs w:val="14"/>
                <w:color w:val="4D4D4F"/>
              </w:rPr>
              <w:t>261.40</w:t>
            </w:r>
          </w:p>
        </w:tc>
        <w:tc>
          <w:tcPr>
            <w:tcW w:w="0" w:type="dxa"/>
            <w:vAlign w:val="bottom"/>
          </w:tcPr>
          <w:p>
            <w:pPr>
              <w:spacing w:after="0"/>
              <w:rPr>
                <w:sz w:val="1"/>
                <w:szCs w:val="1"/>
                <w:color w:val="auto"/>
              </w:rPr>
            </w:pPr>
          </w:p>
        </w:tc>
      </w:tr>
      <w:tr>
        <w:trPr>
          <w:trHeight w:val="21"/>
        </w:trPr>
        <w:tc>
          <w:tcPr>
            <w:tcW w:w="720" w:type="dxa"/>
            <w:vAlign w:val="bottom"/>
            <w:tcBorders>
              <w:bottom w:val="single" w:sz="8" w:color="298655"/>
            </w:tcBorders>
          </w:tcPr>
          <w:p>
            <w:pPr>
              <w:spacing w:after="0" w:line="20" w:lineRule="exact"/>
              <w:rPr>
                <w:sz w:val="1"/>
                <w:szCs w:val="1"/>
                <w:color w:val="auto"/>
              </w:rPr>
            </w:pPr>
          </w:p>
        </w:tc>
        <w:tc>
          <w:tcPr>
            <w:tcW w:w="1380" w:type="dxa"/>
            <w:vAlign w:val="bottom"/>
            <w:tcBorders>
              <w:bottom w:val="single" w:sz="8" w:color="298655"/>
            </w:tcBorders>
          </w:tcPr>
          <w:p>
            <w:pPr>
              <w:spacing w:after="0" w:line="20" w:lineRule="exact"/>
              <w:rPr>
                <w:sz w:val="1"/>
                <w:szCs w:val="1"/>
                <w:color w:val="auto"/>
              </w:rPr>
            </w:pPr>
          </w:p>
        </w:tc>
        <w:tc>
          <w:tcPr>
            <w:tcW w:w="1580" w:type="dxa"/>
            <w:vAlign w:val="bottom"/>
            <w:tcBorders>
              <w:bottom w:val="single" w:sz="8" w:color="298655"/>
            </w:tcBorders>
          </w:tcPr>
          <w:p>
            <w:pPr>
              <w:spacing w:after="0" w:line="20" w:lineRule="exact"/>
              <w:rPr>
                <w:sz w:val="1"/>
                <w:szCs w:val="1"/>
                <w:color w:val="auto"/>
              </w:rPr>
            </w:pPr>
          </w:p>
        </w:tc>
        <w:tc>
          <w:tcPr>
            <w:tcW w:w="1640" w:type="dxa"/>
            <w:vAlign w:val="bottom"/>
            <w:tcBorders>
              <w:bottom w:val="single" w:sz="8" w:color="298655"/>
            </w:tcBorders>
          </w:tcPr>
          <w:p>
            <w:pPr>
              <w:spacing w:after="0" w:line="20" w:lineRule="exact"/>
              <w:rPr>
                <w:sz w:val="1"/>
                <w:szCs w:val="1"/>
                <w:color w:val="auto"/>
              </w:rPr>
            </w:pPr>
          </w:p>
        </w:tc>
        <w:tc>
          <w:tcPr>
            <w:tcW w:w="1540" w:type="dxa"/>
            <w:vAlign w:val="bottom"/>
            <w:tcBorders>
              <w:bottom w:val="single" w:sz="8" w:color="298655"/>
            </w:tcBorders>
          </w:tcPr>
          <w:p>
            <w:pPr>
              <w:spacing w:after="0" w:line="20" w:lineRule="exact"/>
              <w:rPr>
                <w:sz w:val="1"/>
                <w:szCs w:val="1"/>
                <w:color w:val="auto"/>
              </w:rPr>
            </w:pPr>
          </w:p>
        </w:tc>
        <w:tc>
          <w:tcPr>
            <w:tcW w:w="1340" w:type="dxa"/>
            <w:vAlign w:val="bottom"/>
            <w:tcBorders>
              <w:bottom w:val="single" w:sz="8" w:color="298655"/>
            </w:tcBorders>
          </w:tcPr>
          <w:p>
            <w:pPr>
              <w:spacing w:after="0" w:line="20" w:lineRule="exact"/>
              <w:rPr>
                <w:sz w:val="1"/>
                <w:szCs w:val="1"/>
                <w:color w:val="auto"/>
              </w:rPr>
            </w:pPr>
          </w:p>
        </w:tc>
        <w:tc>
          <w:tcPr>
            <w:tcW w:w="1020" w:type="dxa"/>
            <w:vAlign w:val="bottom"/>
            <w:tcBorders>
              <w:bottom w:val="single" w:sz="8" w:color="298655"/>
            </w:tcBorders>
          </w:tcPr>
          <w:p>
            <w:pPr>
              <w:spacing w:after="0" w:line="20" w:lineRule="exact"/>
              <w:rPr>
                <w:sz w:val="1"/>
                <w:szCs w:val="1"/>
                <w:color w:val="auto"/>
              </w:rPr>
            </w:pPr>
          </w:p>
        </w:tc>
        <w:tc>
          <w:tcPr>
            <w:tcW w:w="1000" w:type="dxa"/>
            <w:vAlign w:val="bottom"/>
            <w:tcBorders>
              <w:bottom w:val="single" w:sz="8" w:color="298655"/>
            </w:tcBorders>
          </w:tcPr>
          <w:p>
            <w:pPr>
              <w:spacing w:after="0" w:line="20" w:lineRule="exact"/>
              <w:rPr>
                <w:sz w:val="1"/>
                <w:szCs w:val="1"/>
                <w:color w:val="auto"/>
              </w:rPr>
            </w:pPr>
          </w:p>
        </w:tc>
        <w:tc>
          <w:tcPr>
            <w:tcW w:w="1020" w:type="dxa"/>
            <w:vAlign w:val="bottom"/>
            <w:tcBorders>
              <w:bottom w:val="single" w:sz="8" w:color="298655"/>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0" w:hanging="534"/>
        <w:spacing w:after="0"/>
        <w:tabs>
          <w:tab w:leader="none" w:pos="560" w:val="left"/>
        </w:tabs>
        <w:numPr>
          <w:ilvl w:val="0"/>
          <w:numId w:val="125"/>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83" w:name="page84"/>
    <w:bookmarkEnd w:id="83"/>
    <w:p>
      <w:pPr>
        <w:ind w:left="20"/>
        <w:spacing w:after="0"/>
        <w:rPr>
          <w:sz w:val="20"/>
          <w:szCs w:val="20"/>
          <w:color w:val="auto"/>
        </w:rPr>
      </w:pPr>
      <w:r>
        <w:rPr>
          <w:rFonts w:ascii="Arial" w:cs="Arial" w:eastAsia="Arial" w:hAnsi="Arial"/>
          <w:sz w:val="14"/>
          <w:szCs w:val="14"/>
          <w:b w:val="1"/>
          <w:bCs w:val="1"/>
          <w:color w:val="5B6770"/>
        </w:rPr>
        <w:t>Other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i w:val="1"/>
          <w:iCs w:val="1"/>
          <w:color w:val="4D4D4F"/>
        </w:rPr>
        <w:t xml:space="preserve">Column (b). </w:t>
      </w:r>
      <w:r>
        <w:rPr>
          <w:rFonts w:ascii="Arial" w:cs="Arial" w:eastAsia="Arial" w:hAnsi="Arial"/>
          <w:sz w:val="16"/>
          <w:szCs w:val="16"/>
          <w:color w:val="4D4D4F"/>
        </w:rPr>
        <w:t>Reflects compensation amounts reported in the “Summary Compensation Table” (“SCT”) for our principal executive officer (“PEO”), for the</w:t>
      </w:r>
      <w:r>
        <w:rPr>
          <w:rFonts w:ascii="Arial" w:cs="Arial" w:eastAsia="Arial" w:hAnsi="Arial"/>
          <w:sz w:val="16"/>
          <w:szCs w:val="16"/>
          <w:i w:val="1"/>
          <w:iCs w:val="1"/>
          <w:color w:val="4D4D4F"/>
        </w:rPr>
        <w:t xml:space="preserve"> </w:t>
      </w:r>
      <w:r>
        <w:rPr>
          <w:rFonts w:ascii="Arial" w:cs="Arial" w:eastAsia="Arial" w:hAnsi="Arial"/>
          <w:sz w:val="16"/>
          <w:szCs w:val="16"/>
          <w:color w:val="4D4D4F"/>
        </w:rPr>
        <w:t>respective years shown. Our CEO, Michael J. Kasbar, was our PEO for each of the covered years shown in the table.</w:t>
      </w:r>
    </w:p>
    <w:p>
      <w:pPr>
        <w:spacing w:after="0" w:line="1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4D4D4F"/>
        </w:rPr>
        <w:t xml:space="preserve">Column (c). </w:t>
      </w:r>
      <w:r>
        <w:rPr>
          <w:rFonts w:ascii="Arial" w:cs="Arial" w:eastAsia="Arial" w:hAnsi="Arial"/>
          <w:sz w:val="16"/>
          <w:szCs w:val="16"/>
          <w:color w:val="4D4D4F"/>
        </w:rPr>
        <w:t>CAP for our PEO in each of 2023, 2022, 2021 and 2020 reflects the respective amounts set forth in column (b), adjusted as set forth in the table</w:t>
      </w:r>
      <w:r>
        <w:rPr>
          <w:rFonts w:ascii="Arial" w:cs="Arial" w:eastAsia="Arial" w:hAnsi="Arial"/>
          <w:sz w:val="16"/>
          <w:szCs w:val="16"/>
          <w:i w:val="1"/>
          <w:iCs w:val="1"/>
          <w:color w:val="4D4D4F"/>
        </w:rPr>
        <w:t xml:space="preserve"> </w:t>
      </w:r>
      <w:r>
        <w:rPr>
          <w:rFonts w:ascii="Arial" w:cs="Arial" w:eastAsia="Arial" w:hAnsi="Arial"/>
          <w:sz w:val="16"/>
          <w:szCs w:val="16"/>
          <w:color w:val="4D4D4F"/>
        </w:rPr>
        <w:t>below, as determined in accordance with SEC rules. The dollar amounts reflected in column (c) do not reflect the actual amount of compensation earned by or paid to our PEO during the applicable year. For information regarding decisions made by our Compensation Committee with respect to the PEO’s compensation for each fiscal year, please see the “Compensation Discussion and Analysis” section of this proxy statement and the proxy statements for the 2023, 2022 and 2021 annual meetings of shareholders.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00" w:type="dxa"/>
            <w:vAlign w:val="bottom"/>
            <w:shd w:val="clear" w:color="auto" w:fill="132440"/>
          </w:tcPr>
          <w:p>
            <w:pPr>
              <w:spacing w:after="0"/>
              <w:rPr>
                <w:sz w:val="15"/>
                <w:szCs w:val="15"/>
                <w:color w:val="auto"/>
              </w:rPr>
            </w:pPr>
          </w:p>
        </w:tc>
        <w:tc>
          <w:tcPr>
            <w:tcW w:w="1660" w:type="dxa"/>
            <w:vAlign w:val="bottom"/>
            <w:shd w:val="clear" w:color="auto" w:fill="132440"/>
          </w:tcPr>
          <w:p>
            <w:pPr>
              <w:jc w:val="right"/>
              <w:ind w:right="368"/>
              <w:spacing w:after="0"/>
              <w:rPr>
                <w:sz w:val="20"/>
                <w:szCs w:val="20"/>
                <w:color w:val="auto"/>
              </w:rPr>
            </w:pPr>
            <w:r>
              <w:rPr>
                <w:rFonts w:ascii="Arial" w:cs="Arial" w:eastAsia="Arial" w:hAnsi="Arial"/>
                <w:sz w:val="14"/>
                <w:szCs w:val="14"/>
                <w:b w:val="1"/>
                <w:bCs w:val="1"/>
                <w:color w:val="FFFFFF"/>
              </w:rPr>
              <w:t>2023</w:t>
            </w:r>
          </w:p>
        </w:tc>
        <w:tc>
          <w:tcPr>
            <w:tcW w:w="1600" w:type="dxa"/>
            <w:vAlign w:val="bottom"/>
            <w:shd w:val="clear" w:color="auto" w:fill="132440"/>
          </w:tcPr>
          <w:p>
            <w:pPr>
              <w:jc w:val="right"/>
              <w:ind w:right="388"/>
              <w:spacing w:after="0"/>
              <w:rPr>
                <w:sz w:val="20"/>
                <w:szCs w:val="20"/>
                <w:color w:val="auto"/>
              </w:rPr>
            </w:pPr>
            <w:r>
              <w:rPr>
                <w:rFonts w:ascii="Arial" w:cs="Arial" w:eastAsia="Arial" w:hAnsi="Arial"/>
                <w:sz w:val="14"/>
                <w:szCs w:val="14"/>
                <w:b w:val="1"/>
                <w:bCs w:val="1"/>
                <w:color w:val="FFFFFF"/>
              </w:rPr>
              <w:t>2022</w:t>
            </w:r>
          </w:p>
        </w:tc>
        <w:tc>
          <w:tcPr>
            <w:tcW w:w="1560" w:type="dxa"/>
            <w:vAlign w:val="bottom"/>
            <w:shd w:val="clear" w:color="auto" w:fill="132440"/>
          </w:tcPr>
          <w:p>
            <w:pPr>
              <w:jc w:val="right"/>
              <w:ind w:right="388"/>
              <w:spacing w:after="0"/>
              <w:rPr>
                <w:sz w:val="20"/>
                <w:szCs w:val="20"/>
                <w:color w:val="auto"/>
              </w:rPr>
            </w:pPr>
            <w:r>
              <w:rPr>
                <w:rFonts w:ascii="Arial" w:cs="Arial" w:eastAsia="Arial" w:hAnsi="Arial"/>
                <w:sz w:val="14"/>
                <w:szCs w:val="14"/>
                <w:b w:val="1"/>
                <w:bCs w:val="1"/>
                <w:color w:val="FFFFFF"/>
              </w:rPr>
              <w:t>2021</w:t>
            </w:r>
          </w:p>
        </w:tc>
        <w:tc>
          <w:tcPr>
            <w:tcW w:w="122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2020</w:t>
            </w:r>
          </w:p>
        </w:tc>
        <w:tc>
          <w:tcPr>
            <w:tcW w:w="0" w:type="dxa"/>
            <w:vAlign w:val="bottom"/>
          </w:tcPr>
          <w:p>
            <w:pPr>
              <w:spacing w:after="0"/>
              <w:rPr>
                <w:sz w:val="1"/>
                <w:szCs w:val="1"/>
                <w:color w:val="auto"/>
              </w:rPr>
            </w:pPr>
          </w:p>
        </w:tc>
      </w:tr>
      <w:tr>
        <w:trPr>
          <w:trHeight w:val="225"/>
        </w:trPr>
        <w:tc>
          <w:tcPr>
            <w:tcW w:w="520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PEO (Mr. Kasbar)</w:t>
            </w:r>
          </w:p>
        </w:tc>
        <w:tc>
          <w:tcPr>
            <w:tcW w:w="1660" w:type="dxa"/>
            <w:vAlign w:val="bottom"/>
            <w:shd w:val="clear" w:color="auto" w:fill="132440"/>
          </w:tcPr>
          <w:p>
            <w:pPr>
              <w:jc w:val="right"/>
              <w:ind w:right="368"/>
              <w:spacing w:after="0"/>
              <w:rPr>
                <w:sz w:val="20"/>
                <w:szCs w:val="20"/>
                <w:color w:val="auto"/>
              </w:rPr>
            </w:pPr>
            <w:r>
              <w:rPr>
                <w:rFonts w:ascii="Arial" w:cs="Arial" w:eastAsia="Arial" w:hAnsi="Arial"/>
                <w:sz w:val="14"/>
                <w:szCs w:val="14"/>
                <w:b w:val="1"/>
                <w:bCs w:val="1"/>
                <w:color w:val="FFFFFF"/>
              </w:rPr>
              <w:t>($)</w:t>
            </w:r>
          </w:p>
        </w:tc>
        <w:tc>
          <w:tcPr>
            <w:tcW w:w="1600" w:type="dxa"/>
            <w:vAlign w:val="bottom"/>
            <w:shd w:val="clear" w:color="auto" w:fill="132440"/>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132440"/>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132440"/>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0"/>
        </w:trPr>
        <w:tc>
          <w:tcPr>
            <w:tcW w:w="520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Total Compensation as reported in Summary Compensation Table</w:t>
            </w:r>
          </w:p>
        </w:tc>
        <w:tc>
          <w:tcPr>
            <w:tcW w:w="1660" w:type="dxa"/>
            <w:vAlign w:val="bottom"/>
            <w:vMerge w:val="restart"/>
            <w:shd w:val="clear" w:color="auto" w:fill="EAEEF2"/>
          </w:tcPr>
          <w:p>
            <w:pPr>
              <w:jc w:val="right"/>
              <w:ind w:right="368"/>
              <w:spacing w:after="0"/>
              <w:rPr>
                <w:sz w:val="20"/>
                <w:szCs w:val="20"/>
                <w:color w:val="auto"/>
              </w:rPr>
            </w:pPr>
            <w:r>
              <w:rPr>
                <w:rFonts w:ascii="Arial" w:cs="Arial" w:eastAsia="Arial" w:hAnsi="Arial"/>
                <w:sz w:val="14"/>
                <w:szCs w:val="14"/>
                <w:b w:val="1"/>
                <w:bCs w:val="1"/>
                <w:color w:val="4D4D4F"/>
              </w:rPr>
              <w:t>6,802,243</w:t>
            </w:r>
          </w:p>
        </w:tc>
        <w:tc>
          <w:tcPr>
            <w:tcW w:w="1600" w:type="dxa"/>
            <w:vAlign w:val="bottom"/>
            <w:vMerge w:val="restart"/>
            <w:shd w:val="clear" w:color="auto" w:fill="EAEEF2"/>
          </w:tcPr>
          <w:p>
            <w:pPr>
              <w:jc w:val="right"/>
              <w:ind w:right="388"/>
              <w:spacing w:after="0"/>
              <w:rPr>
                <w:sz w:val="20"/>
                <w:szCs w:val="20"/>
                <w:color w:val="auto"/>
              </w:rPr>
            </w:pPr>
            <w:r>
              <w:rPr>
                <w:rFonts w:ascii="Arial" w:cs="Arial" w:eastAsia="Arial" w:hAnsi="Arial"/>
                <w:sz w:val="14"/>
                <w:szCs w:val="14"/>
                <w:b w:val="1"/>
                <w:bCs w:val="1"/>
                <w:color w:val="4D4D4F"/>
              </w:rPr>
              <w:t>15,272,338</w:t>
            </w:r>
          </w:p>
        </w:tc>
        <w:tc>
          <w:tcPr>
            <w:tcW w:w="1560" w:type="dxa"/>
            <w:vAlign w:val="bottom"/>
            <w:vMerge w:val="restart"/>
            <w:shd w:val="clear" w:color="auto" w:fill="EAEEF2"/>
          </w:tcPr>
          <w:p>
            <w:pPr>
              <w:jc w:val="right"/>
              <w:ind w:right="388"/>
              <w:spacing w:after="0"/>
              <w:rPr>
                <w:sz w:val="20"/>
                <w:szCs w:val="20"/>
                <w:color w:val="auto"/>
              </w:rPr>
            </w:pPr>
            <w:r>
              <w:rPr>
                <w:rFonts w:ascii="Arial" w:cs="Arial" w:eastAsia="Arial" w:hAnsi="Arial"/>
                <w:sz w:val="14"/>
                <w:szCs w:val="14"/>
                <w:b w:val="1"/>
                <w:bCs w:val="1"/>
                <w:color w:val="4D4D4F"/>
              </w:rPr>
              <w:t>5,141,566</w:t>
            </w:r>
          </w:p>
        </w:tc>
        <w:tc>
          <w:tcPr>
            <w:tcW w:w="1220" w:type="dxa"/>
            <w:vAlign w:val="bottom"/>
            <w:vMerge w:val="restart"/>
            <w:shd w:val="clear" w:color="auto" w:fill="EAEEF2"/>
          </w:tcPr>
          <w:p>
            <w:pPr>
              <w:jc w:val="right"/>
              <w:ind w:right="48"/>
              <w:spacing w:after="0"/>
              <w:rPr>
                <w:sz w:val="20"/>
                <w:szCs w:val="20"/>
                <w:color w:val="auto"/>
              </w:rPr>
            </w:pPr>
            <w:r>
              <w:rPr>
                <w:rFonts w:ascii="Arial" w:cs="Arial" w:eastAsia="Arial" w:hAnsi="Arial"/>
                <w:sz w:val="14"/>
                <w:szCs w:val="14"/>
                <w:b w:val="1"/>
                <w:bCs w:val="1"/>
                <w:color w:val="4D4D4F"/>
              </w:rPr>
              <w:t>6,514,957</w:t>
            </w:r>
          </w:p>
        </w:tc>
        <w:tc>
          <w:tcPr>
            <w:tcW w:w="0" w:type="dxa"/>
            <w:vAlign w:val="bottom"/>
          </w:tcPr>
          <w:p>
            <w:pPr>
              <w:spacing w:after="0"/>
              <w:rPr>
                <w:sz w:val="1"/>
                <w:szCs w:val="1"/>
                <w:color w:val="auto"/>
              </w:rPr>
            </w:pPr>
          </w:p>
        </w:tc>
      </w:tr>
      <w:tr>
        <w:trPr>
          <w:trHeight w:val="115"/>
        </w:trPr>
        <w:tc>
          <w:tcPr>
            <w:tcW w:w="5200" w:type="dxa"/>
            <w:vAlign w:val="bottom"/>
            <w:vMerge w:val="restart"/>
            <w:shd w:val="clear" w:color="auto" w:fill="EAEEF2"/>
          </w:tcPr>
          <w:p>
            <w:pPr>
              <w:ind w:left="100"/>
              <w:spacing w:after="0"/>
              <w:rPr>
                <w:sz w:val="20"/>
                <w:szCs w:val="20"/>
                <w:color w:val="auto"/>
              </w:rPr>
            </w:pPr>
            <w:r>
              <w:rPr>
                <w:rFonts w:ascii="Arial" w:cs="Arial" w:eastAsia="Arial" w:hAnsi="Arial"/>
                <w:sz w:val="14"/>
                <w:szCs w:val="14"/>
                <w:b w:val="1"/>
                <w:bCs w:val="1"/>
                <w:color w:val="4D4D4F"/>
              </w:rPr>
              <w:t>(SCT)</w:t>
            </w:r>
          </w:p>
        </w:tc>
        <w:tc>
          <w:tcPr>
            <w:tcW w:w="1660" w:type="dxa"/>
            <w:vAlign w:val="bottom"/>
            <w:vMerge w:val="continue"/>
            <w:shd w:val="clear" w:color="auto" w:fill="EAEEF2"/>
          </w:tcPr>
          <w:p>
            <w:pPr>
              <w:spacing w:after="0"/>
              <w:rPr>
                <w:sz w:val="10"/>
                <w:szCs w:val="10"/>
                <w:color w:val="auto"/>
              </w:rPr>
            </w:pPr>
          </w:p>
        </w:tc>
        <w:tc>
          <w:tcPr>
            <w:tcW w:w="1600" w:type="dxa"/>
            <w:vAlign w:val="bottom"/>
            <w:vMerge w:val="continue"/>
            <w:shd w:val="clear" w:color="auto" w:fill="EAEEF2"/>
          </w:tcPr>
          <w:p>
            <w:pPr>
              <w:spacing w:after="0"/>
              <w:rPr>
                <w:sz w:val="10"/>
                <w:szCs w:val="10"/>
                <w:color w:val="auto"/>
              </w:rPr>
            </w:pPr>
          </w:p>
        </w:tc>
        <w:tc>
          <w:tcPr>
            <w:tcW w:w="1560" w:type="dxa"/>
            <w:vAlign w:val="bottom"/>
            <w:vMerge w:val="continue"/>
            <w:shd w:val="clear" w:color="auto" w:fill="EAEEF2"/>
          </w:tcPr>
          <w:p>
            <w:pPr>
              <w:spacing w:after="0"/>
              <w:rPr>
                <w:sz w:val="10"/>
                <w:szCs w:val="10"/>
                <w:color w:val="auto"/>
              </w:rPr>
            </w:pPr>
          </w:p>
        </w:tc>
        <w:tc>
          <w:tcPr>
            <w:tcW w:w="1220" w:type="dxa"/>
            <w:vAlign w:val="bottom"/>
            <w:vMerge w:val="continue"/>
            <w:shd w:val="clear" w:color="auto" w:fill="EAEEF2"/>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200" w:type="dxa"/>
            <w:vAlign w:val="bottom"/>
            <w:vMerge w:val="continue"/>
            <w:shd w:val="clear" w:color="auto" w:fill="EAEEF2"/>
          </w:tcPr>
          <w:p>
            <w:pPr>
              <w:spacing w:after="0"/>
              <w:rPr>
                <w:sz w:val="7"/>
                <w:szCs w:val="7"/>
                <w:color w:val="auto"/>
              </w:rPr>
            </w:pPr>
          </w:p>
        </w:tc>
        <w:tc>
          <w:tcPr>
            <w:tcW w:w="1660" w:type="dxa"/>
            <w:vAlign w:val="bottom"/>
            <w:shd w:val="clear" w:color="auto" w:fill="EAEEF2"/>
          </w:tcPr>
          <w:p>
            <w:pPr>
              <w:spacing w:after="0"/>
              <w:rPr>
                <w:sz w:val="7"/>
                <w:szCs w:val="7"/>
                <w:color w:val="auto"/>
              </w:rPr>
            </w:pPr>
          </w:p>
        </w:tc>
        <w:tc>
          <w:tcPr>
            <w:tcW w:w="1600" w:type="dxa"/>
            <w:vAlign w:val="bottom"/>
            <w:shd w:val="clear" w:color="auto" w:fill="EAEEF2"/>
          </w:tcPr>
          <w:p>
            <w:pPr>
              <w:spacing w:after="0"/>
              <w:rPr>
                <w:sz w:val="7"/>
                <w:szCs w:val="7"/>
                <w:color w:val="auto"/>
              </w:rPr>
            </w:pPr>
          </w:p>
        </w:tc>
        <w:tc>
          <w:tcPr>
            <w:tcW w:w="1560" w:type="dxa"/>
            <w:vAlign w:val="bottom"/>
            <w:shd w:val="clear" w:color="auto" w:fill="EAEEF2"/>
          </w:tcPr>
          <w:p>
            <w:pPr>
              <w:spacing w:after="0"/>
              <w:rPr>
                <w:sz w:val="7"/>
                <w:szCs w:val="7"/>
                <w:color w:val="auto"/>
              </w:rPr>
            </w:pPr>
          </w:p>
        </w:tc>
        <w:tc>
          <w:tcPr>
            <w:tcW w:w="1220" w:type="dxa"/>
            <w:vAlign w:val="bottom"/>
            <w:shd w:val="clear" w:color="auto" w:fill="EAEEF2"/>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5200" w:type="dxa"/>
            <w:vAlign w:val="bottom"/>
            <w:shd w:val="clear" w:color="auto" w:fill="EAEEF2"/>
          </w:tcPr>
          <w:p>
            <w:pPr>
              <w:spacing w:after="0"/>
              <w:rPr>
                <w:sz w:val="2"/>
                <w:szCs w:val="2"/>
                <w:color w:val="auto"/>
              </w:rPr>
            </w:pPr>
          </w:p>
        </w:tc>
        <w:tc>
          <w:tcPr>
            <w:tcW w:w="1660" w:type="dxa"/>
            <w:vAlign w:val="bottom"/>
            <w:shd w:val="clear" w:color="auto" w:fill="EAEEF2"/>
          </w:tcPr>
          <w:p>
            <w:pPr>
              <w:spacing w:after="0"/>
              <w:rPr>
                <w:sz w:val="2"/>
                <w:szCs w:val="2"/>
                <w:color w:val="auto"/>
              </w:rPr>
            </w:pPr>
          </w:p>
        </w:tc>
        <w:tc>
          <w:tcPr>
            <w:tcW w:w="1600" w:type="dxa"/>
            <w:vAlign w:val="bottom"/>
            <w:shd w:val="clear" w:color="auto" w:fill="EAEEF2"/>
          </w:tcPr>
          <w:p>
            <w:pPr>
              <w:spacing w:after="0"/>
              <w:rPr>
                <w:sz w:val="2"/>
                <w:szCs w:val="2"/>
                <w:color w:val="auto"/>
              </w:rPr>
            </w:pPr>
          </w:p>
        </w:tc>
        <w:tc>
          <w:tcPr>
            <w:tcW w:w="1560" w:type="dxa"/>
            <w:vAlign w:val="bottom"/>
            <w:shd w:val="clear" w:color="auto" w:fill="EAEEF2"/>
          </w:tcPr>
          <w:p>
            <w:pPr>
              <w:spacing w:after="0"/>
              <w:rPr>
                <w:sz w:val="2"/>
                <w:szCs w:val="2"/>
                <w:color w:val="auto"/>
              </w:rPr>
            </w:pPr>
          </w:p>
        </w:tc>
        <w:tc>
          <w:tcPr>
            <w:tcW w:w="1220" w:type="dxa"/>
            <w:vAlign w:val="bottom"/>
            <w:shd w:val="clear" w:color="auto" w:fill="EAEE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sectPr>
          <w:pgSz w:w="11900" w:h="16838" w:orient="portrait"/>
          <w:cols w:equalWidth="0" w:num="1">
            <w:col w:w="11240"/>
          </w:cols>
          <w:pgMar w:left="320" w:top="279" w:right="339" w:bottom="1440" w:gutter="0" w:footer="0" w:header="0"/>
        </w:sectPr>
      </w:pPr>
    </w:p>
    <w:p>
      <w:pPr>
        <w:ind w:left="100" w:right="280"/>
        <w:spacing w:after="0" w:line="305" w:lineRule="auto"/>
        <w:rPr>
          <w:sz w:val="20"/>
          <w:szCs w:val="20"/>
          <w:color w:val="auto"/>
        </w:rPr>
      </w:pPr>
      <w:r>
        <w:rPr>
          <w:rFonts w:ascii="Arial" w:cs="Arial" w:eastAsia="Arial" w:hAnsi="Arial"/>
          <w:sz w:val="14"/>
          <w:szCs w:val="14"/>
          <w:color w:val="4D4D4F"/>
        </w:rPr>
        <w:t>Less: Grant date fair value of equity awards granted during current fiscal year, as reported in SCT</w:t>
      </w:r>
    </w:p>
    <w:p>
      <w:pPr>
        <w:spacing w:after="0" w:line="9" w:lineRule="exact"/>
        <w:rPr>
          <w:sz w:val="20"/>
          <w:szCs w:val="20"/>
          <w:color w:val="auto"/>
        </w:rPr>
      </w:pPr>
    </w:p>
    <w:p>
      <w:pPr>
        <w:ind w:left="100" w:right="160"/>
        <w:spacing w:after="0" w:line="305" w:lineRule="auto"/>
        <w:rPr>
          <w:sz w:val="20"/>
          <w:szCs w:val="20"/>
          <w:color w:val="auto"/>
        </w:rPr>
      </w:pPr>
      <w:r>
        <w:rPr>
          <w:rFonts w:ascii="Arial" w:cs="Arial" w:eastAsia="Arial" w:hAnsi="Arial"/>
          <w:sz w:val="14"/>
          <w:szCs w:val="14"/>
          <w:color w:val="4D4D4F"/>
        </w:rPr>
        <w:t>Plus: Fair value of equity awards granted during current fiscal year—value at end of current fiscal year</w:t>
      </w:r>
    </w:p>
    <w:p>
      <w:pPr>
        <w:spacing w:after="0" w:line="9" w:lineRule="exact"/>
        <w:rPr>
          <w:sz w:val="20"/>
          <w:szCs w:val="20"/>
          <w:color w:val="auto"/>
        </w:rPr>
      </w:pPr>
    </w:p>
    <w:p>
      <w:pPr>
        <w:ind w:left="100" w:right="380"/>
        <w:spacing w:after="0" w:line="283" w:lineRule="auto"/>
        <w:rPr>
          <w:sz w:val="20"/>
          <w:szCs w:val="20"/>
          <w:color w:val="auto"/>
        </w:rPr>
      </w:pPr>
      <w:r>
        <w:rPr>
          <w:rFonts w:ascii="Arial" w:cs="Arial" w:eastAsia="Arial" w:hAnsi="Arial"/>
          <w:sz w:val="14"/>
          <w:szCs w:val="14"/>
          <w:color w:val="4D4D4F"/>
        </w:rPr>
        <w:t>+/-: Change in fair value from prior fiscal year end to current fiscal year end of outstanding and unvested equity awards granted in prior fiscal years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jc w:val="right"/>
              <w:ind w:right="328"/>
              <w:spacing w:after="0"/>
              <w:rPr>
                <w:sz w:val="20"/>
                <w:szCs w:val="20"/>
                <w:color w:val="auto"/>
              </w:rPr>
            </w:pPr>
            <w:r>
              <w:rPr>
                <w:rFonts w:ascii="Arial" w:cs="Arial" w:eastAsia="Arial" w:hAnsi="Arial"/>
                <w:sz w:val="14"/>
                <w:szCs w:val="14"/>
                <w:color w:val="4D4D4F"/>
                <w:w w:val="97"/>
              </w:rPr>
              <w:t>(4,500,008)</w:t>
            </w:r>
          </w:p>
        </w:tc>
        <w:tc>
          <w:tcPr>
            <w:tcW w:w="1600" w:type="dxa"/>
            <w:vAlign w:val="bottom"/>
          </w:tcPr>
          <w:p>
            <w:pPr>
              <w:jc w:val="right"/>
              <w:ind w:right="348"/>
              <w:spacing w:after="0"/>
              <w:rPr>
                <w:sz w:val="20"/>
                <w:szCs w:val="20"/>
                <w:color w:val="auto"/>
              </w:rPr>
            </w:pPr>
            <w:r>
              <w:rPr>
                <w:rFonts w:ascii="Arial" w:cs="Arial" w:eastAsia="Arial" w:hAnsi="Arial"/>
                <w:sz w:val="14"/>
                <w:szCs w:val="14"/>
                <w:color w:val="4D4D4F"/>
              </w:rPr>
              <w:t>(11,560,815)</w:t>
            </w:r>
          </w:p>
        </w:tc>
        <w:tc>
          <w:tcPr>
            <w:tcW w:w="1520" w:type="dxa"/>
            <w:vAlign w:val="bottom"/>
          </w:tcPr>
          <w:p>
            <w:pPr>
              <w:jc w:val="right"/>
              <w:ind w:right="308"/>
              <w:spacing w:after="0"/>
              <w:rPr>
                <w:sz w:val="20"/>
                <w:szCs w:val="20"/>
                <w:color w:val="auto"/>
              </w:rPr>
            </w:pPr>
            <w:r>
              <w:rPr>
                <w:rFonts w:ascii="Arial" w:cs="Arial" w:eastAsia="Arial" w:hAnsi="Arial"/>
                <w:sz w:val="14"/>
                <w:szCs w:val="14"/>
                <w:color w:val="4D4D4F"/>
              </w:rPr>
              <w:t>(3,100,053)</w:t>
            </w:r>
          </w:p>
        </w:tc>
        <w:tc>
          <w:tcPr>
            <w:tcW w:w="1180" w:type="dxa"/>
            <w:vAlign w:val="bottom"/>
          </w:tcPr>
          <w:p>
            <w:pPr>
              <w:jc w:val="right"/>
              <w:spacing w:after="0"/>
              <w:rPr>
                <w:sz w:val="20"/>
                <w:szCs w:val="20"/>
                <w:color w:val="auto"/>
              </w:rPr>
            </w:pPr>
            <w:r>
              <w:rPr>
                <w:rFonts w:ascii="Arial" w:cs="Arial" w:eastAsia="Arial" w:hAnsi="Arial"/>
                <w:sz w:val="14"/>
                <w:szCs w:val="14"/>
                <w:color w:val="4D4D4F"/>
              </w:rPr>
              <w:t>(4,532,078)</w:t>
            </w:r>
          </w:p>
        </w:tc>
      </w:tr>
      <w:tr>
        <w:trPr>
          <w:trHeight w:val="418"/>
        </w:trPr>
        <w:tc>
          <w:tcPr>
            <w:tcW w:w="1120" w:type="dxa"/>
            <w:vAlign w:val="bottom"/>
          </w:tcPr>
          <w:p>
            <w:pPr>
              <w:jc w:val="right"/>
              <w:ind w:right="328"/>
              <w:spacing w:after="0"/>
              <w:rPr>
                <w:sz w:val="20"/>
                <w:szCs w:val="20"/>
                <w:color w:val="auto"/>
              </w:rPr>
            </w:pPr>
            <w:r>
              <w:rPr>
                <w:rFonts w:ascii="Arial" w:cs="Arial" w:eastAsia="Arial" w:hAnsi="Arial"/>
                <w:sz w:val="14"/>
                <w:szCs w:val="14"/>
                <w:color w:val="4D4D4F"/>
              </w:rPr>
              <w:t>3,067,214</w:t>
            </w:r>
          </w:p>
        </w:tc>
        <w:tc>
          <w:tcPr>
            <w:tcW w:w="1600" w:type="dxa"/>
            <w:vAlign w:val="bottom"/>
          </w:tcPr>
          <w:p>
            <w:pPr>
              <w:jc w:val="right"/>
              <w:ind w:right="348"/>
              <w:spacing w:after="0"/>
              <w:rPr>
                <w:sz w:val="20"/>
                <w:szCs w:val="20"/>
                <w:color w:val="auto"/>
              </w:rPr>
            </w:pPr>
            <w:r>
              <w:rPr>
                <w:rFonts w:ascii="Arial" w:cs="Arial" w:eastAsia="Arial" w:hAnsi="Arial"/>
                <w:sz w:val="14"/>
                <w:szCs w:val="14"/>
                <w:color w:val="4D4D4F"/>
              </w:rPr>
              <w:t>11,996,540</w:t>
            </w:r>
          </w:p>
        </w:tc>
        <w:tc>
          <w:tcPr>
            <w:tcW w:w="1520" w:type="dxa"/>
            <w:vAlign w:val="bottom"/>
          </w:tcPr>
          <w:p>
            <w:pPr>
              <w:jc w:val="right"/>
              <w:ind w:right="308"/>
              <w:spacing w:after="0"/>
              <w:rPr>
                <w:sz w:val="20"/>
                <w:szCs w:val="20"/>
                <w:color w:val="auto"/>
              </w:rPr>
            </w:pPr>
            <w:r>
              <w:rPr>
                <w:rFonts w:ascii="Arial" w:cs="Arial" w:eastAsia="Arial" w:hAnsi="Arial"/>
                <w:sz w:val="14"/>
                <w:szCs w:val="14"/>
                <w:color w:val="4D4D4F"/>
              </w:rPr>
              <w:t>2,152,321</w:t>
            </w:r>
          </w:p>
        </w:tc>
        <w:tc>
          <w:tcPr>
            <w:tcW w:w="1180" w:type="dxa"/>
            <w:vAlign w:val="bottom"/>
          </w:tcPr>
          <w:p>
            <w:pPr>
              <w:jc w:val="right"/>
              <w:spacing w:after="0"/>
              <w:rPr>
                <w:sz w:val="20"/>
                <w:szCs w:val="20"/>
                <w:color w:val="auto"/>
              </w:rPr>
            </w:pPr>
            <w:r>
              <w:rPr>
                <w:rFonts w:ascii="Arial" w:cs="Arial" w:eastAsia="Arial" w:hAnsi="Arial"/>
                <w:sz w:val="14"/>
                <w:szCs w:val="14"/>
                <w:color w:val="4D4D4F"/>
              </w:rPr>
              <w:t>4,541,174</w:t>
            </w:r>
          </w:p>
        </w:tc>
      </w:tr>
      <w:tr>
        <w:trPr>
          <w:trHeight w:val="499"/>
        </w:trPr>
        <w:tc>
          <w:tcPr>
            <w:tcW w:w="1120" w:type="dxa"/>
            <w:vAlign w:val="bottom"/>
          </w:tcPr>
          <w:p>
            <w:pPr>
              <w:jc w:val="right"/>
              <w:ind w:right="328"/>
              <w:spacing w:after="0"/>
              <w:rPr>
                <w:sz w:val="20"/>
                <w:szCs w:val="20"/>
                <w:color w:val="auto"/>
              </w:rPr>
            </w:pPr>
            <w:r>
              <w:rPr>
                <w:rFonts w:ascii="Arial" w:cs="Arial" w:eastAsia="Arial" w:hAnsi="Arial"/>
                <w:sz w:val="14"/>
                <w:szCs w:val="14"/>
                <w:color w:val="4D4D4F"/>
                <w:w w:val="97"/>
              </w:rPr>
              <w:t>(5,887,591)</w:t>
            </w:r>
          </w:p>
        </w:tc>
        <w:tc>
          <w:tcPr>
            <w:tcW w:w="1600" w:type="dxa"/>
            <w:vAlign w:val="bottom"/>
          </w:tcPr>
          <w:p>
            <w:pPr>
              <w:jc w:val="right"/>
              <w:ind w:right="348"/>
              <w:spacing w:after="0"/>
              <w:rPr>
                <w:sz w:val="20"/>
                <w:szCs w:val="20"/>
                <w:color w:val="auto"/>
              </w:rPr>
            </w:pPr>
            <w:r>
              <w:rPr>
                <w:rFonts w:ascii="Arial" w:cs="Arial" w:eastAsia="Arial" w:hAnsi="Arial"/>
                <w:sz w:val="14"/>
                <w:szCs w:val="14"/>
                <w:color w:val="4D4D4F"/>
              </w:rPr>
              <w:t>(1,187,768)</w:t>
            </w:r>
          </w:p>
        </w:tc>
        <w:tc>
          <w:tcPr>
            <w:tcW w:w="1520" w:type="dxa"/>
            <w:vAlign w:val="bottom"/>
          </w:tcPr>
          <w:p>
            <w:pPr>
              <w:jc w:val="right"/>
              <w:ind w:right="308"/>
              <w:spacing w:after="0"/>
              <w:rPr>
                <w:sz w:val="20"/>
                <w:szCs w:val="20"/>
                <w:color w:val="auto"/>
              </w:rPr>
            </w:pPr>
            <w:r>
              <w:rPr>
                <w:rFonts w:ascii="Arial" w:cs="Arial" w:eastAsia="Arial" w:hAnsi="Arial"/>
                <w:sz w:val="14"/>
                <w:szCs w:val="14"/>
                <w:color w:val="4D4D4F"/>
              </w:rPr>
              <w:t>(1,246,494)</w:t>
            </w:r>
          </w:p>
        </w:tc>
        <w:tc>
          <w:tcPr>
            <w:tcW w:w="1180" w:type="dxa"/>
            <w:vAlign w:val="bottom"/>
          </w:tcPr>
          <w:p>
            <w:pPr>
              <w:jc w:val="right"/>
              <w:spacing w:after="0"/>
              <w:rPr>
                <w:sz w:val="20"/>
                <w:szCs w:val="20"/>
                <w:color w:val="auto"/>
              </w:rPr>
            </w:pPr>
            <w:r>
              <w:rPr>
                <w:rFonts w:ascii="Arial" w:cs="Arial" w:eastAsia="Arial" w:hAnsi="Arial"/>
                <w:sz w:val="14"/>
                <w:szCs w:val="14"/>
                <w:color w:val="4D4D4F"/>
              </w:rPr>
              <w:t>(11,159,476)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-508635</wp:posOffset>
            </wp:positionV>
            <wp:extent cx="7132320" cy="26543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133985</wp:posOffset>
            </wp:positionV>
            <wp:extent cx="7132320" cy="2654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4980" w:space="720"/>
            <w:col w:w="5540"/>
          </w:cols>
          <w:pgMar w:left="320" w:top="279" w:right="339" w:bottom="1440" w:gutter="0" w:footer="0" w:header="0"/>
          <w:type w:val="continuous"/>
        </w:sectPr>
      </w:pPr>
    </w:p>
    <w:p>
      <w:pPr>
        <w:ind w:left="100" w:right="440"/>
        <w:spacing w:after="0" w:line="305" w:lineRule="auto"/>
        <w:rPr>
          <w:sz w:val="20"/>
          <w:szCs w:val="20"/>
          <w:color w:val="auto"/>
        </w:rPr>
      </w:pPr>
      <w:r>
        <w:rPr>
          <w:rFonts w:ascii="Arial" w:cs="Arial" w:eastAsia="Arial" w:hAnsi="Arial"/>
          <w:sz w:val="14"/>
          <w:szCs w:val="14"/>
          <w:color w:val="4D4D4F"/>
        </w:rPr>
        <w:t>Plus: Fair value at vesting of equity awards granted during current fiscal year that vested during current fiscal year</w:t>
      </w:r>
    </w:p>
    <w:p>
      <w:pPr>
        <w:spacing w:after="0" w:line="9" w:lineRule="exact"/>
        <w:rPr>
          <w:sz w:val="20"/>
          <w:szCs w:val="20"/>
          <w:color w:val="auto"/>
        </w:rPr>
      </w:pPr>
    </w:p>
    <w:p>
      <w:pPr>
        <w:ind w:left="100" w:right="300"/>
        <w:spacing w:after="0" w:line="297" w:lineRule="auto"/>
        <w:rPr>
          <w:sz w:val="20"/>
          <w:szCs w:val="20"/>
          <w:color w:val="auto"/>
        </w:rPr>
      </w:pPr>
      <w:r>
        <w:rPr>
          <w:rFonts w:ascii="Arial" w:cs="Arial" w:eastAsia="Arial" w:hAnsi="Arial"/>
          <w:sz w:val="14"/>
          <w:szCs w:val="14"/>
          <w:color w:val="4D4D4F"/>
        </w:rPr>
        <w:t>+/-: Change in fair value from prior fiscal year end to vesting date for equity awards granted in prior fiscal years that vested during current fiscal year</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jc w:val="right"/>
              <w:ind w:right="408"/>
              <w:spacing w:after="0"/>
              <w:rPr>
                <w:sz w:val="20"/>
                <w:szCs w:val="20"/>
                <w:color w:val="auto"/>
              </w:rPr>
            </w:pPr>
            <w:r>
              <w:rPr>
                <w:rFonts w:ascii="Arial" w:cs="Arial" w:eastAsia="Arial" w:hAnsi="Arial"/>
                <w:sz w:val="14"/>
                <w:szCs w:val="14"/>
                <w:color w:val="4D4D4F"/>
              </w:rPr>
              <w:t>0</w:t>
            </w:r>
          </w:p>
        </w:tc>
        <w:tc>
          <w:tcPr>
            <w:tcW w:w="1560" w:type="dxa"/>
            <w:vAlign w:val="bottom"/>
          </w:tcPr>
          <w:p>
            <w:pPr>
              <w:jc w:val="right"/>
              <w:ind w:right="388"/>
              <w:spacing w:after="0"/>
              <w:rPr>
                <w:sz w:val="20"/>
                <w:szCs w:val="20"/>
                <w:color w:val="auto"/>
              </w:rPr>
            </w:pPr>
            <w:r>
              <w:rPr>
                <w:rFonts w:ascii="Arial" w:cs="Arial" w:eastAsia="Arial" w:hAnsi="Arial"/>
                <w:sz w:val="14"/>
                <w:szCs w:val="14"/>
                <w:color w:val="4D4D4F"/>
              </w:rPr>
              <w:t>0</w:t>
            </w:r>
          </w:p>
        </w:tc>
        <w:tc>
          <w:tcPr>
            <w:tcW w:w="1520" w:type="dxa"/>
            <w:vAlign w:val="bottom"/>
          </w:tcPr>
          <w:p>
            <w:pPr>
              <w:jc w:val="right"/>
              <w:ind w:right="348"/>
              <w:spacing w:after="0"/>
              <w:rPr>
                <w:sz w:val="20"/>
                <w:szCs w:val="20"/>
                <w:color w:val="auto"/>
              </w:rPr>
            </w:pPr>
            <w:r>
              <w:rPr>
                <w:rFonts w:ascii="Arial" w:cs="Arial" w:eastAsia="Arial" w:hAnsi="Arial"/>
                <w:sz w:val="14"/>
                <w:szCs w:val="14"/>
                <w:color w:val="4D4D4F"/>
              </w:rPr>
              <w:t>0</w:t>
            </w:r>
          </w:p>
        </w:tc>
        <w:tc>
          <w:tcPr>
            <w:tcW w:w="1140" w:type="dxa"/>
            <w:vAlign w:val="bottom"/>
          </w:tcPr>
          <w:p>
            <w:pPr>
              <w:jc w:val="right"/>
              <w:spacing w:after="0"/>
              <w:rPr>
                <w:sz w:val="20"/>
                <w:szCs w:val="20"/>
                <w:color w:val="auto"/>
              </w:rPr>
            </w:pPr>
            <w:r>
              <w:rPr>
                <w:rFonts w:ascii="Arial" w:cs="Arial" w:eastAsia="Arial" w:hAnsi="Arial"/>
                <w:sz w:val="14"/>
                <w:szCs w:val="14"/>
                <w:color w:val="4D4D4F"/>
              </w:rPr>
              <w:t>0</w:t>
            </w:r>
          </w:p>
        </w:tc>
      </w:tr>
      <w:tr>
        <w:trPr>
          <w:trHeight w:val="499"/>
        </w:trPr>
        <w:tc>
          <w:tcPr>
            <w:tcW w:w="1080" w:type="dxa"/>
            <w:vAlign w:val="bottom"/>
          </w:tcPr>
          <w:p>
            <w:pPr>
              <w:jc w:val="right"/>
              <w:ind w:right="408"/>
              <w:spacing w:after="0"/>
              <w:rPr>
                <w:sz w:val="20"/>
                <w:szCs w:val="20"/>
                <w:color w:val="auto"/>
              </w:rPr>
            </w:pPr>
            <w:r>
              <w:rPr>
                <w:rFonts w:ascii="Arial" w:cs="Arial" w:eastAsia="Arial" w:hAnsi="Arial"/>
                <w:sz w:val="14"/>
                <w:szCs w:val="14"/>
                <w:color w:val="4D4D4F"/>
                <w:w w:val="96"/>
              </w:rPr>
              <w:t>(646,771)</w:t>
            </w:r>
          </w:p>
        </w:tc>
        <w:tc>
          <w:tcPr>
            <w:tcW w:w="1560" w:type="dxa"/>
            <w:vAlign w:val="bottom"/>
          </w:tcPr>
          <w:p>
            <w:pPr>
              <w:jc w:val="right"/>
              <w:ind w:right="388"/>
              <w:spacing w:after="0"/>
              <w:rPr>
                <w:sz w:val="20"/>
                <w:szCs w:val="20"/>
                <w:color w:val="auto"/>
              </w:rPr>
            </w:pPr>
            <w:r>
              <w:rPr>
                <w:rFonts w:ascii="Arial" w:cs="Arial" w:eastAsia="Arial" w:hAnsi="Arial"/>
                <w:sz w:val="14"/>
                <w:szCs w:val="14"/>
                <w:color w:val="4D4D4F"/>
              </w:rPr>
              <w:t>(323,469)</w:t>
            </w:r>
          </w:p>
        </w:tc>
        <w:tc>
          <w:tcPr>
            <w:tcW w:w="1520" w:type="dxa"/>
            <w:vAlign w:val="bottom"/>
          </w:tcPr>
          <w:p>
            <w:pPr>
              <w:jc w:val="right"/>
              <w:ind w:right="348"/>
              <w:spacing w:after="0"/>
              <w:rPr>
                <w:sz w:val="20"/>
                <w:szCs w:val="20"/>
                <w:color w:val="auto"/>
              </w:rPr>
            </w:pPr>
            <w:r>
              <w:rPr>
                <w:rFonts w:ascii="Arial" w:cs="Arial" w:eastAsia="Arial" w:hAnsi="Arial"/>
                <w:sz w:val="14"/>
                <w:szCs w:val="14"/>
                <w:color w:val="4D4D4F"/>
              </w:rPr>
              <w:t>1,099,338</w:t>
            </w:r>
          </w:p>
        </w:tc>
        <w:tc>
          <w:tcPr>
            <w:tcW w:w="1140" w:type="dxa"/>
            <w:vAlign w:val="bottom"/>
          </w:tcPr>
          <w:p>
            <w:pPr>
              <w:jc w:val="right"/>
              <w:spacing w:after="0"/>
              <w:rPr>
                <w:sz w:val="20"/>
                <w:szCs w:val="20"/>
                <w:color w:val="auto"/>
              </w:rPr>
            </w:pPr>
            <w:r>
              <w:rPr>
                <w:rFonts w:ascii="Arial" w:cs="Arial" w:eastAsia="Arial" w:hAnsi="Arial"/>
                <w:sz w:val="14"/>
                <w:szCs w:val="14"/>
                <w:color w:val="4D4D4F"/>
              </w:rPr>
              <w:t>(2,433,571)</w:t>
            </w:r>
          </w:p>
        </w:tc>
      </w:tr>
    </w:tbl>
    <w:p>
      <w:pPr>
        <w:spacing w:after="0" w:line="210" w:lineRule="exact"/>
        <w:rPr>
          <w:sz w:val="20"/>
          <w:szCs w:val="20"/>
          <w:color w:val="auto"/>
        </w:rPr>
      </w:pPr>
    </w:p>
    <w:p>
      <w:pPr>
        <w:sectPr>
          <w:pgSz w:w="11900" w:h="16838" w:orient="portrait"/>
          <w:cols w:equalWidth="0" w:num="2">
            <w:col w:w="5100" w:space="720"/>
            <w:col w:w="5420"/>
          </w:cols>
          <w:pgMar w:left="320" w:top="279" w:right="3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512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Less: Fair value as of prior fiscal year end of equity awards granted in</w:t>
            </w:r>
          </w:p>
        </w:tc>
        <w:tc>
          <w:tcPr>
            <w:tcW w:w="1740" w:type="dxa"/>
            <w:vAlign w:val="bottom"/>
            <w:vMerge w:val="restart"/>
            <w:shd w:val="clear" w:color="auto" w:fill="EAEEF2"/>
          </w:tcPr>
          <w:p>
            <w:pPr>
              <w:jc w:val="right"/>
              <w:ind w:right="368"/>
              <w:spacing w:after="0"/>
              <w:rPr>
                <w:sz w:val="20"/>
                <w:szCs w:val="20"/>
                <w:color w:val="auto"/>
              </w:rPr>
            </w:pPr>
            <w:r>
              <w:rPr>
                <w:rFonts w:ascii="Arial" w:cs="Arial" w:eastAsia="Arial" w:hAnsi="Arial"/>
                <w:sz w:val="14"/>
                <w:szCs w:val="14"/>
                <w:color w:val="4D4D4F"/>
              </w:rPr>
              <w:t>0</w:t>
            </w:r>
          </w:p>
        </w:tc>
        <w:tc>
          <w:tcPr>
            <w:tcW w:w="1600" w:type="dxa"/>
            <w:vAlign w:val="bottom"/>
            <w:vMerge w:val="restart"/>
            <w:shd w:val="clear" w:color="auto" w:fill="EAEEF2"/>
          </w:tcPr>
          <w:p>
            <w:pPr>
              <w:jc w:val="right"/>
              <w:ind w:right="388"/>
              <w:spacing w:after="0"/>
              <w:rPr>
                <w:sz w:val="20"/>
                <w:szCs w:val="20"/>
                <w:color w:val="auto"/>
              </w:rPr>
            </w:pPr>
            <w:r>
              <w:rPr>
                <w:rFonts w:ascii="Arial" w:cs="Arial" w:eastAsia="Arial" w:hAnsi="Arial"/>
                <w:sz w:val="14"/>
                <w:szCs w:val="14"/>
                <w:color w:val="4D4D4F"/>
              </w:rPr>
              <w:t>0</w:t>
            </w:r>
          </w:p>
        </w:tc>
        <w:tc>
          <w:tcPr>
            <w:tcW w:w="1520" w:type="dxa"/>
            <w:vAlign w:val="bottom"/>
            <w:vMerge w:val="restart"/>
            <w:shd w:val="clear" w:color="auto" w:fill="EAEEF2"/>
          </w:tcPr>
          <w:p>
            <w:pPr>
              <w:jc w:val="right"/>
              <w:ind w:right="348"/>
              <w:spacing w:after="0"/>
              <w:rPr>
                <w:sz w:val="20"/>
                <w:szCs w:val="20"/>
                <w:color w:val="auto"/>
              </w:rPr>
            </w:pPr>
            <w:r>
              <w:rPr>
                <w:rFonts w:ascii="Arial" w:cs="Arial" w:eastAsia="Arial" w:hAnsi="Arial"/>
                <w:sz w:val="14"/>
                <w:szCs w:val="14"/>
                <w:color w:val="4D4D4F"/>
              </w:rPr>
              <w:t>0</w:t>
            </w:r>
          </w:p>
        </w:tc>
        <w:tc>
          <w:tcPr>
            <w:tcW w:w="1260" w:type="dxa"/>
            <w:vAlign w:val="bottom"/>
            <w:vMerge w:val="restart"/>
            <w:shd w:val="clear" w:color="auto" w:fill="EAEEF2"/>
          </w:tcPr>
          <w:p>
            <w:pPr>
              <w:jc w:val="right"/>
              <w:ind w:right="48"/>
              <w:spacing w:after="0"/>
              <w:rPr>
                <w:sz w:val="20"/>
                <w:szCs w:val="20"/>
                <w:color w:val="auto"/>
              </w:rPr>
            </w:pPr>
            <w:r>
              <w:rPr>
                <w:rFonts w:ascii="Arial" w:cs="Arial" w:eastAsia="Arial" w:hAnsi="Arial"/>
                <w:sz w:val="14"/>
                <w:szCs w:val="14"/>
                <w:color w:val="4D4D4F"/>
              </w:rPr>
              <w:t>0</w:t>
            </w:r>
          </w:p>
        </w:tc>
        <w:tc>
          <w:tcPr>
            <w:tcW w:w="0" w:type="dxa"/>
            <w:vAlign w:val="bottom"/>
          </w:tcPr>
          <w:p>
            <w:pPr>
              <w:spacing w:after="0"/>
              <w:rPr>
                <w:sz w:val="1"/>
                <w:szCs w:val="1"/>
                <w:color w:val="auto"/>
              </w:rPr>
            </w:pPr>
          </w:p>
        </w:tc>
      </w:tr>
      <w:tr>
        <w:trPr>
          <w:trHeight w:val="109"/>
        </w:trPr>
        <w:tc>
          <w:tcPr>
            <w:tcW w:w="512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prior fiscal years that were forfeited during current fiscal year</w:t>
            </w:r>
          </w:p>
        </w:tc>
        <w:tc>
          <w:tcPr>
            <w:tcW w:w="1740" w:type="dxa"/>
            <w:vAlign w:val="bottom"/>
            <w:vMerge w:val="continue"/>
            <w:shd w:val="clear" w:color="auto" w:fill="EAEEF2"/>
          </w:tcPr>
          <w:p>
            <w:pPr>
              <w:spacing w:after="0"/>
              <w:rPr>
                <w:sz w:val="9"/>
                <w:szCs w:val="9"/>
                <w:color w:val="auto"/>
              </w:rPr>
            </w:pPr>
          </w:p>
        </w:tc>
        <w:tc>
          <w:tcPr>
            <w:tcW w:w="1600" w:type="dxa"/>
            <w:vAlign w:val="bottom"/>
            <w:vMerge w:val="continue"/>
            <w:shd w:val="clear" w:color="auto" w:fill="EAEEF2"/>
          </w:tcPr>
          <w:p>
            <w:pPr>
              <w:spacing w:after="0"/>
              <w:rPr>
                <w:sz w:val="9"/>
                <w:szCs w:val="9"/>
                <w:color w:val="auto"/>
              </w:rPr>
            </w:pPr>
          </w:p>
        </w:tc>
        <w:tc>
          <w:tcPr>
            <w:tcW w:w="1520" w:type="dxa"/>
            <w:vAlign w:val="bottom"/>
            <w:vMerge w:val="continue"/>
            <w:shd w:val="clear" w:color="auto" w:fill="EAEEF2"/>
          </w:tcPr>
          <w:p>
            <w:pPr>
              <w:spacing w:after="0"/>
              <w:rPr>
                <w:sz w:val="9"/>
                <w:szCs w:val="9"/>
                <w:color w:val="auto"/>
              </w:rPr>
            </w:pPr>
          </w:p>
        </w:tc>
        <w:tc>
          <w:tcPr>
            <w:tcW w:w="1260" w:type="dxa"/>
            <w:vAlign w:val="bottom"/>
            <w:vMerge w:val="continue"/>
            <w:shd w:val="clear" w:color="auto" w:fill="EAEEF2"/>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5120" w:type="dxa"/>
            <w:vAlign w:val="bottom"/>
            <w:tcBorders>
              <w:bottom w:val="single" w:sz="8" w:color="EAEEF2"/>
            </w:tcBorders>
            <w:vMerge w:val="continue"/>
            <w:shd w:val="clear" w:color="auto" w:fill="EAEEF2"/>
          </w:tcPr>
          <w:p>
            <w:pPr>
              <w:spacing w:after="0"/>
              <w:rPr>
                <w:sz w:val="10"/>
                <w:szCs w:val="10"/>
                <w:color w:val="auto"/>
              </w:rPr>
            </w:pPr>
          </w:p>
        </w:tc>
        <w:tc>
          <w:tcPr>
            <w:tcW w:w="1740" w:type="dxa"/>
            <w:vAlign w:val="bottom"/>
            <w:tcBorders>
              <w:bottom w:val="single" w:sz="8" w:color="EAEEF2"/>
            </w:tcBorders>
            <w:shd w:val="clear" w:color="auto" w:fill="EAEEF2"/>
          </w:tcPr>
          <w:p>
            <w:pPr>
              <w:spacing w:after="0"/>
              <w:rPr>
                <w:sz w:val="10"/>
                <w:szCs w:val="10"/>
                <w:color w:val="auto"/>
              </w:rPr>
            </w:pPr>
          </w:p>
        </w:tc>
        <w:tc>
          <w:tcPr>
            <w:tcW w:w="1600" w:type="dxa"/>
            <w:vAlign w:val="bottom"/>
            <w:tcBorders>
              <w:bottom w:val="single" w:sz="8" w:color="EAEEF2"/>
            </w:tcBorders>
            <w:shd w:val="clear" w:color="auto" w:fill="EAEEF2"/>
          </w:tcPr>
          <w:p>
            <w:pPr>
              <w:spacing w:after="0"/>
              <w:rPr>
                <w:sz w:val="10"/>
                <w:szCs w:val="10"/>
                <w:color w:val="auto"/>
              </w:rPr>
            </w:pPr>
          </w:p>
        </w:tc>
        <w:tc>
          <w:tcPr>
            <w:tcW w:w="1520" w:type="dxa"/>
            <w:vAlign w:val="bottom"/>
            <w:tcBorders>
              <w:bottom w:val="single" w:sz="8" w:color="EAEEF2"/>
            </w:tcBorders>
            <w:shd w:val="clear" w:color="auto" w:fill="EAEEF2"/>
          </w:tcPr>
          <w:p>
            <w:pPr>
              <w:spacing w:after="0"/>
              <w:rPr>
                <w:sz w:val="10"/>
                <w:szCs w:val="10"/>
                <w:color w:val="auto"/>
              </w:rPr>
            </w:pPr>
          </w:p>
        </w:tc>
        <w:tc>
          <w:tcPr>
            <w:tcW w:w="1260" w:type="dxa"/>
            <w:vAlign w:val="bottom"/>
            <w:tcBorders>
              <w:bottom w:val="single" w:sz="8" w:color="EAEEF2"/>
            </w:tcBorders>
            <w:shd w:val="clear" w:color="auto" w:fill="EAEEF2"/>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5120" w:type="dxa"/>
            <w:vAlign w:val="bottom"/>
            <w:tcBorders>
              <w:top w:val="single" w:sz="8" w:color="298655"/>
              <w:bottom w:val="single" w:sz="8" w:color="298655"/>
            </w:tcBorders>
          </w:tcPr>
          <w:p>
            <w:pPr>
              <w:ind w:left="100"/>
              <w:spacing w:after="0"/>
              <w:rPr>
                <w:sz w:val="20"/>
                <w:szCs w:val="20"/>
                <w:color w:val="auto"/>
              </w:rPr>
            </w:pPr>
            <w:r>
              <w:rPr>
                <w:rFonts w:ascii="Arial" w:cs="Arial" w:eastAsia="Arial" w:hAnsi="Arial"/>
                <w:sz w:val="14"/>
                <w:szCs w:val="14"/>
                <w:b w:val="1"/>
                <w:bCs w:val="1"/>
                <w:color w:val="298655"/>
              </w:rPr>
              <w:t>Compensation Actually Paid ($)</w:t>
            </w:r>
          </w:p>
        </w:tc>
        <w:tc>
          <w:tcPr>
            <w:tcW w:w="1740" w:type="dxa"/>
            <w:vAlign w:val="bottom"/>
            <w:tcBorders>
              <w:top w:val="single" w:sz="8" w:color="298655"/>
              <w:bottom w:val="single" w:sz="8" w:color="298655"/>
            </w:tcBorders>
          </w:tcPr>
          <w:p>
            <w:pPr>
              <w:jc w:val="right"/>
              <w:ind w:right="368"/>
              <w:spacing w:after="0"/>
              <w:rPr>
                <w:sz w:val="20"/>
                <w:szCs w:val="20"/>
                <w:color w:val="auto"/>
              </w:rPr>
            </w:pPr>
            <w:r>
              <w:rPr>
                <w:rFonts w:ascii="Arial" w:cs="Arial" w:eastAsia="Arial" w:hAnsi="Arial"/>
                <w:sz w:val="14"/>
                <w:szCs w:val="14"/>
                <w:b w:val="1"/>
                <w:bCs w:val="1"/>
                <w:color w:val="298655"/>
              </w:rPr>
              <w:t>(1,164,913)</w:t>
            </w:r>
          </w:p>
        </w:tc>
        <w:tc>
          <w:tcPr>
            <w:tcW w:w="1600" w:type="dxa"/>
            <w:vAlign w:val="bottom"/>
            <w:tcBorders>
              <w:top w:val="single" w:sz="8" w:color="298655"/>
              <w:bottom w:val="single" w:sz="8" w:color="298655"/>
            </w:tcBorders>
          </w:tcPr>
          <w:p>
            <w:pPr>
              <w:jc w:val="right"/>
              <w:ind w:right="388"/>
              <w:spacing w:after="0"/>
              <w:rPr>
                <w:sz w:val="20"/>
                <w:szCs w:val="20"/>
                <w:color w:val="auto"/>
              </w:rPr>
            </w:pPr>
            <w:r>
              <w:rPr>
                <w:rFonts w:ascii="Arial" w:cs="Arial" w:eastAsia="Arial" w:hAnsi="Arial"/>
                <w:sz w:val="14"/>
                <w:szCs w:val="14"/>
                <w:b w:val="1"/>
                <w:bCs w:val="1"/>
                <w:color w:val="298655"/>
              </w:rPr>
              <w:t>14,196,826</w:t>
            </w:r>
          </w:p>
        </w:tc>
        <w:tc>
          <w:tcPr>
            <w:tcW w:w="1520" w:type="dxa"/>
            <w:vAlign w:val="bottom"/>
            <w:tcBorders>
              <w:top w:val="single" w:sz="8" w:color="298655"/>
              <w:bottom w:val="single" w:sz="8" w:color="298655"/>
            </w:tcBorders>
          </w:tcPr>
          <w:p>
            <w:pPr>
              <w:jc w:val="right"/>
              <w:ind w:right="348"/>
              <w:spacing w:after="0"/>
              <w:rPr>
                <w:sz w:val="20"/>
                <w:szCs w:val="20"/>
                <w:color w:val="auto"/>
              </w:rPr>
            </w:pPr>
            <w:r>
              <w:rPr>
                <w:rFonts w:ascii="Arial" w:cs="Arial" w:eastAsia="Arial" w:hAnsi="Arial"/>
                <w:sz w:val="14"/>
                <w:szCs w:val="14"/>
                <w:b w:val="1"/>
                <w:bCs w:val="1"/>
                <w:color w:val="298655"/>
              </w:rPr>
              <w:t>4,046,678</w:t>
            </w:r>
          </w:p>
        </w:tc>
        <w:tc>
          <w:tcPr>
            <w:tcW w:w="1260" w:type="dxa"/>
            <w:vAlign w:val="bottom"/>
            <w:tcBorders>
              <w:top w:val="single" w:sz="8" w:color="298655"/>
              <w:bottom w:val="single" w:sz="8" w:color="298655"/>
            </w:tcBorders>
          </w:tcPr>
          <w:p>
            <w:pPr>
              <w:jc w:val="right"/>
              <w:ind w:right="48"/>
              <w:spacing w:after="0"/>
              <w:rPr>
                <w:sz w:val="20"/>
                <w:szCs w:val="20"/>
                <w:color w:val="auto"/>
              </w:rPr>
            </w:pPr>
            <w:r>
              <w:rPr>
                <w:rFonts w:ascii="Arial" w:cs="Arial" w:eastAsia="Arial" w:hAnsi="Arial"/>
                <w:sz w:val="14"/>
                <w:szCs w:val="14"/>
                <w:b w:val="1"/>
                <w:bCs w:val="1"/>
                <w:color w:val="298655"/>
              </w:rPr>
              <w:t>(7,068,994)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4D4D4F"/>
        </w:rPr>
        <w:t>Equity Valuations: For PRSUs, the grant date fair value of awards used for SCT calculations assumes target performance. To determine the year-end fair values used in the CAP calculations, we have updated the performance expectations to reflect the latest performance estimates for unvested and outstanding awards at each fiscal year-end date.</w:t>
      </w:r>
    </w:p>
    <w:p>
      <w:pPr>
        <w:spacing w:after="0" w:line="118"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i w:val="1"/>
          <w:iCs w:val="1"/>
          <w:color w:val="4D4D4F"/>
        </w:rPr>
        <w:t xml:space="preserve">Column (d). </w:t>
      </w:r>
      <w:r>
        <w:rPr>
          <w:rFonts w:ascii="Arial" w:cs="Arial" w:eastAsia="Arial" w:hAnsi="Arial"/>
          <w:sz w:val="16"/>
          <w:szCs w:val="16"/>
          <w:color w:val="4D4D4F"/>
        </w:rPr>
        <w:t>The following non-PEO named executive officers are included in the average figures shown for each of 2022, 2021 and 2020: Ira M. Birns, John</w:t>
      </w:r>
      <w:r>
        <w:rPr>
          <w:rFonts w:ascii="Arial" w:cs="Arial" w:eastAsia="Arial" w:hAnsi="Arial"/>
          <w:sz w:val="16"/>
          <w:szCs w:val="16"/>
          <w:i w:val="1"/>
          <w:iCs w:val="1"/>
          <w:color w:val="4D4D4F"/>
        </w:rPr>
        <w:t xml:space="preserve"> </w:t>
      </w:r>
      <w:r>
        <w:rPr>
          <w:rFonts w:ascii="Arial" w:cs="Arial" w:eastAsia="Arial" w:hAnsi="Arial"/>
          <w:sz w:val="16"/>
          <w:szCs w:val="16"/>
          <w:color w:val="4D4D4F"/>
        </w:rPr>
        <w:t>P. Rau, Jeffrey P. Smith and Michael J. Crosby. For 2023, only Ira M. Birns and John P. Rau are included.</w:t>
      </w:r>
    </w:p>
    <w:p>
      <w:pPr>
        <w:spacing w:after="0" w:line="1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4D4D4F"/>
        </w:rPr>
        <w:t xml:space="preserve">Column (e). </w:t>
      </w:r>
      <w:r>
        <w:rPr>
          <w:rFonts w:ascii="Arial" w:cs="Arial" w:eastAsia="Arial" w:hAnsi="Arial"/>
          <w:sz w:val="16"/>
          <w:szCs w:val="16"/>
          <w:color w:val="4D4D4F"/>
        </w:rPr>
        <w:t>Average CAP for our non-PEO NEOs in each of 2023, 2022, 2021 and 2020 reflects the respective amounts set forth in column (d), adjusted as</w:t>
      </w:r>
      <w:r>
        <w:rPr>
          <w:rFonts w:ascii="Arial" w:cs="Arial" w:eastAsia="Arial" w:hAnsi="Arial"/>
          <w:sz w:val="16"/>
          <w:szCs w:val="16"/>
          <w:i w:val="1"/>
          <w:iCs w:val="1"/>
          <w:color w:val="4D4D4F"/>
        </w:rPr>
        <w:t xml:space="preserve"> </w:t>
      </w:r>
      <w:r>
        <w:rPr>
          <w:rFonts w:ascii="Arial" w:cs="Arial" w:eastAsia="Arial" w:hAnsi="Arial"/>
          <w:sz w:val="16"/>
          <w:szCs w:val="16"/>
          <w:color w:val="4D4D4F"/>
        </w:rPr>
        <w:t>set forth in the table below, as determined in accordance with SEC rules. The dollar amounts reflected in column (e) do not reflect the actual amount of compensation earned by or paid to our non-PEO NEOs during the applicable year. For information regarding the decisions made by our Compensation Committee with respect to the non-PEO NEOs’ compensation for each fiscal year, please see the “Compensation Discussion and Analysis” section of this proxy statement and the proxy statements for the 2023, 2022 and 2021 annual 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81</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84" w:name="page85"/>
    <w:bookmarkEnd w:id="84"/>
    <w:p>
      <w:pPr>
        <w:ind w:left="20"/>
        <w:spacing w:after="0"/>
        <w:rPr>
          <w:sz w:val="20"/>
          <w:szCs w:val="20"/>
          <w:color w:val="auto"/>
        </w:rPr>
      </w:pPr>
      <w:r>
        <w:rPr>
          <w:rFonts w:ascii="Arial" w:cs="Arial" w:eastAsia="Arial" w:hAnsi="Arial"/>
          <w:sz w:val="14"/>
          <w:szCs w:val="14"/>
          <w:b w:val="1"/>
          <w:bCs w:val="1"/>
          <w:color w:val="5B6770"/>
        </w:rPr>
        <w:t>Other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80" w:type="dxa"/>
            <w:vAlign w:val="bottom"/>
          </w:tcPr>
          <w:p>
            <w:pPr>
              <w:spacing w:after="0"/>
              <w:rPr>
                <w:sz w:val="19"/>
                <w:szCs w:val="19"/>
                <w:color w:val="auto"/>
              </w:rPr>
            </w:pPr>
          </w:p>
        </w:tc>
        <w:tc>
          <w:tcPr>
            <w:tcW w:w="1880" w:type="dxa"/>
            <w:vAlign w:val="bottom"/>
            <w:shd w:val="clear" w:color="auto" w:fill="578EB1"/>
          </w:tcPr>
          <w:p>
            <w:pPr>
              <w:spacing w:after="0"/>
              <w:rPr>
                <w:sz w:val="19"/>
                <w:szCs w:val="19"/>
                <w:color w:val="auto"/>
              </w:rPr>
            </w:pPr>
          </w:p>
        </w:tc>
        <w:tc>
          <w:tcPr>
            <w:tcW w:w="3240" w:type="dxa"/>
            <w:vAlign w:val="bottom"/>
            <w:gridSpan w:val="2"/>
            <w:shd w:val="clear" w:color="auto" w:fill="578EB1"/>
          </w:tcPr>
          <w:p>
            <w:pPr>
              <w:jc w:val="right"/>
              <w:ind w:right="988"/>
              <w:spacing w:after="0"/>
              <w:rPr>
                <w:sz w:val="20"/>
                <w:szCs w:val="20"/>
                <w:color w:val="auto"/>
              </w:rPr>
            </w:pPr>
            <w:r>
              <w:rPr>
                <w:rFonts w:ascii="Arial" w:cs="Arial" w:eastAsia="Arial" w:hAnsi="Arial"/>
                <w:sz w:val="14"/>
                <w:szCs w:val="14"/>
                <w:b w:val="1"/>
                <w:bCs w:val="1"/>
                <w:color w:val="FFFFFF"/>
              </w:rPr>
              <w:t>See Column (d) note above</w:t>
            </w:r>
          </w:p>
        </w:tc>
        <w:tc>
          <w:tcPr>
            <w:tcW w:w="1140" w:type="dxa"/>
            <w:vAlign w:val="bottom"/>
            <w:shd w:val="clear" w:color="auto" w:fill="578EB1"/>
          </w:tcPr>
          <w:p>
            <w:pPr>
              <w:spacing w:after="0"/>
              <w:rPr>
                <w:sz w:val="19"/>
                <w:szCs w:val="19"/>
                <w:color w:val="auto"/>
              </w:rPr>
            </w:pPr>
          </w:p>
        </w:tc>
        <w:tc>
          <w:tcPr>
            <w:tcW w:w="100" w:type="dxa"/>
            <w:vAlign w:val="bottom"/>
            <w:shd w:val="clear" w:color="auto" w:fill="578EB1"/>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80" w:type="dxa"/>
            <w:vAlign w:val="bottom"/>
            <w:shd w:val="clear" w:color="auto" w:fill="132440"/>
          </w:tcPr>
          <w:p>
            <w:pPr>
              <w:spacing w:after="0"/>
              <w:rPr>
                <w:sz w:val="18"/>
                <w:szCs w:val="18"/>
                <w:color w:val="auto"/>
              </w:rPr>
            </w:pPr>
          </w:p>
        </w:tc>
        <w:tc>
          <w:tcPr>
            <w:tcW w:w="1880" w:type="dxa"/>
            <w:vAlign w:val="bottom"/>
            <w:shd w:val="clear" w:color="auto" w:fill="132440"/>
          </w:tcPr>
          <w:p>
            <w:pPr>
              <w:jc w:val="right"/>
              <w:ind w:right="268"/>
              <w:spacing w:after="0"/>
              <w:rPr>
                <w:sz w:val="20"/>
                <w:szCs w:val="20"/>
                <w:color w:val="auto"/>
              </w:rPr>
            </w:pPr>
            <w:r>
              <w:rPr>
                <w:rFonts w:ascii="Arial" w:cs="Arial" w:eastAsia="Arial" w:hAnsi="Arial"/>
                <w:sz w:val="14"/>
                <w:szCs w:val="14"/>
                <w:b w:val="1"/>
                <w:bCs w:val="1"/>
                <w:color w:val="FFFFFF"/>
              </w:rPr>
              <w:t>2023</w:t>
            </w:r>
          </w:p>
        </w:tc>
        <w:tc>
          <w:tcPr>
            <w:tcW w:w="1680" w:type="dxa"/>
            <w:vAlign w:val="bottom"/>
            <w:shd w:val="clear" w:color="auto" w:fill="132440"/>
          </w:tcPr>
          <w:p>
            <w:pPr>
              <w:jc w:val="right"/>
              <w:ind w:right="368"/>
              <w:spacing w:after="0"/>
              <w:rPr>
                <w:sz w:val="20"/>
                <w:szCs w:val="20"/>
                <w:color w:val="auto"/>
              </w:rPr>
            </w:pPr>
            <w:r>
              <w:rPr>
                <w:rFonts w:ascii="Arial" w:cs="Arial" w:eastAsia="Arial" w:hAnsi="Arial"/>
                <w:sz w:val="14"/>
                <w:szCs w:val="14"/>
                <w:b w:val="1"/>
                <w:bCs w:val="1"/>
                <w:color w:val="FFFFFF"/>
              </w:rPr>
              <w:t>2022</w:t>
            </w:r>
          </w:p>
        </w:tc>
        <w:tc>
          <w:tcPr>
            <w:tcW w:w="1560" w:type="dxa"/>
            <w:vAlign w:val="bottom"/>
            <w:shd w:val="clear" w:color="auto" w:fill="132440"/>
          </w:tcPr>
          <w:p>
            <w:pPr>
              <w:jc w:val="right"/>
              <w:ind w:right="368"/>
              <w:spacing w:after="0"/>
              <w:rPr>
                <w:sz w:val="20"/>
                <w:szCs w:val="20"/>
                <w:color w:val="auto"/>
              </w:rPr>
            </w:pPr>
            <w:r>
              <w:rPr>
                <w:rFonts w:ascii="Arial" w:cs="Arial" w:eastAsia="Arial" w:hAnsi="Arial"/>
                <w:sz w:val="14"/>
                <w:szCs w:val="14"/>
                <w:b w:val="1"/>
                <w:bCs w:val="1"/>
                <w:color w:val="FFFFFF"/>
              </w:rPr>
              <w:t>2021</w:t>
            </w:r>
          </w:p>
        </w:tc>
        <w:tc>
          <w:tcPr>
            <w:tcW w:w="114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shd w:val="clear" w:color="auto" w:fill="132440"/>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80" w:type="dxa"/>
            <w:vAlign w:val="bottom"/>
            <w:tcBorders>
              <w:bottom w:val="single" w:sz="8" w:color="EAEEF2"/>
            </w:tcBorders>
            <w:shd w:val="clear" w:color="auto" w:fill="132440"/>
          </w:tcPr>
          <w:p>
            <w:pPr>
              <w:ind w:left="100"/>
              <w:spacing w:after="0"/>
              <w:rPr>
                <w:sz w:val="20"/>
                <w:szCs w:val="20"/>
                <w:color w:val="auto"/>
              </w:rPr>
            </w:pPr>
            <w:r>
              <w:rPr>
                <w:rFonts w:ascii="Arial" w:cs="Arial" w:eastAsia="Arial" w:hAnsi="Arial"/>
                <w:sz w:val="14"/>
                <w:szCs w:val="14"/>
                <w:b w:val="1"/>
                <w:bCs w:val="1"/>
                <w:color w:val="FFFFFF"/>
              </w:rPr>
              <w:t>Non-PEO NEOs</w:t>
            </w:r>
          </w:p>
        </w:tc>
        <w:tc>
          <w:tcPr>
            <w:tcW w:w="1880" w:type="dxa"/>
            <w:vAlign w:val="bottom"/>
            <w:tcBorders>
              <w:bottom w:val="single" w:sz="8" w:color="132440"/>
            </w:tcBorders>
            <w:shd w:val="clear" w:color="auto" w:fill="132440"/>
          </w:tcPr>
          <w:p>
            <w:pPr>
              <w:jc w:val="right"/>
              <w:ind w:right="268"/>
              <w:spacing w:after="0"/>
              <w:rPr>
                <w:sz w:val="20"/>
                <w:szCs w:val="20"/>
                <w:color w:val="auto"/>
              </w:rPr>
            </w:pPr>
            <w:r>
              <w:rPr>
                <w:rFonts w:ascii="Arial" w:cs="Arial" w:eastAsia="Arial" w:hAnsi="Arial"/>
                <w:sz w:val="14"/>
                <w:szCs w:val="14"/>
                <w:b w:val="1"/>
                <w:bCs w:val="1"/>
                <w:color w:val="FFFFFF"/>
              </w:rPr>
              <w:t>($)</w:t>
            </w:r>
          </w:p>
        </w:tc>
        <w:tc>
          <w:tcPr>
            <w:tcW w:w="1680" w:type="dxa"/>
            <w:vAlign w:val="bottom"/>
            <w:tcBorders>
              <w:bottom w:val="single" w:sz="8" w:color="132440"/>
            </w:tcBorders>
            <w:shd w:val="clear" w:color="auto" w:fill="132440"/>
          </w:tcPr>
          <w:p>
            <w:pPr>
              <w:jc w:val="right"/>
              <w:ind w:right="368"/>
              <w:spacing w:after="0"/>
              <w:rPr>
                <w:sz w:val="20"/>
                <w:szCs w:val="20"/>
                <w:color w:val="auto"/>
              </w:rPr>
            </w:pPr>
            <w:r>
              <w:rPr>
                <w:rFonts w:ascii="Arial" w:cs="Arial" w:eastAsia="Arial" w:hAnsi="Arial"/>
                <w:sz w:val="14"/>
                <w:szCs w:val="14"/>
                <w:b w:val="1"/>
                <w:bCs w:val="1"/>
                <w:color w:val="FFFFFF"/>
              </w:rPr>
              <w:t>($)</w:t>
            </w:r>
          </w:p>
        </w:tc>
        <w:tc>
          <w:tcPr>
            <w:tcW w:w="1560" w:type="dxa"/>
            <w:vAlign w:val="bottom"/>
            <w:tcBorders>
              <w:bottom w:val="single" w:sz="8" w:color="132440"/>
            </w:tcBorders>
            <w:shd w:val="clear" w:color="auto" w:fill="132440"/>
          </w:tcPr>
          <w:p>
            <w:pPr>
              <w:jc w:val="right"/>
              <w:ind w:right="368"/>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132440"/>
            </w:tcBorders>
            <w:shd w:val="clear" w:color="auto" w:fill="132440"/>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EAEEF2"/>
            </w:tcBorders>
            <w:shd w:val="clear" w:color="auto" w:fill="132440"/>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880" w:type="dxa"/>
            <w:vAlign w:val="bottom"/>
            <w:shd w:val="clear" w:color="auto" w:fill="EAEEF2"/>
          </w:tcPr>
          <w:p>
            <w:pPr>
              <w:ind w:left="100"/>
              <w:spacing w:after="0"/>
              <w:rPr>
                <w:sz w:val="20"/>
                <w:szCs w:val="20"/>
                <w:color w:val="auto"/>
              </w:rPr>
            </w:pPr>
            <w:r>
              <w:rPr>
                <w:rFonts w:ascii="Arial" w:cs="Arial" w:eastAsia="Arial" w:hAnsi="Arial"/>
                <w:sz w:val="14"/>
                <w:szCs w:val="14"/>
                <w:b w:val="1"/>
                <w:bCs w:val="1"/>
                <w:color w:val="4D4D4F"/>
              </w:rPr>
              <w:t>Total Compensation as reported in Summary Compensation Table</w:t>
            </w:r>
          </w:p>
        </w:tc>
        <w:tc>
          <w:tcPr>
            <w:tcW w:w="1880" w:type="dxa"/>
            <w:vAlign w:val="bottom"/>
            <w:vMerge w:val="restart"/>
            <w:shd w:val="clear" w:color="auto" w:fill="EAEEF2"/>
          </w:tcPr>
          <w:p>
            <w:pPr>
              <w:jc w:val="right"/>
              <w:ind w:right="308"/>
              <w:spacing w:after="0"/>
              <w:rPr>
                <w:sz w:val="20"/>
                <w:szCs w:val="20"/>
                <w:color w:val="auto"/>
              </w:rPr>
            </w:pPr>
            <w:r>
              <w:rPr>
                <w:rFonts w:ascii="Arial" w:cs="Arial" w:eastAsia="Arial" w:hAnsi="Arial"/>
                <w:sz w:val="14"/>
                <w:szCs w:val="14"/>
                <w:b w:val="1"/>
                <w:bCs w:val="1"/>
                <w:color w:val="4D4D4F"/>
              </w:rPr>
              <w:t>2,821,871</w:t>
            </w:r>
          </w:p>
        </w:tc>
        <w:tc>
          <w:tcPr>
            <w:tcW w:w="1680" w:type="dxa"/>
            <w:vAlign w:val="bottom"/>
            <w:vMerge w:val="restart"/>
            <w:shd w:val="clear" w:color="auto" w:fill="EAEEF2"/>
          </w:tcPr>
          <w:p>
            <w:pPr>
              <w:jc w:val="right"/>
              <w:ind w:right="428"/>
              <w:spacing w:after="0"/>
              <w:rPr>
                <w:sz w:val="20"/>
                <w:szCs w:val="20"/>
                <w:color w:val="auto"/>
              </w:rPr>
            </w:pPr>
            <w:r>
              <w:rPr>
                <w:rFonts w:ascii="Arial" w:cs="Arial" w:eastAsia="Arial" w:hAnsi="Arial"/>
                <w:sz w:val="14"/>
                <w:szCs w:val="14"/>
                <w:b w:val="1"/>
                <w:bCs w:val="1"/>
                <w:color w:val="4D4D4F"/>
              </w:rPr>
              <w:t>3,722,299</w:t>
            </w:r>
          </w:p>
        </w:tc>
        <w:tc>
          <w:tcPr>
            <w:tcW w:w="1560" w:type="dxa"/>
            <w:vAlign w:val="bottom"/>
            <w:vMerge w:val="restart"/>
            <w:shd w:val="clear" w:color="auto" w:fill="EAEEF2"/>
          </w:tcPr>
          <w:p>
            <w:pPr>
              <w:jc w:val="right"/>
              <w:ind w:right="408"/>
              <w:spacing w:after="0"/>
              <w:rPr>
                <w:sz w:val="20"/>
                <w:szCs w:val="20"/>
                <w:color w:val="auto"/>
              </w:rPr>
            </w:pPr>
            <w:r>
              <w:rPr>
                <w:rFonts w:ascii="Arial" w:cs="Arial" w:eastAsia="Arial" w:hAnsi="Arial"/>
                <w:sz w:val="14"/>
                <w:szCs w:val="14"/>
                <w:b w:val="1"/>
                <w:bCs w:val="1"/>
                <w:color w:val="4D4D4F"/>
              </w:rPr>
              <w:t>1,797,915</w:t>
            </w:r>
          </w:p>
        </w:tc>
        <w:tc>
          <w:tcPr>
            <w:tcW w:w="1140" w:type="dxa"/>
            <w:vAlign w:val="bottom"/>
            <w:vMerge w:val="restart"/>
            <w:shd w:val="clear" w:color="auto" w:fill="EAEEF2"/>
          </w:tcPr>
          <w:p>
            <w:pPr>
              <w:jc w:val="right"/>
              <w:spacing w:after="0"/>
              <w:rPr>
                <w:sz w:val="20"/>
                <w:szCs w:val="20"/>
                <w:color w:val="auto"/>
              </w:rPr>
            </w:pPr>
            <w:r>
              <w:rPr>
                <w:rFonts w:ascii="Arial" w:cs="Arial" w:eastAsia="Arial" w:hAnsi="Arial"/>
                <w:sz w:val="14"/>
                <w:szCs w:val="14"/>
                <w:b w:val="1"/>
                <w:bCs w:val="1"/>
                <w:color w:val="4D4D4F"/>
              </w:rPr>
              <w:t>2,134,192</w:t>
            </w:r>
          </w:p>
        </w:tc>
        <w:tc>
          <w:tcPr>
            <w:tcW w:w="100" w:type="dxa"/>
            <w:vAlign w:val="bottom"/>
            <w:shd w:val="clear" w:color="auto" w:fill="EAEEF2"/>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880" w:type="dxa"/>
            <w:vAlign w:val="bottom"/>
            <w:vMerge w:val="restart"/>
            <w:shd w:val="clear" w:color="auto" w:fill="EAEEF2"/>
          </w:tcPr>
          <w:p>
            <w:pPr>
              <w:ind w:left="100"/>
              <w:spacing w:after="0"/>
              <w:rPr>
                <w:sz w:val="20"/>
                <w:szCs w:val="20"/>
                <w:color w:val="auto"/>
              </w:rPr>
            </w:pPr>
            <w:r>
              <w:rPr>
                <w:rFonts w:ascii="Arial" w:cs="Arial" w:eastAsia="Arial" w:hAnsi="Arial"/>
                <w:sz w:val="14"/>
                <w:szCs w:val="14"/>
                <w:b w:val="1"/>
                <w:bCs w:val="1"/>
                <w:color w:val="4D4D4F"/>
              </w:rPr>
              <w:t>(SCT)</w:t>
            </w:r>
          </w:p>
        </w:tc>
        <w:tc>
          <w:tcPr>
            <w:tcW w:w="1880" w:type="dxa"/>
            <w:vAlign w:val="bottom"/>
            <w:vMerge w:val="continue"/>
            <w:shd w:val="clear" w:color="auto" w:fill="EAEEF2"/>
          </w:tcPr>
          <w:p>
            <w:pPr>
              <w:spacing w:after="0"/>
              <w:rPr>
                <w:sz w:val="10"/>
                <w:szCs w:val="10"/>
                <w:color w:val="auto"/>
              </w:rPr>
            </w:pPr>
          </w:p>
        </w:tc>
        <w:tc>
          <w:tcPr>
            <w:tcW w:w="1680" w:type="dxa"/>
            <w:vAlign w:val="bottom"/>
            <w:vMerge w:val="continue"/>
            <w:shd w:val="clear" w:color="auto" w:fill="EAEEF2"/>
          </w:tcPr>
          <w:p>
            <w:pPr>
              <w:spacing w:after="0"/>
              <w:rPr>
                <w:sz w:val="10"/>
                <w:szCs w:val="10"/>
                <w:color w:val="auto"/>
              </w:rPr>
            </w:pPr>
          </w:p>
        </w:tc>
        <w:tc>
          <w:tcPr>
            <w:tcW w:w="1560" w:type="dxa"/>
            <w:vAlign w:val="bottom"/>
            <w:vMerge w:val="continue"/>
            <w:shd w:val="clear" w:color="auto" w:fill="EAEEF2"/>
          </w:tcPr>
          <w:p>
            <w:pPr>
              <w:spacing w:after="0"/>
              <w:rPr>
                <w:sz w:val="10"/>
                <w:szCs w:val="10"/>
                <w:color w:val="auto"/>
              </w:rPr>
            </w:pPr>
          </w:p>
        </w:tc>
        <w:tc>
          <w:tcPr>
            <w:tcW w:w="1140" w:type="dxa"/>
            <w:vAlign w:val="bottom"/>
            <w:vMerge w:val="continue"/>
            <w:shd w:val="clear" w:color="auto" w:fill="EAEEF2"/>
          </w:tcPr>
          <w:p>
            <w:pPr>
              <w:spacing w:after="0"/>
              <w:rPr>
                <w:sz w:val="10"/>
                <w:szCs w:val="10"/>
                <w:color w:val="auto"/>
              </w:rPr>
            </w:pPr>
          </w:p>
        </w:tc>
        <w:tc>
          <w:tcPr>
            <w:tcW w:w="100" w:type="dxa"/>
            <w:vAlign w:val="bottom"/>
            <w:shd w:val="clear" w:color="auto" w:fill="EAEEF2"/>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880" w:type="dxa"/>
            <w:vAlign w:val="bottom"/>
            <w:vMerge w:val="continue"/>
            <w:shd w:val="clear" w:color="auto" w:fill="EAEEF2"/>
          </w:tcPr>
          <w:p>
            <w:pPr>
              <w:spacing w:after="0"/>
              <w:rPr>
                <w:sz w:val="8"/>
                <w:szCs w:val="8"/>
                <w:color w:val="auto"/>
              </w:rPr>
            </w:pPr>
          </w:p>
        </w:tc>
        <w:tc>
          <w:tcPr>
            <w:tcW w:w="1880" w:type="dxa"/>
            <w:vAlign w:val="bottom"/>
            <w:shd w:val="clear" w:color="auto" w:fill="EAEEF2"/>
          </w:tcPr>
          <w:p>
            <w:pPr>
              <w:spacing w:after="0"/>
              <w:rPr>
                <w:sz w:val="8"/>
                <w:szCs w:val="8"/>
                <w:color w:val="auto"/>
              </w:rPr>
            </w:pPr>
          </w:p>
        </w:tc>
        <w:tc>
          <w:tcPr>
            <w:tcW w:w="1680" w:type="dxa"/>
            <w:vAlign w:val="bottom"/>
            <w:shd w:val="clear" w:color="auto" w:fill="EAEEF2"/>
          </w:tcPr>
          <w:p>
            <w:pPr>
              <w:spacing w:after="0"/>
              <w:rPr>
                <w:sz w:val="8"/>
                <w:szCs w:val="8"/>
                <w:color w:val="auto"/>
              </w:rPr>
            </w:pPr>
          </w:p>
        </w:tc>
        <w:tc>
          <w:tcPr>
            <w:tcW w:w="1560" w:type="dxa"/>
            <w:vAlign w:val="bottom"/>
            <w:shd w:val="clear" w:color="auto" w:fill="EAEEF2"/>
          </w:tcPr>
          <w:p>
            <w:pPr>
              <w:spacing w:after="0"/>
              <w:rPr>
                <w:sz w:val="8"/>
                <w:szCs w:val="8"/>
                <w:color w:val="auto"/>
              </w:rPr>
            </w:pPr>
          </w:p>
        </w:tc>
        <w:tc>
          <w:tcPr>
            <w:tcW w:w="1140" w:type="dxa"/>
            <w:vAlign w:val="bottom"/>
            <w:shd w:val="clear" w:color="auto" w:fill="EAEEF2"/>
          </w:tcPr>
          <w:p>
            <w:pPr>
              <w:spacing w:after="0"/>
              <w:rPr>
                <w:sz w:val="8"/>
                <w:szCs w:val="8"/>
                <w:color w:val="auto"/>
              </w:rPr>
            </w:pPr>
          </w:p>
        </w:tc>
        <w:tc>
          <w:tcPr>
            <w:tcW w:w="100" w:type="dxa"/>
            <w:vAlign w:val="bottom"/>
            <w:shd w:val="clear" w:color="auto" w:fill="EAEEF2"/>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ectPr>
          <w:pgSz w:w="11900" w:h="16838" w:orient="portrait"/>
          <w:cols w:equalWidth="0" w:num="1">
            <w:col w:w="11240"/>
          </w:cols>
          <w:pgMar w:left="320" w:top="279" w:right="339" w:bottom="1440" w:gutter="0" w:footer="0" w:header="0"/>
        </w:sectPr>
      </w:pPr>
    </w:p>
    <w:p>
      <w:pPr>
        <w:ind w:left="100" w:right="260"/>
        <w:spacing w:after="0" w:line="305" w:lineRule="auto"/>
        <w:rPr>
          <w:sz w:val="20"/>
          <w:szCs w:val="20"/>
          <w:color w:val="auto"/>
        </w:rPr>
      </w:pPr>
      <w:r>
        <w:rPr>
          <w:rFonts w:ascii="Arial" w:cs="Arial" w:eastAsia="Arial" w:hAnsi="Arial"/>
          <w:sz w:val="14"/>
          <w:szCs w:val="14"/>
          <w:color w:val="4D4D4F"/>
        </w:rPr>
        <w:t>Less: Grant date fair value of equity awards granted during current fiscal year, as reported in SCT</w:t>
      </w:r>
    </w:p>
    <w:p>
      <w:pPr>
        <w:spacing w:after="0" w:line="9" w:lineRule="exact"/>
        <w:rPr>
          <w:sz w:val="20"/>
          <w:szCs w:val="20"/>
          <w:color w:val="auto"/>
        </w:rPr>
      </w:pPr>
    </w:p>
    <w:p>
      <w:pPr>
        <w:ind w:left="100" w:right="140"/>
        <w:spacing w:after="0" w:line="305" w:lineRule="auto"/>
        <w:rPr>
          <w:sz w:val="20"/>
          <w:szCs w:val="20"/>
          <w:color w:val="auto"/>
        </w:rPr>
      </w:pPr>
      <w:r>
        <w:rPr>
          <w:rFonts w:ascii="Arial" w:cs="Arial" w:eastAsia="Arial" w:hAnsi="Arial"/>
          <w:sz w:val="14"/>
          <w:szCs w:val="14"/>
          <w:color w:val="4D4D4F"/>
        </w:rPr>
        <w:t>Plus: Fair value of equity awards granted during current fiscal year—value at end of current fiscal year</w:t>
      </w:r>
    </w:p>
    <w:p>
      <w:pPr>
        <w:spacing w:after="0" w:line="9" w:lineRule="exact"/>
        <w:rPr>
          <w:sz w:val="20"/>
          <w:szCs w:val="20"/>
          <w:color w:val="auto"/>
        </w:rPr>
      </w:pPr>
    </w:p>
    <w:p>
      <w:pPr>
        <w:ind w:left="100" w:right="360"/>
        <w:spacing w:after="0" w:line="293" w:lineRule="auto"/>
        <w:rPr>
          <w:sz w:val="20"/>
          <w:szCs w:val="20"/>
          <w:color w:val="auto"/>
        </w:rPr>
      </w:pPr>
      <w:r>
        <w:rPr>
          <w:rFonts w:ascii="Arial" w:cs="Arial" w:eastAsia="Arial" w:hAnsi="Arial"/>
          <w:sz w:val="14"/>
          <w:szCs w:val="14"/>
          <w:color w:val="4D4D4F"/>
        </w:rPr>
        <w:t>+/-: Change in fair value from prior fiscal year end to current fiscal year end of outstanding and unvested equity awards granted in prior fiscal years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jc w:val="center"/>
              <w:ind w:right="348"/>
              <w:spacing w:after="0"/>
              <w:rPr>
                <w:sz w:val="20"/>
                <w:szCs w:val="20"/>
                <w:color w:val="auto"/>
              </w:rPr>
            </w:pPr>
            <w:r>
              <w:rPr>
                <w:rFonts w:ascii="Arial" w:cs="Arial" w:eastAsia="Arial" w:hAnsi="Arial"/>
                <w:sz w:val="14"/>
                <w:szCs w:val="14"/>
                <w:color w:val="4D4D4F"/>
              </w:rPr>
              <w:t>(1,550,020)</w:t>
            </w:r>
          </w:p>
        </w:tc>
        <w:tc>
          <w:tcPr>
            <w:tcW w:w="1620" w:type="dxa"/>
            <w:vAlign w:val="bottom"/>
          </w:tcPr>
          <w:p>
            <w:pPr>
              <w:jc w:val="right"/>
              <w:ind w:right="408"/>
              <w:spacing w:after="0"/>
              <w:rPr>
                <w:sz w:val="20"/>
                <w:szCs w:val="20"/>
                <w:color w:val="auto"/>
              </w:rPr>
            </w:pPr>
            <w:r>
              <w:rPr>
                <w:rFonts w:ascii="Arial" w:cs="Arial" w:eastAsia="Arial" w:hAnsi="Arial"/>
                <w:sz w:val="14"/>
                <w:szCs w:val="14"/>
                <w:color w:val="4D4D4F"/>
              </w:rPr>
              <w:t>(2,466,782)</w:t>
            </w:r>
          </w:p>
        </w:tc>
        <w:tc>
          <w:tcPr>
            <w:tcW w:w="1500" w:type="dxa"/>
            <w:vAlign w:val="bottom"/>
          </w:tcPr>
          <w:p>
            <w:pPr>
              <w:jc w:val="center"/>
              <w:ind w:left="8"/>
              <w:spacing w:after="0"/>
              <w:rPr>
                <w:sz w:val="20"/>
                <w:szCs w:val="20"/>
                <w:color w:val="auto"/>
              </w:rPr>
            </w:pPr>
            <w:r>
              <w:rPr>
                <w:rFonts w:ascii="Arial" w:cs="Arial" w:eastAsia="Arial" w:hAnsi="Arial"/>
                <w:sz w:val="14"/>
                <w:szCs w:val="14"/>
                <w:color w:val="4D4D4F"/>
              </w:rPr>
              <w:t>(685,051)</w:t>
            </w:r>
          </w:p>
        </w:tc>
        <w:tc>
          <w:tcPr>
            <w:tcW w:w="1160" w:type="dxa"/>
            <w:vAlign w:val="bottom"/>
          </w:tcPr>
          <w:p>
            <w:pPr>
              <w:jc w:val="right"/>
              <w:spacing w:after="0"/>
              <w:rPr>
                <w:sz w:val="20"/>
                <w:szCs w:val="20"/>
                <w:color w:val="auto"/>
              </w:rPr>
            </w:pPr>
            <w:r>
              <w:rPr>
                <w:rFonts w:ascii="Arial" w:cs="Arial" w:eastAsia="Arial" w:hAnsi="Arial"/>
                <w:sz w:val="14"/>
                <w:szCs w:val="14"/>
                <w:color w:val="4D4D4F"/>
              </w:rPr>
              <w:t>(1,091,209)</w:t>
            </w:r>
          </w:p>
        </w:tc>
      </w:tr>
      <w:tr>
        <w:trPr>
          <w:trHeight w:val="418"/>
        </w:trPr>
        <w:tc>
          <w:tcPr>
            <w:tcW w:w="1160" w:type="dxa"/>
            <w:vAlign w:val="bottom"/>
          </w:tcPr>
          <w:p>
            <w:pPr>
              <w:jc w:val="center"/>
              <w:ind w:right="328"/>
              <w:spacing w:after="0"/>
              <w:rPr>
                <w:sz w:val="20"/>
                <w:szCs w:val="20"/>
                <w:color w:val="auto"/>
              </w:rPr>
            </w:pPr>
            <w:r>
              <w:rPr>
                <w:rFonts w:ascii="Arial" w:cs="Arial" w:eastAsia="Arial" w:hAnsi="Arial"/>
                <w:sz w:val="14"/>
                <w:szCs w:val="14"/>
                <w:color w:val="4D4D4F"/>
              </w:rPr>
              <w:t>1,056,497</w:t>
            </w:r>
          </w:p>
        </w:tc>
        <w:tc>
          <w:tcPr>
            <w:tcW w:w="1620" w:type="dxa"/>
            <w:vAlign w:val="bottom"/>
          </w:tcPr>
          <w:p>
            <w:pPr>
              <w:jc w:val="right"/>
              <w:ind w:right="448"/>
              <w:spacing w:after="0"/>
              <w:rPr>
                <w:sz w:val="20"/>
                <w:szCs w:val="20"/>
                <w:color w:val="auto"/>
              </w:rPr>
            </w:pPr>
            <w:r>
              <w:rPr>
                <w:rFonts w:ascii="Arial" w:cs="Arial" w:eastAsia="Arial" w:hAnsi="Arial"/>
                <w:sz w:val="14"/>
                <w:szCs w:val="14"/>
                <w:color w:val="4D4D4F"/>
              </w:rPr>
              <w:t>2,239,264</w:t>
            </w:r>
          </w:p>
        </w:tc>
        <w:tc>
          <w:tcPr>
            <w:tcW w:w="1500" w:type="dxa"/>
            <w:vAlign w:val="bottom"/>
          </w:tcPr>
          <w:p>
            <w:pPr>
              <w:jc w:val="center"/>
              <w:ind w:left="28"/>
              <w:spacing w:after="0"/>
              <w:rPr>
                <w:sz w:val="20"/>
                <w:szCs w:val="20"/>
                <w:color w:val="auto"/>
              </w:rPr>
            </w:pPr>
            <w:r>
              <w:rPr>
                <w:rFonts w:ascii="Arial" w:cs="Arial" w:eastAsia="Arial" w:hAnsi="Arial"/>
                <w:sz w:val="14"/>
                <w:szCs w:val="14"/>
                <w:color w:val="4D4D4F"/>
              </w:rPr>
              <w:t>459,667</w:t>
            </w:r>
          </w:p>
        </w:tc>
        <w:tc>
          <w:tcPr>
            <w:tcW w:w="1160" w:type="dxa"/>
            <w:vAlign w:val="bottom"/>
          </w:tcPr>
          <w:p>
            <w:pPr>
              <w:jc w:val="right"/>
              <w:spacing w:after="0"/>
              <w:rPr>
                <w:sz w:val="20"/>
                <w:szCs w:val="20"/>
                <w:color w:val="auto"/>
              </w:rPr>
            </w:pPr>
            <w:r>
              <w:rPr>
                <w:rFonts w:ascii="Arial" w:cs="Arial" w:eastAsia="Arial" w:hAnsi="Arial"/>
                <w:sz w:val="14"/>
                <w:szCs w:val="14"/>
                <w:color w:val="4D4D4F"/>
              </w:rPr>
              <w:t>823,037</w:t>
            </w:r>
          </w:p>
        </w:tc>
      </w:tr>
      <w:tr>
        <w:trPr>
          <w:trHeight w:val="500"/>
        </w:trPr>
        <w:tc>
          <w:tcPr>
            <w:tcW w:w="1160" w:type="dxa"/>
            <w:vAlign w:val="bottom"/>
          </w:tcPr>
          <w:p>
            <w:pPr>
              <w:jc w:val="center"/>
              <w:ind w:right="348"/>
              <w:spacing w:after="0"/>
              <w:rPr>
                <w:sz w:val="20"/>
                <w:szCs w:val="20"/>
                <w:color w:val="auto"/>
              </w:rPr>
            </w:pPr>
            <w:r>
              <w:rPr>
                <w:rFonts w:ascii="Arial" w:cs="Arial" w:eastAsia="Arial" w:hAnsi="Arial"/>
                <w:sz w:val="14"/>
                <w:szCs w:val="14"/>
                <w:color w:val="4D4D4F"/>
              </w:rPr>
              <w:t>(1,693,374)</w:t>
            </w:r>
          </w:p>
        </w:tc>
        <w:tc>
          <w:tcPr>
            <w:tcW w:w="1620" w:type="dxa"/>
            <w:vAlign w:val="bottom"/>
          </w:tcPr>
          <w:p>
            <w:pPr>
              <w:jc w:val="right"/>
              <w:ind w:right="408"/>
              <w:spacing w:after="0"/>
              <w:rPr>
                <w:sz w:val="20"/>
                <w:szCs w:val="20"/>
                <w:color w:val="auto"/>
              </w:rPr>
            </w:pPr>
            <w:r>
              <w:rPr>
                <w:rFonts w:ascii="Arial" w:cs="Arial" w:eastAsia="Arial" w:hAnsi="Arial"/>
                <w:sz w:val="14"/>
                <w:szCs w:val="14"/>
                <w:color w:val="4D4D4F"/>
              </w:rPr>
              <w:t>(250,606)</w:t>
            </w:r>
          </w:p>
        </w:tc>
        <w:tc>
          <w:tcPr>
            <w:tcW w:w="1500" w:type="dxa"/>
            <w:vAlign w:val="bottom"/>
          </w:tcPr>
          <w:p>
            <w:pPr>
              <w:jc w:val="center"/>
              <w:ind w:left="8"/>
              <w:spacing w:after="0"/>
              <w:rPr>
                <w:sz w:val="20"/>
                <w:szCs w:val="20"/>
                <w:color w:val="auto"/>
              </w:rPr>
            </w:pPr>
            <w:r>
              <w:rPr>
                <w:rFonts w:ascii="Arial" w:cs="Arial" w:eastAsia="Arial" w:hAnsi="Arial"/>
                <w:sz w:val="14"/>
                <w:szCs w:val="14"/>
                <w:color w:val="4D4D4F"/>
              </w:rPr>
              <w:t>(120,417)</w:t>
            </w:r>
          </w:p>
        </w:tc>
        <w:tc>
          <w:tcPr>
            <w:tcW w:w="1160" w:type="dxa"/>
            <w:vAlign w:val="bottom"/>
          </w:tcPr>
          <w:p>
            <w:pPr>
              <w:jc w:val="right"/>
              <w:spacing w:after="0"/>
              <w:rPr>
                <w:sz w:val="20"/>
                <w:szCs w:val="20"/>
                <w:color w:val="auto"/>
              </w:rPr>
            </w:pPr>
            <w:r>
              <w:rPr>
                <w:rFonts w:ascii="Arial" w:cs="Arial" w:eastAsia="Arial" w:hAnsi="Arial"/>
                <w:sz w:val="14"/>
                <w:szCs w:val="14"/>
                <w:color w:val="4D4D4F"/>
              </w:rPr>
              <w:t>(4,737,137)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-508635</wp:posOffset>
            </wp:positionV>
            <wp:extent cx="7132320" cy="26543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133985</wp:posOffset>
            </wp:positionV>
            <wp:extent cx="7132320" cy="26543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4960" w:space="720"/>
            <w:col w:w="5560"/>
          </w:cols>
          <w:pgMar w:left="320" w:top="279" w:right="339" w:bottom="1440" w:gutter="0" w:footer="0" w:header="0"/>
          <w:type w:val="continuous"/>
        </w:sectPr>
      </w:pPr>
    </w:p>
    <w:p>
      <w:pPr>
        <w:ind w:left="100" w:right="500"/>
        <w:spacing w:after="0" w:line="305" w:lineRule="auto"/>
        <w:rPr>
          <w:sz w:val="20"/>
          <w:szCs w:val="20"/>
          <w:color w:val="auto"/>
        </w:rPr>
      </w:pPr>
      <w:r>
        <w:rPr>
          <w:rFonts w:ascii="Arial" w:cs="Arial" w:eastAsia="Arial" w:hAnsi="Arial"/>
          <w:sz w:val="14"/>
          <w:szCs w:val="14"/>
          <w:color w:val="4D4D4F"/>
        </w:rPr>
        <w:t>Plus: Fair value at vesting of equity awards granted during current fiscal year that vested during current fiscal year</w:t>
      </w:r>
    </w:p>
    <w:p>
      <w:pPr>
        <w:spacing w:after="0" w:line="9" w:lineRule="exact"/>
        <w:rPr>
          <w:sz w:val="20"/>
          <w:szCs w:val="20"/>
          <w:color w:val="auto"/>
        </w:rPr>
      </w:pPr>
    </w:p>
    <w:p>
      <w:pPr>
        <w:ind w:left="100" w:right="360"/>
        <w:spacing w:after="0" w:line="311" w:lineRule="auto"/>
        <w:rPr>
          <w:sz w:val="20"/>
          <w:szCs w:val="20"/>
          <w:color w:val="auto"/>
        </w:rPr>
      </w:pPr>
      <w:r>
        <w:rPr>
          <w:rFonts w:ascii="Arial" w:cs="Arial" w:eastAsia="Arial" w:hAnsi="Arial"/>
          <w:sz w:val="14"/>
          <w:szCs w:val="14"/>
          <w:color w:val="4D4D4F"/>
        </w:rPr>
        <w:t>+/-: Change in fair value from prior fiscal year end to vesting date for equity awards granted in prior fiscal years that vested during current fiscal year</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60" w:type="dxa"/>
            <w:vAlign w:val="bottom"/>
          </w:tcPr>
          <w:p>
            <w:pPr>
              <w:jc w:val="right"/>
              <w:ind w:right="488"/>
              <w:spacing w:after="0"/>
              <w:rPr>
                <w:sz w:val="20"/>
                <w:szCs w:val="20"/>
                <w:color w:val="auto"/>
              </w:rPr>
            </w:pPr>
            <w:r>
              <w:rPr>
                <w:rFonts w:ascii="Arial" w:cs="Arial" w:eastAsia="Arial" w:hAnsi="Arial"/>
                <w:sz w:val="14"/>
                <w:szCs w:val="14"/>
                <w:color w:val="4D4D4F"/>
              </w:rPr>
              <w:t>0</w:t>
            </w:r>
          </w:p>
        </w:tc>
        <w:tc>
          <w:tcPr>
            <w:tcW w:w="1540" w:type="dxa"/>
            <w:vAlign w:val="bottom"/>
          </w:tcPr>
          <w:p>
            <w:pPr>
              <w:jc w:val="right"/>
              <w:ind w:right="468"/>
              <w:spacing w:after="0"/>
              <w:rPr>
                <w:sz w:val="20"/>
                <w:szCs w:val="20"/>
                <w:color w:val="auto"/>
              </w:rPr>
            </w:pPr>
            <w:r>
              <w:rPr>
                <w:rFonts w:ascii="Arial" w:cs="Arial" w:eastAsia="Arial" w:hAnsi="Arial"/>
                <w:sz w:val="14"/>
                <w:szCs w:val="14"/>
                <w:color w:val="4D4D4F"/>
              </w:rPr>
              <w:t>0</w:t>
            </w:r>
          </w:p>
        </w:tc>
        <w:tc>
          <w:tcPr>
            <w:tcW w:w="1520" w:type="dxa"/>
            <w:vAlign w:val="bottom"/>
          </w:tcPr>
          <w:p>
            <w:pPr>
              <w:jc w:val="right"/>
              <w:ind w:right="408"/>
              <w:spacing w:after="0"/>
              <w:rPr>
                <w:sz w:val="20"/>
                <w:szCs w:val="20"/>
                <w:color w:val="auto"/>
              </w:rPr>
            </w:pPr>
            <w:r>
              <w:rPr>
                <w:rFonts w:ascii="Arial" w:cs="Arial" w:eastAsia="Arial" w:hAnsi="Arial"/>
                <w:sz w:val="14"/>
                <w:szCs w:val="14"/>
                <w:color w:val="4D4D4F"/>
              </w:rPr>
              <w:t>0</w:t>
            </w:r>
          </w:p>
        </w:tc>
        <w:tc>
          <w:tcPr>
            <w:tcW w:w="1120" w:type="dxa"/>
            <w:vAlign w:val="bottom"/>
          </w:tcPr>
          <w:p>
            <w:pPr>
              <w:jc w:val="right"/>
              <w:spacing w:after="0"/>
              <w:rPr>
                <w:sz w:val="20"/>
                <w:szCs w:val="20"/>
                <w:color w:val="auto"/>
              </w:rPr>
            </w:pPr>
            <w:r>
              <w:rPr>
                <w:rFonts w:ascii="Arial" w:cs="Arial" w:eastAsia="Arial" w:hAnsi="Arial"/>
                <w:sz w:val="14"/>
                <w:szCs w:val="14"/>
                <w:color w:val="4D4D4F"/>
              </w:rPr>
              <w:t>0</w:t>
            </w:r>
          </w:p>
        </w:tc>
      </w:tr>
      <w:tr>
        <w:trPr>
          <w:trHeight w:val="500"/>
        </w:trPr>
        <w:tc>
          <w:tcPr>
            <w:tcW w:w="1060" w:type="dxa"/>
            <w:vAlign w:val="bottom"/>
          </w:tcPr>
          <w:p>
            <w:pPr>
              <w:jc w:val="right"/>
              <w:ind w:right="448"/>
              <w:spacing w:after="0"/>
              <w:rPr>
                <w:sz w:val="20"/>
                <w:szCs w:val="20"/>
                <w:color w:val="auto"/>
              </w:rPr>
            </w:pPr>
            <w:r>
              <w:rPr>
                <w:rFonts w:ascii="Arial" w:cs="Arial" w:eastAsia="Arial" w:hAnsi="Arial"/>
                <w:sz w:val="14"/>
                <w:szCs w:val="14"/>
                <w:color w:val="4D4D4F"/>
                <w:w w:val="99"/>
              </w:rPr>
              <w:t>(83,034)</w:t>
            </w:r>
          </w:p>
        </w:tc>
        <w:tc>
          <w:tcPr>
            <w:tcW w:w="1540" w:type="dxa"/>
            <w:vAlign w:val="bottom"/>
          </w:tcPr>
          <w:p>
            <w:pPr>
              <w:jc w:val="right"/>
              <w:ind w:right="428"/>
              <w:spacing w:after="0"/>
              <w:rPr>
                <w:sz w:val="20"/>
                <w:szCs w:val="20"/>
                <w:color w:val="auto"/>
              </w:rPr>
            </w:pPr>
            <w:r>
              <w:rPr>
                <w:rFonts w:ascii="Arial" w:cs="Arial" w:eastAsia="Arial" w:hAnsi="Arial"/>
                <w:sz w:val="14"/>
                <w:szCs w:val="14"/>
                <w:color w:val="4D4D4F"/>
              </w:rPr>
              <w:t>(11,460)</w:t>
            </w:r>
          </w:p>
        </w:tc>
        <w:tc>
          <w:tcPr>
            <w:tcW w:w="1520" w:type="dxa"/>
            <w:vAlign w:val="bottom"/>
          </w:tcPr>
          <w:p>
            <w:pPr>
              <w:jc w:val="right"/>
              <w:ind w:right="408"/>
              <w:spacing w:after="0"/>
              <w:rPr>
                <w:sz w:val="20"/>
                <w:szCs w:val="20"/>
                <w:color w:val="auto"/>
              </w:rPr>
            </w:pPr>
            <w:r>
              <w:rPr>
                <w:rFonts w:ascii="Arial" w:cs="Arial" w:eastAsia="Arial" w:hAnsi="Arial"/>
                <w:sz w:val="14"/>
                <w:szCs w:val="14"/>
                <w:color w:val="4D4D4F"/>
              </w:rPr>
              <w:t>235,362</w:t>
            </w:r>
          </w:p>
        </w:tc>
        <w:tc>
          <w:tcPr>
            <w:tcW w:w="1120" w:type="dxa"/>
            <w:vAlign w:val="bottom"/>
          </w:tcPr>
          <w:p>
            <w:pPr>
              <w:jc w:val="right"/>
              <w:spacing w:after="0"/>
              <w:rPr>
                <w:sz w:val="20"/>
                <w:szCs w:val="20"/>
                <w:color w:val="auto"/>
              </w:rPr>
            </w:pPr>
            <w:r>
              <w:rPr>
                <w:rFonts w:ascii="Arial" w:cs="Arial" w:eastAsia="Arial" w:hAnsi="Arial"/>
                <w:sz w:val="14"/>
                <w:szCs w:val="14"/>
                <w:color w:val="4D4D4F"/>
              </w:rPr>
              <w:t>(541,334)</w:t>
            </w:r>
          </w:p>
        </w:tc>
      </w:tr>
    </w:tbl>
    <w:p>
      <w:pPr>
        <w:spacing w:after="0" w:line="210" w:lineRule="exact"/>
        <w:rPr>
          <w:sz w:val="20"/>
          <w:szCs w:val="20"/>
          <w:color w:val="auto"/>
        </w:rPr>
      </w:pPr>
    </w:p>
    <w:p>
      <w:pPr>
        <w:sectPr>
          <w:pgSz w:w="11900" w:h="16838" w:orient="portrait"/>
          <w:cols w:equalWidth="0" w:num="2">
            <w:col w:w="5160" w:space="720"/>
            <w:col w:w="5360"/>
          </w:cols>
          <w:pgMar w:left="320" w:top="279" w:right="3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520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Less: Fair value as of prior fiscal year end of equity awards granted in</w:t>
            </w:r>
          </w:p>
        </w:tc>
        <w:tc>
          <w:tcPr>
            <w:tcW w:w="1640" w:type="dxa"/>
            <w:vAlign w:val="bottom"/>
            <w:vMerge w:val="restart"/>
            <w:shd w:val="clear" w:color="auto" w:fill="EAEEF2"/>
          </w:tcPr>
          <w:p>
            <w:pPr>
              <w:jc w:val="right"/>
              <w:ind w:right="388"/>
              <w:spacing w:after="0"/>
              <w:rPr>
                <w:sz w:val="20"/>
                <w:szCs w:val="20"/>
                <w:color w:val="auto"/>
              </w:rPr>
            </w:pPr>
            <w:r>
              <w:rPr>
                <w:rFonts w:ascii="Arial" w:cs="Arial" w:eastAsia="Arial" w:hAnsi="Arial"/>
                <w:sz w:val="14"/>
                <w:szCs w:val="14"/>
                <w:color w:val="4D4D4F"/>
              </w:rPr>
              <w:t>0</w:t>
            </w:r>
          </w:p>
        </w:tc>
        <w:tc>
          <w:tcPr>
            <w:tcW w:w="1580" w:type="dxa"/>
            <w:vAlign w:val="bottom"/>
            <w:vMerge w:val="restart"/>
            <w:shd w:val="clear" w:color="auto" w:fill="EAEEF2"/>
          </w:tcPr>
          <w:p>
            <w:pPr>
              <w:jc w:val="right"/>
              <w:ind w:right="368"/>
              <w:spacing w:after="0"/>
              <w:rPr>
                <w:sz w:val="20"/>
                <w:szCs w:val="20"/>
                <w:color w:val="auto"/>
              </w:rPr>
            </w:pPr>
            <w:r>
              <w:rPr>
                <w:rFonts w:ascii="Arial" w:cs="Arial" w:eastAsia="Arial" w:hAnsi="Arial"/>
                <w:sz w:val="14"/>
                <w:szCs w:val="14"/>
                <w:color w:val="4D4D4F"/>
              </w:rPr>
              <w:t>(120,100)</w:t>
            </w:r>
          </w:p>
        </w:tc>
        <w:tc>
          <w:tcPr>
            <w:tcW w:w="1520" w:type="dxa"/>
            <w:vAlign w:val="bottom"/>
            <w:vMerge w:val="restart"/>
            <w:shd w:val="clear" w:color="auto" w:fill="EAEEF2"/>
          </w:tcPr>
          <w:p>
            <w:pPr>
              <w:jc w:val="right"/>
              <w:ind w:right="348"/>
              <w:spacing w:after="0"/>
              <w:rPr>
                <w:sz w:val="20"/>
                <w:szCs w:val="20"/>
                <w:color w:val="auto"/>
              </w:rPr>
            </w:pPr>
            <w:r>
              <w:rPr>
                <w:rFonts w:ascii="Arial" w:cs="Arial" w:eastAsia="Arial" w:hAnsi="Arial"/>
                <w:sz w:val="14"/>
                <w:szCs w:val="14"/>
                <w:color w:val="4D4D4F"/>
              </w:rPr>
              <w:t>0</w:t>
            </w:r>
          </w:p>
        </w:tc>
        <w:tc>
          <w:tcPr>
            <w:tcW w:w="1300" w:type="dxa"/>
            <w:vAlign w:val="bottom"/>
            <w:vMerge w:val="restart"/>
            <w:shd w:val="clear" w:color="auto" w:fill="EAEEF2"/>
          </w:tcPr>
          <w:p>
            <w:pPr>
              <w:jc w:val="right"/>
              <w:ind w:right="88"/>
              <w:spacing w:after="0"/>
              <w:rPr>
                <w:sz w:val="20"/>
                <w:szCs w:val="20"/>
                <w:color w:val="auto"/>
              </w:rPr>
            </w:pPr>
            <w:r>
              <w:rPr>
                <w:rFonts w:ascii="Arial" w:cs="Arial" w:eastAsia="Arial" w:hAnsi="Arial"/>
                <w:sz w:val="14"/>
                <w:szCs w:val="14"/>
                <w:color w:val="4D4D4F"/>
              </w:rPr>
              <w:t>0</w:t>
            </w:r>
          </w:p>
        </w:tc>
        <w:tc>
          <w:tcPr>
            <w:tcW w:w="0" w:type="dxa"/>
            <w:vAlign w:val="bottom"/>
          </w:tcPr>
          <w:p>
            <w:pPr>
              <w:spacing w:after="0"/>
              <w:rPr>
                <w:sz w:val="1"/>
                <w:szCs w:val="1"/>
                <w:color w:val="auto"/>
              </w:rPr>
            </w:pPr>
          </w:p>
        </w:tc>
      </w:tr>
      <w:tr>
        <w:trPr>
          <w:trHeight w:val="109"/>
        </w:trPr>
        <w:tc>
          <w:tcPr>
            <w:tcW w:w="5200" w:type="dxa"/>
            <w:vAlign w:val="bottom"/>
            <w:vMerge w:val="restart"/>
            <w:shd w:val="clear" w:color="auto" w:fill="EAEEF2"/>
          </w:tcPr>
          <w:p>
            <w:pPr>
              <w:ind w:left="100"/>
              <w:spacing w:after="0"/>
              <w:rPr>
                <w:sz w:val="20"/>
                <w:szCs w:val="20"/>
                <w:color w:val="auto"/>
              </w:rPr>
            </w:pPr>
            <w:r>
              <w:rPr>
                <w:rFonts w:ascii="Arial" w:cs="Arial" w:eastAsia="Arial" w:hAnsi="Arial"/>
                <w:sz w:val="14"/>
                <w:szCs w:val="14"/>
                <w:color w:val="4D4D4F"/>
              </w:rPr>
              <w:t>prior fiscal years that were forfeited during current fiscal year</w:t>
            </w:r>
          </w:p>
        </w:tc>
        <w:tc>
          <w:tcPr>
            <w:tcW w:w="1640" w:type="dxa"/>
            <w:vAlign w:val="bottom"/>
            <w:vMerge w:val="continue"/>
            <w:shd w:val="clear" w:color="auto" w:fill="EAEEF2"/>
          </w:tcPr>
          <w:p>
            <w:pPr>
              <w:spacing w:after="0"/>
              <w:rPr>
                <w:sz w:val="9"/>
                <w:szCs w:val="9"/>
                <w:color w:val="auto"/>
              </w:rPr>
            </w:pPr>
          </w:p>
        </w:tc>
        <w:tc>
          <w:tcPr>
            <w:tcW w:w="1580" w:type="dxa"/>
            <w:vAlign w:val="bottom"/>
            <w:vMerge w:val="continue"/>
            <w:shd w:val="clear" w:color="auto" w:fill="EAEEF2"/>
          </w:tcPr>
          <w:p>
            <w:pPr>
              <w:spacing w:after="0"/>
              <w:rPr>
                <w:sz w:val="9"/>
                <w:szCs w:val="9"/>
                <w:color w:val="auto"/>
              </w:rPr>
            </w:pPr>
          </w:p>
        </w:tc>
        <w:tc>
          <w:tcPr>
            <w:tcW w:w="1520" w:type="dxa"/>
            <w:vAlign w:val="bottom"/>
            <w:vMerge w:val="continue"/>
            <w:shd w:val="clear" w:color="auto" w:fill="EAEEF2"/>
          </w:tcPr>
          <w:p>
            <w:pPr>
              <w:spacing w:after="0"/>
              <w:rPr>
                <w:sz w:val="9"/>
                <w:szCs w:val="9"/>
                <w:color w:val="auto"/>
              </w:rPr>
            </w:pPr>
          </w:p>
        </w:tc>
        <w:tc>
          <w:tcPr>
            <w:tcW w:w="1300" w:type="dxa"/>
            <w:vAlign w:val="bottom"/>
            <w:vMerge w:val="continue"/>
            <w:shd w:val="clear" w:color="auto" w:fill="EAEEF2"/>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5200" w:type="dxa"/>
            <w:vAlign w:val="bottom"/>
            <w:tcBorders>
              <w:bottom w:val="single" w:sz="8" w:color="EAEEF2"/>
            </w:tcBorders>
            <w:vMerge w:val="continue"/>
            <w:shd w:val="clear" w:color="auto" w:fill="EAEEF2"/>
          </w:tcPr>
          <w:p>
            <w:pPr>
              <w:spacing w:after="0"/>
              <w:rPr>
                <w:sz w:val="10"/>
                <w:szCs w:val="10"/>
                <w:color w:val="auto"/>
              </w:rPr>
            </w:pPr>
          </w:p>
        </w:tc>
        <w:tc>
          <w:tcPr>
            <w:tcW w:w="1640" w:type="dxa"/>
            <w:vAlign w:val="bottom"/>
            <w:tcBorders>
              <w:bottom w:val="single" w:sz="8" w:color="EAEEF2"/>
            </w:tcBorders>
            <w:shd w:val="clear" w:color="auto" w:fill="EAEEF2"/>
          </w:tcPr>
          <w:p>
            <w:pPr>
              <w:spacing w:after="0"/>
              <w:rPr>
                <w:sz w:val="10"/>
                <w:szCs w:val="10"/>
                <w:color w:val="auto"/>
              </w:rPr>
            </w:pPr>
          </w:p>
        </w:tc>
        <w:tc>
          <w:tcPr>
            <w:tcW w:w="1580" w:type="dxa"/>
            <w:vAlign w:val="bottom"/>
            <w:tcBorders>
              <w:bottom w:val="single" w:sz="8" w:color="EAEEF2"/>
            </w:tcBorders>
            <w:shd w:val="clear" w:color="auto" w:fill="EAEEF2"/>
          </w:tcPr>
          <w:p>
            <w:pPr>
              <w:spacing w:after="0"/>
              <w:rPr>
                <w:sz w:val="10"/>
                <w:szCs w:val="10"/>
                <w:color w:val="auto"/>
              </w:rPr>
            </w:pPr>
          </w:p>
        </w:tc>
        <w:tc>
          <w:tcPr>
            <w:tcW w:w="1520" w:type="dxa"/>
            <w:vAlign w:val="bottom"/>
            <w:tcBorders>
              <w:bottom w:val="single" w:sz="8" w:color="EAEEF2"/>
            </w:tcBorders>
            <w:shd w:val="clear" w:color="auto" w:fill="EAEEF2"/>
          </w:tcPr>
          <w:p>
            <w:pPr>
              <w:spacing w:after="0"/>
              <w:rPr>
                <w:sz w:val="10"/>
                <w:szCs w:val="10"/>
                <w:color w:val="auto"/>
              </w:rPr>
            </w:pPr>
          </w:p>
        </w:tc>
        <w:tc>
          <w:tcPr>
            <w:tcW w:w="1300" w:type="dxa"/>
            <w:vAlign w:val="bottom"/>
            <w:tcBorders>
              <w:bottom w:val="single" w:sz="8" w:color="EAEEF2"/>
            </w:tcBorders>
            <w:shd w:val="clear" w:color="auto" w:fill="EAEEF2"/>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200" w:type="dxa"/>
            <w:vAlign w:val="bottom"/>
            <w:tcBorders>
              <w:top w:val="single" w:sz="8" w:color="298655"/>
              <w:bottom w:val="single" w:sz="8" w:color="298655"/>
            </w:tcBorders>
          </w:tcPr>
          <w:p>
            <w:pPr>
              <w:ind w:left="100"/>
              <w:spacing w:after="0"/>
              <w:rPr>
                <w:sz w:val="20"/>
                <w:szCs w:val="20"/>
                <w:color w:val="auto"/>
              </w:rPr>
            </w:pPr>
            <w:r>
              <w:rPr>
                <w:rFonts w:ascii="Arial" w:cs="Arial" w:eastAsia="Arial" w:hAnsi="Arial"/>
                <w:sz w:val="14"/>
                <w:szCs w:val="14"/>
                <w:b w:val="1"/>
                <w:bCs w:val="1"/>
                <w:color w:val="298655"/>
              </w:rPr>
              <w:t>Compensation Actually Paid ($)</w:t>
            </w:r>
          </w:p>
        </w:tc>
        <w:tc>
          <w:tcPr>
            <w:tcW w:w="1640" w:type="dxa"/>
            <w:vAlign w:val="bottom"/>
            <w:tcBorders>
              <w:top w:val="single" w:sz="8" w:color="298655"/>
              <w:bottom w:val="single" w:sz="8" w:color="298655"/>
            </w:tcBorders>
          </w:tcPr>
          <w:p>
            <w:pPr>
              <w:jc w:val="right"/>
              <w:ind w:right="388"/>
              <w:spacing w:after="0"/>
              <w:rPr>
                <w:sz w:val="20"/>
                <w:szCs w:val="20"/>
                <w:color w:val="auto"/>
              </w:rPr>
            </w:pPr>
            <w:r>
              <w:rPr>
                <w:rFonts w:ascii="Arial" w:cs="Arial" w:eastAsia="Arial" w:hAnsi="Arial"/>
                <w:sz w:val="14"/>
                <w:szCs w:val="14"/>
                <w:b w:val="1"/>
                <w:bCs w:val="1"/>
                <w:color w:val="298655"/>
              </w:rPr>
              <w:t>551,939</w:t>
            </w:r>
          </w:p>
        </w:tc>
        <w:tc>
          <w:tcPr>
            <w:tcW w:w="1580" w:type="dxa"/>
            <w:vAlign w:val="bottom"/>
            <w:tcBorders>
              <w:top w:val="single" w:sz="8" w:color="298655"/>
              <w:bottom w:val="single" w:sz="8" w:color="298655"/>
            </w:tcBorders>
          </w:tcPr>
          <w:p>
            <w:pPr>
              <w:jc w:val="right"/>
              <w:ind w:right="408"/>
              <w:spacing w:after="0"/>
              <w:rPr>
                <w:sz w:val="20"/>
                <w:szCs w:val="20"/>
                <w:color w:val="auto"/>
              </w:rPr>
            </w:pPr>
            <w:r>
              <w:rPr>
                <w:rFonts w:ascii="Arial" w:cs="Arial" w:eastAsia="Arial" w:hAnsi="Arial"/>
                <w:sz w:val="14"/>
                <w:szCs w:val="14"/>
                <w:b w:val="1"/>
                <w:bCs w:val="1"/>
                <w:color w:val="298655"/>
              </w:rPr>
              <w:t>3,112,615</w:t>
            </w:r>
          </w:p>
        </w:tc>
        <w:tc>
          <w:tcPr>
            <w:tcW w:w="1520" w:type="dxa"/>
            <w:vAlign w:val="bottom"/>
            <w:tcBorders>
              <w:top w:val="single" w:sz="8" w:color="298655"/>
              <w:bottom w:val="single" w:sz="8" w:color="298655"/>
            </w:tcBorders>
          </w:tcPr>
          <w:p>
            <w:pPr>
              <w:jc w:val="right"/>
              <w:ind w:right="348"/>
              <w:spacing w:after="0"/>
              <w:rPr>
                <w:sz w:val="20"/>
                <w:szCs w:val="20"/>
                <w:color w:val="auto"/>
              </w:rPr>
            </w:pPr>
            <w:r>
              <w:rPr>
                <w:rFonts w:ascii="Arial" w:cs="Arial" w:eastAsia="Arial" w:hAnsi="Arial"/>
                <w:sz w:val="14"/>
                <w:szCs w:val="14"/>
                <w:b w:val="1"/>
                <w:bCs w:val="1"/>
                <w:color w:val="298655"/>
              </w:rPr>
              <w:t>1,687,476</w:t>
            </w:r>
          </w:p>
        </w:tc>
        <w:tc>
          <w:tcPr>
            <w:tcW w:w="1300" w:type="dxa"/>
            <w:vAlign w:val="bottom"/>
            <w:tcBorders>
              <w:top w:val="single" w:sz="8" w:color="298655"/>
              <w:bottom w:val="single" w:sz="8" w:color="298655"/>
            </w:tcBorders>
          </w:tcPr>
          <w:p>
            <w:pPr>
              <w:jc w:val="right"/>
              <w:ind w:right="48"/>
              <w:spacing w:after="0"/>
              <w:rPr>
                <w:sz w:val="20"/>
                <w:szCs w:val="20"/>
                <w:color w:val="auto"/>
              </w:rPr>
            </w:pPr>
            <w:r>
              <w:rPr>
                <w:rFonts w:ascii="Arial" w:cs="Arial" w:eastAsia="Arial" w:hAnsi="Arial"/>
                <w:sz w:val="14"/>
                <w:szCs w:val="14"/>
                <w:b w:val="1"/>
                <w:bCs w:val="1"/>
                <w:color w:val="298655"/>
              </w:rPr>
              <w:t>(3,412,451)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4D4D4F"/>
        </w:rPr>
        <w:t>Equity Valuations: For performance restricted stock unit awards, the grant date fair value of awards used for SCT calculations assumes target performance. To determine the year-end fair values used in the CAP calculations, we have updated the performance expectations to reflect the latest performance estimates for unvested and outstanding awards at each fiscal year-end date.</w:t>
      </w:r>
    </w:p>
    <w:p>
      <w:pPr>
        <w:spacing w:after="0" w:line="11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4D4D4F"/>
        </w:rPr>
        <w:t xml:space="preserve">Column (f). </w:t>
      </w:r>
      <w:r>
        <w:rPr>
          <w:rFonts w:ascii="Arial" w:cs="Arial" w:eastAsia="Arial" w:hAnsi="Arial"/>
          <w:sz w:val="16"/>
          <w:szCs w:val="16"/>
          <w:color w:val="4D4D4F"/>
        </w:rPr>
        <w:t>For the relevant fiscal year, represents the cumulative total shareholder return (TSR) of World Kinect for the measurement periods ending on</w:t>
      </w:r>
      <w:r>
        <w:rPr>
          <w:rFonts w:ascii="Arial" w:cs="Arial" w:eastAsia="Arial" w:hAnsi="Arial"/>
          <w:sz w:val="16"/>
          <w:szCs w:val="16"/>
          <w:i w:val="1"/>
          <w:iCs w:val="1"/>
          <w:color w:val="4D4D4F"/>
        </w:rPr>
        <w:t xml:space="preserve"> </w:t>
      </w:r>
      <w:r>
        <w:rPr>
          <w:rFonts w:ascii="Arial" w:cs="Arial" w:eastAsia="Arial" w:hAnsi="Arial"/>
          <w:sz w:val="16"/>
          <w:szCs w:val="16"/>
          <w:color w:val="4D4D4F"/>
        </w:rPr>
        <w:t>December 31 of each of 2023, 2022, 2021 and 2020, respectively. TSR for the Company and the peer group in column (g) was calculated as the yearly percentage change in cumulative TSR based on a deemed fixed investment of $100 at market close on December 31, 2019 and in accordance with Items 201(e) and 402(v) of Regulation S-K. Because fiscal years are presented in the table in reverse chronological order (from top to bottom), the table should be read from bottom to top for purposes of understanding cumulative returns over time.</w:t>
      </w:r>
    </w:p>
    <w:p>
      <w:pPr>
        <w:spacing w:after="0" w:line="128"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i w:val="1"/>
          <w:iCs w:val="1"/>
          <w:color w:val="4D4D4F"/>
        </w:rPr>
        <w:t xml:space="preserve">Column (g). </w:t>
      </w:r>
      <w:r>
        <w:rPr>
          <w:rFonts w:ascii="Arial" w:cs="Arial" w:eastAsia="Arial" w:hAnsi="Arial"/>
          <w:sz w:val="16"/>
          <w:szCs w:val="16"/>
          <w:color w:val="4D4D4F"/>
        </w:rPr>
        <w:t>For the relevant fiscal year, represents the cumulative TSR of the S&amp;P 500 Energy Index for the measurement periods ending on December 31</w:t>
      </w:r>
      <w:r>
        <w:rPr>
          <w:rFonts w:ascii="Arial" w:cs="Arial" w:eastAsia="Arial" w:hAnsi="Arial"/>
          <w:sz w:val="16"/>
          <w:szCs w:val="16"/>
          <w:i w:val="1"/>
          <w:iCs w:val="1"/>
          <w:color w:val="4D4D4F"/>
        </w:rPr>
        <w:t xml:space="preserve"> </w:t>
      </w:r>
      <w:r>
        <w:rPr>
          <w:rFonts w:ascii="Arial" w:cs="Arial" w:eastAsia="Arial" w:hAnsi="Arial"/>
          <w:sz w:val="16"/>
          <w:szCs w:val="16"/>
          <w:color w:val="4D4D4F"/>
        </w:rPr>
        <w:t>of each of 2023, 2022, 2021 and 2020, respectively.</w:t>
      </w:r>
    </w:p>
    <w:p>
      <w:pPr>
        <w:spacing w:after="0" w:line="102" w:lineRule="exact"/>
        <w:rPr>
          <w:sz w:val="20"/>
          <w:szCs w:val="20"/>
          <w:color w:val="auto"/>
        </w:rPr>
      </w:pPr>
    </w:p>
    <w:p>
      <w:pPr>
        <w:ind w:right="660"/>
        <w:spacing w:after="0" w:line="321" w:lineRule="auto"/>
        <w:rPr>
          <w:sz w:val="20"/>
          <w:szCs w:val="20"/>
          <w:color w:val="auto"/>
        </w:rPr>
      </w:pPr>
      <w:r>
        <w:rPr>
          <w:rFonts w:ascii="Arial" w:cs="Arial" w:eastAsia="Arial" w:hAnsi="Arial"/>
          <w:sz w:val="16"/>
          <w:szCs w:val="16"/>
          <w:i w:val="1"/>
          <w:iCs w:val="1"/>
          <w:color w:val="4D4D4F"/>
        </w:rPr>
        <w:t xml:space="preserve">Column (h). </w:t>
      </w:r>
      <w:r>
        <w:rPr>
          <w:rFonts w:ascii="Arial" w:cs="Arial" w:eastAsia="Arial" w:hAnsi="Arial"/>
          <w:sz w:val="16"/>
          <w:szCs w:val="16"/>
          <w:color w:val="4D4D4F"/>
        </w:rPr>
        <w:t>Reflects “Net Income” in our consolidated income statements included in our Annual Reports on Form 10-K for each of the years ended</w:t>
      </w:r>
      <w:r>
        <w:rPr>
          <w:rFonts w:ascii="Arial" w:cs="Arial" w:eastAsia="Arial" w:hAnsi="Arial"/>
          <w:sz w:val="16"/>
          <w:szCs w:val="16"/>
          <w:i w:val="1"/>
          <w:iCs w:val="1"/>
          <w:color w:val="4D4D4F"/>
        </w:rPr>
        <w:t xml:space="preserve"> </w:t>
      </w:r>
      <w:r>
        <w:rPr>
          <w:rFonts w:ascii="Arial" w:cs="Arial" w:eastAsia="Arial" w:hAnsi="Arial"/>
          <w:sz w:val="16"/>
          <w:szCs w:val="16"/>
          <w:color w:val="4D4D4F"/>
        </w:rPr>
        <w:t>December 31, 2023, 2022, 2021 and 2020.</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4D4D4F"/>
        </w:rPr>
        <w:t xml:space="preserve">Column (i). </w:t>
      </w:r>
      <w:r>
        <w:rPr>
          <w:rFonts w:ascii="Arial" w:cs="Arial" w:eastAsia="Arial" w:hAnsi="Arial"/>
          <w:sz w:val="16"/>
          <w:szCs w:val="16"/>
          <w:color w:val="4D4D4F"/>
        </w:rPr>
        <w:t>Company-selected Measure is adjusted EBITDA, which is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00529B"/>
        </w:rPr>
        <w:t>Relationship between Pay and Performance</w:t>
      </w:r>
    </w:p>
    <w:p>
      <w:pPr>
        <w:spacing w:after="0" w:line="144"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4D4D4F"/>
        </w:rPr>
        <w:t>The graphs below reflect the relationship of CAP to our PEO and other NEOs (on average) in 2020, 2021, 2022 and 2023 as compared to World Kinect’s TSR, net income and adjusted EBITDA. The first graph below also reflects the relationship of World Kinect’s TSR to the peer group TSR for such years.</w:t>
      </w:r>
    </w:p>
    <w:p>
      <w:pPr>
        <w:spacing w:after="0" w:line="10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4D4D4F"/>
        </w:rPr>
        <w:t>CAP, as required under the SEC rules, reflects adjusted values to unvested and vested equity awards during the years shown in the tables above, including based on year-end stock prices, various accounting valuation assumptions and projected performance modifiers, but it does not necessarily reflect actual amounts paid out for those awards. CAP generally fluctuates due to stock price achievement and varying levels of projected and actual achievement of performance goals. In 2020, CAP for both our PEO and the average of other Non-PEO NEOs is a negative number, as is 2023 for our PEO, reflecting the impact of the change in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0" w:hanging="534"/>
        <w:spacing w:after="0"/>
        <w:tabs>
          <w:tab w:leader="none" w:pos="560" w:val="left"/>
        </w:tabs>
        <w:numPr>
          <w:ilvl w:val="0"/>
          <w:numId w:val="126"/>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85" w:name="page86"/>
    <w:bookmarkEnd w:id="85"/>
    <w:p>
      <w:pPr>
        <w:ind w:left="20"/>
        <w:spacing w:after="0"/>
        <w:rPr>
          <w:sz w:val="20"/>
          <w:szCs w:val="20"/>
          <w:color w:val="auto"/>
        </w:rPr>
      </w:pPr>
      <w:r>
        <w:rPr>
          <w:rFonts w:ascii="Arial" w:cs="Arial" w:eastAsia="Arial" w:hAnsi="Arial"/>
          <w:sz w:val="14"/>
          <w:szCs w:val="14"/>
          <w:b w:val="1"/>
          <w:bCs w:val="1"/>
          <w:color w:val="5B6770"/>
        </w:rPr>
        <w:t>Other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4D4D4F"/>
        </w:rPr>
        <w:t>price between fiscal years because of the significant portion of our executives’ compensation tied to equity with fair values based in part on stock price. For a discussion of how our Compensation Committee assessed our performance and our named executive officers’ pay each year, see “Compensation Discussion and Analysis” in this proxy statement and in the proxy statements for the 2023, 2022 and 2021 annual meetings of 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COMPENSATION ACTUALLY PAID VS.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97790</wp:posOffset>
            </wp:positionV>
            <wp:extent cx="5554980" cy="28803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55498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132440"/>
        </w:rPr>
        <w:t>COMPENSATION ACTUALLY PAID VS. NET INCOME &amp;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97790</wp:posOffset>
            </wp:positionV>
            <wp:extent cx="5554980" cy="288036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554980" cy="28803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3475355</wp:posOffset>
            </wp:positionV>
            <wp:extent cx="71323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83</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6" w:name="page87"/>
    <w:bookmarkEnd w:id="86"/>
    <w:p>
      <w:pPr>
        <w:ind w:left="20"/>
        <w:spacing w:after="0"/>
        <w:rPr>
          <w:sz w:val="20"/>
          <w:szCs w:val="20"/>
          <w:color w:val="auto"/>
        </w:rPr>
      </w:pPr>
      <w:r>
        <w:rPr>
          <w:rFonts w:ascii="Arial" w:cs="Arial" w:eastAsia="Arial" w:hAnsi="Arial"/>
          <w:sz w:val="14"/>
          <w:szCs w:val="14"/>
          <w:b w:val="1"/>
          <w:bCs w:val="1"/>
          <w:color w:val="5B6770"/>
        </w:rPr>
        <w:t>Other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4D4D4F"/>
        </w:rPr>
        <w:t>Listed below are the financial measures which in our assessment represent the most important financial performance measures we used in 2023 to link CAP to our NEOs to the Company’s performance.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4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Financial Performance</w:t>
            </w:r>
          </w:p>
        </w:tc>
        <w:tc>
          <w:tcPr>
            <w:tcW w:w="9200" w:type="dxa"/>
            <w:vAlign w:val="bottom"/>
            <w:shd w:val="clear" w:color="auto" w:fill="132440"/>
          </w:tcPr>
          <w:p>
            <w:pPr>
              <w:spacing w:after="0"/>
              <w:rPr>
                <w:sz w:val="16"/>
                <w:szCs w:val="16"/>
                <w:color w:val="auto"/>
              </w:rPr>
            </w:pPr>
          </w:p>
        </w:tc>
      </w:tr>
      <w:tr>
        <w:trPr>
          <w:trHeight w:val="212"/>
        </w:trPr>
        <w:tc>
          <w:tcPr>
            <w:tcW w:w="204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Measures</w:t>
            </w:r>
          </w:p>
        </w:tc>
        <w:tc>
          <w:tcPr>
            <w:tcW w:w="9200" w:type="dxa"/>
            <w:vAlign w:val="bottom"/>
            <w:shd w:val="clear" w:color="auto" w:fill="132440"/>
          </w:tcPr>
          <w:p>
            <w:pPr>
              <w:ind w:left="220"/>
              <w:spacing w:after="0"/>
              <w:rPr>
                <w:sz w:val="20"/>
                <w:szCs w:val="20"/>
                <w:color w:val="auto"/>
              </w:rPr>
            </w:pPr>
            <w:r>
              <w:rPr>
                <w:rFonts w:ascii="Arial" w:cs="Arial" w:eastAsia="Arial" w:hAnsi="Arial"/>
                <w:sz w:val="14"/>
                <w:szCs w:val="14"/>
                <w:b w:val="1"/>
                <w:bCs w:val="1"/>
                <w:color w:val="FFFFFF"/>
              </w:rPr>
              <w:t>Explanation</w:t>
            </w:r>
          </w:p>
        </w:tc>
      </w:tr>
      <w:tr>
        <w:trPr>
          <w:trHeight w:val="288"/>
        </w:trPr>
        <w:tc>
          <w:tcPr>
            <w:tcW w:w="204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Adjusted EPS</w:t>
            </w:r>
          </w:p>
        </w:tc>
        <w:tc>
          <w:tcPr>
            <w:tcW w:w="9200" w:type="dxa"/>
            <w:vAlign w:val="bottom"/>
            <w:shd w:val="clear" w:color="auto" w:fill="EAEEF2"/>
          </w:tcPr>
          <w:p>
            <w:pPr>
              <w:ind w:left="220"/>
              <w:spacing w:after="0"/>
              <w:rPr>
                <w:sz w:val="20"/>
                <w:szCs w:val="20"/>
                <w:color w:val="auto"/>
              </w:rPr>
            </w:pPr>
            <w:r>
              <w:rPr>
                <w:rFonts w:ascii="Arial" w:cs="Arial" w:eastAsia="Arial" w:hAnsi="Arial"/>
                <w:sz w:val="14"/>
                <w:szCs w:val="14"/>
                <w:color w:val="4D4D4F"/>
              </w:rPr>
              <w:t>Adjusted diluted earnings per common share is a non-GAAP financial measure computed by dividing adjusted net income attributable to</w:t>
            </w:r>
          </w:p>
        </w:tc>
      </w:tr>
      <w:tr>
        <w:trPr>
          <w:trHeight w:val="189"/>
        </w:trPr>
        <w:tc>
          <w:tcPr>
            <w:tcW w:w="2040" w:type="dxa"/>
            <w:vAlign w:val="bottom"/>
            <w:shd w:val="clear" w:color="auto" w:fill="EAEEF2"/>
          </w:tcPr>
          <w:p>
            <w:pPr>
              <w:spacing w:after="0"/>
              <w:rPr>
                <w:sz w:val="16"/>
                <w:szCs w:val="16"/>
                <w:color w:val="auto"/>
              </w:rPr>
            </w:pPr>
          </w:p>
        </w:tc>
        <w:tc>
          <w:tcPr>
            <w:tcW w:w="9200" w:type="dxa"/>
            <w:vAlign w:val="bottom"/>
            <w:shd w:val="clear" w:color="auto" w:fill="EAEEF2"/>
          </w:tcPr>
          <w:p>
            <w:pPr>
              <w:ind w:left="220"/>
              <w:spacing w:after="0"/>
              <w:rPr>
                <w:sz w:val="20"/>
                <w:szCs w:val="20"/>
                <w:color w:val="auto"/>
              </w:rPr>
            </w:pPr>
            <w:r>
              <w:rPr>
                <w:rFonts w:ascii="Arial" w:cs="Arial" w:eastAsia="Arial" w:hAnsi="Arial"/>
                <w:sz w:val="14"/>
                <w:szCs w:val="14"/>
                <w:color w:val="4D4D4F"/>
              </w:rPr>
              <w:t>World Kinect and available to common shareholders by the sum of the weighted average number of shares of common stock, stock units,</w:t>
            </w:r>
          </w:p>
        </w:tc>
      </w:tr>
      <w:tr>
        <w:trPr>
          <w:trHeight w:val="175"/>
        </w:trPr>
        <w:tc>
          <w:tcPr>
            <w:tcW w:w="2040" w:type="dxa"/>
            <w:vAlign w:val="bottom"/>
            <w:shd w:val="clear" w:color="auto" w:fill="EAEEF2"/>
          </w:tcPr>
          <w:p>
            <w:pPr>
              <w:spacing w:after="0"/>
              <w:rPr>
                <w:sz w:val="15"/>
                <w:szCs w:val="15"/>
                <w:color w:val="auto"/>
              </w:rPr>
            </w:pPr>
          </w:p>
        </w:tc>
        <w:tc>
          <w:tcPr>
            <w:tcW w:w="9200" w:type="dxa"/>
            <w:vAlign w:val="bottom"/>
            <w:shd w:val="clear" w:color="auto" w:fill="EAEEF2"/>
          </w:tcPr>
          <w:p>
            <w:pPr>
              <w:ind w:left="220"/>
              <w:spacing w:after="0"/>
              <w:rPr>
                <w:sz w:val="20"/>
                <w:szCs w:val="20"/>
                <w:color w:val="auto"/>
              </w:rPr>
            </w:pPr>
            <w:r>
              <w:rPr>
                <w:rFonts w:ascii="Arial" w:cs="Arial" w:eastAsia="Arial" w:hAnsi="Arial"/>
                <w:sz w:val="14"/>
                <w:szCs w:val="14"/>
                <w:color w:val="4D4D4F"/>
              </w:rPr>
              <w:t>restricted stock entitled to dividends not subject to forfeiture and vested restricted stock units outstanding during the period and the number</w:t>
            </w:r>
          </w:p>
        </w:tc>
      </w:tr>
      <w:tr>
        <w:trPr>
          <w:trHeight w:val="190"/>
        </w:trPr>
        <w:tc>
          <w:tcPr>
            <w:tcW w:w="2040" w:type="dxa"/>
            <w:vAlign w:val="bottom"/>
            <w:shd w:val="clear" w:color="auto" w:fill="EAEEF2"/>
          </w:tcPr>
          <w:p>
            <w:pPr>
              <w:spacing w:after="0"/>
              <w:rPr>
                <w:sz w:val="16"/>
                <w:szCs w:val="16"/>
                <w:color w:val="auto"/>
              </w:rPr>
            </w:pPr>
          </w:p>
        </w:tc>
        <w:tc>
          <w:tcPr>
            <w:tcW w:w="9200" w:type="dxa"/>
            <w:vAlign w:val="bottom"/>
            <w:shd w:val="clear" w:color="auto" w:fill="EAEEF2"/>
          </w:tcPr>
          <w:p>
            <w:pPr>
              <w:ind w:left="220"/>
              <w:spacing w:after="0"/>
              <w:rPr>
                <w:sz w:val="20"/>
                <w:szCs w:val="20"/>
                <w:color w:val="auto"/>
              </w:rPr>
            </w:pPr>
            <w:r>
              <w:rPr>
                <w:rFonts w:ascii="Arial" w:cs="Arial" w:eastAsia="Arial" w:hAnsi="Arial"/>
                <w:sz w:val="14"/>
                <w:szCs w:val="14"/>
                <w:color w:val="4D4D4F"/>
              </w:rPr>
              <w:t>of additional shares of common stock that would have been outstanding if our outstanding potentially dilutive securities had been issued.</w:t>
            </w:r>
          </w:p>
        </w:tc>
      </w:tr>
      <w:tr>
        <w:trPr>
          <w:trHeight w:val="76"/>
        </w:trPr>
        <w:tc>
          <w:tcPr>
            <w:tcW w:w="2040" w:type="dxa"/>
            <w:vAlign w:val="bottom"/>
            <w:shd w:val="clear" w:color="auto" w:fill="EAEEF2"/>
          </w:tcPr>
          <w:p>
            <w:pPr>
              <w:spacing w:after="0"/>
              <w:rPr>
                <w:sz w:val="6"/>
                <w:szCs w:val="6"/>
                <w:color w:val="auto"/>
              </w:rPr>
            </w:pPr>
          </w:p>
        </w:tc>
        <w:tc>
          <w:tcPr>
            <w:tcW w:w="9200" w:type="dxa"/>
            <w:vAlign w:val="bottom"/>
            <w:shd w:val="clear" w:color="auto" w:fill="EAEEF2"/>
          </w:tcPr>
          <w:p>
            <w:pPr>
              <w:spacing w:after="0"/>
              <w:rPr>
                <w:sz w:val="6"/>
                <w:szCs w:val="6"/>
                <w:color w:val="auto"/>
              </w:rPr>
            </w:pPr>
          </w:p>
        </w:tc>
      </w:tr>
      <w:tr>
        <w:trPr>
          <w:trHeight w:val="288"/>
        </w:trPr>
        <w:tc>
          <w:tcPr>
            <w:tcW w:w="2040" w:type="dxa"/>
            <w:vAlign w:val="bottom"/>
          </w:tcPr>
          <w:p>
            <w:pPr>
              <w:ind w:left="100"/>
              <w:spacing w:after="0"/>
              <w:rPr>
                <w:sz w:val="20"/>
                <w:szCs w:val="20"/>
                <w:color w:val="auto"/>
              </w:rPr>
            </w:pPr>
            <w:r>
              <w:rPr>
                <w:rFonts w:ascii="Arial" w:cs="Arial" w:eastAsia="Arial" w:hAnsi="Arial"/>
                <w:sz w:val="14"/>
                <w:szCs w:val="14"/>
                <w:color w:val="4D4D4F"/>
              </w:rPr>
              <w:t>Return on Invested Capital</w:t>
            </w:r>
          </w:p>
        </w:tc>
        <w:tc>
          <w:tcPr>
            <w:tcW w:w="9200" w:type="dxa"/>
            <w:vAlign w:val="bottom"/>
          </w:tcPr>
          <w:p>
            <w:pPr>
              <w:ind w:left="220"/>
              <w:spacing w:after="0"/>
              <w:rPr>
                <w:sz w:val="20"/>
                <w:szCs w:val="20"/>
                <w:color w:val="auto"/>
              </w:rPr>
            </w:pPr>
            <w:r>
              <w:rPr>
                <w:rFonts w:ascii="Arial" w:cs="Arial" w:eastAsia="Arial" w:hAnsi="Arial"/>
                <w:sz w:val="14"/>
                <w:szCs w:val="14"/>
                <w:color w:val="4D4D4F"/>
              </w:rPr>
              <w:t>Return on Invested Capital (“ROIC”) is a non-GAAP financial measure defined as adjusted EBITDA less maintenance capital expenditures</w:t>
            </w:r>
          </w:p>
        </w:tc>
      </w:tr>
      <w:tr>
        <w:trPr>
          <w:trHeight w:val="189"/>
        </w:trPr>
        <w:tc>
          <w:tcPr>
            <w:tcW w:w="2040" w:type="dxa"/>
            <w:vAlign w:val="bottom"/>
          </w:tcPr>
          <w:p>
            <w:pPr>
              <w:spacing w:after="0"/>
              <w:rPr>
                <w:sz w:val="16"/>
                <w:szCs w:val="16"/>
                <w:color w:val="auto"/>
              </w:rPr>
            </w:pPr>
          </w:p>
        </w:tc>
        <w:tc>
          <w:tcPr>
            <w:tcW w:w="9200" w:type="dxa"/>
            <w:vAlign w:val="bottom"/>
          </w:tcPr>
          <w:p>
            <w:pPr>
              <w:ind w:left="220"/>
              <w:spacing w:after="0"/>
              <w:rPr>
                <w:sz w:val="20"/>
                <w:szCs w:val="20"/>
                <w:color w:val="auto"/>
              </w:rPr>
            </w:pPr>
            <w:r>
              <w:rPr>
                <w:rFonts w:ascii="Arial" w:cs="Arial" w:eastAsia="Arial" w:hAnsi="Arial"/>
                <w:sz w:val="14"/>
                <w:szCs w:val="14"/>
                <w:color w:val="4D4D4F"/>
              </w:rPr>
              <w:t>and corporate capital expenditures and cash taxes, divided by gross property, plant and equipment, intangible assets and goodwill</w:t>
            </w:r>
          </w:p>
        </w:tc>
      </w:tr>
      <w:tr>
        <w:trPr>
          <w:trHeight w:val="190"/>
        </w:trPr>
        <w:tc>
          <w:tcPr>
            <w:tcW w:w="2040" w:type="dxa"/>
            <w:vAlign w:val="bottom"/>
          </w:tcPr>
          <w:p>
            <w:pPr>
              <w:spacing w:after="0"/>
              <w:rPr>
                <w:sz w:val="16"/>
                <w:szCs w:val="16"/>
                <w:color w:val="auto"/>
              </w:rPr>
            </w:pPr>
          </w:p>
        </w:tc>
        <w:tc>
          <w:tcPr>
            <w:tcW w:w="9200" w:type="dxa"/>
            <w:vAlign w:val="bottom"/>
          </w:tcPr>
          <w:p>
            <w:pPr>
              <w:ind w:left="220"/>
              <w:spacing w:after="0"/>
              <w:rPr>
                <w:sz w:val="20"/>
                <w:szCs w:val="20"/>
                <w:color w:val="auto"/>
              </w:rPr>
            </w:pPr>
            <w:r>
              <w:rPr>
                <w:rFonts w:ascii="Arial" w:cs="Arial" w:eastAsia="Arial" w:hAnsi="Arial"/>
                <w:sz w:val="14"/>
                <w:szCs w:val="14"/>
                <w:color w:val="4D4D4F"/>
              </w:rPr>
              <w:t>(excluding the impact of recording deferred tax adjustments related to valuation).</w:t>
            </w:r>
          </w:p>
        </w:tc>
      </w:tr>
      <w:tr>
        <w:trPr>
          <w:trHeight w:val="76"/>
        </w:trPr>
        <w:tc>
          <w:tcPr>
            <w:tcW w:w="2040" w:type="dxa"/>
            <w:vAlign w:val="bottom"/>
          </w:tcPr>
          <w:p>
            <w:pPr>
              <w:spacing w:after="0"/>
              <w:rPr>
                <w:sz w:val="6"/>
                <w:szCs w:val="6"/>
                <w:color w:val="auto"/>
              </w:rPr>
            </w:pPr>
          </w:p>
        </w:tc>
        <w:tc>
          <w:tcPr>
            <w:tcW w:w="9200" w:type="dxa"/>
            <w:vAlign w:val="bottom"/>
          </w:tcPr>
          <w:p>
            <w:pPr>
              <w:spacing w:after="0"/>
              <w:rPr>
                <w:sz w:val="6"/>
                <w:szCs w:val="6"/>
                <w:color w:val="auto"/>
              </w:rPr>
            </w:pPr>
          </w:p>
        </w:tc>
      </w:tr>
      <w:tr>
        <w:trPr>
          <w:trHeight w:val="288"/>
        </w:trPr>
        <w:tc>
          <w:tcPr>
            <w:tcW w:w="204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Adjusted EBITDA</w:t>
            </w:r>
          </w:p>
        </w:tc>
        <w:tc>
          <w:tcPr>
            <w:tcW w:w="9200" w:type="dxa"/>
            <w:vAlign w:val="bottom"/>
            <w:shd w:val="clear" w:color="auto" w:fill="EAEEF2"/>
          </w:tcPr>
          <w:p>
            <w:pPr>
              <w:ind w:left="220"/>
              <w:spacing w:after="0"/>
              <w:rPr>
                <w:sz w:val="20"/>
                <w:szCs w:val="20"/>
                <w:color w:val="auto"/>
              </w:rPr>
            </w:pPr>
            <w:r>
              <w:rPr>
                <w:rFonts w:ascii="Arial" w:cs="Arial" w:eastAsia="Arial" w:hAnsi="Arial"/>
                <w:sz w:val="14"/>
                <w:szCs w:val="14"/>
                <w:color w:val="4D4D4F"/>
              </w:rPr>
              <w:t>Adjusted EBITDA is a non-GAAP financial measure defined as net income (loss) excluding the impact of interest, income taxes, and</w:t>
            </w:r>
          </w:p>
        </w:tc>
      </w:tr>
      <w:tr>
        <w:trPr>
          <w:trHeight w:val="189"/>
        </w:trPr>
        <w:tc>
          <w:tcPr>
            <w:tcW w:w="2040" w:type="dxa"/>
            <w:vAlign w:val="bottom"/>
            <w:shd w:val="clear" w:color="auto" w:fill="EAEEF2"/>
          </w:tcPr>
          <w:p>
            <w:pPr>
              <w:spacing w:after="0"/>
              <w:rPr>
                <w:sz w:val="16"/>
                <w:szCs w:val="16"/>
                <w:color w:val="auto"/>
              </w:rPr>
            </w:pPr>
          </w:p>
        </w:tc>
        <w:tc>
          <w:tcPr>
            <w:tcW w:w="9200" w:type="dxa"/>
            <w:vAlign w:val="bottom"/>
            <w:shd w:val="clear" w:color="auto" w:fill="EAEEF2"/>
          </w:tcPr>
          <w:p>
            <w:pPr>
              <w:ind w:left="220"/>
              <w:spacing w:after="0"/>
              <w:rPr>
                <w:sz w:val="20"/>
                <w:szCs w:val="20"/>
                <w:color w:val="auto"/>
              </w:rPr>
            </w:pPr>
            <w:r>
              <w:rPr>
                <w:rFonts w:ascii="Arial" w:cs="Arial" w:eastAsia="Arial" w:hAnsi="Arial"/>
                <w:sz w:val="14"/>
                <w:szCs w:val="14"/>
                <w:color w:val="4D4D4F"/>
              </w:rPr>
              <w:t>depreciation and amortization, in addition to acquisition and divestiture related expenses, restructuring charges, impairments, gains or</w:t>
            </w:r>
          </w:p>
        </w:tc>
      </w:tr>
      <w:tr>
        <w:trPr>
          <w:trHeight w:val="176"/>
        </w:trPr>
        <w:tc>
          <w:tcPr>
            <w:tcW w:w="2040" w:type="dxa"/>
            <w:vAlign w:val="bottom"/>
            <w:shd w:val="clear" w:color="auto" w:fill="EAEEF2"/>
          </w:tcPr>
          <w:p>
            <w:pPr>
              <w:spacing w:after="0"/>
              <w:rPr>
                <w:sz w:val="15"/>
                <w:szCs w:val="15"/>
                <w:color w:val="auto"/>
              </w:rPr>
            </w:pPr>
          </w:p>
        </w:tc>
        <w:tc>
          <w:tcPr>
            <w:tcW w:w="9200" w:type="dxa"/>
            <w:vAlign w:val="bottom"/>
            <w:shd w:val="clear" w:color="auto" w:fill="EAEEF2"/>
          </w:tcPr>
          <w:p>
            <w:pPr>
              <w:ind w:left="220"/>
              <w:spacing w:after="0"/>
              <w:rPr>
                <w:sz w:val="20"/>
                <w:szCs w:val="20"/>
                <w:color w:val="auto"/>
              </w:rPr>
            </w:pPr>
            <w:r>
              <w:rPr>
                <w:rFonts w:ascii="Arial" w:cs="Arial" w:eastAsia="Arial" w:hAnsi="Arial"/>
                <w:sz w:val="14"/>
                <w:szCs w:val="14"/>
                <w:color w:val="4D4D4F"/>
              </w:rPr>
              <w:t>losses on sale of businesses, integration costs, non-operating legal settlements and costs associated with the Finnish bid error, as</w:t>
            </w:r>
          </w:p>
        </w:tc>
      </w:tr>
      <w:tr>
        <w:trPr>
          <w:trHeight w:val="190"/>
        </w:trPr>
        <w:tc>
          <w:tcPr>
            <w:tcW w:w="2040" w:type="dxa"/>
            <w:vAlign w:val="bottom"/>
            <w:shd w:val="clear" w:color="auto" w:fill="EAEEF2"/>
          </w:tcPr>
          <w:p>
            <w:pPr>
              <w:spacing w:after="0"/>
              <w:rPr>
                <w:sz w:val="16"/>
                <w:szCs w:val="16"/>
                <w:color w:val="auto"/>
              </w:rPr>
            </w:pPr>
          </w:p>
        </w:tc>
        <w:tc>
          <w:tcPr>
            <w:tcW w:w="9200" w:type="dxa"/>
            <w:vAlign w:val="bottom"/>
            <w:shd w:val="clear" w:color="auto" w:fill="EAEEF2"/>
          </w:tcPr>
          <w:p>
            <w:pPr>
              <w:ind w:left="220"/>
              <w:spacing w:after="0"/>
              <w:rPr>
                <w:sz w:val="20"/>
                <w:szCs w:val="20"/>
                <w:color w:val="auto"/>
              </w:rPr>
            </w:pPr>
            <w:r>
              <w:rPr>
                <w:rFonts w:ascii="Arial" w:cs="Arial" w:eastAsia="Arial" w:hAnsi="Arial"/>
                <w:sz w:val="14"/>
                <w:szCs w:val="14"/>
                <w:color w:val="4D4D4F"/>
              </w:rPr>
              <w:t>described in the Company’s filings with the SEC.</w:t>
            </w:r>
          </w:p>
        </w:tc>
      </w:tr>
      <w:tr>
        <w:trPr>
          <w:trHeight w:val="76"/>
        </w:trPr>
        <w:tc>
          <w:tcPr>
            <w:tcW w:w="2040" w:type="dxa"/>
            <w:vAlign w:val="bottom"/>
            <w:tcBorders>
              <w:bottom w:val="single" w:sz="8" w:color="298655"/>
            </w:tcBorders>
            <w:shd w:val="clear" w:color="auto" w:fill="EAEEF2"/>
          </w:tcPr>
          <w:p>
            <w:pPr>
              <w:spacing w:after="0"/>
              <w:rPr>
                <w:sz w:val="6"/>
                <w:szCs w:val="6"/>
                <w:color w:val="auto"/>
              </w:rPr>
            </w:pPr>
          </w:p>
        </w:tc>
        <w:tc>
          <w:tcPr>
            <w:tcW w:w="9200" w:type="dxa"/>
            <w:vAlign w:val="bottom"/>
            <w:tcBorders>
              <w:bottom w:val="single" w:sz="8" w:color="298655"/>
            </w:tcBorders>
            <w:shd w:val="clear" w:color="auto" w:fill="EAEEF2"/>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560" w:hanging="534"/>
        <w:spacing w:after="0"/>
        <w:tabs>
          <w:tab w:leader="none" w:pos="560" w:val="left"/>
        </w:tabs>
        <w:numPr>
          <w:ilvl w:val="0"/>
          <w:numId w:val="127"/>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7" w:name="page88"/>
    <w:bookmarkEnd w:id="87"/>
    <w:p>
      <w:pPr>
        <w:ind w:left="20" w:right="5060"/>
        <w:spacing w:after="0" w:line="283" w:lineRule="auto"/>
        <w:rPr>
          <w:sz w:val="20"/>
          <w:szCs w:val="20"/>
          <w:color w:val="auto"/>
        </w:rPr>
      </w:pPr>
      <w:r>
        <w:rPr>
          <w:rFonts w:ascii="Arial" w:cs="Arial" w:eastAsia="Arial" w:hAnsi="Arial"/>
          <w:sz w:val="54"/>
          <w:szCs w:val="54"/>
          <w:b w:val="1"/>
          <w:bCs w:val="1"/>
          <w:color w:val="01549C"/>
        </w:rPr>
        <w:t>Questions and Answers About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-848995</wp:posOffset>
            </wp:positionV>
            <wp:extent cx="1157605" cy="6172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157605" cy="61722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What am I being asked to vote on and what is the Board recommendation?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4D4D4F"/>
        </w:rPr>
        <w:t>At the Annual Meeting you will be asked to vote on the following three proposals. Our Board recommendation for each of these proposals is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40" w:type="dxa"/>
            <w:vAlign w:val="bottom"/>
            <w:gridSpan w:val="2"/>
            <w:shd w:val="clear" w:color="auto" w:fill="132440"/>
          </w:tcPr>
          <w:p>
            <w:pPr>
              <w:ind w:left="100"/>
              <w:spacing w:after="0"/>
              <w:rPr>
                <w:sz w:val="20"/>
                <w:szCs w:val="20"/>
                <w:color w:val="auto"/>
              </w:rPr>
            </w:pPr>
            <w:r>
              <w:rPr>
                <w:rFonts w:ascii="Arial" w:cs="Arial" w:eastAsia="Arial" w:hAnsi="Arial"/>
                <w:sz w:val="14"/>
                <w:szCs w:val="14"/>
                <w:b w:val="1"/>
                <w:bCs w:val="1"/>
                <w:color w:val="FFFFFF"/>
              </w:rPr>
              <w:t>Proposal</w:t>
            </w:r>
          </w:p>
        </w:tc>
        <w:tc>
          <w:tcPr>
            <w:tcW w:w="2600" w:type="dxa"/>
            <w:vAlign w:val="bottom"/>
            <w:shd w:val="clear" w:color="auto" w:fill="298655"/>
          </w:tcPr>
          <w:p>
            <w:pPr>
              <w:jc w:val="center"/>
              <w:spacing w:after="0"/>
              <w:rPr>
                <w:sz w:val="20"/>
                <w:szCs w:val="20"/>
                <w:color w:val="auto"/>
              </w:rPr>
            </w:pPr>
            <w:r>
              <w:rPr>
                <w:rFonts w:ascii="Arial" w:cs="Arial" w:eastAsia="Arial" w:hAnsi="Arial"/>
                <w:sz w:val="14"/>
                <w:szCs w:val="14"/>
                <w:b w:val="1"/>
                <w:bCs w:val="1"/>
                <w:color w:val="FFFFFF"/>
              </w:rPr>
              <w:t>Board Recommendation</w:t>
            </w:r>
          </w:p>
        </w:tc>
        <w:tc>
          <w:tcPr>
            <w:tcW w:w="0" w:type="dxa"/>
            <w:vAlign w:val="bottom"/>
          </w:tcPr>
          <w:p>
            <w:pPr>
              <w:spacing w:after="0"/>
              <w:rPr>
                <w:sz w:val="1"/>
                <w:szCs w:val="1"/>
                <w:color w:val="auto"/>
              </w:rPr>
            </w:pPr>
          </w:p>
        </w:tc>
      </w:tr>
      <w:tr>
        <w:trPr>
          <w:trHeight w:val="220"/>
        </w:trPr>
        <w:tc>
          <w:tcPr>
            <w:tcW w:w="480" w:type="dxa"/>
            <w:vAlign w:val="bottom"/>
            <w:vMerge w:val="restart"/>
            <w:shd w:val="clear" w:color="auto" w:fill="EAEEF2"/>
          </w:tcPr>
          <w:p>
            <w:pPr>
              <w:jc w:val="right"/>
              <w:ind w:right="8"/>
              <w:spacing w:after="0"/>
              <w:rPr>
                <w:sz w:val="20"/>
                <w:szCs w:val="20"/>
                <w:color w:val="auto"/>
              </w:rPr>
            </w:pPr>
            <w:r>
              <w:rPr>
                <w:rFonts w:ascii="Arial" w:cs="Arial" w:eastAsia="Arial" w:hAnsi="Arial"/>
                <w:sz w:val="20"/>
                <w:szCs w:val="20"/>
                <w:b w:val="1"/>
                <w:bCs w:val="1"/>
                <w:color w:val="578EB1"/>
              </w:rPr>
              <w:t>1</w:t>
            </w:r>
          </w:p>
        </w:tc>
        <w:tc>
          <w:tcPr>
            <w:tcW w:w="816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To elect nine directors each for a term expiring at the next annual meeting or until his or her successor has been duly</w:t>
            </w:r>
          </w:p>
        </w:tc>
        <w:tc>
          <w:tcPr>
            <w:tcW w:w="2600" w:type="dxa"/>
            <w:vAlign w:val="bottom"/>
            <w:shd w:val="clear" w:color="auto" w:fill="DFEDE5"/>
          </w:tcPr>
          <w:p>
            <w:pPr>
              <w:jc w:val="center"/>
              <w:spacing w:after="0" w:line="220" w:lineRule="exact"/>
              <w:rPr>
                <w:sz w:val="20"/>
                <w:szCs w:val="20"/>
                <w:color w:val="auto"/>
              </w:rPr>
            </w:pPr>
            <w:r>
              <w:rPr>
                <w:rFonts w:ascii="Arial" w:cs="Arial" w:eastAsia="Arial" w:hAnsi="Arial"/>
                <w:sz w:val="20"/>
                <w:szCs w:val="20"/>
                <w:b w:val="1"/>
                <w:bCs w:val="1"/>
                <w:color w:val="298655"/>
                <w:w w:val="99"/>
              </w:rPr>
              <w:t>“FOR”</w:t>
            </w:r>
          </w:p>
        </w:tc>
        <w:tc>
          <w:tcPr>
            <w:tcW w:w="0" w:type="dxa"/>
            <w:vAlign w:val="bottom"/>
          </w:tcPr>
          <w:p>
            <w:pPr>
              <w:spacing w:after="0"/>
              <w:rPr>
                <w:sz w:val="1"/>
                <w:szCs w:val="1"/>
                <w:color w:val="auto"/>
              </w:rPr>
            </w:pPr>
          </w:p>
        </w:tc>
      </w:tr>
      <w:tr>
        <w:trPr>
          <w:trHeight w:val="231"/>
        </w:trPr>
        <w:tc>
          <w:tcPr>
            <w:tcW w:w="480" w:type="dxa"/>
            <w:vAlign w:val="bottom"/>
            <w:vMerge w:val="continue"/>
            <w:shd w:val="clear" w:color="auto" w:fill="EAEEF2"/>
          </w:tcPr>
          <w:p>
            <w:pPr>
              <w:spacing w:after="0"/>
              <w:rPr>
                <w:sz w:val="20"/>
                <w:szCs w:val="20"/>
                <w:color w:val="auto"/>
              </w:rPr>
            </w:pPr>
          </w:p>
        </w:tc>
        <w:tc>
          <w:tcPr>
            <w:tcW w:w="816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elected and qualified</w:t>
            </w:r>
          </w:p>
        </w:tc>
        <w:tc>
          <w:tcPr>
            <w:tcW w:w="2600" w:type="dxa"/>
            <w:vAlign w:val="bottom"/>
            <w:shd w:val="clear" w:color="auto" w:fill="DFEDE5"/>
          </w:tcPr>
          <w:p>
            <w:pPr>
              <w:jc w:val="center"/>
              <w:spacing w:after="0"/>
              <w:rPr>
                <w:sz w:val="20"/>
                <w:szCs w:val="20"/>
                <w:color w:val="auto"/>
              </w:rPr>
            </w:pPr>
            <w:r>
              <w:rPr>
                <w:rFonts w:ascii="Arial" w:cs="Arial" w:eastAsia="Arial" w:hAnsi="Arial"/>
                <w:sz w:val="14"/>
                <w:szCs w:val="14"/>
                <w:color w:val="4D4D4F"/>
              </w:rPr>
              <w:t>each Director Nominee</w:t>
            </w:r>
          </w:p>
        </w:tc>
        <w:tc>
          <w:tcPr>
            <w:tcW w:w="0" w:type="dxa"/>
            <w:vAlign w:val="bottom"/>
          </w:tcPr>
          <w:p>
            <w:pPr>
              <w:spacing w:after="0"/>
              <w:rPr>
                <w:sz w:val="1"/>
                <w:szCs w:val="1"/>
                <w:color w:val="auto"/>
              </w:rPr>
            </w:pPr>
          </w:p>
        </w:tc>
      </w:tr>
      <w:tr>
        <w:trPr>
          <w:trHeight w:val="76"/>
        </w:trPr>
        <w:tc>
          <w:tcPr>
            <w:tcW w:w="480" w:type="dxa"/>
            <w:vAlign w:val="bottom"/>
            <w:shd w:val="clear" w:color="auto" w:fill="EAEEF2"/>
          </w:tcPr>
          <w:p>
            <w:pPr>
              <w:spacing w:after="0"/>
              <w:rPr>
                <w:sz w:val="6"/>
                <w:szCs w:val="6"/>
                <w:color w:val="auto"/>
              </w:rPr>
            </w:pPr>
          </w:p>
        </w:tc>
        <w:tc>
          <w:tcPr>
            <w:tcW w:w="8160" w:type="dxa"/>
            <w:vAlign w:val="bottom"/>
            <w:shd w:val="clear" w:color="auto" w:fill="EAEEF2"/>
          </w:tcPr>
          <w:p>
            <w:pPr>
              <w:spacing w:after="0"/>
              <w:rPr>
                <w:sz w:val="6"/>
                <w:szCs w:val="6"/>
                <w:color w:val="auto"/>
              </w:rPr>
            </w:pPr>
          </w:p>
        </w:tc>
        <w:tc>
          <w:tcPr>
            <w:tcW w:w="2600" w:type="dxa"/>
            <w:vAlign w:val="bottom"/>
            <w:shd w:val="clear" w:color="auto" w:fill="DFEDE5"/>
          </w:tcPr>
          <w:p>
            <w:pPr>
              <w:spacing w:after="0"/>
              <w:rPr>
                <w:sz w:val="6"/>
                <w:szCs w:val="6"/>
                <w:color w:val="auto"/>
              </w:rPr>
            </w:pPr>
          </w:p>
        </w:tc>
        <w:tc>
          <w:tcPr>
            <w:tcW w:w="0" w:type="dxa"/>
            <w:vAlign w:val="bottom"/>
          </w:tcPr>
          <w:p>
            <w:pPr>
              <w:spacing w:after="0"/>
              <w:rPr>
                <w:sz w:val="1"/>
                <w:szCs w:val="1"/>
                <w:color w:val="auto"/>
              </w:rPr>
            </w:pPr>
          </w:p>
        </w:tc>
      </w:tr>
      <w:tr>
        <w:trPr>
          <w:trHeight w:val="293"/>
        </w:trPr>
        <w:tc>
          <w:tcPr>
            <w:tcW w:w="480" w:type="dxa"/>
            <w:vAlign w:val="bottom"/>
          </w:tcPr>
          <w:p>
            <w:pPr>
              <w:jc w:val="right"/>
              <w:ind w:right="8"/>
              <w:spacing w:after="0"/>
              <w:rPr>
                <w:sz w:val="20"/>
                <w:szCs w:val="20"/>
                <w:color w:val="auto"/>
              </w:rPr>
            </w:pPr>
            <w:r>
              <w:rPr>
                <w:rFonts w:ascii="Arial" w:cs="Arial" w:eastAsia="Arial" w:hAnsi="Arial"/>
                <w:sz w:val="20"/>
                <w:szCs w:val="20"/>
                <w:b w:val="1"/>
                <w:bCs w:val="1"/>
                <w:color w:val="578EB1"/>
              </w:rPr>
              <w:t>2</w:t>
            </w:r>
          </w:p>
        </w:tc>
        <w:tc>
          <w:tcPr>
            <w:tcW w:w="8160" w:type="dxa"/>
            <w:vAlign w:val="bottom"/>
          </w:tcPr>
          <w:p>
            <w:pPr>
              <w:ind w:left="100"/>
              <w:spacing w:after="0"/>
              <w:rPr>
                <w:sz w:val="20"/>
                <w:szCs w:val="20"/>
                <w:color w:val="auto"/>
              </w:rPr>
            </w:pPr>
            <w:r>
              <w:rPr>
                <w:rFonts w:ascii="Arial" w:cs="Arial" w:eastAsia="Arial" w:hAnsi="Arial"/>
                <w:sz w:val="14"/>
                <w:szCs w:val="14"/>
                <w:color w:val="4D4D4F"/>
              </w:rPr>
              <w:t>To approve, on an advisory basis, the compensation of our named executive officers</w:t>
            </w:r>
          </w:p>
        </w:tc>
        <w:tc>
          <w:tcPr>
            <w:tcW w:w="2600" w:type="dxa"/>
            <w:vAlign w:val="bottom"/>
          </w:tcPr>
          <w:p>
            <w:pPr>
              <w:jc w:val="center"/>
              <w:spacing w:after="0"/>
              <w:rPr>
                <w:sz w:val="20"/>
                <w:szCs w:val="20"/>
                <w:color w:val="auto"/>
              </w:rPr>
            </w:pPr>
            <w:r>
              <w:rPr>
                <w:rFonts w:ascii="Arial" w:cs="Arial" w:eastAsia="Arial" w:hAnsi="Arial"/>
                <w:sz w:val="20"/>
                <w:szCs w:val="20"/>
                <w:b w:val="1"/>
                <w:bCs w:val="1"/>
                <w:color w:val="298655"/>
                <w:w w:val="99"/>
              </w:rPr>
              <w:t>“FOR”</w:t>
            </w:r>
          </w:p>
        </w:tc>
        <w:tc>
          <w:tcPr>
            <w:tcW w:w="0" w:type="dxa"/>
            <w:vAlign w:val="bottom"/>
          </w:tcPr>
          <w:p>
            <w:pPr>
              <w:spacing w:after="0"/>
              <w:rPr>
                <w:sz w:val="1"/>
                <w:szCs w:val="1"/>
                <w:color w:val="auto"/>
              </w:rPr>
            </w:pPr>
          </w:p>
        </w:tc>
      </w:tr>
      <w:tr>
        <w:trPr>
          <w:trHeight w:val="197"/>
        </w:trPr>
        <w:tc>
          <w:tcPr>
            <w:tcW w:w="480" w:type="dxa"/>
            <w:vAlign w:val="bottom"/>
            <w:vMerge w:val="restart"/>
            <w:shd w:val="clear" w:color="auto" w:fill="EAEEF2"/>
          </w:tcPr>
          <w:p>
            <w:pPr>
              <w:jc w:val="right"/>
              <w:ind w:right="8"/>
              <w:spacing w:after="0"/>
              <w:rPr>
                <w:sz w:val="20"/>
                <w:szCs w:val="20"/>
                <w:color w:val="auto"/>
              </w:rPr>
            </w:pPr>
            <w:r>
              <w:rPr>
                <w:rFonts w:ascii="Arial" w:cs="Arial" w:eastAsia="Arial" w:hAnsi="Arial"/>
                <w:sz w:val="20"/>
                <w:szCs w:val="20"/>
                <w:b w:val="1"/>
                <w:bCs w:val="1"/>
                <w:color w:val="578EB1"/>
              </w:rPr>
              <w:t>3</w:t>
            </w:r>
          </w:p>
        </w:tc>
        <w:tc>
          <w:tcPr>
            <w:tcW w:w="816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To ratify the appointment of PricewaterhouseCoopers LLP as our independent registered public accounting firm for the</w:t>
            </w:r>
          </w:p>
        </w:tc>
        <w:tc>
          <w:tcPr>
            <w:tcW w:w="2600" w:type="dxa"/>
            <w:vAlign w:val="bottom"/>
            <w:vMerge w:val="restart"/>
            <w:shd w:val="clear" w:color="auto" w:fill="DFEDE5"/>
          </w:tcPr>
          <w:p>
            <w:pPr>
              <w:jc w:val="center"/>
              <w:spacing w:after="0"/>
              <w:rPr>
                <w:sz w:val="20"/>
                <w:szCs w:val="20"/>
                <w:color w:val="auto"/>
              </w:rPr>
            </w:pPr>
            <w:r>
              <w:rPr>
                <w:rFonts w:ascii="Arial" w:cs="Arial" w:eastAsia="Arial" w:hAnsi="Arial"/>
                <w:sz w:val="20"/>
                <w:szCs w:val="20"/>
                <w:b w:val="1"/>
                <w:bCs w:val="1"/>
                <w:color w:val="298655"/>
                <w:w w:val="99"/>
              </w:rPr>
              <w:t>“FOR”</w:t>
            </w:r>
          </w:p>
        </w:tc>
        <w:tc>
          <w:tcPr>
            <w:tcW w:w="0" w:type="dxa"/>
            <w:vAlign w:val="bottom"/>
          </w:tcPr>
          <w:p>
            <w:pPr>
              <w:spacing w:after="0"/>
              <w:rPr>
                <w:sz w:val="1"/>
                <w:szCs w:val="1"/>
                <w:color w:val="auto"/>
              </w:rPr>
            </w:pPr>
          </w:p>
        </w:tc>
      </w:tr>
      <w:tr>
        <w:trPr>
          <w:trHeight w:val="205"/>
        </w:trPr>
        <w:tc>
          <w:tcPr>
            <w:tcW w:w="480" w:type="dxa"/>
            <w:vAlign w:val="bottom"/>
            <w:tcBorders>
              <w:bottom w:val="single" w:sz="8" w:color="EAEEF2"/>
            </w:tcBorders>
            <w:vMerge w:val="continue"/>
            <w:shd w:val="clear" w:color="auto" w:fill="EAEEF2"/>
          </w:tcPr>
          <w:p>
            <w:pPr>
              <w:spacing w:after="0"/>
              <w:rPr>
                <w:sz w:val="17"/>
                <w:szCs w:val="17"/>
                <w:color w:val="auto"/>
              </w:rPr>
            </w:pPr>
          </w:p>
        </w:tc>
        <w:tc>
          <w:tcPr>
            <w:tcW w:w="8160" w:type="dxa"/>
            <w:vAlign w:val="bottom"/>
            <w:tcBorders>
              <w:bottom w:val="single" w:sz="8" w:color="EAEEF2"/>
            </w:tcBorders>
            <w:shd w:val="clear" w:color="auto" w:fill="EAEEF2"/>
          </w:tcPr>
          <w:p>
            <w:pPr>
              <w:ind w:left="100"/>
              <w:spacing w:after="0"/>
              <w:rPr>
                <w:sz w:val="20"/>
                <w:szCs w:val="20"/>
                <w:color w:val="auto"/>
              </w:rPr>
            </w:pPr>
            <w:r>
              <w:rPr>
                <w:rFonts w:ascii="Arial" w:cs="Arial" w:eastAsia="Arial" w:hAnsi="Arial"/>
                <w:sz w:val="14"/>
                <w:szCs w:val="14"/>
                <w:color w:val="4D4D4F"/>
              </w:rPr>
              <w:t>2024 fiscal year</w:t>
            </w:r>
          </w:p>
        </w:tc>
        <w:tc>
          <w:tcPr>
            <w:tcW w:w="2600" w:type="dxa"/>
            <w:vAlign w:val="bottom"/>
            <w:tcBorders>
              <w:bottom w:val="single" w:sz="8" w:color="DFEDE5"/>
            </w:tcBorders>
            <w:vMerge w:val="continue"/>
            <w:shd w:val="clear" w:color="auto" w:fill="DFED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298655"/>
          </w:tcPr>
          <w:p>
            <w:pPr>
              <w:spacing w:after="0" w:line="20" w:lineRule="exact"/>
              <w:rPr>
                <w:sz w:val="1"/>
                <w:szCs w:val="1"/>
                <w:color w:val="auto"/>
              </w:rPr>
            </w:pPr>
          </w:p>
        </w:tc>
        <w:tc>
          <w:tcPr>
            <w:tcW w:w="8160" w:type="dxa"/>
            <w:vAlign w:val="bottom"/>
            <w:shd w:val="clear" w:color="auto" w:fill="298655"/>
          </w:tcPr>
          <w:p>
            <w:pPr>
              <w:spacing w:after="0" w:line="20" w:lineRule="exact"/>
              <w:rPr>
                <w:sz w:val="1"/>
                <w:szCs w:val="1"/>
                <w:color w:val="auto"/>
              </w:rPr>
            </w:pPr>
          </w:p>
        </w:tc>
        <w:tc>
          <w:tcPr>
            <w:tcW w:w="2600" w:type="dxa"/>
            <w:vAlign w:val="bottom"/>
            <w:shd w:val="clear" w:color="auto" w:fill="29865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4D4D4F"/>
        </w:rPr>
        <w:t>You will also be asked to consider and act upon such other business as may properly come before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Who is entitled to vote at the Annual Meeting?</w:t>
      </w:r>
    </w:p>
    <w:p>
      <w:pPr>
        <w:spacing w:after="0" w:line="139"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4D4D4F"/>
        </w:rPr>
        <w:t>Only holders of record of our common stock at the close of business on April 11, 2024, the record date for the Annual Meeting, are entitled to notice of, and to attend and vote at the Annual Meeting, or any postponements or adjournments of the meeting. At the close of business on the record date, 59,938,301 shares of our common stock were issued and outstanding. Our shareholders are entitled to one vote per share of our common stock owned on the record date for each matter properly presented at the Annual Meeting. Holders of our common stock have no cumulative 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What is the difference between a shareholder of record and a beneficial owner?</w:t>
      </w:r>
    </w:p>
    <w:p>
      <w:pPr>
        <w:spacing w:after="0" w:line="12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4D4D4F"/>
        </w:rPr>
        <w:t>If your shares are registered directly in your name with our transfer agent, EQ Shareowner Services, you are considered, with respect to those shares, the “shareholder of record.” If your shares are held by a brokerage firm, bank, trustee, other agent or record holder, each sometimes referred to as a “nominee,” you are considered the “beneficial owner” of shares held in “street name.” The Notice has been forwarded to you by your nominee who is considered, with respect to those shares, the shareholder of record. As the beneficial owner, you have the right to direct your nominee on how to vote your shares by following their instructions for voting by telephone or on the Internet or, if you specifically request a copy of the printed materials, you may use the voting instruction card included in such materials.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What constitutes a quorum?</w:t>
      </w:r>
    </w:p>
    <w:p>
      <w:pPr>
        <w:spacing w:after="0" w:line="12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4D4D4F"/>
        </w:rPr>
        <w:t>A quorum will be present at the Annual Meeting if holders of a majority of the issued and outstanding shares of our common stock on the record date are represented at the Annual Meeting by attendance or by proxy. If a quorum is not present at the Annual Meeting, we expect to postpone or adjourn the Annual Meeting to solicit additional proxies. Abstentions and broker non-votes (as described below) will be counted as shares present and entitled to vote for the purpose of determining the presence or absence of a quorum.</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What is the effect of “broker non-votes” or abstentions?</w:t>
      </w:r>
    </w:p>
    <w:p>
      <w:pPr>
        <w:spacing w:after="0" w:line="13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4D4D4F"/>
        </w:rPr>
        <w:t>A “broker non-vote” occurs when a bank, broker, trustee, agent or other holder of record holding shares for a beneficial owner withholds its vote on a particular proposal because that holder does not have the discretionary voting power for such proposal and has not received instructions from the beneficial owner. If your broker is the shareholder of record, your broker is required to vote your shares in accordance with your instructions. If you do not give instructions to your broker, the rules of the New York Stock Exchange allow brokers the discretionary authority to vote your shares with respect to “routine” matters but not “non-routine” matters. If other non-routine matters are properly brought before the Annual Meeting, shares held by a bank, broker or other holder of record holding shares for a beneficial owner will not be voted on such non-routine matters by that holder unless that holder has received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85</w:t>
            </w:r>
          </w:p>
        </w:tc>
      </w:tr>
      <w:tr>
        <w:trPr>
          <w:trHeight w:val="211"/>
        </w:trPr>
        <w:tc>
          <w:tcPr>
            <w:tcW w:w="108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88" w:name="page89"/>
    <w:bookmarkEnd w:id="88"/>
    <w:p>
      <w:pPr>
        <w:ind w:left="20"/>
        <w:spacing w:after="0"/>
        <w:rPr>
          <w:sz w:val="20"/>
          <w:szCs w:val="20"/>
          <w:color w:val="auto"/>
        </w:rPr>
      </w:pPr>
      <w:r>
        <w:rPr>
          <w:rFonts w:ascii="Arial" w:cs="Arial" w:eastAsia="Arial" w:hAnsi="Arial"/>
          <w:sz w:val="14"/>
          <w:szCs w:val="14"/>
          <w:b w:val="1"/>
          <w:bCs w:val="1"/>
          <w:color w:val="5B6770"/>
        </w:rPr>
        <w:t>Questions and Answers About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4D4D4F"/>
        </w:rPr>
        <w:t>The table below sets forth, for each proposal on the ballot, whether a broker can exercise discretion and vote your shares absent your instructions and the impact of broker non-votes and abstentions.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 w:type="dxa"/>
            <w:vAlign w:val="bottom"/>
            <w:shd w:val="clear" w:color="auto" w:fill="132440"/>
          </w:tcPr>
          <w:p>
            <w:pPr>
              <w:spacing w:after="0"/>
              <w:rPr>
                <w:sz w:val="16"/>
                <w:szCs w:val="16"/>
                <w:color w:val="auto"/>
              </w:rPr>
            </w:pPr>
          </w:p>
        </w:tc>
        <w:tc>
          <w:tcPr>
            <w:tcW w:w="5180" w:type="dxa"/>
            <w:vAlign w:val="bottom"/>
            <w:shd w:val="clear" w:color="auto" w:fill="132440"/>
          </w:tcPr>
          <w:p>
            <w:pPr>
              <w:spacing w:after="0"/>
              <w:rPr>
                <w:sz w:val="16"/>
                <w:szCs w:val="16"/>
                <w:color w:val="auto"/>
              </w:rPr>
            </w:pPr>
          </w:p>
        </w:tc>
        <w:tc>
          <w:tcPr>
            <w:tcW w:w="2480" w:type="dxa"/>
            <w:vAlign w:val="bottom"/>
            <w:shd w:val="clear" w:color="auto" w:fill="132440"/>
          </w:tcPr>
          <w:p>
            <w:pPr>
              <w:ind w:left="580"/>
              <w:spacing w:after="0"/>
              <w:rPr>
                <w:sz w:val="20"/>
                <w:szCs w:val="20"/>
                <w:color w:val="auto"/>
              </w:rPr>
            </w:pPr>
            <w:r>
              <w:rPr>
                <w:rFonts w:ascii="Arial" w:cs="Arial" w:eastAsia="Arial" w:hAnsi="Arial"/>
                <w:sz w:val="14"/>
                <w:szCs w:val="14"/>
                <w:b w:val="1"/>
                <w:bCs w:val="1"/>
                <w:color w:val="FFFFFF"/>
              </w:rPr>
              <w:t>Can Brokers Vote Absent</w:t>
            </w:r>
          </w:p>
        </w:tc>
        <w:tc>
          <w:tcPr>
            <w:tcW w:w="1780" w:type="dxa"/>
            <w:vAlign w:val="bottom"/>
            <w:shd w:val="clear" w:color="auto" w:fill="132440"/>
          </w:tcPr>
          <w:p>
            <w:pPr>
              <w:ind w:left="160"/>
              <w:spacing w:after="0"/>
              <w:rPr>
                <w:sz w:val="20"/>
                <w:szCs w:val="20"/>
                <w:color w:val="auto"/>
              </w:rPr>
            </w:pPr>
            <w:r>
              <w:rPr>
                <w:rFonts w:ascii="Arial" w:cs="Arial" w:eastAsia="Arial" w:hAnsi="Arial"/>
                <w:sz w:val="14"/>
                <w:szCs w:val="14"/>
                <w:b w:val="1"/>
                <w:bCs w:val="1"/>
                <w:color w:val="FFFFFF"/>
              </w:rPr>
              <w:t>Impact of Broker Non-</w:t>
            </w:r>
          </w:p>
        </w:tc>
        <w:tc>
          <w:tcPr>
            <w:tcW w:w="132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Impact of</w:t>
            </w:r>
          </w:p>
        </w:tc>
      </w:tr>
      <w:tr>
        <w:trPr>
          <w:trHeight w:val="212"/>
        </w:trPr>
        <w:tc>
          <w:tcPr>
            <w:tcW w:w="5660" w:type="dxa"/>
            <w:vAlign w:val="bottom"/>
            <w:gridSpan w:val="2"/>
            <w:shd w:val="clear" w:color="auto" w:fill="132440"/>
          </w:tcPr>
          <w:p>
            <w:pPr>
              <w:ind w:left="100"/>
              <w:spacing w:after="0"/>
              <w:rPr>
                <w:sz w:val="20"/>
                <w:szCs w:val="20"/>
                <w:color w:val="auto"/>
              </w:rPr>
            </w:pPr>
            <w:r>
              <w:rPr>
                <w:rFonts w:ascii="Arial" w:cs="Arial" w:eastAsia="Arial" w:hAnsi="Arial"/>
                <w:sz w:val="14"/>
                <w:szCs w:val="14"/>
                <w:b w:val="1"/>
                <w:bCs w:val="1"/>
                <w:color w:val="FFFFFF"/>
              </w:rPr>
              <w:t>Proposal</w:t>
            </w:r>
          </w:p>
        </w:tc>
        <w:tc>
          <w:tcPr>
            <w:tcW w:w="2480" w:type="dxa"/>
            <w:vAlign w:val="bottom"/>
            <w:shd w:val="clear" w:color="auto" w:fill="132440"/>
          </w:tcPr>
          <w:p>
            <w:pPr>
              <w:ind w:left="580"/>
              <w:spacing w:after="0"/>
              <w:rPr>
                <w:sz w:val="20"/>
                <w:szCs w:val="20"/>
                <w:color w:val="auto"/>
              </w:rPr>
            </w:pPr>
            <w:r>
              <w:rPr>
                <w:rFonts w:ascii="Arial" w:cs="Arial" w:eastAsia="Arial" w:hAnsi="Arial"/>
                <w:sz w:val="14"/>
                <w:szCs w:val="14"/>
                <w:b w:val="1"/>
                <w:bCs w:val="1"/>
                <w:color w:val="FFFFFF"/>
              </w:rPr>
              <w:t>Instructions?</w:t>
            </w:r>
          </w:p>
        </w:tc>
        <w:tc>
          <w:tcPr>
            <w:tcW w:w="1780" w:type="dxa"/>
            <w:vAlign w:val="bottom"/>
            <w:shd w:val="clear" w:color="auto" w:fill="132440"/>
          </w:tcPr>
          <w:p>
            <w:pPr>
              <w:ind w:left="160"/>
              <w:spacing w:after="0"/>
              <w:rPr>
                <w:sz w:val="20"/>
                <w:szCs w:val="20"/>
                <w:color w:val="auto"/>
              </w:rPr>
            </w:pPr>
            <w:r>
              <w:rPr>
                <w:rFonts w:ascii="Arial" w:cs="Arial" w:eastAsia="Arial" w:hAnsi="Arial"/>
                <w:sz w:val="14"/>
                <w:szCs w:val="14"/>
                <w:b w:val="1"/>
                <w:bCs w:val="1"/>
                <w:color w:val="FFFFFF"/>
              </w:rPr>
              <w:t>Vote</w:t>
            </w:r>
          </w:p>
        </w:tc>
        <w:tc>
          <w:tcPr>
            <w:tcW w:w="1320" w:type="dxa"/>
            <w:vAlign w:val="bottom"/>
            <w:shd w:val="clear" w:color="auto" w:fill="132440"/>
          </w:tcPr>
          <w:p>
            <w:pPr>
              <w:ind w:left="100"/>
              <w:spacing w:after="0"/>
              <w:rPr>
                <w:sz w:val="20"/>
                <w:szCs w:val="20"/>
                <w:color w:val="auto"/>
              </w:rPr>
            </w:pPr>
            <w:r>
              <w:rPr>
                <w:rFonts w:ascii="Arial" w:cs="Arial" w:eastAsia="Arial" w:hAnsi="Arial"/>
                <w:sz w:val="14"/>
                <w:szCs w:val="14"/>
                <w:b w:val="1"/>
                <w:bCs w:val="1"/>
                <w:color w:val="FFFFFF"/>
              </w:rPr>
              <w:t>Abstentions</w:t>
            </w:r>
          </w:p>
        </w:tc>
      </w:tr>
      <w:tr>
        <w:trPr>
          <w:trHeight w:val="270"/>
        </w:trPr>
        <w:tc>
          <w:tcPr>
            <w:tcW w:w="480" w:type="dxa"/>
            <w:vAlign w:val="bottom"/>
            <w:shd w:val="clear" w:color="auto" w:fill="EAEEF2"/>
          </w:tcPr>
          <w:p>
            <w:pPr>
              <w:jc w:val="right"/>
              <w:ind w:right="8"/>
              <w:spacing w:after="0"/>
              <w:rPr>
                <w:sz w:val="20"/>
                <w:szCs w:val="20"/>
                <w:color w:val="auto"/>
              </w:rPr>
            </w:pPr>
            <w:r>
              <w:rPr>
                <w:rFonts w:ascii="Arial" w:cs="Arial" w:eastAsia="Arial" w:hAnsi="Arial"/>
                <w:sz w:val="20"/>
                <w:szCs w:val="20"/>
                <w:b w:val="1"/>
                <w:bCs w:val="1"/>
                <w:color w:val="578EB1"/>
              </w:rPr>
              <w:t>1</w:t>
            </w:r>
          </w:p>
        </w:tc>
        <w:tc>
          <w:tcPr>
            <w:tcW w:w="518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Election of Directors</w:t>
            </w:r>
          </w:p>
        </w:tc>
        <w:tc>
          <w:tcPr>
            <w:tcW w:w="2480" w:type="dxa"/>
            <w:vAlign w:val="bottom"/>
            <w:shd w:val="clear" w:color="auto" w:fill="EAEEF2"/>
          </w:tcPr>
          <w:p>
            <w:pPr>
              <w:ind w:left="580"/>
              <w:spacing w:after="0"/>
              <w:rPr>
                <w:sz w:val="20"/>
                <w:szCs w:val="20"/>
                <w:color w:val="auto"/>
              </w:rPr>
            </w:pPr>
            <w:r>
              <w:rPr>
                <w:rFonts w:ascii="Arial" w:cs="Arial" w:eastAsia="Arial" w:hAnsi="Arial"/>
                <w:sz w:val="14"/>
                <w:szCs w:val="14"/>
                <w:color w:val="4D4D4F"/>
              </w:rPr>
              <w:t>No</w:t>
            </w:r>
          </w:p>
        </w:tc>
        <w:tc>
          <w:tcPr>
            <w:tcW w:w="1780" w:type="dxa"/>
            <w:vAlign w:val="bottom"/>
            <w:shd w:val="clear" w:color="auto" w:fill="EAEEF2"/>
          </w:tcPr>
          <w:p>
            <w:pPr>
              <w:ind w:left="160"/>
              <w:spacing w:after="0"/>
              <w:rPr>
                <w:sz w:val="20"/>
                <w:szCs w:val="20"/>
                <w:color w:val="auto"/>
              </w:rPr>
            </w:pPr>
            <w:r>
              <w:rPr>
                <w:rFonts w:ascii="Arial" w:cs="Arial" w:eastAsia="Arial" w:hAnsi="Arial"/>
                <w:sz w:val="14"/>
                <w:szCs w:val="14"/>
                <w:color w:val="4D4D4F"/>
              </w:rPr>
              <w:t>None</w:t>
            </w:r>
          </w:p>
        </w:tc>
        <w:tc>
          <w:tcPr>
            <w:tcW w:w="1320" w:type="dxa"/>
            <w:vAlign w:val="bottom"/>
            <w:shd w:val="clear" w:color="auto" w:fill="EAEEF2"/>
          </w:tcPr>
          <w:p>
            <w:pPr>
              <w:ind w:left="100"/>
              <w:spacing w:after="0"/>
              <w:rPr>
                <w:sz w:val="20"/>
                <w:szCs w:val="20"/>
                <w:color w:val="auto"/>
              </w:rPr>
            </w:pPr>
            <w:r>
              <w:rPr>
                <w:rFonts w:ascii="Arial" w:cs="Arial" w:eastAsia="Arial" w:hAnsi="Arial"/>
                <w:sz w:val="14"/>
                <w:szCs w:val="14"/>
                <w:color w:val="4D4D4F"/>
              </w:rPr>
              <w:t>None</w:t>
            </w:r>
          </w:p>
        </w:tc>
      </w:tr>
      <w:tr>
        <w:trPr>
          <w:trHeight w:val="270"/>
        </w:trPr>
        <w:tc>
          <w:tcPr>
            <w:tcW w:w="480" w:type="dxa"/>
            <w:vAlign w:val="bottom"/>
          </w:tcPr>
          <w:p>
            <w:pPr>
              <w:jc w:val="right"/>
              <w:ind w:right="8"/>
              <w:spacing w:after="0"/>
              <w:rPr>
                <w:sz w:val="20"/>
                <w:szCs w:val="20"/>
                <w:color w:val="auto"/>
              </w:rPr>
            </w:pPr>
            <w:r>
              <w:rPr>
                <w:rFonts w:ascii="Arial" w:cs="Arial" w:eastAsia="Arial" w:hAnsi="Arial"/>
                <w:sz w:val="20"/>
                <w:szCs w:val="20"/>
                <w:b w:val="1"/>
                <w:bCs w:val="1"/>
                <w:color w:val="578EB1"/>
              </w:rPr>
              <w:t>2</w:t>
            </w:r>
          </w:p>
        </w:tc>
        <w:tc>
          <w:tcPr>
            <w:tcW w:w="5180" w:type="dxa"/>
            <w:vAlign w:val="bottom"/>
          </w:tcPr>
          <w:p>
            <w:pPr>
              <w:ind w:left="100"/>
              <w:spacing w:after="0"/>
              <w:rPr>
                <w:sz w:val="20"/>
                <w:szCs w:val="20"/>
                <w:color w:val="auto"/>
              </w:rPr>
            </w:pPr>
            <w:r>
              <w:rPr>
                <w:rFonts w:ascii="Arial" w:cs="Arial" w:eastAsia="Arial" w:hAnsi="Arial"/>
                <w:sz w:val="14"/>
                <w:szCs w:val="14"/>
                <w:color w:val="4D4D4F"/>
              </w:rPr>
              <w:t>Advisory Vote on Executive Compensation</w:t>
            </w:r>
          </w:p>
        </w:tc>
        <w:tc>
          <w:tcPr>
            <w:tcW w:w="2480" w:type="dxa"/>
            <w:vAlign w:val="bottom"/>
          </w:tcPr>
          <w:p>
            <w:pPr>
              <w:ind w:left="580"/>
              <w:spacing w:after="0"/>
              <w:rPr>
                <w:sz w:val="20"/>
                <w:szCs w:val="20"/>
                <w:color w:val="auto"/>
              </w:rPr>
            </w:pPr>
            <w:r>
              <w:rPr>
                <w:rFonts w:ascii="Arial" w:cs="Arial" w:eastAsia="Arial" w:hAnsi="Arial"/>
                <w:sz w:val="14"/>
                <w:szCs w:val="14"/>
                <w:color w:val="4D4D4F"/>
              </w:rPr>
              <w:t>No</w:t>
            </w:r>
          </w:p>
        </w:tc>
        <w:tc>
          <w:tcPr>
            <w:tcW w:w="1780" w:type="dxa"/>
            <w:vAlign w:val="bottom"/>
          </w:tcPr>
          <w:p>
            <w:pPr>
              <w:ind w:left="160"/>
              <w:spacing w:after="0"/>
              <w:rPr>
                <w:sz w:val="20"/>
                <w:szCs w:val="20"/>
                <w:color w:val="auto"/>
              </w:rPr>
            </w:pPr>
            <w:r>
              <w:rPr>
                <w:rFonts w:ascii="Arial" w:cs="Arial" w:eastAsia="Arial" w:hAnsi="Arial"/>
                <w:sz w:val="14"/>
                <w:szCs w:val="14"/>
                <w:color w:val="4D4D4F"/>
              </w:rPr>
              <w:t>None</w:t>
            </w:r>
          </w:p>
        </w:tc>
        <w:tc>
          <w:tcPr>
            <w:tcW w:w="1320" w:type="dxa"/>
            <w:vAlign w:val="bottom"/>
          </w:tcPr>
          <w:p>
            <w:pPr>
              <w:ind w:left="100"/>
              <w:spacing w:after="0"/>
              <w:rPr>
                <w:sz w:val="20"/>
                <w:szCs w:val="20"/>
                <w:color w:val="auto"/>
              </w:rPr>
            </w:pPr>
            <w:r>
              <w:rPr>
                <w:rFonts w:ascii="Arial" w:cs="Arial" w:eastAsia="Arial" w:hAnsi="Arial"/>
                <w:sz w:val="14"/>
                <w:szCs w:val="14"/>
                <w:color w:val="4D4D4F"/>
              </w:rPr>
              <w:t>None</w:t>
            </w:r>
          </w:p>
        </w:tc>
      </w:tr>
      <w:tr>
        <w:trPr>
          <w:trHeight w:val="280"/>
        </w:trPr>
        <w:tc>
          <w:tcPr>
            <w:tcW w:w="480" w:type="dxa"/>
            <w:vAlign w:val="bottom"/>
            <w:tcBorders>
              <w:bottom w:val="single" w:sz="8" w:color="298655"/>
            </w:tcBorders>
            <w:shd w:val="clear" w:color="auto" w:fill="EAEEF2"/>
          </w:tcPr>
          <w:p>
            <w:pPr>
              <w:jc w:val="right"/>
              <w:ind w:right="8"/>
              <w:spacing w:after="0"/>
              <w:rPr>
                <w:sz w:val="20"/>
                <w:szCs w:val="20"/>
                <w:color w:val="auto"/>
              </w:rPr>
            </w:pPr>
            <w:r>
              <w:rPr>
                <w:rFonts w:ascii="Arial" w:cs="Arial" w:eastAsia="Arial" w:hAnsi="Arial"/>
                <w:sz w:val="20"/>
                <w:szCs w:val="20"/>
                <w:b w:val="1"/>
                <w:bCs w:val="1"/>
                <w:color w:val="578EB1"/>
              </w:rPr>
              <w:t>3</w:t>
            </w:r>
          </w:p>
        </w:tc>
        <w:tc>
          <w:tcPr>
            <w:tcW w:w="5180" w:type="dxa"/>
            <w:vAlign w:val="bottom"/>
            <w:tcBorders>
              <w:bottom w:val="single" w:sz="8" w:color="298655"/>
            </w:tcBorders>
            <w:shd w:val="clear" w:color="auto" w:fill="EAEEF2"/>
          </w:tcPr>
          <w:p>
            <w:pPr>
              <w:ind w:left="100"/>
              <w:spacing w:after="0"/>
              <w:rPr>
                <w:sz w:val="20"/>
                <w:szCs w:val="20"/>
                <w:color w:val="auto"/>
              </w:rPr>
            </w:pPr>
            <w:r>
              <w:rPr>
                <w:rFonts w:ascii="Arial" w:cs="Arial" w:eastAsia="Arial" w:hAnsi="Arial"/>
                <w:sz w:val="14"/>
                <w:szCs w:val="14"/>
                <w:color w:val="4D4D4F"/>
              </w:rPr>
              <w:t>Ratification of PwC as Independent Registered Public Accounting Firm</w:t>
            </w:r>
          </w:p>
        </w:tc>
        <w:tc>
          <w:tcPr>
            <w:tcW w:w="2480" w:type="dxa"/>
            <w:vAlign w:val="bottom"/>
            <w:tcBorders>
              <w:bottom w:val="single" w:sz="8" w:color="298655"/>
            </w:tcBorders>
            <w:shd w:val="clear" w:color="auto" w:fill="EAEEF2"/>
          </w:tcPr>
          <w:p>
            <w:pPr>
              <w:ind w:left="580"/>
              <w:spacing w:after="0"/>
              <w:rPr>
                <w:sz w:val="20"/>
                <w:szCs w:val="20"/>
                <w:color w:val="auto"/>
              </w:rPr>
            </w:pPr>
            <w:r>
              <w:rPr>
                <w:rFonts w:ascii="Arial" w:cs="Arial" w:eastAsia="Arial" w:hAnsi="Arial"/>
                <w:sz w:val="14"/>
                <w:szCs w:val="14"/>
                <w:color w:val="4D4D4F"/>
              </w:rPr>
              <w:t>Yes</w:t>
            </w:r>
          </w:p>
        </w:tc>
        <w:tc>
          <w:tcPr>
            <w:tcW w:w="1780" w:type="dxa"/>
            <w:vAlign w:val="bottom"/>
            <w:tcBorders>
              <w:bottom w:val="single" w:sz="8" w:color="298655"/>
            </w:tcBorders>
            <w:shd w:val="clear" w:color="auto" w:fill="EAEEF2"/>
          </w:tcPr>
          <w:p>
            <w:pPr>
              <w:ind w:left="160"/>
              <w:spacing w:after="0"/>
              <w:rPr>
                <w:sz w:val="20"/>
                <w:szCs w:val="20"/>
                <w:color w:val="auto"/>
              </w:rPr>
            </w:pPr>
            <w:r>
              <w:rPr>
                <w:rFonts w:ascii="Arial" w:cs="Arial" w:eastAsia="Arial" w:hAnsi="Arial"/>
                <w:sz w:val="14"/>
                <w:szCs w:val="14"/>
                <w:color w:val="4D4D4F"/>
              </w:rPr>
              <w:t>N/A</w:t>
            </w:r>
          </w:p>
        </w:tc>
        <w:tc>
          <w:tcPr>
            <w:tcW w:w="1320" w:type="dxa"/>
            <w:vAlign w:val="bottom"/>
            <w:tcBorders>
              <w:bottom w:val="single" w:sz="8" w:color="298655"/>
            </w:tcBorders>
            <w:shd w:val="clear" w:color="auto" w:fill="EAEEF2"/>
          </w:tcPr>
          <w:p>
            <w:pPr>
              <w:ind w:left="100"/>
              <w:spacing w:after="0"/>
              <w:rPr>
                <w:sz w:val="20"/>
                <w:szCs w:val="20"/>
                <w:color w:val="auto"/>
              </w:rPr>
            </w:pPr>
            <w:r>
              <w:rPr>
                <w:rFonts w:ascii="Arial" w:cs="Arial" w:eastAsia="Arial" w:hAnsi="Arial"/>
                <w:sz w:val="14"/>
                <w:szCs w:val="14"/>
                <w:color w:val="4D4D4F"/>
              </w:rPr>
              <w:t>None</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Will my shares be voted if I do not provide my proxy?</w:t>
      </w:r>
    </w:p>
    <w:p>
      <w:pPr>
        <w:spacing w:after="0" w:line="12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4D4D4F"/>
        </w:rPr>
        <w:t>If your shares are held in the name of a bank, broker or other holder of record, they may be voted by the bank, broker or other holder of record with respect to “routine” matters (as described above under the caption “What is the effect of "broker non-votes" or abstentions?") even if you do not give the bank, broker or other holder of record specific voting instructions. If you are a shareholder of record and hold your shares directly in your own name, your shares will not be voted unless you provide a proxy or vote at the Annual Meeting.</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How do I vote?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529B"/>
        </w:rPr>
        <w:t>To Vote by Internet, Telephone or Mail:</w:t>
      </w:r>
    </w:p>
    <w:p>
      <w:pPr>
        <w:spacing w:after="0" w:line="135"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4D4D4F"/>
        </w:rPr>
        <w:t>You can vote by proxy whether or not you attend the Annual Meeting. To vote by proxy, you have a choice of voting over the Internet, by telephone or by using a traditional proxy card.</w:t>
      </w:r>
    </w:p>
    <w:p>
      <w:pPr>
        <w:spacing w:after="0" w:line="102" w:lineRule="exact"/>
        <w:rPr>
          <w:sz w:val="20"/>
          <w:szCs w:val="20"/>
          <w:color w:val="auto"/>
        </w:rPr>
      </w:pPr>
    </w:p>
    <w:p>
      <w:pPr>
        <w:ind w:left="500" w:right="80" w:hanging="249"/>
        <w:spacing w:after="0" w:line="321" w:lineRule="auto"/>
        <w:tabs>
          <w:tab w:leader="none" w:pos="489" w:val="left"/>
        </w:tabs>
        <w:numPr>
          <w:ilvl w:val="0"/>
          <w:numId w:val="128"/>
        </w:numPr>
        <w:rPr>
          <w:rFonts w:ascii="Arial" w:cs="Arial" w:eastAsia="Arial" w:hAnsi="Arial"/>
          <w:sz w:val="16"/>
          <w:szCs w:val="16"/>
          <w:b w:val="1"/>
          <w:bCs w:val="1"/>
          <w:color w:val="00529B"/>
        </w:rPr>
      </w:pPr>
      <w:r>
        <w:rPr>
          <w:rFonts w:ascii="Arial" w:cs="Arial" w:eastAsia="Arial" w:hAnsi="Arial"/>
          <w:sz w:val="16"/>
          <w:szCs w:val="16"/>
          <w:color w:val="4D4D4F"/>
        </w:rPr>
        <w:t>To vote by Internet, go to www.proxyvote.com and follow the instructions there. You will need the 16-digit control number included on your proxy card, voter instruction form or Notice.</w:t>
      </w:r>
    </w:p>
    <w:p>
      <w:pPr>
        <w:spacing w:after="0" w:line="101" w:lineRule="exact"/>
        <w:rPr>
          <w:rFonts w:ascii="Arial" w:cs="Arial" w:eastAsia="Arial" w:hAnsi="Arial"/>
          <w:sz w:val="16"/>
          <w:szCs w:val="16"/>
          <w:b w:val="1"/>
          <w:bCs w:val="1"/>
          <w:color w:val="00529B"/>
        </w:rPr>
      </w:pPr>
    </w:p>
    <w:p>
      <w:pPr>
        <w:ind w:left="500" w:right="580" w:hanging="249"/>
        <w:spacing w:after="0" w:line="321" w:lineRule="auto"/>
        <w:tabs>
          <w:tab w:leader="none" w:pos="489" w:val="left"/>
        </w:tabs>
        <w:numPr>
          <w:ilvl w:val="0"/>
          <w:numId w:val="128"/>
        </w:numPr>
        <w:rPr>
          <w:rFonts w:ascii="Arial" w:cs="Arial" w:eastAsia="Arial" w:hAnsi="Arial"/>
          <w:sz w:val="16"/>
          <w:szCs w:val="16"/>
          <w:b w:val="1"/>
          <w:bCs w:val="1"/>
          <w:color w:val="00529B"/>
        </w:rPr>
      </w:pPr>
      <w:r>
        <w:rPr>
          <w:rFonts w:ascii="Arial" w:cs="Arial" w:eastAsia="Arial" w:hAnsi="Arial"/>
          <w:sz w:val="16"/>
          <w:szCs w:val="16"/>
          <w:color w:val="4D4D4F"/>
        </w:rPr>
        <w:t>To vote by telephone, dial the number listed on your proxy card, your voter instruction form or Notice. You will need the 16-digit control number included on your proxy card, voter instruction form or Notice.</w:t>
      </w:r>
    </w:p>
    <w:p>
      <w:pPr>
        <w:spacing w:after="0" w:line="101" w:lineRule="exact"/>
        <w:rPr>
          <w:rFonts w:ascii="Arial" w:cs="Arial" w:eastAsia="Arial" w:hAnsi="Arial"/>
          <w:sz w:val="16"/>
          <w:szCs w:val="16"/>
          <w:b w:val="1"/>
          <w:bCs w:val="1"/>
          <w:color w:val="00529B"/>
        </w:rPr>
      </w:pPr>
    </w:p>
    <w:p>
      <w:pPr>
        <w:ind w:left="500" w:right="320" w:hanging="249"/>
        <w:spacing w:after="0" w:line="321" w:lineRule="auto"/>
        <w:tabs>
          <w:tab w:leader="none" w:pos="489" w:val="left"/>
        </w:tabs>
        <w:numPr>
          <w:ilvl w:val="0"/>
          <w:numId w:val="128"/>
        </w:numPr>
        <w:rPr>
          <w:rFonts w:ascii="Arial" w:cs="Arial" w:eastAsia="Arial" w:hAnsi="Arial"/>
          <w:sz w:val="16"/>
          <w:szCs w:val="16"/>
          <w:b w:val="1"/>
          <w:bCs w:val="1"/>
          <w:color w:val="00529B"/>
        </w:rPr>
      </w:pPr>
      <w:r>
        <w:rPr>
          <w:rFonts w:ascii="Arial" w:cs="Arial" w:eastAsia="Arial" w:hAnsi="Arial"/>
          <w:sz w:val="16"/>
          <w:szCs w:val="16"/>
          <w:color w:val="4D4D4F"/>
        </w:rPr>
        <w:t>If you received a Notice and wish to vote by traditional proxy card, you can request a full set of materials at no charge through one of the following methods:</w:t>
      </w:r>
    </w:p>
    <w:p>
      <w:pPr>
        <w:spacing w:after="0" w:line="101" w:lineRule="exact"/>
        <w:rPr>
          <w:rFonts w:ascii="Arial" w:cs="Arial" w:eastAsia="Arial" w:hAnsi="Arial"/>
          <w:sz w:val="16"/>
          <w:szCs w:val="16"/>
          <w:b w:val="1"/>
          <w:bCs w:val="1"/>
          <w:color w:val="00529B"/>
        </w:rPr>
      </w:pPr>
    </w:p>
    <w:p>
      <w:pPr>
        <w:ind w:left="720" w:hanging="226"/>
        <w:spacing w:after="0"/>
        <w:tabs>
          <w:tab w:leader="none" w:pos="720" w:val="left"/>
        </w:tabs>
        <w:numPr>
          <w:ilvl w:val="1"/>
          <w:numId w:val="128"/>
        </w:numPr>
        <w:rPr>
          <w:rFonts w:ascii="Arial" w:cs="Arial" w:eastAsia="Arial" w:hAnsi="Arial"/>
          <w:sz w:val="16"/>
          <w:szCs w:val="16"/>
          <w:color w:val="00529B"/>
        </w:rPr>
      </w:pPr>
      <w:r>
        <w:rPr>
          <w:rFonts w:ascii="Arial" w:cs="Arial" w:eastAsia="Arial" w:hAnsi="Arial"/>
          <w:sz w:val="16"/>
          <w:szCs w:val="16"/>
          <w:color w:val="4D4D4F"/>
        </w:rPr>
        <w:t>By Internet: by visiting www.proxyvote.com</w:t>
      </w:r>
    </w:p>
    <w:p>
      <w:pPr>
        <w:spacing w:after="0" w:line="86" w:lineRule="exact"/>
        <w:rPr>
          <w:rFonts w:ascii="Arial" w:cs="Arial" w:eastAsia="Arial" w:hAnsi="Arial"/>
          <w:sz w:val="16"/>
          <w:szCs w:val="16"/>
          <w:color w:val="00529B"/>
        </w:rPr>
      </w:pPr>
    </w:p>
    <w:p>
      <w:pPr>
        <w:ind w:left="720" w:hanging="226"/>
        <w:spacing w:after="0"/>
        <w:tabs>
          <w:tab w:leader="none" w:pos="720" w:val="left"/>
        </w:tabs>
        <w:numPr>
          <w:ilvl w:val="1"/>
          <w:numId w:val="128"/>
        </w:numPr>
        <w:rPr>
          <w:rFonts w:ascii="Arial" w:cs="Arial" w:eastAsia="Arial" w:hAnsi="Arial"/>
          <w:sz w:val="16"/>
          <w:szCs w:val="16"/>
          <w:color w:val="00529B"/>
        </w:rPr>
      </w:pPr>
      <w:r>
        <w:rPr>
          <w:rFonts w:ascii="Arial" w:cs="Arial" w:eastAsia="Arial" w:hAnsi="Arial"/>
          <w:sz w:val="16"/>
          <w:szCs w:val="16"/>
          <w:color w:val="4D4D4F"/>
        </w:rPr>
        <w:t>By phone: by using the phone number listed on the Notice</w:t>
      </w:r>
    </w:p>
    <w:p>
      <w:pPr>
        <w:spacing w:after="0" w:line="194"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4D4D4F"/>
        </w:rPr>
        <w:t>To reduce our administrative and postage costs, we ask that you vote through the Internet or by telephone, both of which are available 24 hours a day prior to the Annual Meeting. To ensure that your vote is counted, please remember to submit your vote by 11:59 p.m. Eastern Time on June 5, 2024.</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00529B"/>
        </w:rPr>
        <w:t>To Vote at the Annual Meeting:</w:t>
      </w:r>
    </w:p>
    <w:p>
      <w:pPr>
        <w:spacing w:after="0" w:line="135"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color w:val="4D4D4F"/>
        </w:rPr>
        <w:t>If your shares are registered in your name, you must use the 16-digit control number on your proxy card, voting instruction form, or Notice of Internet Availability of Proxy Materials in order to log in and complete your ballot electronically when prompted during the Annual Meeting.</w:t>
      </w:r>
    </w:p>
    <w:p>
      <w:pPr>
        <w:spacing w:after="0" w:line="102"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color w:val="4D4D4F"/>
        </w:rPr>
        <w:t>If you hold your shares in “street name,” you will need to obtain the 16-digit control number assigned to your holdings with your bank, broker or other nominee and enter it when prompted by the website hosting the Annual Meeting to vote the shares that are held for your benefit.</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If I plan to attend the Annual Meeting, should I still vote by proxy?</w:t>
      </w:r>
    </w:p>
    <w:p>
      <w:pPr>
        <w:spacing w:after="0" w:line="126"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4D4D4F"/>
        </w:rPr>
        <w:t>Yes. Casting your vote in advance does not affect your right to attend the Annual Meeting. If you vote in advance and also attend the Annual Meeting, you do not need to vote again at the Annual Meeting unless you want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560" w:hanging="534"/>
        <w:spacing w:after="0"/>
        <w:tabs>
          <w:tab w:leader="none" w:pos="560" w:val="left"/>
        </w:tabs>
        <w:numPr>
          <w:ilvl w:val="0"/>
          <w:numId w:val="129"/>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9" w:name="page90"/>
    <w:bookmarkEnd w:id="89"/>
    <w:p>
      <w:pPr>
        <w:ind w:left="20"/>
        <w:spacing w:after="0"/>
        <w:rPr>
          <w:sz w:val="20"/>
          <w:szCs w:val="20"/>
          <w:color w:val="auto"/>
        </w:rPr>
      </w:pPr>
      <w:r>
        <w:rPr>
          <w:rFonts w:ascii="Arial" w:cs="Arial" w:eastAsia="Arial" w:hAnsi="Arial"/>
          <w:sz w:val="14"/>
          <w:szCs w:val="14"/>
          <w:b w:val="1"/>
          <w:bCs w:val="1"/>
          <w:color w:val="5B6770"/>
        </w:rPr>
        <w:t>Questions and Answers About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What vote is required for the proposals?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 w:type="dxa"/>
            <w:vAlign w:val="bottom"/>
            <w:shd w:val="clear" w:color="auto" w:fill="132440"/>
          </w:tcPr>
          <w:p>
            <w:pPr>
              <w:jc w:val="right"/>
              <w:spacing w:after="0"/>
              <w:rPr>
                <w:sz w:val="20"/>
                <w:szCs w:val="20"/>
                <w:color w:val="auto"/>
              </w:rPr>
            </w:pPr>
            <w:r>
              <w:rPr>
                <w:rFonts w:ascii="Arial" w:cs="Arial" w:eastAsia="Arial" w:hAnsi="Arial"/>
                <w:sz w:val="14"/>
                <w:szCs w:val="14"/>
                <w:b w:val="1"/>
                <w:bCs w:val="1"/>
                <w:color w:val="FFFFFF"/>
              </w:rPr>
              <w:t>Proposal</w:t>
            </w:r>
          </w:p>
        </w:tc>
        <w:tc>
          <w:tcPr>
            <w:tcW w:w="6500" w:type="dxa"/>
            <w:vAlign w:val="bottom"/>
            <w:shd w:val="clear" w:color="auto" w:fill="132440"/>
          </w:tcPr>
          <w:p>
            <w:pPr>
              <w:spacing w:after="0"/>
              <w:rPr>
                <w:sz w:val="19"/>
                <w:szCs w:val="19"/>
                <w:color w:val="auto"/>
              </w:rPr>
            </w:pPr>
          </w:p>
        </w:tc>
        <w:tc>
          <w:tcPr>
            <w:tcW w:w="3960" w:type="dxa"/>
            <w:vAlign w:val="bottom"/>
            <w:shd w:val="clear" w:color="auto" w:fill="132440"/>
          </w:tcPr>
          <w:p>
            <w:pPr>
              <w:ind w:left="1600"/>
              <w:spacing w:after="0"/>
              <w:rPr>
                <w:sz w:val="20"/>
                <w:szCs w:val="20"/>
                <w:color w:val="auto"/>
              </w:rPr>
            </w:pPr>
            <w:r>
              <w:rPr>
                <w:rFonts w:ascii="Arial" w:cs="Arial" w:eastAsia="Arial" w:hAnsi="Arial"/>
                <w:sz w:val="14"/>
                <w:szCs w:val="14"/>
                <w:b w:val="1"/>
                <w:bCs w:val="1"/>
                <w:color w:val="FFFFFF"/>
              </w:rPr>
              <w:t>Required Vote</w:t>
            </w:r>
          </w:p>
        </w:tc>
      </w:tr>
      <w:tr>
        <w:trPr>
          <w:trHeight w:val="270"/>
        </w:trPr>
        <w:tc>
          <w:tcPr>
            <w:tcW w:w="780" w:type="dxa"/>
            <w:vAlign w:val="bottom"/>
            <w:shd w:val="clear" w:color="auto" w:fill="EAEEF2"/>
          </w:tcPr>
          <w:p>
            <w:pPr>
              <w:jc w:val="right"/>
              <w:ind w:right="168"/>
              <w:spacing w:after="0"/>
              <w:rPr>
                <w:sz w:val="20"/>
                <w:szCs w:val="20"/>
                <w:color w:val="auto"/>
              </w:rPr>
            </w:pPr>
            <w:r>
              <w:rPr>
                <w:rFonts w:ascii="Arial" w:cs="Arial" w:eastAsia="Arial" w:hAnsi="Arial"/>
                <w:sz w:val="20"/>
                <w:szCs w:val="20"/>
                <w:b w:val="1"/>
                <w:bCs w:val="1"/>
                <w:color w:val="578EB1"/>
              </w:rPr>
              <w:t>1</w:t>
            </w:r>
          </w:p>
        </w:tc>
        <w:tc>
          <w:tcPr>
            <w:tcW w:w="6500" w:type="dxa"/>
            <w:vAlign w:val="bottom"/>
            <w:shd w:val="clear" w:color="auto" w:fill="EAEEF2"/>
          </w:tcPr>
          <w:p>
            <w:pPr>
              <w:ind w:left="60"/>
              <w:spacing w:after="0"/>
              <w:rPr>
                <w:sz w:val="20"/>
                <w:szCs w:val="20"/>
                <w:color w:val="auto"/>
              </w:rPr>
            </w:pPr>
            <w:r>
              <w:rPr>
                <w:rFonts w:ascii="Arial" w:cs="Arial" w:eastAsia="Arial" w:hAnsi="Arial"/>
                <w:sz w:val="14"/>
                <w:szCs w:val="14"/>
                <w:b w:val="1"/>
                <w:bCs w:val="1"/>
                <w:color w:val="4D4D4F"/>
              </w:rPr>
              <w:t>Election of Directors</w:t>
            </w:r>
          </w:p>
        </w:tc>
        <w:tc>
          <w:tcPr>
            <w:tcW w:w="3960" w:type="dxa"/>
            <w:vAlign w:val="bottom"/>
            <w:shd w:val="clear" w:color="auto" w:fill="EAEEF2"/>
          </w:tcPr>
          <w:p>
            <w:pPr>
              <w:ind w:left="1600"/>
              <w:spacing w:after="0"/>
              <w:rPr>
                <w:sz w:val="20"/>
                <w:szCs w:val="20"/>
                <w:color w:val="auto"/>
              </w:rPr>
            </w:pPr>
            <w:r>
              <w:rPr>
                <w:rFonts w:ascii="Arial" w:cs="Arial" w:eastAsia="Arial" w:hAnsi="Arial"/>
                <w:sz w:val="14"/>
                <w:szCs w:val="14"/>
                <w:color w:val="4D4D4F"/>
              </w:rPr>
              <w:t>Plurality of the votes cast</w:t>
            </w:r>
          </w:p>
        </w:tc>
      </w:tr>
      <w:tr>
        <w:trPr>
          <w:trHeight w:val="270"/>
        </w:trPr>
        <w:tc>
          <w:tcPr>
            <w:tcW w:w="780" w:type="dxa"/>
            <w:vAlign w:val="bottom"/>
          </w:tcPr>
          <w:p>
            <w:pPr>
              <w:jc w:val="right"/>
              <w:ind w:right="168"/>
              <w:spacing w:after="0"/>
              <w:rPr>
                <w:sz w:val="20"/>
                <w:szCs w:val="20"/>
                <w:color w:val="auto"/>
              </w:rPr>
            </w:pPr>
            <w:r>
              <w:rPr>
                <w:rFonts w:ascii="Arial" w:cs="Arial" w:eastAsia="Arial" w:hAnsi="Arial"/>
                <w:sz w:val="20"/>
                <w:szCs w:val="20"/>
                <w:b w:val="1"/>
                <w:bCs w:val="1"/>
                <w:color w:val="578EB1"/>
              </w:rPr>
              <w:t>2</w:t>
            </w:r>
          </w:p>
        </w:tc>
        <w:tc>
          <w:tcPr>
            <w:tcW w:w="6500" w:type="dxa"/>
            <w:vAlign w:val="bottom"/>
          </w:tcPr>
          <w:p>
            <w:pPr>
              <w:ind w:left="60"/>
              <w:spacing w:after="0"/>
              <w:rPr>
                <w:sz w:val="20"/>
                <w:szCs w:val="20"/>
                <w:color w:val="auto"/>
              </w:rPr>
            </w:pPr>
            <w:r>
              <w:rPr>
                <w:rFonts w:ascii="Arial" w:cs="Arial" w:eastAsia="Arial" w:hAnsi="Arial"/>
                <w:sz w:val="14"/>
                <w:szCs w:val="14"/>
                <w:b w:val="1"/>
                <w:bCs w:val="1"/>
                <w:color w:val="4D4D4F"/>
              </w:rPr>
              <w:t>Advisory Vote on Executive Compensation</w:t>
            </w:r>
          </w:p>
        </w:tc>
        <w:tc>
          <w:tcPr>
            <w:tcW w:w="3960" w:type="dxa"/>
            <w:vAlign w:val="bottom"/>
          </w:tcPr>
          <w:p>
            <w:pPr>
              <w:ind w:left="1600"/>
              <w:spacing w:after="0"/>
              <w:rPr>
                <w:sz w:val="20"/>
                <w:szCs w:val="20"/>
                <w:color w:val="auto"/>
              </w:rPr>
            </w:pPr>
            <w:r>
              <w:rPr>
                <w:rFonts w:ascii="Arial" w:cs="Arial" w:eastAsia="Arial" w:hAnsi="Arial"/>
                <w:sz w:val="14"/>
                <w:szCs w:val="14"/>
                <w:color w:val="4D4D4F"/>
              </w:rPr>
              <w:t>Majority of the votes cast</w:t>
            </w:r>
          </w:p>
        </w:tc>
      </w:tr>
      <w:tr>
        <w:trPr>
          <w:trHeight w:val="270"/>
        </w:trPr>
        <w:tc>
          <w:tcPr>
            <w:tcW w:w="780" w:type="dxa"/>
            <w:vAlign w:val="bottom"/>
            <w:tcBorders>
              <w:bottom w:val="single" w:sz="8" w:color="298655"/>
            </w:tcBorders>
            <w:shd w:val="clear" w:color="auto" w:fill="EAEEF2"/>
          </w:tcPr>
          <w:p>
            <w:pPr>
              <w:jc w:val="right"/>
              <w:ind w:right="168"/>
              <w:spacing w:after="0"/>
              <w:rPr>
                <w:sz w:val="20"/>
                <w:szCs w:val="20"/>
                <w:color w:val="auto"/>
              </w:rPr>
            </w:pPr>
            <w:r>
              <w:rPr>
                <w:rFonts w:ascii="Arial" w:cs="Arial" w:eastAsia="Arial" w:hAnsi="Arial"/>
                <w:sz w:val="20"/>
                <w:szCs w:val="20"/>
                <w:b w:val="1"/>
                <w:bCs w:val="1"/>
                <w:color w:val="578EB1"/>
              </w:rPr>
              <w:t>3</w:t>
            </w:r>
          </w:p>
        </w:tc>
        <w:tc>
          <w:tcPr>
            <w:tcW w:w="6500" w:type="dxa"/>
            <w:vAlign w:val="bottom"/>
            <w:tcBorders>
              <w:bottom w:val="single" w:sz="8" w:color="298655"/>
            </w:tcBorders>
            <w:shd w:val="clear" w:color="auto" w:fill="EAEEF2"/>
          </w:tcPr>
          <w:p>
            <w:pPr>
              <w:ind w:left="60"/>
              <w:spacing w:after="0"/>
              <w:rPr>
                <w:sz w:val="20"/>
                <w:szCs w:val="20"/>
                <w:color w:val="auto"/>
              </w:rPr>
            </w:pPr>
            <w:r>
              <w:rPr>
                <w:rFonts w:ascii="Arial" w:cs="Arial" w:eastAsia="Arial" w:hAnsi="Arial"/>
                <w:sz w:val="14"/>
                <w:szCs w:val="14"/>
                <w:b w:val="1"/>
                <w:bCs w:val="1"/>
                <w:color w:val="4D4D4F"/>
              </w:rPr>
              <w:t>Ratification of PwC as Independent Registered Public Accounting Firm</w:t>
            </w:r>
          </w:p>
        </w:tc>
        <w:tc>
          <w:tcPr>
            <w:tcW w:w="3960" w:type="dxa"/>
            <w:vAlign w:val="bottom"/>
            <w:tcBorders>
              <w:bottom w:val="single" w:sz="8" w:color="298655"/>
            </w:tcBorders>
            <w:shd w:val="clear" w:color="auto" w:fill="EAEEF2"/>
          </w:tcPr>
          <w:p>
            <w:pPr>
              <w:ind w:left="1600"/>
              <w:spacing w:after="0"/>
              <w:rPr>
                <w:sz w:val="20"/>
                <w:szCs w:val="20"/>
                <w:color w:val="auto"/>
              </w:rPr>
            </w:pPr>
            <w:r>
              <w:rPr>
                <w:rFonts w:ascii="Arial" w:cs="Arial" w:eastAsia="Arial" w:hAnsi="Arial"/>
                <w:sz w:val="14"/>
                <w:szCs w:val="14"/>
                <w:color w:val="4D4D4F"/>
              </w:rPr>
              <w:t>Majority of the votes cast</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What is the effect of the advisory vote on Proposal 2?</w:t>
      </w:r>
    </w:p>
    <w:p>
      <w:pPr>
        <w:spacing w:after="0" w:line="139" w:lineRule="exact"/>
        <w:rPr>
          <w:sz w:val="20"/>
          <w:szCs w:val="20"/>
          <w:color w:val="auto"/>
        </w:rPr>
      </w:pPr>
    </w:p>
    <w:p>
      <w:pPr>
        <w:spacing w:after="0" w:line="295" w:lineRule="auto"/>
        <w:rPr>
          <w:sz w:val="20"/>
          <w:szCs w:val="20"/>
          <w:color w:val="auto"/>
        </w:rPr>
      </w:pPr>
      <w:r>
        <w:rPr>
          <w:rFonts w:ascii="Arial" w:cs="Arial" w:eastAsia="Arial" w:hAnsi="Arial"/>
          <w:sz w:val="16"/>
          <w:szCs w:val="16"/>
          <w:color w:val="4D4D4F"/>
        </w:rPr>
        <w:t>Proposal 2 is an advisory vote. This means that while we ask shareholders to approve the resolution regarding the advisory vote on executive compensation, this is not an action that requires shareholder approval. If a majority of votes are cast “FOR” the advisory vote on executive compensation, we will consider the proposal to be approved. Although the vote on Proposal 2 is non-binding, our Board and the Compensation Committee will review the result of the vote and take it into account in making determinations concerning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How will my proxy holder vote?</w:t>
      </w:r>
    </w:p>
    <w:p>
      <w:pPr>
        <w:spacing w:after="0" w:line="126"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4D4D4F"/>
        </w:rPr>
        <w:t>The enclosed proxy designates Michael J. Kasbar, our Chairman and Ira M. Birns, our Chief Financial Officer to hold your proxy and vote your shares. Messrs. Kasbar and Birns will vote all shares of our common stock represented by properly executed proxies received in time for the Annual Meeting in the manner specified by the holders of those shares. Messrs. Kasbar and Birns intend to vote returned proxies that are properly executed by the record holder but that otherwise do not contain voting instructions as follows: “FOR” each director nominee in Proposal 1 and “FOR” Proposals 2 and 3.</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What happens if additional matters are presented at the Annual Meeting?</w:t>
      </w:r>
    </w:p>
    <w:p>
      <w:pPr>
        <w:spacing w:after="0" w:line="12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4D4D4F"/>
        </w:rPr>
        <w:t>Other than the items of business described above, we are not aware of any other business to be acted upon at the Annual Meeting. If you grant a proxy to the proxy holders named in the attached proxy card, such persons will vote in accordance with the recommendation of our Board, “FOR” or “AGAINST” such 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Can I revoke my vote after I have voted?</w:t>
      </w:r>
    </w:p>
    <w:p>
      <w:pPr>
        <w:spacing w:after="0" w:line="13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4D4D4F"/>
        </w:rPr>
        <w:t>Voting by telephone, over the Internet or by mailing a proxy card does not preclude a shareholder from voting during the Annual Meeting. A shareholder may revoke a proxy, whether submitted via telephone, the Internet or mail, at any time prior to its exercise by (i) filing a duly executed revocation of proxy with our Corporate Secretary, (ii) properly submitting, either by telephone, mail or Internet, a proxy to our Corporate Secretary bearing a later date or (iii) attending the Annual Meeting and voting when prompted during the meeting. Attendance at the meeting will not itself constitute revocation of a proxy.</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What do I need to bring with me in order to attend the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4D4D4F"/>
        </w:rPr>
        <w:t>If you are a shareholder of record, you will need to bring with you to the Annual Meeting any proxy card that is sent to you and a valid photo identification.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D4D4F"/>
        </w:rPr>
        <w:t>Otherwise, you will be admitted only upon other verification of record ownership at the admission counter.</w:t>
      </w:r>
    </w:p>
    <w:p>
      <w:pPr>
        <w:spacing w:after="0" w:line="19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4D4D4F"/>
        </w:rPr>
        <w:t>If you are the beneficial owner of shares held in street name, bring with you to the Annual Meeting your most recent brokerage statement or a letter from your bank, broker, trustee, agent or other record holder indicating that you beneficially owned shares of our common stock on April 11, 2024 and valid photo identification. We can use that to verify your beneficial ownership of common stock and admit you to the Annual Meeting. If you intend to vote at the Annual Meeting, you also will need to bring to the Annual Meeting a legal proxy from your bank, broker, trustee, agent or other holder of record that authorizes you to vote the shares that the record holder holds for you in its name.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Where can I find voting results of the Annual Meeting?</w:t>
      </w:r>
    </w:p>
    <w:p>
      <w:pPr>
        <w:spacing w:after="0" w:line="126"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4D4D4F"/>
        </w:rPr>
        <w:t>We will announce the results for the proposals voted upon at the Annual Meeting and publish final detailed voting results in a Form 8-K filed with the SEC within four business days after the Annual Meeting.</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132440"/>
        </w:rPr>
        <w:t>Who should I call with other questions?</w:t>
      </w:r>
    </w:p>
    <w:p>
      <w:pPr>
        <w:spacing w:after="0" w:line="139"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4D4D4F"/>
        </w:rPr>
        <w:t>If you have additional questions about this proxy statement or the Annual Meeting or would like additional copies of this proxy statement or our Annual Report, please contact: World Kinect Corporation at 9800 Northwest 41st Street, Miami, Florida 33178, Attention: Corporate Secretary, Telephone: (305) 428-8000.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87</w:t>
            </w:r>
          </w:p>
        </w:tc>
      </w:tr>
      <w:tr>
        <w:trPr>
          <w:trHeight w:val="225"/>
        </w:trPr>
        <w:tc>
          <w:tcPr>
            <w:tcW w:w="108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90" w:name="page91"/>
    <w:bookmarkEnd w:id="90"/>
    <w:p>
      <w:pPr>
        <w:ind w:left="20"/>
        <w:spacing w:after="0"/>
        <w:rPr>
          <w:sz w:val="20"/>
          <w:szCs w:val="20"/>
          <w:color w:val="auto"/>
        </w:rPr>
      </w:pPr>
      <w:r>
        <w:rPr>
          <w:rFonts w:ascii="Arial" w:cs="Arial" w:eastAsia="Arial" w:hAnsi="Arial"/>
          <w:sz w:val="54"/>
          <w:szCs w:val="54"/>
          <w:b w:val="1"/>
          <w:bCs w:val="1"/>
          <w:color w:val="01549C"/>
        </w:rPr>
        <w:drawing>
          <wp:anchor simplePos="0" relativeHeight="251657728" behindDoc="1" locked="0" layoutInCell="0" allowOverlap="1">
            <wp:simplePos x="0" y="0"/>
            <wp:positionH relativeFrom="page">
              <wp:posOffset>6080125</wp:posOffset>
            </wp:positionH>
            <wp:positionV relativeFrom="page">
              <wp:posOffset>620395</wp:posOffset>
            </wp:positionV>
            <wp:extent cx="1157605" cy="6172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17220"/>
                    </a:xfrm>
                    <a:prstGeom prst="rect">
                      <a:avLst/>
                    </a:prstGeom>
                    <a:noFill/>
                  </pic:spPr>
                </pic:pic>
              </a:graphicData>
            </a:graphic>
          </wp:anchor>
        </w:drawing>
        <w:t>Other Matters</w:t>
      </w: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Delinquent Section 16(a) Reports</w:t>
      </w:r>
    </w:p>
    <w:p>
      <w:pPr>
        <w:spacing w:after="0" w:line="14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4D4D4F"/>
        </w:rPr>
        <w:t>Section 16(a) of the Exchange Act requires our directors and certain officers, and persons who own more than 10% of our common stock, to file with the SEC reports of ownership and changes in ownership of our common stock and other equity securities. Based on a review of our records and certain written representations received from our executive officers and directors, we believe that all required filings during the year ended December 31, 2023 were made on a timely basis.</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Shareholder Proposals for the 2025 Annual Meeting</w:t>
      </w:r>
    </w:p>
    <w:p>
      <w:pPr>
        <w:spacing w:after="0" w:line="15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4D4D4F"/>
        </w:rPr>
        <w:t xml:space="preserve">Proposals for Inclusion in the Proxy Statement. </w:t>
      </w:r>
      <w:r>
        <w:rPr>
          <w:rFonts w:ascii="Arial" w:cs="Arial" w:eastAsia="Arial" w:hAnsi="Arial"/>
          <w:sz w:val="16"/>
          <w:szCs w:val="16"/>
          <w:color w:val="4D4D4F"/>
        </w:rPr>
        <w:t>The date by which shareholder proposals must be received by us for inclusion in proxy materials relating</w:t>
      </w:r>
      <w:r>
        <w:rPr>
          <w:rFonts w:ascii="Arial" w:cs="Arial" w:eastAsia="Arial" w:hAnsi="Arial"/>
          <w:sz w:val="16"/>
          <w:szCs w:val="16"/>
          <w:b w:val="1"/>
          <w:bCs w:val="1"/>
          <w:color w:val="4D4D4F"/>
        </w:rPr>
        <w:t xml:space="preserve"> </w:t>
      </w:r>
      <w:r>
        <w:rPr>
          <w:rFonts w:ascii="Arial" w:cs="Arial" w:eastAsia="Arial" w:hAnsi="Arial"/>
          <w:sz w:val="16"/>
          <w:szCs w:val="16"/>
          <w:color w:val="4D4D4F"/>
        </w:rPr>
        <w:t>to the 2025 annual meeting of shareholders, or the “2025 Annual Meeting,” is December 27, 2024. Upon receipt of any such proposal, we will determine whether or not to include such proposal in the proxy materials in accordance with SEC regulations governing the solicitation of proxies.</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4D4D4F"/>
        </w:rPr>
        <w:t xml:space="preserve">Proposals not Included in the Proxy Statement and Nominations for Director. </w:t>
      </w:r>
      <w:r>
        <w:rPr>
          <w:rFonts w:ascii="Arial" w:cs="Arial" w:eastAsia="Arial" w:hAnsi="Arial"/>
          <w:sz w:val="16"/>
          <w:szCs w:val="16"/>
          <w:color w:val="4D4D4F"/>
        </w:rPr>
        <w:t>Shareholder proposals not included in our proxy statement and</w:t>
      </w:r>
      <w:r>
        <w:rPr>
          <w:rFonts w:ascii="Arial" w:cs="Arial" w:eastAsia="Arial" w:hAnsi="Arial"/>
          <w:sz w:val="16"/>
          <w:szCs w:val="16"/>
          <w:b w:val="1"/>
          <w:bCs w:val="1"/>
          <w:color w:val="4D4D4F"/>
        </w:rPr>
        <w:t xml:space="preserve"> </w:t>
      </w:r>
      <w:r>
        <w:rPr>
          <w:rFonts w:ascii="Arial" w:cs="Arial" w:eastAsia="Arial" w:hAnsi="Arial"/>
          <w:sz w:val="16"/>
          <w:szCs w:val="16"/>
          <w:color w:val="4D4D4F"/>
        </w:rPr>
        <w:t>shareholder nominations for director may be brought before an annual meeting of shareholders in accordance with the advance notice procedures described in our By-Laws. In general, notice must be received by the Corporate Secretary not less than 90 days nor more than 120 days prior to the anniversary date of the immediately preceding annual meeting (i.e., June 6, 2025) and must contain specified information concerning the matters to be brought before such meeting and concerning the shareholder proposing such matters. For the 2025 Annual Meeting, the Corporate Secretary must receive notice of the proposal on or after the close of business on February 6, 2025 and no later than the close of business on March 8, 2025.</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16"/>
          <w:szCs w:val="16"/>
          <w:color w:val="4D4D4F"/>
        </w:rPr>
        <w:t>Shareholder proposals must be in proper written form and must meet the detailed disclosure requirements set forth in our By-Laws, including a description of the proposal, the relationship between the proposing shareholder and the underlying beneficial owner, if any, and such parties’ stock holdings and derivative positions in our securities. Our By-Laws require that shareholder proposals concerning nomination of directors provide additional disclosure, including information we deem appropriate to ascertain the nominee’s qualifications to serve on the Board, disclosure of compensation arrangements between the nominee, the nominating shareholder and the underlying beneficial owner, if any, and other information required to comply with the proxy rules and applicable law.</w:t>
      </w:r>
    </w:p>
    <w:p>
      <w:pPr>
        <w:spacing w:after="0" w:line="129"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4D4D4F"/>
        </w:rPr>
        <w:t>The specific requirements of these advance notice provisions are set forth in Article I, Sections 6 and 7 of our By-Laws, a copy of which is available upon request. In addition to satisfying the notice requirements under our By-Laws, to comply with the universal proxy rules, shareholders who intend to solicit proxies in support of director nominees, other than our nominees, must provide us a notice within the same timeframes set forth about that sets forth the additional information required by Rule 14a-19(b)(2) and Rule 14a-19(b)(3) of the Exchange Act.</w:t>
      </w:r>
    </w:p>
    <w:p>
      <w:pPr>
        <w:spacing w:after="0" w:line="121"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4D4D4F"/>
        </w:rPr>
        <w:t>Any shareholder proposals or director nominations and any request pursuant to Rule 14a-19 should be sent to our Corporate Secretary at our principal executive offices.</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List of Shareholders Entitled to Vote at the Annual Meeting</w:t>
      </w:r>
    </w:p>
    <w:p>
      <w:pPr>
        <w:spacing w:after="0" w:line="155"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4D4D4F"/>
        </w:rPr>
        <w:t>The names of shareholders of record entitled to vote at the Annual Meeting will be available at our corporate office for a period of 10 days prior to the Annual Meeting and continuing through the Annual Meeting.</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Expenses Relating to this Proxy Solicitation</w:t>
      </w:r>
    </w:p>
    <w:p>
      <w:pPr>
        <w:spacing w:after="0" w:line="14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4D4D4F"/>
        </w:rPr>
        <w:t>We will bear the cost of the solicitation of proxies from our shareholders, including preparing, printing and mailing the Notice and this proxy statement. In addition to solicitations by mail, our directors, officers and employees, and those of our subsidiaries and affiliates, may solicit proxies from shareholders by telephone or other electronic means or in person, but will receive no additional compensation for soliciting such proxies. We will cause banks and brokerage firms and other custodians, nominees and fiduciaries to forward solicitation materials to the beneficial owners of our common stock held of record by such banks, brokerage firms, custodians, nominees and fiduciaries. We may reimburse such banks, brokerage firms, custodians, nominees and fiduciaries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0" w:hanging="534"/>
        <w:spacing w:after="0"/>
        <w:tabs>
          <w:tab w:leader="none" w:pos="560" w:val="left"/>
        </w:tabs>
        <w:numPr>
          <w:ilvl w:val="0"/>
          <w:numId w:val="130"/>
        </w:numPr>
        <w:rPr>
          <w:rFonts w:ascii="Arial" w:cs="Arial" w:eastAsia="Arial" w:hAnsi="Arial"/>
          <w:sz w:val="14"/>
          <w:szCs w:val="14"/>
          <w:b w:val="1"/>
          <w:bCs w:val="1"/>
          <w:color w:val="00529B"/>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91" w:name="page92"/>
    <w:bookmarkEnd w:id="91"/>
    <w:p>
      <w:pPr>
        <w:ind w:left="20"/>
        <w:spacing w:after="0"/>
        <w:rPr>
          <w:sz w:val="20"/>
          <w:szCs w:val="20"/>
          <w:color w:val="auto"/>
        </w:rPr>
      </w:pPr>
      <w:r>
        <w:rPr>
          <w:rFonts w:ascii="Arial" w:cs="Arial" w:eastAsia="Arial" w:hAnsi="Arial"/>
          <w:sz w:val="14"/>
          <w:szCs w:val="14"/>
          <w:b w:val="1"/>
          <w:bCs w:val="1"/>
          <w:color w:val="5B6770"/>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4D4D4F"/>
        </w:rPr>
        <w:t>their reasonable out-of-pocket expenses in doing so. We may also retain the services of a solicitor to assist in soliciting proxies and pay them a fee as well as other costs and expenses.</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Communication with our Board</w:t>
      </w:r>
    </w:p>
    <w:p>
      <w:pPr>
        <w:spacing w:after="0" w:line="15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4D4D4F"/>
        </w:rPr>
        <w:t>Any interested party can contact our Board, any Board committee, our presiding director, our Lead Independent Director, the non-management directors as a group or any individual director by (i) writing to any of them, c/o Corporate Secretary, at our principal office at 9800 Northwest 41st Street, Miami, Florida 33178, (ii) calling the WKC Anonymous Compliance Hotline at 1-888-549-0965 (US toll-free) or at any of the other country-specific toll-free numbers found at www.wfscompliance.com or (iii) submitting a report or request online using the intake portal found at www.wfscompliance.com. Such communications may be submitted on an anonymous or confidential basis. Any relevant communications received from interested parties in the manner described above will be collected and organized by our Corporate Secretary and will be periodically, but in any event prior to each regularly-scheduled Board meeting, reported and/or delivered to the appropriate director or directors.</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Available Information</w:t>
      </w:r>
    </w:p>
    <w:p>
      <w:pPr>
        <w:spacing w:after="0" w:line="15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4D4D4F"/>
        </w:rPr>
        <w:t>We maintain an Internet website at world-kinect.com. Copies of the committee charters of each of the Audit Committee, Compensation Committee, Governance Committee, Sustainability &amp; Corporate Responsibility Committee and Technology &amp; Operations Committee, together with other corporate governance materials, such as our Corporate Governance Principles and Code of Conduct, can be found on our website at world-kinect.com by clicking on Investor Relations and then Corporate Governance, and such information is also available in print to any shareholder who requests it by writing to our Corporate Secretary at the address below.</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4D4D4F"/>
        </w:rPr>
        <w:t>We will furnish without charge to each person whose proxy is being solicited, upon request of any such person, a copy of our 2023 Annual Report on Form 10-K as filed with the SEC, including the financial statements and schedules thereto. In addition, such report is available, free of charge, on our website at world-kinect.com by clicking on Investor Relations and then Corporate Governance. You should direct a request for a copy of these materials to World Kinect Corporation, 9800 Northwest 41st Street, Miami, Florida 33178, Attention: Investor Relations. We will forward you a copy of any exhibit to the 2023 Annual Report on Form 10-K when you send a written request to Investor Relations.</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Electronic Delivery</w:t>
      </w:r>
    </w:p>
    <w:p>
      <w:pPr>
        <w:spacing w:after="0" w:line="14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4D4D4F"/>
        </w:rPr>
        <w:t>Pursuant to rules adopted by the SEC, we are furnishing our proxy materials to our shareholders over the Internet and providing a Notice of Internet Availability of Proxy Materials by mail instead of mailing a printed copy of our proxy materials, which include our proxy statement and Annual Report. This process has allowed us to expedite our shareholders’ receipt of proxy materials, lower the costs of distribution and reduce the environmental impact of our Annual Meeting. All shareholders receiving the Notice will have the ability to access the proxy materials over the Internet and receive a paper copy of the proxy materials by mail at no charge upon request.</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b w:val="1"/>
          <w:bCs w:val="1"/>
          <w:color w:val="132440"/>
        </w:rPr>
        <w:t>Householding</w:t>
      </w:r>
    </w:p>
    <w:p>
      <w:pPr>
        <w:spacing w:after="0" w:line="15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4D4D4F"/>
        </w:rPr>
        <w:t>We have adopted a procedure approved by the SEC called “householding.” Under this procedure, shareholders of record who have the same address and last name will receive only one copy of our Notice, unless one or more of these shareholders notifies us that they wish to continue receiving individual copies. This procedure will reduce our printing costs and postage fees.</w:t>
      </w:r>
    </w:p>
    <w:p>
      <w:pPr>
        <w:spacing w:after="0" w:line="118"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4D4D4F"/>
        </w:rPr>
        <w:t>If you are eligible for householding, but you and other shareholders of record with whom you share an address currently receive multiple copies of the Notice, or if you hold stock in more than one account, and in either case you wish to receive only a single copy of the Notice for your household, please contact our transfer agent, EQ Shareowner Services (in writing: P.O. Box 64854, St. Paul, MN 55164-0854, or by telephone: (800) 468-9716 or (651) 450-4064).</w:t>
      </w:r>
    </w:p>
    <w:p>
      <w:pPr>
        <w:spacing w:after="0" w:line="12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4D4D4F"/>
        </w:rPr>
        <w:t>If you participate in householding and wish to receive a separate copy of the Notice, or if you do not wish to participate in householding and prefer to receive separate copies of the Notice in the future, please contact EQ Shareowner Services as indicated above. Beneficial shareholders can request information about householding from their broker, bank, trustee, agent or other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8340"/>
              <w:spacing w:after="0"/>
              <w:rPr>
                <w:sz w:val="20"/>
                <w:szCs w:val="20"/>
                <w:color w:val="auto"/>
              </w:rPr>
            </w:pPr>
            <w:r>
              <w:rPr>
                <w:rFonts w:ascii="Arial" w:cs="Arial" w:eastAsia="Arial" w:hAnsi="Arial"/>
                <w:sz w:val="14"/>
                <w:szCs w:val="14"/>
                <w:b w:val="1"/>
                <w:bCs w:val="1"/>
                <w:color w:val="00529B"/>
              </w:rPr>
              <w:t xml:space="preserve">World Kinect </w:t>
            </w:r>
            <w:r>
              <w:rPr>
                <w:rFonts w:ascii="Arial" w:cs="Arial" w:eastAsia="Arial" w:hAnsi="Arial"/>
                <w:sz w:val="14"/>
                <w:szCs w:val="14"/>
                <w:color w:val="00529B"/>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529B"/>
              </w:rPr>
              <w:t>89</w:t>
            </w:r>
          </w:p>
        </w:tc>
      </w:tr>
      <w:tr>
        <w:trPr>
          <w:trHeight w:val="211"/>
        </w:trPr>
        <w:tc>
          <w:tcPr>
            <w:tcW w:w="108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color w:val="5B6770"/>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32385</wp:posOffset>
            </wp:positionV>
            <wp:extent cx="7157720" cy="90652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9065260"/>
                    </a:xfrm>
                    <a:prstGeom prst="rect">
                      <a:avLst/>
                    </a:prstGeom>
                    <a:noFill/>
                  </pic:spPr>
                </pic:pic>
              </a:graphicData>
            </a:graphic>
          </wp:anchor>
        </w:drawing>
      </w:r>
    </w:p>
    <w:p>
      <w:pPr>
        <w:sectPr>
          <w:pgSz w:w="11900" w:h="16838" w:orient="portrait"/>
          <w:cols w:equalWidth="0" w:num="1">
            <w:col w:w="10119"/>
          </w:cols>
          <w:pgMar w:left="340" w:top="279" w:right="1440" w:bottom="1440"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109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891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1"/>
      <w:numFmt w:val="bullet"/>
      <w:start w:val="1"/>
    </w:lvl>
  </w:abstractNum>
  <w:abstractNum w:abstractNumId="4">
    <w:nsid w:val="1381823A"/>
    <w:multiLevelType w:val="hybridMultilevel"/>
    <w:lvl w:ilvl="0">
      <w:lvlJc w:val="left"/>
      <w:lvlText w:val="2"/>
      <w:numFmt w:val="bullet"/>
      <w:start w:val="1"/>
    </w:lvl>
  </w:abstractNum>
  <w:abstractNum w:abstractNumId="5">
    <w:nsid w:val="5DB70AE5"/>
    <w:multiLevelType w:val="hybridMultilevel"/>
    <w:lvl w:ilvl="0">
      <w:lvlJc w:val="left"/>
      <w:lvlText w:val="3"/>
      <w:numFmt w:val="bullet"/>
      <w:start w:val="1"/>
    </w:lvl>
  </w:abstractNum>
  <w:abstractNum w:abstractNumId="6">
    <w:nsid w:val="100F8FCA"/>
    <w:multiLevelType w:val="hybridMultilevel"/>
    <w:lvl w:ilvl="0">
      <w:lvlJc w:val="left"/>
      <w:lvlText w:val="2"/>
      <w:numFmt w:val="bullet"/>
      <w:start w:val="1"/>
    </w:lvl>
  </w:abstractNum>
  <w:abstractNum w:abstractNumId="7">
    <w:nsid w:val="6590700B"/>
    <w:multiLevelType w:val="hybridMultilevel"/>
    <w:lvl w:ilvl="0">
      <w:lvlJc w:val="left"/>
      <w:lvlText w:val="3"/>
      <w:numFmt w:val="bullet"/>
      <w:start w:val="1"/>
    </w:lvl>
  </w:abstractNum>
  <w:abstractNum w:abstractNumId="8">
    <w:nsid w:val="15014ACB"/>
    <w:multiLevelType w:val="hybridMultilevel"/>
    <w:lvl w:ilvl="0">
      <w:lvlJc w:val="left"/>
      <w:lvlText w:val="4"/>
      <w:numFmt w:val="bullet"/>
      <w:start w:val="1"/>
    </w:lvl>
  </w:abstractNum>
  <w:abstractNum w:abstractNumId="9">
    <w:nsid w:val="5F5E7FD0"/>
    <w:multiLevelType w:val="hybridMultilevel"/>
    <w:lvl w:ilvl="0">
      <w:lvlJc w:val="left"/>
      <w:lvlText w:val="%1."/>
      <w:numFmt w:val="decimal"/>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6"/>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8"/>
      <w:numFmt w:val="bullet"/>
      <w:start w:val="1"/>
    </w:lvl>
  </w:abstractNum>
  <w:abstractNum w:abstractNumId="19">
    <w:nsid w:val="7BD3EE7B"/>
    <w:multiLevelType w:val="hybridMultilevel"/>
    <w:lvl w:ilvl="0">
      <w:lvlJc w:val="left"/>
      <w:lvlText w:val="•"/>
      <w:numFmt w:val="bullet"/>
      <w:start w:val="1"/>
    </w:lvl>
    <w:lvl w:ilvl="1">
      <w:lvlJc w:val="left"/>
      <w:lvlText w:val="◦"/>
      <w:numFmt w:val="bullet"/>
      <w:start w:val="1"/>
    </w:lvl>
  </w:abstractNum>
  <w:abstractNum w:abstractNumId="20">
    <w:nsid w:val="51D9C564"/>
    <w:multiLevelType w:val="hybridMultilevel"/>
    <w:lvl w:ilvl="0">
      <w:lvlJc w:val="left"/>
      <w:lvlText w:val="%1."/>
      <w:numFmt w:val="decimal"/>
      <w:start w:val="1"/>
    </w:lvl>
  </w:abstractNum>
  <w:abstractNum w:abstractNumId="21">
    <w:nsid w:val="613EFDC5"/>
    <w:multiLevelType w:val="hybridMultilevel"/>
    <w:lvl w:ilvl="0">
      <w:lvlJc w:val="left"/>
      <w:lvlText w:val="1"/>
      <w:numFmt w:val="bullet"/>
      <w:start w:val="1"/>
    </w:lvl>
  </w:abstractNum>
  <w:abstractNum w:abstractNumId="22">
    <w:nsid w:val="BF72B14"/>
    <w:multiLevelType w:val="hybridMultilevel"/>
    <w:lvl w:ilvl="0">
      <w:lvlJc w:val="left"/>
      <w:lvlText w:val="%1"/>
      <w:numFmt w:val="decimal"/>
      <w:start w:val="10"/>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1"/>
      <w:numFmt w:val="decimal"/>
      <w:start w:val="12"/>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1"/>
      <w:numFmt w:val="decimal"/>
      <w:start w:val="14"/>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1"/>
      <w:numFmt w:val="decimal"/>
      <w:start w:val="16"/>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1"/>
      <w:numFmt w:val="decimal"/>
      <w:start w:val="18"/>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1"/>
      <w:numFmt w:val="decimal"/>
      <w:start w:val="20"/>
    </w:lvl>
  </w:abstractNum>
  <w:abstractNum w:abstractNumId="42">
    <w:nsid w:val="885E1B"/>
    <w:multiLevelType w:val="hybridMultilevel"/>
    <w:lvl w:ilvl="0">
      <w:lvlJc w:val="left"/>
      <w:lvlText w:val="%1"/>
      <w:numFmt w:val="decimal"/>
      <w:start w:val="22"/>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1"/>
      <w:numFmt w:val="decimal"/>
      <w:start w:val="24"/>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1"/>
      <w:numFmt w:val="decimal"/>
      <w:start w:val="26"/>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1"/>
      <w:numFmt w:val="decimal"/>
      <w:start w:val="28"/>
    </w:lvl>
  </w:abstractNum>
  <w:abstractNum w:abstractNumId="54">
    <w:nsid w:val="57FC4FBB"/>
    <w:multiLevelType w:val="hybridMultilevel"/>
    <w:lvl w:ilvl="0">
      <w:lvlJc w:val="left"/>
      <w:lvlText w:val="%1"/>
      <w:numFmt w:val="decimal"/>
      <w:start w:val="30"/>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1"/>
      <w:numFmt w:val="decimal"/>
      <w:start w:val="32"/>
    </w:lvl>
  </w:abstractNum>
  <w:abstractNum w:abstractNumId="57">
    <w:nsid w:val="60EF0119"/>
    <w:multiLevelType w:val="hybridMultilevel"/>
    <w:lvl w:ilvl="0">
      <w:lvlJc w:val="left"/>
      <w:lvlText w:val="%1"/>
      <w:numFmt w:val="decimal"/>
      <w:start w:val="34"/>
    </w:lvl>
  </w:abstractNum>
  <w:abstractNum w:abstractNumId="58">
    <w:nsid w:val="26F324BA"/>
    <w:multiLevelType w:val="hybridMultilevel"/>
    <w:lvl w:ilvl="0">
      <w:lvlJc w:val="left"/>
      <w:lvlText w:val="•"/>
      <w:numFmt w:val="bullet"/>
      <w:start w:val="1"/>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1"/>
      <w:numFmt w:val="decimal"/>
      <w:start w:val="36"/>
    </w:lvl>
  </w:abstractNum>
  <w:abstractNum w:abstractNumId="61">
    <w:nsid w:val="7055A5F5"/>
    <w:multiLevelType w:val="hybridMultilevel"/>
    <w:lvl w:ilvl="0">
      <w:lvlJc w:val="left"/>
      <w:lvlText w:val="%1"/>
      <w:numFmt w:val="decimal"/>
      <w:start w:val="38"/>
    </w:lvl>
  </w:abstractNum>
  <w:abstractNum w:abstractNumId="62">
    <w:nsid w:val="5FB8370B"/>
    <w:multiLevelType w:val="hybridMultilevel"/>
    <w:lvl w:ilvl="0">
      <w:lvlJc w:val="left"/>
      <w:lvlText w:val="•"/>
      <w:numFmt w:val="bullet"/>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1"/>
      <w:numFmt w:val="decimal"/>
      <w:start w:val="40"/>
    </w:lvl>
  </w:abstractNum>
  <w:abstractNum w:abstractNumId="65">
    <w:nsid w:val="5FB8011C"/>
    <w:multiLevelType w:val="hybridMultilevel"/>
    <w:lvl w:ilvl="0">
      <w:lvlJc w:val="left"/>
      <w:lvlText w:val="•"/>
      <w:numFmt w:val="bullet"/>
      <w:start w:val="1"/>
    </w:lvl>
  </w:abstractNum>
  <w:abstractNum w:abstractNumId="66">
    <w:nsid w:val="6AA78F7F"/>
    <w:multiLevelType w:val="hybridMultilevel"/>
    <w:lvl w:ilvl="0">
      <w:lvlJc w:val="left"/>
      <w:lvlText w:val="%1."/>
      <w:numFmt w:val="decimal"/>
      <w:start w:val="1"/>
    </w:lvl>
  </w:abstractNum>
  <w:abstractNum w:abstractNumId="67">
    <w:nsid w:val="7672BD23"/>
    <w:multiLevelType w:val="hybridMultilevel"/>
    <w:lvl w:ilvl="0">
      <w:lvlJc w:val="left"/>
      <w:lvlText w:val="%1."/>
      <w:numFmt w:val="lowerLetter"/>
      <w:start w:val="1"/>
    </w:lvl>
  </w:abstractNum>
  <w:abstractNum w:abstractNumId="68">
    <w:nsid w:val="6FC75AF8"/>
    <w:multiLevelType w:val="hybridMultilevel"/>
    <w:lvl w:ilvl="0">
      <w:lvlJc w:val="left"/>
      <w:lvlText w:val="%1"/>
      <w:numFmt w:val="decimal"/>
      <w:start w:val="42"/>
    </w:lvl>
  </w:abstractNum>
  <w:abstractNum w:abstractNumId="69">
    <w:nsid w:val="6A5F7029"/>
    <w:multiLevelType w:val="hybridMultilevel"/>
    <w:lvl w:ilvl="0">
      <w:lvlJc w:val="left"/>
      <w:lvlText w:val="%1."/>
      <w:numFmt w:val="decimal"/>
      <w:start w:val="1"/>
    </w:lvl>
  </w:abstractNum>
  <w:abstractNum w:abstractNumId="70">
    <w:nsid w:val="7D5E18F8"/>
    <w:multiLevelType w:val="hybridMultilevel"/>
    <w:lvl w:ilvl="0">
      <w:lvlJc w:val="left"/>
      <w:lvlText w:val="%1."/>
      <w:numFmt w:val="decimal"/>
      <w:start w:val="1"/>
    </w:lvl>
  </w:abstractNum>
  <w:abstractNum w:abstractNumId="71">
    <w:nsid w:val="5F3534A4"/>
    <w:multiLevelType w:val="hybridMultilevel"/>
    <w:lvl w:ilvl="0">
      <w:lvlJc w:val="left"/>
      <w:lvlText w:val="%1"/>
      <w:numFmt w:val="decimal"/>
      <w:start w:val="44"/>
    </w:lvl>
  </w:abstractNum>
  <w:abstractNum w:abstractNumId="72">
    <w:nsid w:val="73A1821B"/>
    <w:multiLevelType w:val="hybridMultilevel"/>
    <w:lvl w:ilvl="0">
      <w:lvlJc w:val="left"/>
      <w:lvlText w:val="%1."/>
      <w:numFmt w:val="decimal"/>
      <w:start w:val="3"/>
    </w:lvl>
  </w:abstractNum>
  <w:abstractNum w:abstractNumId="73">
    <w:nsid w:val="7DE67713"/>
    <w:multiLevelType w:val="hybridMultilevel"/>
    <w:lvl w:ilvl="0">
      <w:lvlJc w:val="left"/>
      <w:lvlText w:val="%1"/>
      <w:numFmt w:val="decimal"/>
      <w:start w:val="46"/>
    </w:lvl>
  </w:abstractNum>
  <w:abstractNum w:abstractNumId="74">
    <w:nsid w:val="555C55B5"/>
    <w:multiLevelType w:val="hybridMultilevel"/>
    <w:lvl w:ilvl="0">
      <w:lvlJc w:val="left"/>
      <w:lvlText w:val="•"/>
      <w:numFmt w:val="bullet"/>
      <w:start w:val="1"/>
    </w:lvl>
  </w:abstractNum>
  <w:abstractNum w:abstractNumId="75">
    <w:nsid w:val="3FA62ACA"/>
    <w:multiLevelType w:val="hybridMultilevel"/>
    <w:lvl w:ilvl="0">
      <w:lvlJc w:val="left"/>
      <w:lvlText w:val="%1"/>
      <w:numFmt w:val="decimal"/>
      <w:start w:val="48"/>
    </w:lvl>
  </w:abstractNum>
  <w:abstractNum w:abstractNumId="76">
    <w:nsid w:val="14FCE74E"/>
    <w:multiLevelType w:val="hybridMultilevel"/>
    <w:lvl w:ilvl="0">
      <w:lvlJc w:val="left"/>
      <w:lvlText w:val="•"/>
      <w:numFmt w:val="bullet"/>
      <w:start w:val="1"/>
    </w:lvl>
  </w:abstractNum>
  <w:abstractNum w:abstractNumId="77">
    <w:nsid w:val="6A3DD3E8"/>
    <w:multiLevelType w:val="hybridMultilevel"/>
    <w:lvl w:ilvl="0">
      <w:lvlJc w:val="left"/>
      <w:lvlText w:val="%1."/>
      <w:numFmt w:val="decimal"/>
      <w:start w:val="1"/>
    </w:lvl>
  </w:abstractNum>
  <w:abstractNum w:abstractNumId="78">
    <w:nsid w:val="71C91298"/>
    <w:multiLevelType w:val="hybridMultilevel"/>
    <w:lvl w:ilvl="0">
      <w:lvlJc w:val="left"/>
      <w:lvlText w:val="%1"/>
      <w:numFmt w:val="decimal"/>
      <w:start w:val="50"/>
    </w:lvl>
  </w:abstractNum>
  <w:abstractNum w:abstractNumId="79">
    <w:nsid w:val="9DAF632"/>
    <w:multiLevelType w:val="hybridMultilevel"/>
    <w:lvl w:ilvl="0">
      <w:lvlJc w:val="left"/>
      <w:lvlText w:val="(%1)"/>
      <w:numFmt w:val="decimal"/>
      <w:start w:val="2"/>
    </w:lvl>
  </w:abstractNum>
  <w:abstractNum w:abstractNumId="80">
    <w:nsid w:val="53299938"/>
    <w:multiLevelType w:val="hybridMultilevel"/>
    <w:lvl w:ilvl="0">
      <w:lvlJc w:val="left"/>
      <w:lvlText w:val="%1"/>
      <w:numFmt w:val="decimal"/>
      <w:start w:val="52"/>
    </w:lvl>
  </w:abstractNum>
  <w:abstractNum w:abstractNumId="81">
    <w:nsid w:val="1FBFE8E0"/>
    <w:multiLevelType w:val="hybridMultilevel"/>
    <w:lvl w:ilvl="0">
      <w:lvlJc w:val="left"/>
      <w:lvlText w:val="%1."/>
      <w:numFmt w:val="decimal"/>
      <w:start w:val="1"/>
    </w:lvl>
  </w:abstractNum>
  <w:abstractNum w:abstractNumId="82">
    <w:nsid w:val="5092CA79"/>
    <w:multiLevelType w:val="hybridMultilevel"/>
    <w:lvl w:ilvl="0">
      <w:lvlJc w:val="left"/>
      <w:lvlText w:val="%1."/>
      <w:numFmt w:val="decimal"/>
      <w:start w:val="2"/>
    </w:lvl>
  </w:abstractNum>
  <w:abstractNum w:abstractNumId="83">
    <w:nsid w:val="1D545C4D"/>
    <w:multiLevelType w:val="hybridMultilevel"/>
    <w:lvl w:ilvl="0">
      <w:lvlJc w:val="left"/>
      <w:lvlText w:val="%1."/>
      <w:numFmt w:val="decimal"/>
      <w:start w:val="4"/>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1."/>
      <w:numFmt w:val="decimal"/>
      <w:start w:val="5"/>
    </w:lvl>
  </w:abstractNum>
  <w:abstractNum w:abstractNumId="86">
    <w:nsid w:val="2A155DBC"/>
    <w:multiLevelType w:val="hybridMultilevel"/>
    <w:lvl w:ilvl="0">
      <w:lvlJc w:val="left"/>
      <w:lvlText w:val="•"/>
      <w:numFmt w:val="bullet"/>
      <w:start w:val="1"/>
    </w:lvl>
  </w:abstractNum>
  <w:abstractNum w:abstractNumId="87">
    <w:nsid w:val="1D9F6E5F"/>
    <w:multiLevelType w:val="hybridMultilevel"/>
    <w:lvl w:ilvl="0">
      <w:lvlJc w:val="left"/>
      <w:lvlText w:val="%1"/>
      <w:numFmt w:val="decimal"/>
      <w:start w:val="54"/>
    </w:lvl>
  </w:abstractNum>
  <w:abstractNum w:abstractNumId="88">
    <w:nsid w:val="97E1B4E"/>
    <w:multiLevelType w:val="hybridMultilevel"/>
    <w:lvl w:ilvl="0">
      <w:lvlJc w:val="left"/>
      <w:lvlText w:val="%1."/>
      <w:numFmt w:val="decimal"/>
      <w:start w:val="1"/>
    </w:lvl>
  </w:abstractNum>
  <w:abstractNum w:abstractNumId="89">
    <w:nsid w:val="51088277"/>
    <w:multiLevelType w:val="hybridMultilevel"/>
    <w:lvl w:ilvl="0">
      <w:lvlJc w:val="left"/>
      <w:lvlText w:val="%1"/>
      <w:numFmt w:val="decimal"/>
      <w:start w:val="56"/>
    </w:lvl>
  </w:abstractNum>
  <w:abstractNum w:abstractNumId="90">
    <w:nsid w:val="1CA0C5FA"/>
    <w:multiLevelType w:val="hybridMultilevel"/>
    <w:lvl w:ilvl="0">
      <w:lvlJc w:val="left"/>
      <w:lvlText w:val="%1"/>
      <w:numFmt w:val="decimal"/>
      <w:start w:val="58"/>
    </w:lvl>
  </w:abstractNum>
  <w:abstractNum w:abstractNumId="91">
    <w:nsid w:val="53584BCB"/>
    <w:multiLevelType w:val="hybridMultilevel"/>
    <w:lvl w:ilvl="0">
      <w:lvlJc w:val="left"/>
      <w:lvlText w:val="•"/>
      <w:numFmt w:val="bullet"/>
      <w:start w:val="1"/>
    </w:lvl>
  </w:abstractNum>
  <w:abstractNum w:abstractNumId="92">
    <w:nsid w:val="415E286C"/>
    <w:multiLevelType w:val="hybridMultilevel"/>
    <w:lvl w:ilvl="0">
      <w:lvlJc w:val="left"/>
      <w:lvlText w:val="•"/>
      <w:numFmt w:val="bullet"/>
      <w:start w:val="1"/>
    </w:lvl>
  </w:abstractNum>
  <w:abstractNum w:abstractNumId="93">
    <w:nsid w:val="7C58FD05"/>
    <w:multiLevelType w:val="hybridMultilevel"/>
    <w:lvl w:ilvl="0">
      <w:lvlJc w:val="left"/>
      <w:lvlText w:val="%1"/>
      <w:numFmt w:val="decimal"/>
      <w:start w:val="60"/>
    </w:lvl>
  </w:abstractNum>
  <w:abstractNum w:abstractNumId="94">
    <w:nsid w:val="23D86AAC"/>
    <w:multiLevelType w:val="hybridMultilevel"/>
    <w:lvl w:ilvl="0">
      <w:lvlJc w:val="left"/>
      <w:lvlText w:val="%1"/>
      <w:numFmt w:val="decimal"/>
      <w:start w:val="62"/>
    </w:lvl>
  </w:abstractNum>
  <w:abstractNum w:abstractNumId="95">
    <w:nsid w:val="45E6D486"/>
    <w:multiLevelType w:val="hybridMultilevel"/>
    <w:lvl w:ilvl="0">
      <w:lvlJc w:val="left"/>
      <w:lvlText w:val="%1."/>
      <w:numFmt w:val="decimal"/>
      <w:start w:val="1"/>
    </w:lvl>
  </w:abstractNum>
  <w:abstractNum w:abstractNumId="96">
    <w:nsid w:val="5C10FE21"/>
    <w:multiLevelType w:val="hybridMultilevel"/>
    <w:lvl w:ilvl="0">
      <w:lvlJc w:val="left"/>
      <w:lvlText w:val="%1"/>
      <w:numFmt w:val="decimal"/>
      <w:start w:val="64"/>
    </w:lvl>
  </w:abstractNum>
  <w:abstractNum w:abstractNumId="97">
    <w:nsid w:val="E7FFA2B"/>
    <w:multiLevelType w:val="hybridMultilevel"/>
    <w:lvl w:ilvl="0">
      <w:lvlJc w:val="left"/>
      <w:lvlText w:val="%1."/>
      <w:numFmt w:val="decimal"/>
      <w:start w:val="6"/>
    </w:lvl>
  </w:abstractNum>
  <w:abstractNum w:abstractNumId="98">
    <w:nsid w:val="3C5991AA"/>
    <w:multiLevelType w:val="hybridMultilevel"/>
    <w:lvl w:ilvl="0">
      <w:lvlJc w:val="left"/>
      <w:lvlText w:val="%1."/>
      <w:numFmt w:val="decimal"/>
      <w:start w:val="1"/>
    </w:lvl>
  </w:abstractNum>
  <w:abstractNum w:abstractNumId="99">
    <w:nsid w:val="4BD8591A"/>
    <w:multiLevelType w:val="hybridMultilevel"/>
    <w:lvl w:ilvl="0">
      <w:lvlJc w:val="left"/>
      <w:lvlText w:val="%1."/>
      <w:numFmt w:val="decimal"/>
      <w:start w:val="1"/>
    </w:lvl>
  </w:abstractNum>
  <w:abstractNum w:abstractNumId="100">
    <w:nsid w:val="78DF6A55"/>
    <w:multiLevelType w:val="hybridMultilevel"/>
    <w:lvl w:ilvl="0">
      <w:lvlJc w:val="left"/>
      <w:lvlText w:val="%1."/>
      <w:numFmt w:val="decimal"/>
      <w:start w:val="1"/>
    </w:lvl>
  </w:abstractNum>
  <w:abstractNum w:abstractNumId="101">
    <w:nsid w:val="39B7AAA2"/>
    <w:multiLevelType w:val="hybridMultilevel"/>
    <w:lvl w:ilvl="0">
      <w:lvlJc w:val="left"/>
      <w:lvlText w:val="%1"/>
      <w:numFmt w:val="decimal"/>
      <w:start w:val="66"/>
    </w:lvl>
  </w:abstractNum>
  <w:abstractNum w:abstractNumId="102">
    <w:nsid w:val="2B0D8DBE"/>
    <w:multiLevelType w:val="hybridMultilevel"/>
    <w:lvl w:ilvl="0">
      <w:lvlJc w:val="left"/>
      <w:lvlText w:val="%1."/>
      <w:numFmt w:val="decimal"/>
      <w:start w:val="1"/>
    </w:lvl>
  </w:abstractNum>
  <w:abstractNum w:abstractNumId="103">
    <w:nsid w:val="6C80EC70"/>
    <w:multiLevelType w:val="hybridMultilevel"/>
    <w:lvl w:ilvl="0">
      <w:lvlJc w:val="left"/>
      <w:lvlText w:val="%1."/>
      <w:numFmt w:val="decimal"/>
      <w:start w:val="1"/>
    </w:lvl>
  </w:abstractNum>
  <w:abstractNum w:abstractNumId="104">
    <w:nsid w:val="379E21B5"/>
    <w:multiLevelType w:val="hybridMultilevel"/>
    <w:lvl w:ilvl="0">
      <w:lvlJc w:val="left"/>
      <w:lvlText w:val="(%1)"/>
      <w:numFmt w:val="decimal"/>
      <w:start w:val="3"/>
    </w:lvl>
  </w:abstractNum>
  <w:abstractNum w:abstractNumId="105">
    <w:nsid w:val="69E373"/>
    <w:multiLevelType w:val="hybridMultilevel"/>
    <w:lvl w:ilvl="0">
      <w:lvlJc w:val="left"/>
      <w:lvlText w:val="%1"/>
      <w:numFmt w:val="decimal"/>
      <w:start w:val="68"/>
    </w:lvl>
  </w:abstractNum>
  <w:abstractNum w:abstractNumId="106">
    <w:nsid w:val="2C27173B"/>
    <w:multiLevelType w:val="hybridMultilevel"/>
    <w:lvl w:ilvl="0">
      <w:lvlJc w:val="left"/>
      <w:lvlText w:val="(%1)"/>
      <w:numFmt w:val="lowerRoman"/>
      <w:start w:val="1"/>
    </w:lvl>
  </w:abstractNum>
  <w:abstractNum w:abstractNumId="107">
    <w:nsid w:val="4C9B0904"/>
    <w:multiLevelType w:val="hybridMultilevel"/>
    <w:lvl w:ilvl="0">
      <w:lvlJc w:val="left"/>
      <w:lvlText w:val="(%1)"/>
      <w:numFmt w:val="lowerRoman"/>
      <w:start w:val="1"/>
    </w:lvl>
  </w:abstractNum>
  <w:abstractNum w:abstractNumId="108">
    <w:nsid w:val="6AA7B75C"/>
    <w:multiLevelType w:val="hybridMultilevel"/>
    <w:lvl w:ilvl="0">
      <w:lvlJc w:val="left"/>
      <w:lvlText w:val="%1"/>
      <w:numFmt w:val="decimal"/>
      <w:start w:val="70"/>
    </w:lvl>
  </w:abstractNum>
  <w:abstractNum w:abstractNumId="109">
    <w:nsid w:val="1DF029D3"/>
    <w:multiLevelType w:val="hybridMultilevel"/>
    <w:lvl w:ilvl="0">
      <w:lvlJc w:val="left"/>
      <w:lvlText w:val="%1."/>
      <w:numFmt w:val="decimal"/>
      <w:start w:val="1"/>
    </w:lvl>
  </w:abstractNum>
  <w:abstractNum w:abstractNumId="110">
    <w:nsid w:val="5675FF36"/>
    <w:multiLevelType w:val="hybridMultilevel"/>
    <w:lvl w:ilvl="0">
      <w:lvlJc w:val="left"/>
      <w:lvlText w:val="(%1)"/>
      <w:numFmt w:val="lowerLetter"/>
      <w:start w:val="2"/>
    </w:lvl>
  </w:abstractNum>
  <w:abstractNum w:abstractNumId="111">
    <w:nsid w:val="3DD15094"/>
    <w:multiLevelType w:val="hybridMultilevel"/>
    <w:lvl w:ilvl="0">
      <w:lvlJc w:val="left"/>
      <w:lvlText w:val="%1"/>
      <w:numFmt w:val="decimal"/>
      <w:start w:val="72"/>
    </w:lvl>
  </w:abstractNum>
  <w:abstractNum w:abstractNumId="112">
    <w:nsid w:val="3DB012B3"/>
    <w:multiLevelType w:val="hybridMultilevel"/>
    <w:lvl w:ilvl="0">
      <w:lvlJc w:val="left"/>
      <w:lvlText w:val="2"/>
      <w:numFmt w:val="bullet"/>
      <w:start w:val="1"/>
    </w:lvl>
  </w:abstractNum>
  <w:abstractNum w:abstractNumId="113">
    <w:nsid w:val="2708C9AF"/>
    <w:multiLevelType w:val="hybridMultilevel"/>
    <w:lvl w:ilvl="0">
      <w:lvlJc w:val="left"/>
      <w:lvlText w:val="•"/>
      <w:numFmt w:val="bullet"/>
      <w:start w:val="1"/>
    </w:lvl>
  </w:abstractNum>
  <w:abstractNum w:abstractNumId="114">
    <w:nsid w:val="5B25ACE2"/>
    <w:multiLevelType w:val="hybridMultilevel"/>
    <w:lvl w:ilvl="0">
      <w:lvlJc w:val="left"/>
      <w:lvlText w:val="3"/>
      <w:numFmt w:val="bullet"/>
      <w:start w:val="1"/>
    </w:lvl>
  </w:abstractNum>
  <w:abstractNum w:abstractNumId="115">
    <w:nsid w:val="175DFCF0"/>
    <w:multiLevelType w:val="hybridMultilevel"/>
    <w:lvl w:ilvl="0">
      <w:lvlJc w:val="left"/>
      <w:lvlText w:val="%1"/>
      <w:numFmt w:val="decimal"/>
      <w:start w:val="74"/>
    </w:lvl>
  </w:abstractNum>
  <w:abstractNum w:abstractNumId="116">
    <w:nsid w:val="4F97E3E4"/>
    <w:multiLevelType w:val="hybridMultilevel"/>
    <w:lvl w:ilvl="0">
      <w:lvlJc w:val="left"/>
      <w:lvlText w:val="%1."/>
      <w:numFmt w:val="decimal"/>
      <w:start w:val="1"/>
    </w:lvl>
  </w:abstractNum>
  <w:abstractNum w:abstractNumId="117">
    <w:nsid w:val="53B0A9E"/>
    <w:multiLevelType w:val="hybridMultilevel"/>
    <w:lvl w:ilvl="0">
      <w:lvlJc w:val="left"/>
      <w:lvlText w:val="•"/>
      <w:numFmt w:val="bullet"/>
      <w:start w:val="1"/>
    </w:lvl>
  </w:abstractNum>
  <w:abstractNum w:abstractNumId="118">
    <w:nsid w:val="34FD6B4F"/>
    <w:multiLevelType w:val="hybridMultilevel"/>
    <w:lvl w:ilvl="0">
      <w:lvlJc w:val="left"/>
      <w:lvlText w:val="%1"/>
      <w:numFmt w:val="decimal"/>
      <w:start w:val="76"/>
    </w:lvl>
  </w:abstractNum>
  <w:abstractNum w:abstractNumId="119">
    <w:nsid w:val="5915FF32"/>
    <w:multiLevelType w:val="hybridMultilevel"/>
    <w:lvl w:ilvl="0">
      <w:lvlJc w:val="left"/>
      <w:lvlText w:val="(%1)"/>
      <w:numFmt w:val="lowerRoman"/>
      <w:start w:val="1"/>
    </w:lvl>
  </w:abstractNum>
  <w:abstractNum w:abstractNumId="120">
    <w:nsid w:val="56438D15"/>
    <w:multiLevelType w:val="hybridMultilevel"/>
    <w:lvl w:ilvl="0">
      <w:lvlJc w:val="left"/>
      <w:lvlText w:val="%1."/>
      <w:numFmt w:val="decimal"/>
      <w:start w:val="1"/>
    </w:lvl>
  </w:abstractNum>
  <w:abstractNum w:abstractNumId="121">
    <w:nsid w:val="519E3149"/>
    <w:multiLevelType w:val="hybridMultilevel"/>
    <w:lvl w:ilvl="0">
      <w:lvlJc w:val="left"/>
      <w:lvlText w:val="%1."/>
      <w:numFmt w:val="decimal"/>
      <w:start w:val="3"/>
    </w:lvl>
  </w:abstractNum>
  <w:abstractNum w:abstractNumId="122">
    <w:nsid w:val="2C6E4AFD"/>
    <w:multiLevelType w:val="hybridMultilevel"/>
    <w:lvl w:ilvl="0">
      <w:lvlJc w:val="left"/>
      <w:lvlText w:val="%1"/>
      <w:numFmt w:val="decimal"/>
      <w:start w:val="78"/>
    </w:lvl>
  </w:abstractNum>
  <w:abstractNum w:abstractNumId="123">
    <w:nsid w:val="17A1B582"/>
    <w:multiLevelType w:val="hybridMultilevel"/>
    <w:lvl w:ilvl="0">
      <w:lvlJc w:val="left"/>
      <w:lvlText w:val="%1."/>
      <w:numFmt w:val="decimal"/>
      <w:start w:val="1"/>
    </w:lvl>
  </w:abstractNum>
  <w:abstractNum w:abstractNumId="124">
    <w:nsid w:val="4DF72E4E"/>
    <w:multiLevelType w:val="hybridMultilevel"/>
    <w:lvl w:ilvl="0">
      <w:lvlJc w:val="left"/>
      <w:lvlText w:val="%1"/>
      <w:numFmt w:val="decimal"/>
      <w:start w:val="80"/>
    </w:lvl>
  </w:abstractNum>
  <w:abstractNum w:abstractNumId="125">
    <w:nsid w:val="5046B5A9"/>
    <w:multiLevelType w:val="hybridMultilevel"/>
    <w:lvl w:ilvl="0">
      <w:lvlJc w:val="left"/>
      <w:lvlText w:val="%1"/>
      <w:numFmt w:val="decimal"/>
      <w:start w:val="82"/>
    </w:lvl>
  </w:abstractNum>
  <w:abstractNum w:abstractNumId="126">
    <w:nsid w:val="5D888A08"/>
    <w:multiLevelType w:val="hybridMultilevel"/>
    <w:lvl w:ilvl="0">
      <w:lvlJc w:val="left"/>
      <w:lvlText w:val="%1"/>
      <w:numFmt w:val="decimal"/>
      <w:start w:val="84"/>
    </w:lvl>
  </w:abstractNum>
  <w:abstractNum w:abstractNumId="127">
    <w:nsid w:val="2A082C70"/>
    <w:multiLevelType w:val="hybridMultilevel"/>
    <w:lvl w:ilvl="0">
      <w:lvlJc w:val="left"/>
      <w:lvlText w:val="•"/>
      <w:numFmt w:val="bullet"/>
      <w:start w:val="1"/>
    </w:lvl>
    <w:lvl w:ilvl="1">
      <w:lvlJc w:val="left"/>
      <w:lvlText w:val="◦"/>
      <w:numFmt w:val="bullet"/>
      <w:start w:val="1"/>
    </w:lvl>
  </w:abstractNum>
  <w:abstractNum w:abstractNumId="128">
    <w:nsid w:val="5EC6AFD4"/>
    <w:multiLevelType w:val="hybridMultilevel"/>
    <w:lvl w:ilvl="0">
      <w:lvlJc w:val="left"/>
      <w:lvlText w:val="%1"/>
      <w:numFmt w:val="decimal"/>
      <w:start w:val="86"/>
    </w:lvl>
  </w:abstractNum>
  <w:abstractNum w:abstractNumId="129">
    <w:nsid w:val="19E21BB2"/>
    <w:multiLevelType w:val="hybridMultilevel"/>
    <w:lvl w:ilvl="0">
      <w:lvlJc w:val="left"/>
      <w:lvlText w:val="%1"/>
      <w:numFmt w:val="decimal"/>
      <w:start w:val="8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2024-04-29T15:33:18Z</dcterms:created>
  <dcterms:modified xsi:type="dcterms:W3CDTF">2024-04-29T15:33:18Z</dcterms:modified>
</cp:coreProperties>
</file>