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38" w:lineRule="auto"/>
        <w:rPr>
          <w:sz w:val="20"/>
          <w:szCs w:val="20"/>
          <w:color w:val="auto"/>
        </w:rPr>
      </w:pPr>
      <w:r>
        <w:rPr>
          <w:rFonts w:ascii="Courier New" w:cs="Courier New" w:eastAsia="Courier New" w:hAnsi="Courier New"/>
          <w:sz w:val="18"/>
          <w:szCs w:val="18"/>
          <w:color w:val="auto"/>
        </w:rPr>
        <w:t>World Fuel Services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#981475106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129,900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1,379,806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1,379,806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12.904%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1,379,806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1,379,806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12.904%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#981475106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1,379,806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1,379,806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12.904%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700 South Royal Poinciana Boulevard,</w:t>
      </w:r>
    </w:p>
    <w:p>
      <w:pPr>
        <w:spacing w:after="0" w:line="238" w:lineRule="auto"/>
        <w:rPr>
          <w:sz w:val="20"/>
          <w:szCs w:val="20"/>
          <w:color w:val="auto"/>
        </w:rPr>
      </w:pPr>
      <w:r>
        <w:rPr>
          <w:rFonts w:ascii="Courier New" w:cs="Courier New" w:eastAsia="Courier New" w:hAnsi="Courier New"/>
          <w:sz w:val="18"/>
          <w:szCs w:val="18"/>
          <w:color w:val="auto"/>
        </w:rPr>
        <w:t>Suite 800</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Miami Springs, FL</w:t>
      </w:r>
      <w:r>
        <w:rPr>
          <w:sz w:val="20"/>
          <w:szCs w:val="20"/>
          <w:color w:val="auto"/>
        </w:rPr>
        <w:tab/>
      </w:r>
      <w:r>
        <w:rPr>
          <w:rFonts w:ascii="Courier New" w:cs="Courier New" w:eastAsia="Courier New" w:hAnsi="Courier New"/>
          <w:sz w:val="16"/>
          <w:szCs w:val="16"/>
          <w:color w:val="auto"/>
        </w:rPr>
        <w:t>33166</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981475106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1,379,806</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12.904%</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129,900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1,379,806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World Fuel Services</w:t>
      </w:r>
    </w:p>
    <w:p>
      <w:pPr>
        <w:spacing w:after="0" w:line="6"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Corporation. The interest of one person, Fidelity Low Priced Stock Fund, an investment company registered under the Investment Company Act of 1940, in the Common Stock of World Fuel Services Corporation, amounted to 1,249,906 shares or 11.689% of the total outstanding Common Stock at December 31, 2002.</w:t>
      </w:r>
    </w:p>
    <w:p>
      <w:pPr>
        <w:spacing w:after="0" w:line="210"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the Common Stock of World Fuel Services Corporation at December 31, 2002 is true, complete and correct.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February 14,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1,250,906 shares or 11.699% of the Common Stock</w:t>
      </w:r>
    </w:p>
    <w:p>
      <w:pPr>
        <w:spacing w:after="0"/>
        <w:tabs>
          <w:tab w:leader="none" w:pos="5040" w:val="left"/>
        </w:tabs>
        <w:rPr>
          <w:sz w:val="20"/>
          <w:szCs w:val="20"/>
          <w:color w:val="auto"/>
        </w:rPr>
      </w:pPr>
      <w:r>
        <w:rPr>
          <w:rFonts w:ascii="Courier New" w:cs="Courier New" w:eastAsia="Courier New" w:hAnsi="Courier New"/>
          <w:sz w:val="18"/>
          <w:szCs w:val="18"/>
          <w:color w:val="auto"/>
        </w:rPr>
        <w:t>outstanding of World Fuel Services Corporation</w:t>
        <w:tab/>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1,249,906 shares or 11.689%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1,250,906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128,900 shares or 1.205%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128,900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128,900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ectPr>
          <w:pgSz w:w="11900" w:h="16838" w:orient="portrait"/>
          <w:cols w:equalWidth="0" w:num="1">
            <w:col w:w="10219"/>
          </w:cols>
          <w:pgMar w:left="240" w:top="136" w:right="1440" w:bottom="134"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2003, agree and consent to the joint filing on their behalf of this Schedule 13G in connection with their beneficial ownership of the Common Stock of World Fuel Services Corporation at December 31, 2002.</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2019-12-13T16:36:45Z</dcterms:created>
  <dcterms:modified xsi:type="dcterms:W3CDTF">2019-12-13T16:36:45Z</dcterms:modified>
</cp:coreProperties>
</file>