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4088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408805"/>
                    </a:xfrm>
                    <a:prstGeom prst="rect">
                      <a:avLst/>
                    </a:prstGeom>
                    <a:noFill/>
                  </pic:spPr>
                </pic:pic>
              </a:graphicData>
            </a:graphic>
          </wp:anchor>
        </w:drawing>
      </w:r>
    </w:p>
    <w:p>
      <w:pPr>
        <w:sectPr>
          <w:pgSz w:w="11900" w:h="16838" w:orient="portrait"/>
          <w:cols w:equalWidth="0" w:num="1">
            <w:col w:w="10940"/>
          </w:cols>
          <w:pgMar w:left="480" w:top="230" w:right="479" w:bottom="144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gridSpan w:val="3"/>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060" w:type="dxa"/>
            <w:vAlign w:val="bottom"/>
            <w:gridSpan w:val="2"/>
            <w:vMerge w:val="restart"/>
          </w:tcPr>
          <w:p>
            <w:pPr>
              <w:spacing w:after="0"/>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Piper Gregory F</w:t>
              </w:r>
            </w:hyperlink>
          </w:p>
        </w:tc>
        <w:tc>
          <w:tcPr>
            <w:tcW w:w="1520" w:type="dxa"/>
            <w:vAlign w:val="bottom"/>
          </w:tcPr>
          <w:p>
            <w:pPr>
              <w:ind w:left="160"/>
              <w:spacing w:after="0" w:line="136"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3060" w:type="dxa"/>
            <w:vAlign w:val="bottom"/>
            <w:gridSpan w:val="2"/>
            <w:vMerge w:val="continue"/>
          </w:tcPr>
          <w:p>
            <w:pPr>
              <w:spacing w:after="0"/>
              <w:rPr>
                <w:sz w:val="14"/>
                <w:szCs w:val="14"/>
                <w:color w:val="auto"/>
              </w:rPr>
            </w:pPr>
          </w:p>
        </w:tc>
        <w:tc>
          <w:tcPr>
            <w:tcW w:w="1520" w:type="dxa"/>
            <w:vAlign w:val="bottom"/>
          </w:tcPr>
          <w:p>
            <w:pPr>
              <w:ind w:left="160"/>
              <w:spacing w:after="0" w:line="165"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1560" w:type="dxa"/>
            <w:vAlign w:val="bottom"/>
            <w:tcBorders>
              <w:top w:val="single" w:sz="8" w:color="0000EE"/>
              <w:bottom w:val="single" w:sz="8" w:color="9A9A9A"/>
            </w:tcBorders>
          </w:tcPr>
          <w:p>
            <w:pPr>
              <w:spacing w:after="0"/>
              <w:rPr>
                <w:sz w:val="17"/>
                <w:szCs w:val="17"/>
                <w:color w:val="auto"/>
              </w:rPr>
            </w:pPr>
          </w:p>
        </w:tc>
        <w:tc>
          <w:tcPr>
            <w:tcW w:w="150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Times New Roman" w:cs="Times New Roman" w:eastAsia="Times New Roman" w:hAnsi="Times New Roman"/>
                <w:sz w:val="20"/>
                <w:szCs w:val="20"/>
                <w:color w:val="0000FF"/>
              </w:rPr>
              <w:t>07/17/2025</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3" w:lineRule="exact"/>
        <w:rPr>
          <w:sz w:val="24"/>
          <w:szCs w:val="24"/>
          <w:color w:val="auto"/>
        </w:rPr>
      </w:pPr>
    </w:p>
    <w:p>
      <w:pPr>
        <w:spacing w:after="0"/>
        <w:rPr>
          <w:rFonts w:ascii="Times New Roman" w:cs="Times New Roman" w:eastAsia="Times New Roman" w:hAnsi="Times New Roman"/>
          <w:sz w:val="24"/>
          <w:szCs w:val="24"/>
          <w:color w:val="0000EE"/>
        </w:rPr>
      </w:pPr>
      <w:hyperlink r:id="rId11">
        <w:r>
          <w:rPr>
            <w:rFonts w:ascii="Times New Roman" w:cs="Times New Roman" w:eastAsia="Times New Roman" w:hAnsi="Times New Roman"/>
            <w:sz w:val="24"/>
            <w:szCs w:val="24"/>
            <w:u w:val="single" w:color="auto"/>
            <w:color w:val="0000EE"/>
          </w:rPr>
          <w:t>WORLD KINECT CORP</w:t>
        </w:r>
        <w:r>
          <w:rPr>
            <w:rFonts w:ascii="Times New Roman" w:cs="Times New Roman" w:eastAsia="Times New Roman" w:hAnsi="Times New Roman"/>
            <w:sz w:val="24"/>
            <w:szCs w:val="24"/>
            <w:color w:val="0000EE"/>
          </w:rPr>
          <w:t xml:space="preserve"> </w:t>
        </w:r>
      </w:hyperlink>
      <w:r>
        <w:rPr>
          <w:rFonts w:ascii="Times New Roman" w:cs="Times New Roman" w:eastAsia="Times New Roman" w:hAnsi="Times New Roman"/>
          <w:sz w:val="24"/>
          <w:szCs w:val="24"/>
          <w:color w:val="000000"/>
        </w:rPr>
        <w: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19"/>
          <w:szCs w:val="19"/>
          <w:color w:val="0000FF"/>
        </w:rPr>
        <w:t>WKC</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24"/>
          <w:szCs w:val="24"/>
          <w:color w:val="000000"/>
        </w:rPr>
        <w:t>]</w:t>
      </w:r>
    </w:p>
    <w:p>
      <w:pPr>
        <w:spacing w:after="0" w:line="388" w:lineRule="exact"/>
        <w:rPr>
          <w:sz w:val="24"/>
          <w:szCs w:val="24"/>
          <w:color w:val="auto"/>
        </w:rPr>
      </w:pPr>
    </w:p>
    <w:p>
      <w:pPr>
        <w:sectPr>
          <w:pgSz w:w="11900" w:h="16838" w:orient="portrait"/>
          <w:cols w:equalWidth="0" w:num="2">
            <w:col w:w="4720" w:space="280"/>
            <w:col w:w="5940"/>
          </w:cols>
          <w:pgMar w:left="480" w:top="230" w:right="479" w:bottom="1440" w:gutter="0" w:footer="0" w:header="0"/>
          <w:type w:val="continuous"/>
        </w:sectPr>
      </w:pPr>
    </w:p>
    <w:p>
      <w:pPr>
        <w:spacing w:after="0" w:line="45"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82"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20"/>
          <w:szCs w:val="20"/>
          <w:color w:val="0000FF"/>
        </w:rPr>
        <w:t>C/O WORLD KINECT</w:t>
      </w:r>
    </w:p>
    <w:p>
      <w:pPr>
        <w:spacing w:after="0" w:line="24"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20"/>
          <w:szCs w:val="20"/>
          <w:color w:val="0000FF"/>
        </w:rPr>
        <w:t>CORPORATION</w:t>
      </w:r>
    </w:p>
    <w:p>
      <w:pPr>
        <w:spacing w:after="0" w:line="56"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20"/>
          <w:szCs w:val="20"/>
          <w:color w:val="0000FF"/>
        </w:rPr>
        <w:t>9800 NW 41ST STREET</w:t>
      </w:r>
    </w:p>
    <w:p>
      <w:pPr>
        <w:spacing w:after="0" w:line="326" w:lineRule="exact"/>
        <w:rPr>
          <w:sz w:val="24"/>
          <w:szCs w:val="24"/>
          <w:color w:val="auto"/>
        </w:rPr>
      </w:pPr>
    </w:p>
    <w:p>
      <w:pPr>
        <w:ind w:left="100"/>
        <w:spacing w:after="0"/>
        <w:rPr>
          <w:sz w:val="20"/>
          <w:szCs w:val="20"/>
          <w:color w:val="auto"/>
        </w:rPr>
      </w:pPr>
      <w:r>
        <w:rPr>
          <w:rFonts w:ascii="Arial" w:cs="Arial" w:eastAsia="Arial" w:hAnsi="Arial"/>
          <w:sz w:val="15"/>
          <w:szCs w:val="15"/>
          <w:color w:val="auto"/>
        </w:rPr>
        <w:t>(Street)</w:t>
      </w:r>
    </w:p>
    <w:p>
      <w:pPr>
        <w:spacing w:after="0" w:line="37" w:lineRule="exact"/>
        <w:rPr>
          <w:sz w:val="24"/>
          <w:szCs w:val="24"/>
          <w:color w:val="auto"/>
        </w:rPr>
      </w:pPr>
    </w:p>
    <w:p>
      <w:pPr>
        <w:ind w:left="140"/>
        <w:spacing w:after="0"/>
        <w:tabs>
          <w:tab w:leader="none" w:pos="1140" w:val="left"/>
          <w:tab w:leader="none" w:pos="2180" w:val="left"/>
        </w:tabs>
        <w:rPr>
          <w:sz w:val="20"/>
          <w:szCs w:val="20"/>
          <w:color w:val="auto"/>
        </w:rPr>
      </w:pPr>
      <w:r>
        <w:rPr>
          <w:rFonts w:ascii="Times New Roman" w:cs="Times New Roman" w:eastAsia="Times New Roman" w:hAnsi="Times New Roman"/>
          <w:sz w:val="20"/>
          <w:szCs w:val="20"/>
          <w:color w:val="0000FF"/>
        </w:rPr>
        <w:t>MIAMI</w:t>
      </w:r>
      <w:r>
        <w:rPr>
          <w:sz w:val="20"/>
          <w:szCs w:val="20"/>
          <w:color w:val="auto"/>
        </w:rPr>
        <w:tab/>
      </w:r>
      <w:r>
        <w:rPr>
          <w:rFonts w:ascii="Times New Roman" w:cs="Times New Roman" w:eastAsia="Times New Roman" w:hAnsi="Times New Roman"/>
          <w:sz w:val="20"/>
          <w:szCs w:val="20"/>
          <w:color w:val="0000FF"/>
        </w:rPr>
        <w:t>FL</w:t>
      </w:r>
      <w:r>
        <w:rPr>
          <w:sz w:val="20"/>
          <w:szCs w:val="20"/>
          <w:color w:val="auto"/>
        </w:rPr>
        <w:tab/>
      </w:r>
      <w:r>
        <w:rPr>
          <w:rFonts w:ascii="Times New Roman" w:cs="Times New Roman" w:eastAsia="Times New Roman" w:hAnsi="Times New Roman"/>
          <w:sz w:val="18"/>
          <w:szCs w:val="18"/>
          <w:color w:val="0000FF"/>
        </w:rPr>
        <w:t>33178</w:t>
      </w:r>
    </w:p>
    <w:p>
      <w:pPr>
        <w:spacing w:after="0" w:line="20" w:lineRule="exact"/>
        <w:rPr>
          <w:sz w:val="24"/>
          <w:szCs w:val="24"/>
          <w:color w:val="auto"/>
        </w:rPr>
      </w:pPr>
      <w:r>
        <w:rPr>
          <w:sz w:val="24"/>
          <w:szCs w:val="24"/>
          <w:color w:val="auto"/>
        </w:rPr>
        <w:br w:type="column"/>
      </w:r>
    </w:p>
    <w:p>
      <w:pPr>
        <w:ind w:left="3" w:right="300" w:hanging="3"/>
        <w:spacing w:after="0" w:line="23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54"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spacing w:after="0" w:line="83"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7"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20" w:lineRule="exact"/>
        <w:rPr>
          <w:sz w:val="24"/>
          <w:szCs w:val="24"/>
          <w:color w:val="auto"/>
        </w:rPr>
      </w:pPr>
      <w:r>
        <w:rPr>
          <w:sz w:val="24"/>
          <w:szCs w:val="24"/>
          <w:color w:val="auto"/>
        </w:rPr>
        <w:br w:type="column"/>
      </w:r>
    </w:p>
    <w:p>
      <w:pPr>
        <w:ind w:left="-9" w:right="440" w:firstLine="9"/>
        <w:spacing w:after="0" w:line="264"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310" w:lineRule="exact"/>
        <w:rPr>
          <w:rFonts w:ascii="Arial" w:cs="Arial" w:eastAsia="Arial" w:hAnsi="Arial"/>
          <w:sz w:val="15"/>
          <w:szCs w:val="15"/>
          <w:color w:val="auto"/>
        </w:rPr>
      </w:pPr>
    </w:p>
    <w:p>
      <w:pPr>
        <w:ind w:left="-9" w:right="480" w:firstLine="9"/>
        <w:spacing w:after="0" w:line="261"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ind w:left="451" w:right="340"/>
        <w:spacing w:after="0" w:line="264" w:lineRule="auto"/>
        <w:rPr>
          <w:sz w:val="20"/>
          <w:szCs w:val="20"/>
          <w:color w:val="auto"/>
        </w:rPr>
      </w:pPr>
      <w:r>
        <w:rPr>
          <w:rFonts w:ascii="Arial" w:cs="Arial" w:eastAsia="Arial" w:hAnsi="Arial"/>
          <w:sz w:val="15"/>
          <w:szCs w:val="15"/>
          <w:color w:val="auto"/>
        </w:rPr>
        <w:t>Form filed by One Reporting Person</w:t>
      </w:r>
    </w:p>
    <w:p>
      <w:pPr>
        <w:spacing w:after="0" w:line="11" w:lineRule="exact"/>
        <w:rPr>
          <w:sz w:val="24"/>
          <w:szCs w:val="24"/>
          <w:color w:val="auto"/>
        </w:rPr>
      </w:pPr>
    </w:p>
    <w:p>
      <w:pPr>
        <w:ind w:left="451" w:right="320"/>
        <w:spacing w:after="0" w:line="264" w:lineRule="auto"/>
        <w:rPr>
          <w:sz w:val="20"/>
          <w:szCs w:val="20"/>
          <w:color w:val="auto"/>
        </w:rPr>
      </w:pPr>
      <w:r>
        <w:rPr>
          <w:rFonts w:ascii="Arial" w:cs="Arial" w:eastAsia="Arial" w:hAnsi="Arial"/>
          <w:sz w:val="15"/>
          <w:szCs w:val="15"/>
          <w:color w:val="auto"/>
        </w:rPr>
        <w:t>Form filed by More than One Reporting Person</w:t>
      </w:r>
    </w:p>
    <w:p>
      <w:pPr>
        <w:spacing w:after="0" w:line="200" w:lineRule="exact"/>
        <w:rPr>
          <w:sz w:val="24"/>
          <w:szCs w:val="24"/>
          <w:color w:val="auto"/>
        </w:rPr>
      </w:pPr>
    </w:p>
    <w:p>
      <w:pPr>
        <w:sectPr>
          <w:pgSz w:w="11900" w:h="16838" w:orient="portrait"/>
          <w:cols w:equalWidth="0" w:num="3">
            <w:col w:w="4277" w:space="720"/>
            <w:col w:w="3003" w:space="269"/>
            <w:col w:w="2671"/>
          </w:cols>
          <w:pgMar w:left="480" w:top="230" w:right="479" w:bottom="1440" w:gutter="0" w:footer="0" w:header="0"/>
          <w:type w:val="continuous"/>
        </w:sectPr>
      </w:pPr>
    </w:p>
    <w:p>
      <w:pPr>
        <w:spacing w:after="0" w:line="171"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16"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5"/>
                <w:szCs w:val="15"/>
                <w:color w:val="auto"/>
              </w:rPr>
            </w:pPr>
          </w:p>
        </w:tc>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80" w:type="dxa"/>
            <w:vAlign w:val="bottom"/>
            <w:gridSpan w:val="2"/>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80" w:type="dxa"/>
            <w:vAlign w:val="bottom"/>
            <w:gridSpan w:val="2"/>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6"/>
        </w:trPr>
        <w:tc>
          <w:tcPr>
            <w:tcW w:w="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69"/>
        </w:trPr>
        <w:tc>
          <w:tcPr>
            <w:tcW w:w="20" w:type="dxa"/>
            <w:vAlign w:val="bottom"/>
            <w:tcBorders>
              <w:bottom w:val="single" w:sz="8" w:color="2C2C2C"/>
            </w:tcBorders>
          </w:tcPr>
          <w:p>
            <w:pPr>
              <w:spacing w:after="0"/>
              <w:rPr>
                <w:sz w:val="5"/>
                <w:szCs w:val="5"/>
                <w:color w:val="auto"/>
              </w:rPr>
            </w:pPr>
          </w:p>
        </w:tc>
        <w:tc>
          <w:tcPr>
            <w:tcW w:w="3420" w:type="dxa"/>
            <w:vAlign w:val="bottom"/>
            <w:tcBorders>
              <w:bottom w:val="single" w:sz="8" w:color="2C2C2C"/>
            </w:tcBorders>
          </w:tcPr>
          <w:p>
            <w:pPr>
              <w:spacing w:after="0"/>
              <w:rPr>
                <w:sz w:val="5"/>
                <w:szCs w:val="5"/>
                <w:color w:val="auto"/>
              </w:rPr>
            </w:pPr>
          </w:p>
        </w:tc>
        <w:tc>
          <w:tcPr>
            <w:tcW w:w="3400" w:type="dxa"/>
            <w:vAlign w:val="bottom"/>
            <w:tcBorders>
              <w:bottom w:val="single" w:sz="8" w:color="2C2C2C"/>
            </w:tcBorders>
          </w:tcPr>
          <w:p>
            <w:pPr>
              <w:spacing w:after="0"/>
              <w:rPr>
                <w:sz w:val="5"/>
                <w:szCs w:val="5"/>
                <w:color w:val="auto"/>
              </w:rPr>
            </w:pPr>
          </w:p>
        </w:tc>
        <w:tc>
          <w:tcPr>
            <w:tcW w:w="1220" w:type="dxa"/>
            <w:vAlign w:val="bottom"/>
            <w:tcBorders>
              <w:bottom w:val="single" w:sz="8" w:color="2C2C2C"/>
            </w:tcBorders>
          </w:tcPr>
          <w:p>
            <w:pPr>
              <w:spacing w:after="0"/>
              <w:rPr>
                <w:sz w:val="5"/>
                <w:szCs w:val="5"/>
                <w:color w:val="auto"/>
              </w:rPr>
            </w:pPr>
          </w:p>
        </w:tc>
        <w:tc>
          <w:tcPr>
            <w:tcW w:w="28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20" w:type="dxa"/>
            <w:vAlign w:val="bottom"/>
            <w:tcBorders>
              <w:top w:val="single" w:sz="8" w:color="808080"/>
            </w:tcBorders>
            <w:shd w:val="clear" w:color="auto" w:fill="2C2C2C"/>
          </w:tcPr>
          <w:p>
            <w:pPr>
              <w:spacing w:after="0" w:line="20" w:lineRule="exact"/>
              <w:rPr>
                <w:sz w:val="1"/>
                <w:szCs w:val="1"/>
                <w:color w:val="auto"/>
              </w:rPr>
            </w:pPr>
          </w:p>
        </w:tc>
        <w:tc>
          <w:tcPr>
            <w:tcW w:w="3400" w:type="dxa"/>
            <w:vAlign w:val="bottom"/>
            <w:tcBorders>
              <w:top w:val="single" w:sz="8" w:color="808080"/>
            </w:tcBorders>
            <w:shd w:val="clear" w:color="auto" w:fill="2C2C2C"/>
          </w:tcPr>
          <w:p>
            <w:pPr>
              <w:spacing w:after="0" w:line="20" w:lineRule="exact"/>
              <w:rPr>
                <w:sz w:val="1"/>
                <w:szCs w:val="1"/>
                <w:color w:val="auto"/>
              </w:rPr>
            </w:pPr>
          </w:p>
        </w:tc>
        <w:tc>
          <w:tcPr>
            <w:tcW w:w="1220" w:type="dxa"/>
            <w:vAlign w:val="bottom"/>
            <w:tcBorders>
              <w:top w:val="single" w:sz="8" w:color="808080"/>
            </w:tcBorders>
            <w:shd w:val="clear" w:color="auto" w:fill="2C2C2C"/>
          </w:tcPr>
          <w:p>
            <w:pPr>
              <w:spacing w:after="0" w:line="20" w:lineRule="exact"/>
              <w:rPr>
                <w:sz w:val="1"/>
                <w:szCs w:val="1"/>
                <w:color w:val="auto"/>
              </w:rPr>
            </w:pPr>
          </w:p>
        </w:tc>
        <w:tc>
          <w:tcPr>
            <w:tcW w:w="28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44"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II - Derivative Securities Beneficially Owned</w:t>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(e.g., puts, calls, warrants, options, convertible securities)</w:t>
      </w:r>
    </w:p>
    <w:p>
      <w:pPr>
        <w:spacing w:after="0" w:line="120"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3040" w:type="dxa"/>
            <w:vAlign w:val="bottom"/>
          </w:tcPr>
          <w:p>
            <w:pPr>
              <w:spacing w:after="0"/>
              <w:rPr>
                <w:sz w:val="20"/>
                <w:szCs w:val="20"/>
                <w:color w:val="auto"/>
              </w:rPr>
            </w:pPr>
            <w:r>
              <w:rPr>
                <w:rFonts w:ascii="Arial" w:cs="Arial" w:eastAsia="Arial" w:hAnsi="Arial"/>
                <w:sz w:val="15"/>
                <w:szCs w:val="15"/>
                <w:b w:val="1"/>
                <w:bCs w:val="1"/>
                <w:color w:val="auto"/>
              </w:rPr>
              <w:t>1. Title of Derivative Security (Instr. 4)</w:t>
            </w: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00" w:type="dxa"/>
            <w:vAlign w:val="bottom"/>
            <w:gridSpan w:val="2"/>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360" w:type="dxa"/>
            <w:vAlign w:val="bottom"/>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0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360" w:type="dxa"/>
            <w:vAlign w:val="bottom"/>
          </w:tcPr>
          <w:p>
            <w:pPr>
              <w:ind w:left="80"/>
              <w:spacing w:after="0" w:line="165" w:lineRule="exact"/>
              <w:rPr>
                <w:sz w:val="20"/>
                <w:szCs w:val="20"/>
                <w:color w:val="auto"/>
              </w:rPr>
            </w:pPr>
            <w:r>
              <w:rPr>
                <w:rFonts w:ascii="Arial" w:cs="Arial" w:eastAsia="Arial" w:hAnsi="Arial"/>
                <w:sz w:val="15"/>
                <w:szCs w:val="15"/>
                <w:b w:val="1"/>
                <w:bCs w:val="1"/>
                <w:color w:val="auto"/>
                <w:w w:val="97"/>
              </w:rPr>
              <w:t>Indirect Beneficial</w:t>
            </w: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26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12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36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5"/>
        </w:trPr>
        <w:tc>
          <w:tcPr>
            <w:tcW w:w="304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260" w:type="dxa"/>
            <w:vAlign w:val="bottom"/>
            <w:tcBorders>
              <w:bottom w:val="single" w:sz="8" w:color="2C2C2C"/>
            </w:tcBorders>
          </w:tcPr>
          <w:p>
            <w:pPr>
              <w:spacing w:after="0"/>
              <w:rPr>
                <w:sz w:val="7"/>
                <w:szCs w:val="7"/>
                <w:color w:val="auto"/>
              </w:rPr>
            </w:pPr>
          </w:p>
        </w:tc>
        <w:tc>
          <w:tcPr>
            <w:tcW w:w="1240" w:type="dxa"/>
            <w:vAlign w:val="bottom"/>
            <w:tcBorders>
              <w:bottom w:val="single" w:sz="8" w:color="2C2C2C"/>
            </w:tcBorders>
          </w:tcPr>
          <w:p>
            <w:pPr>
              <w:spacing w:after="0"/>
              <w:rPr>
                <w:sz w:val="7"/>
                <w:szCs w:val="7"/>
                <w:color w:val="auto"/>
              </w:rPr>
            </w:pPr>
          </w:p>
        </w:tc>
        <w:tc>
          <w:tcPr>
            <w:tcW w:w="98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36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0" w:type="dxa"/>
            <w:vAlign w:val="bottom"/>
          </w:tcPr>
          <w:p>
            <w:pPr>
              <w:spacing w:after="0"/>
              <w:rPr>
                <w:sz w:val="1"/>
                <w:szCs w:val="1"/>
                <w:color w:val="auto"/>
              </w:rPr>
            </w:pPr>
          </w:p>
        </w:tc>
      </w:tr>
      <w:tr>
        <w:trPr>
          <w:trHeight w:val="60"/>
        </w:trPr>
        <w:tc>
          <w:tcPr>
            <w:tcW w:w="3040" w:type="dxa"/>
            <w:vAlign w:val="bottom"/>
          </w:tcPr>
          <w:p>
            <w:pPr>
              <w:spacing w:after="0"/>
              <w:rPr>
                <w:sz w:val="5"/>
                <w:szCs w:val="5"/>
                <w:color w:val="auto"/>
              </w:rPr>
            </w:pPr>
          </w:p>
        </w:tc>
        <w:tc>
          <w:tcPr>
            <w:tcW w:w="980" w:type="dxa"/>
            <w:vAlign w:val="bottom"/>
          </w:tcPr>
          <w:p>
            <w:pPr>
              <w:spacing w:after="0"/>
              <w:rPr>
                <w:sz w:val="5"/>
                <w:szCs w:val="5"/>
                <w:color w:val="auto"/>
              </w:rPr>
            </w:pPr>
          </w:p>
        </w:tc>
        <w:tc>
          <w:tcPr>
            <w:tcW w:w="900" w:type="dxa"/>
            <w:vAlign w:val="bottom"/>
          </w:tcPr>
          <w:p>
            <w:pPr>
              <w:spacing w:after="0"/>
              <w:rPr>
                <w:sz w:val="5"/>
                <w:szCs w:val="5"/>
                <w:color w:val="auto"/>
              </w:rPr>
            </w:pPr>
          </w:p>
        </w:tc>
        <w:tc>
          <w:tcPr>
            <w:tcW w:w="1260" w:type="dxa"/>
            <w:vAlign w:val="bottom"/>
          </w:tcPr>
          <w:p>
            <w:pPr>
              <w:spacing w:after="0"/>
              <w:rPr>
                <w:sz w:val="5"/>
                <w:szCs w:val="5"/>
                <w:color w:val="auto"/>
              </w:rPr>
            </w:pPr>
          </w:p>
        </w:tc>
        <w:tc>
          <w:tcPr>
            <w:tcW w:w="1240" w:type="dxa"/>
            <w:vAlign w:val="bottom"/>
            <w:vMerge w:val="restart"/>
          </w:tcPr>
          <w:p>
            <w:pPr>
              <w:ind w:left="600"/>
              <w:spacing w:after="0"/>
              <w:rPr>
                <w:sz w:val="20"/>
                <w:szCs w:val="20"/>
                <w:color w:val="auto"/>
              </w:rPr>
            </w:pPr>
            <w:r>
              <w:rPr>
                <w:rFonts w:ascii="Arial" w:cs="Arial" w:eastAsia="Arial" w:hAnsi="Arial"/>
                <w:sz w:val="15"/>
                <w:szCs w:val="15"/>
                <w:b w:val="1"/>
                <w:bCs w:val="1"/>
                <w:color w:val="auto"/>
              </w:rPr>
              <w:t>Amount</w:t>
            </w:r>
          </w:p>
        </w:tc>
        <w:tc>
          <w:tcPr>
            <w:tcW w:w="98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13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30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240" w:type="dxa"/>
            <w:vAlign w:val="bottom"/>
            <w:vMerge w:val="continue"/>
          </w:tcPr>
          <w:p>
            <w:pPr>
              <w:spacing w:after="0"/>
              <w:rPr>
                <w:sz w:val="13"/>
                <w:szCs w:val="13"/>
                <w:color w:val="auto"/>
              </w:rPr>
            </w:pPr>
          </w:p>
        </w:tc>
        <w:tc>
          <w:tcPr>
            <w:tcW w:w="98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or Indirect</w:t>
            </w:r>
          </w:p>
        </w:tc>
        <w:tc>
          <w:tcPr>
            <w:tcW w:w="1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or</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Number</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of</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304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26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1240" w:type="dxa"/>
            <w:vAlign w:val="bottom"/>
          </w:tcPr>
          <w:p>
            <w:pPr>
              <w:ind w:left="600"/>
              <w:spacing w:after="0"/>
              <w:rPr>
                <w:sz w:val="20"/>
                <w:szCs w:val="20"/>
                <w:color w:val="auto"/>
              </w:rPr>
            </w:pPr>
            <w:r>
              <w:rPr>
                <w:rFonts w:ascii="Arial" w:cs="Arial" w:eastAsia="Arial" w:hAnsi="Arial"/>
                <w:sz w:val="15"/>
                <w:szCs w:val="15"/>
                <w:b w:val="1"/>
                <w:bCs w:val="1"/>
                <w:color w:val="auto"/>
              </w:rPr>
              <w:t>Shares</w:t>
            </w:r>
          </w:p>
        </w:tc>
        <w:tc>
          <w:tcPr>
            <w:tcW w:w="9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94"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53"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No securities are beneficially owned.</w:t>
      </w:r>
    </w:p>
    <w:p>
      <w:pPr>
        <w:spacing w:after="0" w:line="62" w:lineRule="exact"/>
        <w:rPr>
          <w:sz w:val="24"/>
          <w:szCs w:val="24"/>
          <w:color w:val="auto"/>
        </w:rPr>
      </w:pPr>
    </w:p>
    <w:tbl>
      <w:tblPr>
        <w:tblLayout w:type="fixed"/>
        <w:tblInd w:w="4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16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0000FF"/>
                <w:w w:val="95"/>
              </w:rPr>
              <w:t>/s/ Joel M. Williams,</w:t>
            </w:r>
          </w:p>
        </w:tc>
        <w:tc>
          <w:tcPr>
            <w:tcW w:w="560" w:type="dxa"/>
            <w:vAlign w:val="bottom"/>
          </w:tcPr>
          <w:p>
            <w:pPr>
              <w:spacing w:after="0"/>
              <w:rPr>
                <w:sz w:val="19"/>
                <w:szCs w:val="19"/>
                <w:color w:val="auto"/>
              </w:rPr>
            </w:pPr>
          </w:p>
        </w:tc>
        <w:tc>
          <w:tcPr>
            <w:tcW w:w="900" w:type="dxa"/>
            <w:vAlign w:val="bottom"/>
            <w:vMerge w:val="restart"/>
          </w:tcPr>
          <w:p>
            <w:pPr>
              <w:spacing w:after="0"/>
              <w:rPr>
                <w:sz w:val="20"/>
                <w:szCs w:val="20"/>
                <w:color w:val="auto"/>
              </w:rPr>
            </w:pPr>
            <w:r>
              <w:rPr>
                <w:rFonts w:ascii="Times New Roman" w:cs="Times New Roman" w:eastAsia="Times New Roman" w:hAnsi="Times New Roman"/>
                <w:sz w:val="20"/>
                <w:szCs w:val="20"/>
                <w:color w:val="0000FF"/>
                <w:w w:val="96"/>
              </w:rPr>
              <w:t>08/04/2025</w:t>
            </w:r>
          </w:p>
        </w:tc>
        <w:tc>
          <w:tcPr>
            <w:tcW w:w="0" w:type="dxa"/>
            <w:vAlign w:val="bottom"/>
          </w:tcPr>
          <w:p>
            <w:pPr>
              <w:spacing w:after="0"/>
              <w:rPr>
                <w:sz w:val="1"/>
                <w:szCs w:val="1"/>
                <w:color w:val="auto"/>
              </w:rPr>
            </w:pPr>
          </w:p>
        </w:tc>
      </w:tr>
      <w:tr>
        <w:trPr>
          <w:trHeight w:val="105"/>
        </w:trPr>
        <w:tc>
          <w:tcPr>
            <w:tcW w:w="6540" w:type="dxa"/>
            <w:vAlign w:val="bottom"/>
          </w:tcPr>
          <w:p>
            <w:pPr>
              <w:spacing w:after="0"/>
              <w:rPr>
                <w:sz w:val="8"/>
                <w:szCs w:val="8"/>
                <w:color w:val="auto"/>
              </w:rPr>
            </w:pPr>
          </w:p>
        </w:tc>
        <w:tc>
          <w:tcPr>
            <w:tcW w:w="2180" w:type="dxa"/>
            <w:vAlign w:val="bottom"/>
            <w:gridSpan w:val="3"/>
            <w:vMerge w:val="restart"/>
          </w:tcPr>
          <w:p>
            <w:pPr>
              <w:spacing w:after="0" w:line="220" w:lineRule="exact"/>
              <w:rPr>
                <w:sz w:val="20"/>
                <w:szCs w:val="20"/>
                <w:color w:val="auto"/>
              </w:rPr>
            </w:pPr>
            <w:r>
              <w:rPr>
                <w:rFonts w:ascii="Times New Roman" w:cs="Times New Roman" w:eastAsia="Times New Roman" w:hAnsi="Times New Roman"/>
                <w:sz w:val="20"/>
                <w:szCs w:val="20"/>
                <w:color w:val="0000FF"/>
              </w:rPr>
              <w:t>Attorney-in-Fact</w:t>
            </w:r>
          </w:p>
        </w:tc>
        <w:tc>
          <w:tcPr>
            <w:tcW w:w="90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6540" w:type="dxa"/>
            <w:vAlign w:val="bottom"/>
          </w:tcPr>
          <w:p>
            <w:pPr>
              <w:spacing w:after="0"/>
              <w:rPr>
                <w:sz w:val="8"/>
                <w:szCs w:val="8"/>
                <w:color w:val="auto"/>
              </w:rPr>
            </w:pPr>
          </w:p>
        </w:tc>
        <w:tc>
          <w:tcPr>
            <w:tcW w:w="2180" w:type="dxa"/>
            <w:vAlign w:val="bottom"/>
            <w:gridSpan w:val="3"/>
            <w:vMerge w:val="continue"/>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6540" w:type="dxa"/>
            <w:vAlign w:val="bottom"/>
          </w:tcPr>
          <w:p>
            <w:pPr>
              <w:spacing w:after="0"/>
              <w:rPr>
                <w:sz w:val="20"/>
                <w:szCs w:val="20"/>
                <w:color w:val="auto"/>
              </w:rPr>
            </w:pPr>
          </w:p>
        </w:tc>
        <w:tc>
          <w:tcPr>
            <w:tcW w:w="2180" w:type="dxa"/>
            <w:vAlign w:val="bottom"/>
            <w:gridSpan w:val="3"/>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108"/>
        </w:trPr>
        <w:tc>
          <w:tcPr>
            <w:tcW w:w="6540" w:type="dxa"/>
            <w:vAlign w:val="bottom"/>
          </w:tcPr>
          <w:p>
            <w:pPr>
              <w:spacing w:after="0"/>
              <w:rPr>
                <w:sz w:val="9"/>
                <w:szCs w:val="9"/>
                <w:color w:val="auto"/>
              </w:rPr>
            </w:pPr>
          </w:p>
        </w:tc>
        <w:tc>
          <w:tcPr>
            <w:tcW w:w="2180" w:type="dxa"/>
            <w:vAlign w:val="bottom"/>
            <w:gridSpan w:val="3"/>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 w:lineRule="exact"/>
        <w:rPr>
          <w:sz w:val="24"/>
          <w:szCs w:val="24"/>
          <w:color w:val="auto"/>
        </w:rPr>
      </w:pPr>
    </w:p>
    <w:p>
      <w:pPr>
        <w:jc w:val="both"/>
        <w:ind w:left="40" w:right="2240" w:firstLine="5"/>
        <w:spacing w:after="0" w:line="335" w:lineRule="auto"/>
        <w:tabs>
          <w:tab w:leader="none" w:pos="199" w:val="left"/>
        </w:tabs>
        <w:numPr>
          <w:ilvl w:val="0"/>
          <w:numId w:val="3"/>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4"/>
          <w:szCs w:val="24"/>
          <w:color w:val="auto"/>
        </w:rPr>
      </w:pPr>
    </w:p>
    <w:p>
      <w:pPr>
        <w:ind w:left="40" w:right="80"/>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0" w:right="479" w:bottom="1440" w:gutter="0" w:footer="0" w:header="0"/>
          <w:type w:val="continuous"/>
        </w:sectPr>
      </w:pPr>
    </w:p>
    <w:bookmarkStart w:id="1" w:name="page2"/>
    <w:bookmarkEnd w:id="1"/>
    <w:p>
      <w:pPr>
        <w:spacing w:after="0" w:line="1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4"/>
          <w:szCs w:val="24"/>
          <w:b w:val="1"/>
          <w:bCs w:val="1"/>
          <w:color w:val="auto"/>
        </w:rPr>
        <w:t>Power of Attorney</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24"/>
          <w:szCs w:val="24"/>
          <w:color w:val="auto"/>
        </w:rPr>
        <w:t>Know all by these presents that the undersigned hereby constitutes and appoints each of Joel M. Williams and</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4"/>
          <w:szCs w:val="24"/>
          <w:color w:val="auto"/>
        </w:rPr>
        <w:t>Mark D. Gross, signing singly, the undersigned’s true and lawful attorney-in-fact to:</w:t>
      </w:r>
    </w:p>
    <w:p>
      <w:pPr>
        <w:spacing w:after="0" w:line="208" w:lineRule="exact"/>
        <w:rPr>
          <w:sz w:val="20"/>
          <w:szCs w:val="20"/>
          <w:color w:val="auto"/>
        </w:rPr>
      </w:pPr>
    </w:p>
    <w:p>
      <w:pPr>
        <w:ind w:left="1100" w:hanging="648"/>
        <w:spacing w:after="0" w:line="241" w:lineRule="auto"/>
        <w:tabs>
          <w:tab w:leader="none" w:pos="1100" w:val="left"/>
        </w:tabs>
        <w:numPr>
          <w:ilvl w:val="0"/>
          <w:numId w:val="4"/>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obtain credentials (including codes or passwords) enabling the undersigned to make filings with the United States Securities and Exchange Commission (the “SEC”), including (a) preparing, executing in the undersigned’s name and on the undersigned’s behalf, and submitting to the SEC a Form ID (and any amendments thereto) or any other documents necessary or appropriate to obtain such credentials and legally binding the undersigned for purpose of the Form ID or such other documents; and (b) enrolling the undersigned in EDGAR Next or any successor filing system;</w:t>
      </w:r>
    </w:p>
    <w:p>
      <w:pPr>
        <w:spacing w:after="0" w:line="198" w:lineRule="exact"/>
        <w:rPr>
          <w:rFonts w:ascii="Times New Roman" w:cs="Times New Roman" w:eastAsia="Times New Roman" w:hAnsi="Times New Roman"/>
          <w:sz w:val="24"/>
          <w:szCs w:val="24"/>
          <w:color w:val="auto"/>
        </w:rPr>
      </w:pPr>
    </w:p>
    <w:p>
      <w:pPr>
        <w:ind w:left="1100" w:right="40" w:hanging="648"/>
        <w:spacing w:after="0" w:line="241" w:lineRule="auto"/>
        <w:tabs>
          <w:tab w:leader="none" w:pos="1100" w:val="left"/>
        </w:tabs>
        <w:numPr>
          <w:ilvl w:val="0"/>
          <w:numId w:val="4"/>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act as an account administrator for the undersigned’s EDGAR account, including (a) appointing, removing and replacing account administrators, technical administrators, account users, and delegated entities; (b) maintaining the security of filer’s EDGAR account, including modification of access codes; (c) maintaining, modifying and certifying the accuracy of information on the undersigned’s EDGAR account dashboard; and (d) taking any other actions contemplated by Rule 10 of Regulation S-T;</w:t>
      </w:r>
    </w:p>
    <w:p>
      <w:pPr>
        <w:spacing w:after="0" w:line="198" w:lineRule="exact"/>
        <w:rPr>
          <w:rFonts w:ascii="Times New Roman" w:cs="Times New Roman" w:eastAsia="Times New Roman" w:hAnsi="Times New Roman"/>
          <w:sz w:val="24"/>
          <w:szCs w:val="24"/>
          <w:color w:val="auto"/>
        </w:rPr>
      </w:pPr>
    </w:p>
    <w:p>
      <w:pPr>
        <w:ind w:left="1100" w:right="40" w:hanging="648"/>
        <w:spacing w:after="0" w:line="245" w:lineRule="auto"/>
        <w:tabs>
          <w:tab w:leader="none" w:pos="1100" w:val="left"/>
        </w:tabs>
        <w:numPr>
          <w:ilvl w:val="0"/>
          <w:numId w:val="4"/>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cause World Kinect Corporation (the “Company”) to accept a delegation of authority from the undersigned’s EDGAR account administrators and authorize the Company’s EDGAR account administrators pursuant to that delegated entity designation to appoint, remove or replace users for the undersigned’s EDGAR account; and</w:t>
      </w:r>
    </w:p>
    <w:p>
      <w:pPr>
        <w:spacing w:after="0" w:line="193" w:lineRule="exact"/>
        <w:rPr>
          <w:rFonts w:ascii="Times New Roman" w:cs="Times New Roman" w:eastAsia="Times New Roman" w:hAnsi="Times New Roman"/>
          <w:sz w:val="24"/>
          <w:szCs w:val="24"/>
          <w:color w:val="auto"/>
        </w:rPr>
      </w:pPr>
    </w:p>
    <w:p>
      <w:pPr>
        <w:ind w:left="1100" w:right="400" w:hanging="648"/>
        <w:spacing w:after="0" w:line="242" w:lineRule="auto"/>
        <w:tabs>
          <w:tab w:leader="none" w:pos="1100" w:val="left"/>
        </w:tabs>
        <w:numPr>
          <w:ilvl w:val="0"/>
          <w:numId w:val="4"/>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execute for and on behalf of the undersigned, in the undersigned’s capacity as an officer and/or director of the Company, (a) Forms 3, 4 and 5 in accordance with Section 16(a) of the Securities Exchange Act of 1934, as amended (the “Exchange Act”), and the rules thereunder, and (b) Forms 144 under the Securities Act of 1933, as amended, and the rules thereunder (collectively, the “Required Filings”);</w:t>
      </w:r>
    </w:p>
    <w:p>
      <w:pPr>
        <w:spacing w:after="0" w:line="199" w:lineRule="exact"/>
        <w:rPr>
          <w:rFonts w:ascii="Times New Roman" w:cs="Times New Roman" w:eastAsia="Times New Roman" w:hAnsi="Times New Roman"/>
          <w:sz w:val="24"/>
          <w:szCs w:val="24"/>
          <w:color w:val="auto"/>
        </w:rPr>
      </w:pPr>
    </w:p>
    <w:p>
      <w:pPr>
        <w:ind w:left="1100" w:right="240" w:hanging="648"/>
        <w:spacing w:after="0" w:line="245" w:lineRule="auto"/>
        <w:tabs>
          <w:tab w:leader="none" w:pos="1100" w:val="left"/>
        </w:tabs>
        <w:numPr>
          <w:ilvl w:val="0"/>
          <w:numId w:val="4"/>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do and perform any and all acts for and on behalf of the undersigned which may be necessary or desirable to complete and execute any such Required Filings, complete and execute any amendment or amendments thereto, and timely file such form with the SEC and any stock exchange or similar authority;</w:t>
      </w:r>
    </w:p>
    <w:p>
      <w:pPr>
        <w:spacing w:after="0" w:line="193" w:lineRule="exact"/>
        <w:rPr>
          <w:rFonts w:ascii="Times New Roman" w:cs="Times New Roman" w:eastAsia="Times New Roman" w:hAnsi="Times New Roman"/>
          <w:sz w:val="24"/>
          <w:szCs w:val="24"/>
          <w:color w:val="auto"/>
        </w:rPr>
      </w:pPr>
    </w:p>
    <w:p>
      <w:pPr>
        <w:ind w:left="1100" w:right="80" w:hanging="648"/>
        <w:spacing w:after="0" w:line="242" w:lineRule="auto"/>
        <w:tabs>
          <w:tab w:leader="none" w:pos="1100" w:val="left"/>
        </w:tabs>
        <w:numPr>
          <w:ilvl w:val="0"/>
          <w:numId w:val="4"/>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199"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24"/>
          <w:szCs w:val="24"/>
          <w:color w:val="auto"/>
        </w:rPr>
        <w:t>The undersigned hereby grants to each such attorney-in-fact full power and authority to do and perform any and every act and thing whatsoever requisite, necessary, or proper to be done in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1104265</wp:posOffset>
            </wp:positionV>
            <wp:extent cx="6972300" cy="444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6972300" cy="44450"/>
                    </a:xfrm>
                    <a:prstGeom prst="rect">
                      <a:avLst/>
                    </a:prstGeom>
                    <a:noFill/>
                  </pic:spPr>
                </pic:pic>
              </a:graphicData>
            </a:graphic>
          </wp:anchor>
        </w:drawing>
      </w:r>
    </w:p>
    <w:p>
      <w:pPr>
        <w:sectPr>
          <w:pgSz w:w="11900" w:h="16838" w:orient="portrait"/>
          <w:cols w:equalWidth="0" w:num="1">
            <w:col w:w="10940"/>
          </w:cols>
          <w:pgMar w:left="480" w:top="1440" w:right="479" w:bottom="1440" w:gutter="0" w:footer="0" w:header="0"/>
        </w:sectPr>
      </w:pPr>
    </w:p>
    <w:bookmarkStart w:id="2" w:name="page3"/>
    <w:bookmarkEnd w:id="2"/>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24"/>
          <w:szCs w:val="24"/>
          <w:color w:val="auto"/>
        </w:rPr>
        <w:t>exercise of any of the rights and powers herein granted, as fully to all intents and purposes as the undersigned might or could do if personally present, with full power of substitution and resubstitution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of the Exchange Act.</w:t>
      </w:r>
    </w:p>
    <w:p>
      <w:pPr>
        <w:spacing w:after="0" w:line="199" w:lineRule="exact"/>
        <w:rPr>
          <w:sz w:val="20"/>
          <w:szCs w:val="20"/>
          <w:color w:val="auto"/>
        </w:rPr>
      </w:pPr>
    </w:p>
    <w:p>
      <w:pPr>
        <w:ind w:right="160"/>
        <w:spacing w:after="0" w:line="245" w:lineRule="auto"/>
        <w:rPr>
          <w:sz w:val="20"/>
          <w:szCs w:val="20"/>
          <w:color w:val="auto"/>
        </w:rPr>
      </w:pPr>
      <w:r>
        <w:rPr>
          <w:rFonts w:ascii="Times New Roman" w:cs="Times New Roman" w:eastAsia="Times New Roman" w:hAnsi="Times New Roman"/>
          <w:sz w:val="24"/>
          <w:szCs w:val="24"/>
          <w:color w:val="auto"/>
        </w:rPr>
        <w:t>This Power of Attorney shall remain in full force and effect until the undersigned is no longer required to file Forms 3, 4 and 5 or Forms 144 with respect to the undersigned’s holdings of, and transactions in, securities issued by the Company, unless earlier revoked by the undersigned in a signed writing delivered to the foregoing attorneys-in-fact.</w:t>
      </w:r>
    </w:p>
    <w:p>
      <w:pPr>
        <w:spacing w:after="0" w:line="194"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24"/>
          <w:szCs w:val="24"/>
          <w:color w:val="auto"/>
        </w:rPr>
        <w:t>IN WITNESS WHEREOF, the undersigned has caused this Power of Attorney to be executed effective as of 7-21, 2025.</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4"/>
          <w:szCs w:val="24"/>
          <w:u w:val="single" w:color="auto"/>
          <w:color w:val="auto"/>
        </w:rPr>
        <w:t>/s/ Greg Piper</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24"/>
          <w:szCs w:val="24"/>
          <w:color w:val="auto"/>
        </w:rPr>
        <w:t>Name: Greg Piper</w:t>
      </w: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4"/>
          <w:szCs w:val="24"/>
          <w:color w:val="auto"/>
        </w:rPr>
        <w:t>Notary Seal to be placed below:</w:t>
      </w:r>
    </w:p>
    <w:p>
      <w:pPr>
        <w:spacing w:after="0" w:line="204"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24"/>
          <w:szCs w:val="24"/>
          <w:u w:val="single" w:color="auto"/>
          <w:color w:val="auto"/>
        </w:rPr>
        <w:t>/s/ Stevie R. Powers</w:t>
      </w:r>
    </w:p>
    <w:p>
      <w:pPr>
        <w:spacing w:after="0" w:line="20"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24"/>
          <w:szCs w:val="24"/>
          <w:color w:val="auto"/>
        </w:rPr>
        <w:t>Notary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1301115</wp:posOffset>
            </wp:positionV>
            <wp:extent cx="6972300" cy="444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6972300" cy="44450"/>
                    </a:xfrm>
                    <a:prstGeom prst="rect">
                      <a:avLst/>
                    </a:prstGeom>
                    <a:noFill/>
                  </pic:spPr>
                </pic:pic>
              </a:graphicData>
            </a:graphic>
          </wp:anchor>
        </w:drawing>
      </w:r>
    </w:p>
    <w:sectPr>
      <w:pgSz w:w="11900" w:h="16838" w:orient="portrait"/>
      <w:cols w:equalWidth="0" w:num="1">
        <w:col w:w="10920"/>
      </w:cols>
      <w:pgMar w:left="480" w:top="1440" w:right="4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4"/>
    </w:lvl>
  </w:abstractNum>
  <w:abstractNum w:abstractNumId="1">
    <w:nsid w:val="19495CFF"/>
    <w:multiLevelType w:val="hybridMultilevel"/>
    <w:lvl w:ilvl="0">
      <w:lvlJc w:val="left"/>
      <w:lvlText w:val="%1."/>
      <w:numFmt w:val="decimal"/>
      <w:start w:val="5"/>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0" Type="http://schemas.openxmlformats.org/officeDocument/2006/relationships/hyperlink" Target="http://www.sec.gov/cgi-bin/browse-edgar?action=getcompany&amp;CIK=0002079839" TargetMode="External"/><Relationship Id="rId11" Type="http://schemas.openxmlformats.org/officeDocument/2006/relationships/hyperlink" Target="http://www.sec.gov/cgi-bin/browse-edgar?action=getcompany&amp;CIK=000078946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2025-08-04T20:05:10Z</dcterms:created>
  <dcterms:modified xsi:type="dcterms:W3CDTF">2025-08-04T20:05:10Z</dcterms:modified>
</cp:coreProperties>
</file>