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w:t>
      </w:r>
      <w:r>
        <w:rPr>
          <w:rFonts w:ascii="Arial" w:cs="Arial" w:eastAsia="Arial" w:hAnsi="Arial"/>
          <w:sz w:val="22"/>
          <w:szCs w:val="22"/>
          <w:b w:val="1"/>
          <w:bCs w:val="1"/>
          <w:u w:val="single" w:color="auto"/>
          <w:color w:val="auto"/>
        </w:rPr>
        <w:t>X</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188" w:lineRule="exact"/>
        <w:rPr>
          <w:sz w:val="24"/>
          <w:szCs w:val="24"/>
          <w:color w:val="auto"/>
        </w:rPr>
      </w:pPr>
    </w:p>
    <w:p>
      <w:pPr>
        <w:ind w:left="4180"/>
        <w:spacing w:after="0"/>
        <w:rPr>
          <w:sz w:val="20"/>
          <w:szCs w:val="20"/>
          <w:color w:val="auto"/>
        </w:rPr>
      </w:pPr>
      <w:r>
        <w:rPr>
          <w:rFonts w:ascii="Arial" w:cs="Arial" w:eastAsia="Arial" w:hAnsi="Arial"/>
          <w:sz w:val="22"/>
          <w:szCs w:val="22"/>
          <w:color w:val="auto"/>
        </w:rPr>
        <w:t>WORLD FUEL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60" w:firstLine="8"/>
        <w:spacing w:after="0" w:line="456" w:lineRule="auto"/>
        <w:tabs>
          <w:tab w:leader="none" w:pos="408" w:val="left"/>
        </w:tabs>
        <w:numPr>
          <w:ilvl w:val="0"/>
          <w:numId w:val="1"/>
        </w:numPr>
        <w:rPr>
          <w:rFonts w:ascii="Arial" w:cs="Arial" w:eastAsia="Arial" w:hAnsi="Arial"/>
          <w:sz w:val="21"/>
          <w:szCs w:val="21"/>
          <w:color w:val="auto"/>
        </w:rPr>
      </w:pPr>
      <w:r>
        <w:rPr>
          <w:rFonts w:ascii="Arial" w:cs="Arial" w:eastAsia="Arial" w:hAnsi="Arial"/>
          <w:sz w:val="21"/>
          <w:szCs w:val="21"/>
          <w:color w:val="auto"/>
        </w:rPr>
        <w:t>Rule 13d-1(b) [ ] Rule 13d-1(c) [ ] Rule 13d-1(d).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CUSIP No. 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8" w:lineRule="exact"/>
        <w:rPr>
          <w:rFonts w:ascii="Arial" w:cs="Arial" w:eastAsia="Arial" w:hAnsi="Arial"/>
          <w:sz w:val="22"/>
          <w:szCs w:val="22"/>
          <w:color w:val="auto"/>
        </w:rPr>
      </w:pPr>
    </w:p>
    <w:p>
      <w:pPr>
        <w:ind w:left="94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188" w:lineRule="exact"/>
        <w:rPr>
          <w:sz w:val="24"/>
          <w:szCs w:val="24"/>
          <w:color w:val="auto"/>
        </w:rPr>
      </w:pPr>
    </w:p>
    <w:p>
      <w:pPr>
        <w:ind w:left="202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spacing w:after="0"/>
        <w:tabs>
          <w:tab w:leader="none" w:pos="0" w:val="left"/>
        </w:tabs>
        <w:numPr>
          <w:ilvl w:val="1"/>
          <w:numId w:val="3"/>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2020" w:hanging="1080"/>
        <w:spacing w:after="0"/>
        <w:tabs>
          <w:tab w:leader="none" w:pos="202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940" w:hanging="547"/>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4"/>
          <w:szCs w:val="24"/>
          <w:color w:val="auto"/>
        </w:rPr>
      </w:pPr>
    </w:p>
    <w:p>
      <w:pPr>
        <w:ind w:left="202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51" w:orient="portrait"/>
          <w:cols w:equalWidth="0" w:num="1">
            <w:col w:w="11360"/>
          </w:cols>
          <w:pgMar w:left="240" w:top="220"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00"/>
        <w:spacing w:after="0"/>
        <w:tabs>
          <w:tab w:leader="none" w:pos="348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Sole Voting Power</w:t>
      </w:r>
    </w:p>
    <w:p>
      <w:pPr>
        <w:sectPr>
          <w:pgSz w:w="11900" w:h="16851" w:orient="portrait"/>
          <w:cols w:equalWidth="0" w:num="1">
            <w:col w:w="11360"/>
          </w:cols>
          <w:pgMar w:left="240" w:top="220"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5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723970  **see Note 1**</w:t>
            </w:r>
          </w:p>
        </w:tc>
        <w:tc>
          <w:tcPr>
            <w:tcW w:w="0" w:type="dxa"/>
            <w:vAlign w:val="bottom"/>
          </w:tcPr>
          <w:p>
            <w:pPr>
              <w:spacing w:after="0"/>
              <w:rPr>
                <w:sz w:val="1"/>
                <w:szCs w:val="1"/>
                <w:color w:val="auto"/>
              </w:rPr>
            </w:pPr>
          </w:p>
        </w:tc>
      </w:tr>
      <w:tr>
        <w:trPr>
          <w:trHeight w:val="239"/>
        </w:trPr>
        <w:tc>
          <w:tcPr>
            <w:tcW w:w="15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Shares</w:t>
            </w:r>
          </w:p>
        </w:tc>
        <w:tc>
          <w:tcPr>
            <w:tcW w:w="4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22"/>
                <w:szCs w:val="22"/>
                <w:color w:val="auto"/>
              </w:rPr>
              <w:t>6.</w:t>
            </w:r>
          </w:p>
        </w:tc>
        <w:tc>
          <w:tcPr>
            <w:tcW w:w="8600" w:type="dxa"/>
            <w:vAlign w:val="bottom"/>
            <w:vMerge w:val="restart"/>
          </w:tcPr>
          <w:p>
            <w:pPr>
              <w:ind w:left="66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80"/>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1300" w:type="dxa"/>
            <w:vAlign w:val="bottom"/>
            <w:gridSpan w:val="2"/>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5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0" w:type="dxa"/>
            <w:vAlign w:val="bottom"/>
            <w:vMerge w:val="restart"/>
          </w:tcPr>
          <w:p>
            <w:pPr>
              <w:ind w:left="14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3"/>
        </w:trPr>
        <w:tc>
          <w:tcPr>
            <w:tcW w:w="154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line="224" w:lineRule="exact"/>
              <w:rPr>
                <w:sz w:val="20"/>
                <w:szCs w:val="20"/>
                <w:color w:val="auto"/>
              </w:rPr>
            </w:pPr>
            <w:r>
              <w:rPr>
                <w:rFonts w:ascii="Arial" w:cs="Arial" w:eastAsia="Arial" w:hAnsi="Arial"/>
                <w:sz w:val="22"/>
                <w:szCs w:val="22"/>
                <w:color w:val="auto"/>
              </w:rPr>
              <w:t>Person With</w:t>
            </w:r>
          </w:p>
        </w:tc>
        <w:tc>
          <w:tcPr>
            <w:tcW w:w="4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22"/>
                <w:szCs w:val="22"/>
                <w:color w:val="auto"/>
              </w:rPr>
              <w:t>7.</w:t>
            </w:r>
          </w:p>
        </w:tc>
        <w:tc>
          <w:tcPr>
            <w:tcW w:w="8600" w:type="dxa"/>
            <w:vAlign w:val="bottom"/>
          </w:tcPr>
          <w:p>
            <w:pPr>
              <w:ind w:left="66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723970  **see Note 1**</w:t>
            </w:r>
          </w:p>
        </w:tc>
        <w:tc>
          <w:tcPr>
            <w:tcW w:w="0" w:type="dxa"/>
            <w:vAlign w:val="bottom"/>
          </w:tcPr>
          <w:p>
            <w:pPr>
              <w:spacing w:after="0"/>
              <w:rPr>
                <w:sz w:val="1"/>
                <w:szCs w:val="1"/>
                <w:color w:val="auto"/>
              </w:rPr>
            </w:pPr>
          </w:p>
        </w:tc>
      </w:tr>
      <w:tr>
        <w:trPr>
          <w:trHeight w:val="314"/>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54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22"/>
                <w:szCs w:val="22"/>
                <w:color w:val="auto"/>
              </w:rPr>
              <w:t>8.</w:t>
            </w:r>
          </w:p>
        </w:tc>
        <w:tc>
          <w:tcPr>
            <w:tcW w:w="8600" w:type="dxa"/>
            <w:vAlign w:val="bottom"/>
          </w:tcPr>
          <w:p>
            <w:pPr>
              <w:ind w:left="66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0" w:type="dxa"/>
            <w:vAlign w:val="bottom"/>
          </w:tcPr>
          <w:p>
            <w:pPr>
              <w:ind w:left="14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right="4620" w:hanging="1506"/>
        <w:spacing w:after="0" w:line="456" w:lineRule="auto"/>
        <w:tabs>
          <w:tab w:leader="none" w:pos="1055"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723970 **see Note 1**</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960" w:right="2740" w:hanging="1500"/>
        <w:spacing w:after="0" w:line="456" w:lineRule="auto"/>
        <w:tabs>
          <w:tab w:leader="none" w:pos="1177"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-810260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3" w:lineRule="exact"/>
        <w:rPr>
          <w:sz w:val="20"/>
          <w:szCs w:val="20"/>
          <w:color w:val="auto"/>
        </w:rPr>
      </w:pPr>
    </w:p>
    <w:p>
      <w:pPr>
        <w:ind w:left="1960" w:right="5700" w:hanging="1496"/>
        <w:spacing w:after="0" w:line="456" w:lineRule="auto"/>
        <w:tabs>
          <w:tab w:leader="none" w:pos="1177"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6.77</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180" w:hanging="720"/>
        <w:spacing w:after="0"/>
        <w:tabs>
          <w:tab w:leader="none" w:pos="11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1960" w:hanging="777"/>
        <w:spacing w:after="0"/>
        <w:tabs>
          <w:tab w:leader="none" w:pos="1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700 S Royal Poinciana Blvd Ste 800, Miami Springs, FL 33166-6668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960" w:hanging="777"/>
        <w:spacing w:after="0"/>
        <w:tabs>
          <w:tab w:leader="none" w:pos="19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hanging="777"/>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w:t>
      </w:r>
    </w:p>
    <w:p>
      <w:pPr>
        <w:sectPr>
          <w:pgSz w:w="11900" w:h="16838" w:orient="portrait"/>
          <w:cols w:equalWidth="0" w:num="1">
            <w:col w:w="11440"/>
          </w:cols>
          <w:pgMar w:left="240" w:top="334" w:right="219" w:bottom="0" w:gutter="0" w:footer="0" w:header="0"/>
        </w:sectPr>
      </w:pPr>
    </w:p>
    <w:bookmarkStart w:id="2" w:name="page3"/>
    <w:bookmarkEnd w:id="2"/>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Delaware Corporation</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(d)</w:t>
            </w:r>
          </w:p>
        </w:tc>
        <w:tc>
          <w:tcPr>
            <w:tcW w:w="9560" w:type="dxa"/>
            <w:vAlign w:val="bottom"/>
            <w:gridSpan w:val="3"/>
          </w:tcPr>
          <w:p>
            <w:pPr>
              <w:ind w:left="260"/>
              <w:spacing w:after="0"/>
              <w:rPr>
                <w:sz w:val="20"/>
                <w:szCs w:val="20"/>
                <w:color w:val="auto"/>
              </w:rPr>
            </w:pPr>
            <w:r>
              <w:rPr>
                <w:rFonts w:ascii="Arial" w:cs="Arial" w:eastAsia="Arial" w:hAnsi="Arial"/>
                <w:sz w:val="22"/>
                <w:szCs w:val="22"/>
                <w:color w:val="auto"/>
              </w:rPr>
              <w:t>Title of Class of Securities</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Common Stock</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(e)</w:t>
            </w:r>
          </w:p>
        </w:tc>
        <w:tc>
          <w:tcPr>
            <w:tcW w:w="9560" w:type="dxa"/>
            <w:vAlign w:val="bottom"/>
            <w:gridSpan w:val="3"/>
          </w:tcPr>
          <w:p>
            <w:pPr>
              <w:ind w:left="260"/>
              <w:spacing w:after="0"/>
              <w:rPr>
                <w:sz w:val="20"/>
                <w:szCs w:val="20"/>
                <w:color w:val="auto"/>
              </w:rPr>
            </w:pPr>
            <w:r>
              <w:rPr>
                <w:rFonts w:ascii="Arial" w:cs="Arial" w:eastAsia="Arial" w:hAnsi="Arial"/>
                <w:sz w:val="22"/>
                <w:szCs w:val="22"/>
                <w:color w:val="auto"/>
              </w:rPr>
              <w:t>CUSIP Number</w:t>
            </w:r>
          </w:p>
        </w:tc>
      </w:tr>
      <w:tr>
        <w:trPr>
          <w:trHeight w:val="459"/>
        </w:trPr>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981475106</w:t>
            </w:r>
          </w:p>
        </w:tc>
      </w:tr>
      <w:tr>
        <w:trPr>
          <w:trHeight w:val="675"/>
        </w:trPr>
        <w:tc>
          <w:tcPr>
            <w:tcW w:w="900" w:type="dxa"/>
            <w:vAlign w:val="bottom"/>
          </w:tcPr>
          <w:p>
            <w:pPr>
              <w:spacing w:after="0"/>
              <w:rPr>
                <w:sz w:val="20"/>
                <w:szCs w:val="20"/>
                <w:color w:val="auto"/>
              </w:rPr>
            </w:pPr>
            <w:r>
              <w:rPr>
                <w:rFonts w:ascii="Arial" w:cs="Arial" w:eastAsia="Arial" w:hAnsi="Arial"/>
                <w:sz w:val="22"/>
                <w:szCs w:val="22"/>
                <w:color w:val="auto"/>
              </w:rPr>
              <w:t>Item 3.</w:t>
            </w:r>
          </w:p>
        </w:tc>
        <w:tc>
          <w:tcPr>
            <w:tcW w:w="10360" w:type="dxa"/>
            <w:vAlign w:val="bottom"/>
            <w:gridSpan w:val="4"/>
          </w:tcPr>
          <w:p>
            <w:pPr>
              <w:ind w:left="280"/>
              <w:spacing w:after="0"/>
              <w:rPr>
                <w:sz w:val="20"/>
                <w:szCs w:val="20"/>
                <w:color w:val="auto"/>
              </w:rPr>
            </w:pPr>
            <w:r>
              <w:rPr>
                <w:rFonts w:ascii="Arial" w:cs="Arial" w:eastAsia="Arial" w:hAnsi="Arial"/>
                <w:sz w:val="22"/>
                <w:szCs w:val="22"/>
                <w:color w:val="auto"/>
                <w:w w:val="93"/>
              </w:rPr>
              <w:t>If this statement is filed pursuant to §§240.13d-1(b) or 240.13d-2(b) or (c), check whether the person filing is a:</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(a)</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(b)</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Bank as defined in section 3(a)(6) of the Act (15 U.S.C. 78c).</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(c)</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(d)</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4"/>
              </w:rPr>
              <w:t>Investment company registered under section 8 of the Investment Company Act of 1940 (15</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U.S.C. 80a-8).</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(e)</w:t>
            </w:r>
          </w:p>
        </w:tc>
        <w:tc>
          <w:tcPr>
            <w:tcW w:w="840" w:type="dxa"/>
            <w:vAlign w:val="bottom"/>
            <w:gridSpan w:val="2"/>
          </w:tcPr>
          <w:p>
            <w:pPr>
              <w:ind w:left="260"/>
              <w:spacing w:after="0"/>
              <w:rPr>
                <w:sz w:val="20"/>
                <w:szCs w:val="20"/>
                <w:color w:val="auto"/>
              </w:rPr>
            </w:pPr>
            <w:r>
              <w:rPr>
                <w:rFonts w:ascii="Arial" w:cs="Arial" w:eastAsia="Arial" w:hAnsi="Arial"/>
                <w:sz w:val="22"/>
                <w:szCs w:val="22"/>
                <w:color w:val="auto"/>
              </w:rPr>
              <w:t>[X]</w:t>
            </w:r>
          </w:p>
        </w:tc>
        <w:tc>
          <w:tcPr>
            <w:tcW w:w="8720" w:type="dxa"/>
            <w:vAlign w:val="bottom"/>
          </w:tcPr>
          <w:p>
            <w:pPr>
              <w:ind w:left="280"/>
              <w:spacing w:after="0"/>
              <w:rPr>
                <w:sz w:val="20"/>
                <w:szCs w:val="20"/>
                <w:color w:val="auto"/>
              </w:rPr>
            </w:pPr>
            <w:r>
              <w:rPr>
                <w:rFonts w:ascii="Arial" w:cs="Arial" w:eastAsia="Arial" w:hAnsi="Arial"/>
                <w:sz w:val="22"/>
                <w:szCs w:val="22"/>
                <w:color w:val="auto"/>
              </w:rPr>
              <w:t>An investment adviser in accordance with §240.13d-1(b)(1)(ii)(E);</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(f)</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7"/>
              </w:rPr>
              <w:t>An employee benefit plan or endowment fund in accordance with §240.13d-1(b)(1)(ii)(F);</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(g)</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8"/>
              </w:rPr>
              <w:t>A parent holding company or control person in accordance with § 240.13d-1(b)(1)(ii)(G);</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(h)</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88"/>
              </w:rPr>
              <w:t>A savings associations as defined in Section 3(b) of the Federal Deposit Insurance Act (12 U.S.C.</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1813);</w:t>
            </w:r>
          </w:p>
        </w:tc>
      </w:tr>
      <w:tr>
        <w:trPr>
          <w:trHeight w:val="428"/>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(i)</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w w:val="91"/>
              </w:rPr>
              <w:t>A church plan that is excluded from the definition of an investment company under section 3(c)</w:t>
            </w:r>
          </w:p>
        </w:tc>
      </w:tr>
      <w:tr>
        <w:trPr>
          <w:trHeight w:val="275"/>
        </w:trPr>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720" w:type="dxa"/>
            <w:vAlign w:val="bottom"/>
          </w:tcPr>
          <w:p>
            <w:pPr>
              <w:ind w:left="280"/>
              <w:spacing w:after="0"/>
              <w:rPr>
                <w:sz w:val="20"/>
                <w:szCs w:val="20"/>
                <w:color w:val="auto"/>
              </w:rPr>
            </w:pPr>
            <w:r>
              <w:rPr>
                <w:rFonts w:ascii="Arial" w:cs="Arial" w:eastAsia="Arial" w:hAnsi="Arial"/>
                <w:sz w:val="22"/>
                <w:szCs w:val="22"/>
                <w:color w:val="auto"/>
              </w:rPr>
              <w:t>(14) of the Investment Company Act of 1940 (15 U.S.C. 80a-3);</w:t>
            </w:r>
          </w:p>
        </w:tc>
      </w:tr>
      <w:tr>
        <w:trPr>
          <w:trHeight w:val="459"/>
        </w:trPr>
        <w:tc>
          <w:tcPr>
            <w:tcW w:w="9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(j)</w:t>
            </w:r>
          </w:p>
        </w:tc>
        <w:tc>
          <w:tcPr>
            <w:tcW w:w="500" w:type="dxa"/>
            <w:vAlign w:val="bottom"/>
          </w:tcPr>
          <w:p>
            <w:pPr>
              <w:ind w:left="260"/>
              <w:spacing w:after="0"/>
              <w:rPr>
                <w:sz w:val="20"/>
                <w:szCs w:val="20"/>
                <w:color w:val="auto"/>
              </w:rPr>
            </w:pPr>
            <w:r>
              <w:rPr>
                <w:rFonts w:ascii="Arial" w:cs="Arial" w:eastAsia="Arial" w:hAnsi="Arial"/>
                <w:sz w:val="22"/>
                <w:szCs w:val="22"/>
                <w:color w:val="auto"/>
              </w:rPr>
              <w:t>[</w:t>
            </w:r>
          </w:p>
        </w:tc>
        <w:tc>
          <w:tcPr>
            <w:tcW w:w="34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8720" w:type="dxa"/>
            <w:vAlign w:val="bottom"/>
          </w:tcPr>
          <w:p>
            <w:pPr>
              <w:ind w:left="280"/>
              <w:spacing w:after="0"/>
              <w:rPr>
                <w:sz w:val="20"/>
                <w:szCs w:val="20"/>
                <w:color w:val="auto"/>
              </w:rPr>
            </w:pPr>
            <w:r>
              <w:rPr>
                <w:rFonts w:ascii="Arial" w:cs="Arial" w:eastAsia="Arial" w:hAnsi="Arial"/>
                <w:sz w:val="22"/>
                <w:szCs w:val="22"/>
                <w:color w:val="auto"/>
              </w:rPr>
              <w:t>Group, in accordance with §240.13d-1(b)(1)(ii)(J).</w:t>
            </w:r>
          </w:p>
        </w:tc>
      </w:tr>
      <w:tr>
        <w:trPr>
          <w:trHeight w:val="675"/>
        </w:trPr>
        <w:tc>
          <w:tcPr>
            <w:tcW w:w="900" w:type="dxa"/>
            <w:vAlign w:val="bottom"/>
          </w:tcPr>
          <w:p>
            <w:pPr>
              <w:spacing w:after="0"/>
              <w:rPr>
                <w:sz w:val="20"/>
                <w:szCs w:val="20"/>
                <w:color w:val="auto"/>
              </w:rPr>
            </w:pPr>
            <w:r>
              <w:rPr>
                <w:rFonts w:ascii="Arial" w:cs="Arial" w:eastAsia="Arial" w:hAnsi="Arial"/>
                <w:sz w:val="22"/>
                <w:szCs w:val="22"/>
                <w:color w:val="auto"/>
              </w:rPr>
              <w:t>Item 4.</w:t>
            </w:r>
          </w:p>
        </w:tc>
        <w:tc>
          <w:tcPr>
            <w:tcW w:w="1300" w:type="dxa"/>
            <w:vAlign w:val="bottom"/>
            <w:gridSpan w:val="2"/>
          </w:tcPr>
          <w:p>
            <w:pPr>
              <w:ind w:left="280"/>
              <w:spacing w:after="0"/>
              <w:rPr>
                <w:sz w:val="20"/>
                <w:szCs w:val="20"/>
                <w:color w:val="auto"/>
              </w:rPr>
            </w:pPr>
            <w:r>
              <w:rPr>
                <w:rFonts w:ascii="Arial" w:cs="Arial" w:eastAsia="Arial" w:hAnsi="Arial"/>
                <w:sz w:val="22"/>
                <w:szCs w:val="22"/>
                <w:color w:val="auto"/>
                <w:w w:val="89"/>
              </w:rPr>
              <w:t>Ownership.</w:t>
            </w:r>
          </w:p>
        </w:tc>
        <w:tc>
          <w:tcPr>
            <w:tcW w:w="340" w:type="dxa"/>
            <w:vAlign w:val="bottom"/>
          </w:tcPr>
          <w:p>
            <w:pPr>
              <w:spacing w:after="0"/>
              <w:rPr>
                <w:sz w:val="24"/>
                <w:szCs w:val="24"/>
                <w:color w:val="auto"/>
              </w:rPr>
            </w:pPr>
          </w:p>
        </w:tc>
        <w:tc>
          <w:tcPr>
            <w:tcW w:w="8720" w:type="dxa"/>
            <w:vAlign w:val="bottom"/>
          </w:tcPr>
          <w:p>
            <w:pPr>
              <w:spacing w:after="0"/>
              <w:rPr>
                <w:sz w:val="24"/>
                <w:szCs w:val="24"/>
                <w:color w:val="auto"/>
              </w:rPr>
            </w:pPr>
          </w:p>
        </w:tc>
      </w:tr>
    </w:tbl>
    <w:p>
      <w:pPr>
        <w:spacing w:after="0" w:line="185"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73" w:lineRule="exact"/>
        <w:rPr>
          <w:sz w:val="20"/>
          <w:szCs w:val="20"/>
          <w:color w:val="auto"/>
        </w:rPr>
      </w:pPr>
    </w:p>
    <w:p>
      <w:pPr>
        <w:ind w:left="2740" w:right="6400" w:hanging="1571"/>
        <w:spacing w:after="0" w:line="456" w:lineRule="auto"/>
        <w:tabs>
          <w:tab w:leader="none" w:pos="1903" w:val="left"/>
        </w:tabs>
        <w:numPr>
          <w:ilvl w:val="0"/>
          <w:numId w:val="11"/>
        </w:numPr>
        <w:rPr>
          <w:rFonts w:ascii="Arial" w:cs="Arial" w:eastAsia="Arial" w:hAnsi="Arial"/>
          <w:sz w:val="21"/>
          <w:szCs w:val="21"/>
          <w:color w:val="auto"/>
        </w:rPr>
      </w:pPr>
      <w:r>
        <w:rPr>
          <w:rFonts w:ascii="Arial" w:cs="Arial" w:eastAsia="Arial" w:hAnsi="Arial"/>
          <w:sz w:val="21"/>
          <w:szCs w:val="21"/>
          <w:color w:val="auto"/>
        </w:rPr>
        <w:t>Amount beneficially owned: 723970 **see Note 1**</w:t>
      </w:r>
    </w:p>
    <w:p>
      <w:pPr>
        <w:ind w:left="1920" w:hanging="751"/>
        <w:spacing w:after="0"/>
        <w:tabs>
          <w:tab w:leader="none" w:pos="1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6.77</w:t>
      </w:r>
    </w:p>
    <w:p>
      <w:pPr>
        <w:spacing w:after="0" w:line="206" w:lineRule="exact"/>
        <w:rPr>
          <w:sz w:val="20"/>
          <w:szCs w:val="20"/>
          <w:color w:val="auto"/>
        </w:rPr>
      </w:pPr>
    </w:p>
    <w:p>
      <w:pPr>
        <w:ind w:left="1920" w:hanging="751"/>
        <w:spacing w:after="0"/>
        <w:tabs>
          <w:tab w:leader="none" w:pos="1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06" w:lineRule="exact"/>
        <w:rPr>
          <w:rFonts w:ascii="Arial" w:cs="Arial" w:eastAsia="Arial" w:hAnsi="Arial"/>
          <w:sz w:val="22"/>
          <w:szCs w:val="22"/>
          <w:color w:val="auto"/>
        </w:rPr>
      </w:pPr>
    </w:p>
    <w:p>
      <w:pPr>
        <w:ind w:left="4060" w:right="5080" w:hanging="2148"/>
        <w:spacing w:after="0" w:line="456" w:lineRule="auto"/>
        <w:tabs>
          <w:tab w:leader="none" w:pos="2372" w:val="left"/>
        </w:tabs>
        <w:numPr>
          <w:ilvl w:val="1"/>
          <w:numId w:val="12"/>
        </w:numPr>
        <w:rPr>
          <w:rFonts w:ascii="Arial" w:cs="Arial" w:eastAsia="Arial" w:hAnsi="Arial"/>
          <w:sz w:val="21"/>
          <w:szCs w:val="21"/>
          <w:color w:val="auto"/>
        </w:rPr>
      </w:pPr>
      <w:r>
        <w:rPr>
          <w:rFonts w:ascii="Arial" w:cs="Arial" w:eastAsia="Arial" w:hAnsi="Arial"/>
          <w:sz w:val="21"/>
          <w:szCs w:val="21"/>
          <w:color w:val="auto"/>
        </w:rPr>
        <w:t>Sole power to vote or to direct the vote: 723970 **see Note 1**</w:t>
      </w:r>
    </w:p>
    <w:p>
      <w:pPr>
        <w:jc w:val="center"/>
        <w:ind w:left="4060" w:right="5280" w:hanging="2148"/>
        <w:spacing w:after="0" w:line="435" w:lineRule="auto"/>
        <w:tabs>
          <w:tab w:leader="none" w:pos="23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 w:lineRule="exact"/>
        <w:rPr>
          <w:rFonts w:ascii="Arial" w:cs="Arial" w:eastAsia="Arial" w:hAnsi="Arial"/>
          <w:sz w:val="22"/>
          <w:szCs w:val="22"/>
          <w:color w:val="auto"/>
        </w:rPr>
      </w:pPr>
    </w:p>
    <w:p>
      <w:pPr>
        <w:ind w:left="4060" w:right="4400" w:hanging="2148"/>
        <w:spacing w:after="0" w:line="456" w:lineRule="auto"/>
        <w:tabs>
          <w:tab w:leader="none" w:pos="2372" w:val="left"/>
        </w:tabs>
        <w:numPr>
          <w:ilvl w:val="1"/>
          <w:numId w:val="12"/>
        </w:numPr>
        <w:rPr>
          <w:rFonts w:ascii="Arial" w:cs="Arial" w:eastAsia="Arial" w:hAnsi="Arial"/>
          <w:sz w:val="21"/>
          <w:szCs w:val="21"/>
          <w:color w:val="auto"/>
        </w:rPr>
      </w:pPr>
      <w:r>
        <w:rPr>
          <w:rFonts w:ascii="Arial" w:cs="Arial" w:eastAsia="Arial" w:hAnsi="Arial"/>
          <w:sz w:val="21"/>
          <w:szCs w:val="21"/>
          <w:color w:val="auto"/>
        </w:rPr>
        <w:t>Sole power to dispose or to direct the disposition of: 723970 **see Note 1**</w:t>
      </w:r>
    </w:p>
    <w:p>
      <w:pPr>
        <w:ind w:left="4060" w:right="4200" w:hanging="2148"/>
        <w:spacing w:after="0" w:line="456" w:lineRule="auto"/>
        <w:tabs>
          <w:tab w:leader="none" w:pos="2372"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173" w:lineRule="exact"/>
        <w:rPr>
          <w:sz w:val="20"/>
          <w:szCs w:val="20"/>
          <w:color w:val="auto"/>
        </w:rPr>
      </w:pPr>
    </w:p>
    <w:p>
      <w:pPr>
        <w:ind w:left="1160" w:firstLine="9"/>
        <w:spacing w:after="0" w:line="328" w:lineRule="auto"/>
        <w:tabs>
          <w:tab w:leader="none" w:pos="143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Note 1 ** Dimensional Fund Advisors Inc. (“Dimensional”), an investment advisor registered under Section 203 of the Investment Advisors Act of 1940, furnishes investment advice to four investment companies registered under</w:t>
      </w:r>
    </w:p>
    <w:p>
      <w:pPr>
        <w:sectPr>
          <w:pgSz w:w="11900" w:h="16987" w:orient="portrait"/>
          <w:cols w:equalWidth="0" w:num="1">
            <w:col w:w="11300"/>
          </w:cols>
          <w:pgMar w:left="240" w:top="334" w:right="359" w:bottom="0" w:gutter="0" w:footer="0" w:header="0"/>
        </w:sectPr>
      </w:pPr>
    </w:p>
    <w:bookmarkStart w:id="3" w:name="page4"/>
    <w:bookmarkEnd w:id="3"/>
    <w:p>
      <w:pPr>
        <w:ind w:left="1160"/>
        <w:spacing w:after="0" w:line="275" w:lineRule="auto"/>
        <w:rPr>
          <w:sz w:val="20"/>
          <w:szCs w:val="20"/>
          <w:color w:val="auto"/>
        </w:rPr>
      </w:pPr>
      <w:r>
        <w:rPr>
          <w:rFonts w:ascii="Arial" w:cs="Arial" w:eastAsia="Arial" w:hAnsi="Arial"/>
          <w:sz w:val="19"/>
          <w:szCs w:val="19"/>
          <w:color w:val="auto"/>
        </w:rPr>
        <w:t>the Investment Company Act of 1940, and serves as investment manager to certain other commingled group trusts and separate accounts. These investment companies, trusts and accounts are the “Funds.” In its role as investment advisor or manager, Dimensional possesses voting and/or investment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37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200" w:lineRule="exact"/>
        <w:rPr>
          <w:sz w:val="20"/>
          <w:szCs w:val="20"/>
          <w:color w:val="auto"/>
        </w:rPr>
      </w:pPr>
    </w:p>
    <w:p>
      <w:pPr>
        <w:spacing w:after="0" w:line="222" w:lineRule="exact"/>
        <w:rPr>
          <w:sz w:val="20"/>
          <w:szCs w:val="20"/>
          <w:color w:val="auto"/>
        </w:rPr>
      </w:pPr>
    </w:p>
    <w:p>
      <w:pPr>
        <w:jc w:val="both"/>
        <w:ind w:left="1160" w:right="260"/>
        <w:spacing w:after="0"/>
        <w:rPr>
          <w:sz w:val="20"/>
          <w:szCs w:val="20"/>
          <w:color w:val="auto"/>
        </w:rPr>
      </w:pPr>
      <w:r>
        <w:rPr>
          <w:rFonts w:ascii="Arial" w:cs="Arial" w:eastAsia="Arial" w:hAnsi="Arial"/>
          <w:sz w:val="22"/>
          <w:szCs w:val="22"/>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spacing w:after="0" w:line="200" w:lineRule="exact"/>
        <w:rPr>
          <w:sz w:val="20"/>
          <w:szCs w:val="20"/>
          <w:color w:val="auto"/>
        </w:rPr>
      </w:pPr>
    </w:p>
    <w:p>
      <w:pPr>
        <w:spacing w:after="0" w:line="203" w:lineRule="exact"/>
        <w:rPr>
          <w:sz w:val="20"/>
          <w:szCs w:val="20"/>
          <w:color w:val="auto"/>
        </w:rPr>
      </w:pPr>
    </w:p>
    <w:p>
      <w:pPr>
        <w:ind w:left="1160" w:right="460" w:hanging="1160"/>
        <w:spacing w:after="0" w:line="251" w:lineRule="auto"/>
        <w:tabs>
          <w:tab w:leader="none" w:pos="11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or Control Person.</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20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20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ind w:left="1520" w:right="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DIMENSIONAL FUND ADVISORS INC.</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February 3, 2003</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Catherine L. Newell</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Vice President and Secretary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w:t>
      </w:r>
    </w:p>
    <w:sectPr>
      <w:pgSz w:w="11900" w:h="16838" w:orient="portrait"/>
      <w:cols w:equalWidth="0" w:num="1">
        <w:col w:w="11420"/>
      </w:cols>
      <w:pgMar w:left="240" w:top="118" w:right="239" w:bottom="10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2019-12-13T16:01:47Z</dcterms:created>
  <dcterms:modified xsi:type="dcterms:W3CDTF">2019-12-13T16:01:47Z</dcterms:modified>
</cp:coreProperties>
</file>