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WORLD KINECT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001-09533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59-2459427</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9800 N.W. 41st Street</w:t>
            </w:r>
          </w:p>
        </w:tc>
        <w:tc>
          <w:tcPr>
            <w:tcW w:w="2440" w:type="dxa"/>
            <w:vAlign w:val="bottom"/>
          </w:tcPr>
          <w:p>
            <w:pPr>
              <w:spacing w:after="0"/>
              <w:rPr>
                <w:sz w:val="24"/>
                <w:szCs w:val="24"/>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1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2440" w:type="dxa"/>
            <w:vAlign w:val="bottom"/>
          </w:tcPr>
          <w:p>
            <w:pPr>
              <w:spacing w:after="0"/>
              <w:rPr>
                <w:sz w:val="18"/>
                <w:szCs w:val="18"/>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spacing w:after="0"/>
              <w:rPr>
                <w:sz w:val="16"/>
                <w:szCs w:val="16"/>
                <w:color w:val="auto"/>
              </w:rPr>
            </w:pPr>
          </w:p>
        </w:tc>
      </w:tr>
    </w:tbl>
    <w:p>
      <w:pPr>
        <w:spacing w:after="0" w:line="1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WKC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4" w:space="440"/>
            <w:col w:w="9800"/>
          </w:cols>
          <w:pgMar w:left="436" w:top="293" w:right="459" w:bottom="1440" w:gutter="0" w:footer="0" w:header="0"/>
        </w:sect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On June 5, 2025, World Kinect Corporation (the “Company”) held its 2025 Annual Meeting of Shareholders (the “2025 Annual Meeting”). At the 2025 Annual Meeting, the shareholders of the Company, upon recommendation of the Company’s Board of Directors (the “Board”), approved the World Kinect Corporation 2025 Omnibus Plan (the “Plan”).</w:t>
      </w:r>
    </w:p>
    <w:p>
      <w:pPr>
        <w:spacing w:after="0" w:line="176"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The purpose of the Plan is to attract and retain non-employee directors of the Company, officers and other employees of the Company and its subsidiaries, and certain consultants to the Company and its subsidiaries, and to provide such persons incentives and rewards for service and/or performance.</w:t>
      </w:r>
    </w:p>
    <w:p>
      <w:pPr>
        <w:spacing w:after="0" w:line="176"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The Plan generally authorizes the Compensation Committee of the Board (the “Compensation Committee”) to provide for equity-based or cash-based compensation in the form of stock options, stock appreciation rights, stock units, restricted stock, restricted stock units, performance compensation awards, and certain other stock-based awards and cash incentive awards contemplated under the Plan. Subject to adjustment as described in the Plan and the Plan’s share counting rules, a total of 1,850,000 shares of common stock, par value $0.01 per share, of the Company (the “Stock”), plus any Stock remaining available under the World Fuel Services Corporation 2021 Omnibus Plan (the “2021 Plan”), the World Fuel Services Corporation 2020 Omnibus Plan, the World Fuel Services Corporation 2016 Omnibus Plan, and the World Fuel Services Corporation 2006 Omnibus Plan (including, in each case, as amended or amended and restated from time to time, and together the “Prior Plans”) on the effective date of the Plan, plus any shares of Stock with respect to awards granted under the Plan and Prior Plans that are forfeited, canceled, expire unexercised, or are settled in cash following the effective date of the Plan, are available for awards granted under the Plan. The Plan succeeds the 2021 Plan and, following the effective date of the Plan, no new awards will be granted under the Prior Plans.</w:t>
      </w:r>
    </w:p>
    <w:p>
      <w:pPr>
        <w:spacing w:after="0" w:line="194"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Plan permits the Compensation Committee to make certain performance-based awards to eligible participants under the Plan, which awards may be earned based on the achievement of performance goals over the relevant performance period. The Compensation Committee may establish the performance measures for awards under the Plan, which measures may be based on the achievement of one or more of the following business criteria for the Company, including on a consolidated basis, or for any subsidiary, or for business or geographical units of the Company or any subsidiary:</w:t>
      </w:r>
    </w:p>
    <w:p>
      <w:pPr>
        <w:spacing w:after="0" w:line="3" w:lineRule="exact"/>
        <w:rPr>
          <w:sz w:val="20"/>
          <w:szCs w:val="20"/>
          <w:color w:val="auto"/>
        </w:rPr>
      </w:pPr>
    </w:p>
    <w:p>
      <w:pPr>
        <w:ind w:left="4" w:right="40" w:hanging="4"/>
        <w:spacing w:after="0" w:line="265" w:lineRule="auto"/>
        <w:tabs>
          <w:tab w:leader="none" w:pos="25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or diluted earnings per share; (2) revenues or margins; (3) cash flow; (4) gross or net profitability/profit margins (including profitability of a product or service); (5) return measures (including return on net assets, investment, capital, equity, or sales); (6) economic value; enterprise value; (7) direct contribution; (8) net income; (9) pretax earnings; (10) earnings before interest and taxes; (11) earnings before interest, taxes, depreciation and amortization; (12) earnings after interest expense and before non-recurring or special items; (13) operating income; (14) income before interest income or expense, unusual items and income taxes, local, state, federal or foreign and excluding budgeted and actual bonuses which might be paid under any ongoing bonus plans of the Company; (15) working capital; (16) costs or expenses (including specified types or categories thereof); (17) identification and/or consummation of investment opportunities or completion of specified projects, including strategic mergers, acquisitions or divestitures; (18) shareholder return measures; share price; (19) debt reduction or borrowing levels; (20) improvements in capital structure; (21) sales or product volume; days sales outstanding; (22) market share (in the aggregate or by segment); (23) ratios (including operating, leverage, combined); (24) book, economic book or intrinsic book value (including book value per share); (25) entry into new markets, either geographically or by business unit;</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retention and satisfaction; (27) safety and accident rates; (28) strategic plan development and implementation, including turnaround plans;</w:t>
      </w:r>
    </w:p>
    <w:p>
      <w:pPr>
        <w:spacing w:after="0" w:line="9" w:lineRule="exact"/>
        <w:rPr>
          <w:rFonts w:ascii="Times New Roman" w:cs="Times New Roman" w:eastAsia="Times New Roman" w:hAnsi="Times New Roman"/>
          <w:sz w:val="18"/>
          <w:szCs w:val="18"/>
          <w:color w:val="auto"/>
        </w:rPr>
      </w:pPr>
    </w:p>
    <w:p>
      <w:pPr>
        <w:ind w:left="4" w:right="360" w:hanging="4"/>
        <w:spacing w:after="0" w:line="260" w:lineRule="auto"/>
        <w:tabs>
          <w:tab w:leader="none" w:pos="3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(30) any other financial or operational metric selected by the Compensation Committee; or (31) any other criteria as the Compensation Committee shall determine in its discretion.</w:t>
      </w:r>
    </w:p>
    <w:p>
      <w:pPr>
        <w:spacing w:after="0" w:line="18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Plan also provides that, subject to adjustment as described in the Plan, the aggregate number of shares of Stock actually issued or transferred upon the exercise of incentive stock options will not exceed 1,850,000 shares of Stock, and non-employee Board members will not be granted more than $850,000 in compensation for such service in any one calendar year, determined as described in the Plan. The Compensation Committee will administer the Plan and the Board will be able to amend the Plan, subject to certain exceptions, all as described in the Plan. New grants of awards are permitted under the Plan generally until ten years from its effective date. In general, awards under the Plan will be subject to certain minimum vesting and/or performance period requirements, but certain exceptions may apply as described in the Plan, and awards will be subject to the Company’s clawback policies as in effect from time to time according to their terms and conditions.</w:t>
      </w:r>
    </w:p>
    <w:p>
      <w:pPr>
        <w:spacing w:after="0" w:line="189"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This description of the Plan is qualified in its entirety by reference to the full text of the Plan, which is incorporated by reference herein as Exhibit 10.1 to this Current Report on Form 8-K.</w:t>
      </w:r>
    </w:p>
    <w:p>
      <w:pPr>
        <w:sectPr>
          <w:pgSz w:w="11900" w:h="16838" w:orient="portrait"/>
          <w:cols w:equalWidth="0" w:num="1">
            <w:col w:w="11004"/>
          </w:cols>
          <w:pgMar w:left="436" w:top="293" w:right="45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matters voted upon at the Company’s 2025 Annual Meeting and the results of the votes were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Election of Directors</w:t>
      </w:r>
    </w:p>
    <w:p>
      <w:pPr>
        <w:spacing w:after="0" w:line="121"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shareholders elected each of the Company’s nominees for director for a term expiring on the date of the 2026 Annual Meeting of Shareholders or until their successors are duly elected and qualified.</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2280" w:type="dxa"/>
            <w:vAlign w:val="bottom"/>
          </w:tcPr>
          <w:p>
            <w:pPr>
              <w:spacing w:after="0"/>
              <w:rPr>
                <w:sz w:val="16"/>
                <w:szCs w:val="16"/>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22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J. Kasbar</w:t>
            </w:r>
          </w:p>
        </w:tc>
        <w:tc>
          <w:tcPr>
            <w:tcW w:w="540" w:type="dxa"/>
            <w:vAlign w:val="bottom"/>
            <w:tcBorders>
              <w:top w:val="single" w:sz="8" w:color="auto"/>
            </w:tcBorders>
            <w:shd w:val="clear" w:color="auto" w:fill="CCEEFF"/>
          </w:tcPr>
          <w:p>
            <w:pPr>
              <w:spacing w:after="0"/>
              <w:rPr>
                <w:sz w:val="17"/>
                <w:szCs w:val="17"/>
                <w:color w:val="auto"/>
              </w:rPr>
            </w:pPr>
          </w:p>
        </w:tc>
        <w:tc>
          <w:tcPr>
            <w:tcW w:w="26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48,099,405</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1,957,427</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2,173,550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Ken Bakshi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44,931,924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5,124,908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2,173,550</w:t>
            </w:r>
          </w:p>
        </w:tc>
        <w:tc>
          <w:tcPr>
            <w:tcW w:w="60" w:type="dxa"/>
            <w:vAlign w:val="bottom"/>
          </w:tcPr>
          <w:p>
            <w:pPr>
              <w:spacing w:after="0"/>
              <w:rPr>
                <w:sz w:val="18"/>
                <w:szCs w:val="18"/>
                <w:color w:val="auto"/>
              </w:rPr>
            </w:pPr>
          </w:p>
        </w:tc>
      </w:tr>
      <w:tr>
        <w:trPr>
          <w:trHeight w:val="216"/>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Jorge L. Benitez</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46,894,743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3,162,089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2,173,550</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Sharda Cherwoo</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46,919,690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3,137,142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2,173,550</w:t>
            </w:r>
          </w:p>
        </w:tc>
        <w:tc>
          <w:tcPr>
            <w:tcW w:w="60" w:type="dxa"/>
            <w:vAlign w:val="bottom"/>
          </w:tcPr>
          <w:p>
            <w:pPr>
              <w:spacing w:after="0"/>
              <w:rPr>
                <w:sz w:val="18"/>
                <w:szCs w:val="18"/>
                <w:color w:val="auto"/>
              </w:rPr>
            </w:pPr>
          </w:p>
        </w:tc>
      </w:tr>
      <w:tr>
        <w:trPr>
          <w:trHeight w:val="216"/>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31,642,647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18,414,185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2,173,550</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M. Kottkamp</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49,633,211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423,621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2,173,550</w:t>
            </w:r>
          </w:p>
        </w:tc>
        <w:tc>
          <w:tcPr>
            <w:tcW w:w="60" w:type="dxa"/>
            <w:vAlign w:val="bottom"/>
          </w:tcPr>
          <w:p>
            <w:pPr>
              <w:spacing w:after="0"/>
              <w:rPr>
                <w:sz w:val="18"/>
                <w:szCs w:val="18"/>
                <w:color w:val="auto"/>
              </w:rPr>
            </w:pPr>
          </w:p>
        </w:tc>
      </w:tr>
      <w:tr>
        <w:trPr>
          <w:trHeight w:val="216"/>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46,904,806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3,152,026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2,173,550</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41,595,184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8,461,648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2,173,550</w:t>
            </w:r>
          </w:p>
        </w:tc>
        <w:tc>
          <w:tcPr>
            <w:tcW w:w="60" w:type="dxa"/>
            <w:vAlign w:val="bottom"/>
          </w:tcPr>
          <w:p>
            <w:pPr>
              <w:spacing w:after="0"/>
              <w:rPr>
                <w:sz w:val="18"/>
                <w:szCs w:val="18"/>
                <w:color w:val="auto"/>
              </w:rPr>
            </w:pPr>
          </w:p>
        </w:tc>
      </w:tr>
      <w:tr>
        <w:trPr>
          <w:trHeight w:val="216"/>
        </w:trPr>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47,499,806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2,557,026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2,173,550</w:t>
            </w: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Non-Binding, Advisory Vote on Executive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shareholders approved, by a non-binding, advisory vote, the compensation of the Company’s named executive officers.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346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3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3460" w:type="dxa"/>
            <w:vAlign w:val="bottom"/>
            <w:gridSpan w:val="3"/>
            <w:shd w:val="clear" w:color="auto" w:fill="CCEEFF"/>
          </w:tcPr>
          <w:p>
            <w:pPr>
              <w:jc w:val="right"/>
              <w:ind w:right="2000"/>
              <w:spacing w:after="0"/>
              <w:rPr>
                <w:sz w:val="20"/>
                <w:szCs w:val="20"/>
                <w:color w:val="auto"/>
              </w:rPr>
            </w:pPr>
            <w:r>
              <w:rPr>
                <w:rFonts w:ascii="Times New Roman" w:cs="Times New Roman" w:eastAsia="Times New Roman" w:hAnsi="Times New Roman"/>
                <w:sz w:val="18"/>
                <w:szCs w:val="18"/>
                <w:color w:val="auto"/>
              </w:rPr>
              <w:t>47,716,667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2,270,912</w:t>
            </w:r>
          </w:p>
        </w:tc>
        <w:tc>
          <w:tcPr>
            <w:tcW w:w="20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69,253</w:t>
            </w:r>
          </w:p>
        </w:tc>
        <w:tc>
          <w:tcPr>
            <w:tcW w:w="24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2,173,550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 Ratification of Appointment of Independent Registered Public Accounting Firm</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shareholders ratified the appointment of PricewaterhouseCoopers LLP as the Company’s independent registered public accounting firm for the 2025 fiscal year.</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3920" w:type="dxa"/>
            <w:vAlign w:val="bottom"/>
            <w:gridSpan w:val="2"/>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5020" w:type="dxa"/>
            <w:vAlign w:val="bottom"/>
            <w:gridSpan w:val="3"/>
            <w:shd w:val="clear" w:color="auto" w:fill="CCEEFF"/>
          </w:tcPr>
          <w:p>
            <w:pPr>
              <w:jc w:val="right"/>
              <w:ind w:right="3200"/>
              <w:spacing w:after="0"/>
              <w:rPr>
                <w:sz w:val="20"/>
                <w:szCs w:val="20"/>
                <w:color w:val="auto"/>
              </w:rPr>
            </w:pPr>
            <w:r>
              <w:rPr>
                <w:rFonts w:ascii="Times New Roman" w:cs="Times New Roman" w:eastAsia="Times New Roman" w:hAnsi="Times New Roman"/>
                <w:sz w:val="18"/>
                <w:szCs w:val="18"/>
                <w:color w:val="auto"/>
              </w:rPr>
              <w:t>50,438,171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1,737,299</w:t>
            </w:r>
          </w:p>
        </w:tc>
        <w:tc>
          <w:tcPr>
            <w:tcW w:w="2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54,912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4: Approval of the World Kinect Corporation 2025 Omnibus Plan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shareholders approved the World Kinect Corporation 2025 Omnibus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4"/>
            <w:shd w:val="clear" w:color="auto" w:fill="CCEEFF"/>
          </w:tcPr>
          <w:p>
            <w:pPr>
              <w:jc w:val="right"/>
              <w:ind w:right="2000"/>
              <w:spacing w:after="0"/>
              <w:rPr>
                <w:sz w:val="20"/>
                <w:szCs w:val="20"/>
                <w:color w:val="auto"/>
              </w:rPr>
            </w:pPr>
            <w:r>
              <w:rPr>
                <w:rFonts w:ascii="Times New Roman" w:cs="Times New Roman" w:eastAsia="Times New Roman" w:hAnsi="Times New Roman"/>
                <w:sz w:val="18"/>
                <w:szCs w:val="18"/>
                <w:color w:val="auto"/>
              </w:rPr>
              <w:t>46,967,579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3,023,149</w:t>
            </w:r>
          </w:p>
        </w:tc>
        <w:tc>
          <w:tcPr>
            <w:tcW w:w="3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66,104</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2,173,550</w:t>
            </w:r>
          </w:p>
        </w:tc>
        <w:tc>
          <w:tcPr>
            <w:tcW w:w="600" w:type="dxa"/>
            <w:vAlign w:val="bottom"/>
          </w:tcPr>
          <w:p>
            <w:pPr>
              <w:spacing w:after="0"/>
              <w:rPr>
                <w:sz w:val="18"/>
                <w:szCs w:val="18"/>
                <w:color w:val="auto"/>
              </w:rPr>
            </w:pPr>
          </w:p>
        </w:tc>
      </w:tr>
      <w:tr>
        <w:trPr>
          <w:trHeight w:val="58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4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4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World Kinect Corporation 2025 Omnibus Plan (incorporated by reference herein to Annex A to the Company’s Proxy</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Statement on Schedule 14A filed on April 25, 2025)</w:t>
              </w:r>
            </w:hyperlink>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780"/>
          </w:cols>
          <w:pgMar w:left="440" w:top="293" w:right="6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color w:val="auto"/>
        </w:rPr>
        <w:t>Date: June 11, 2025</w:t>
      </w:r>
      <w:r>
        <w:rPr>
          <w:sz w:val="20"/>
          <w:szCs w:val="20"/>
          <w:color w:val="auto"/>
        </w:rPr>
        <w:tab/>
      </w:r>
      <w:r>
        <w:rPr>
          <w:rFonts w:ascii="Times New Roman" w:cs="Times New Roman" w:eastAsia="Times New Roman" w:hAnsi="Times New Roman"/>
          <w:sz w:val="17"/>
          <w:szCs w:val="17"/>
          <w:b w:val="1"/>
          <w:bCs w:val="1"/>
          <w:color w:val="auto"/>
        </w:rPr>
        <w:t>World Kinect Corporation</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Joel M.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625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Joel M. Williams</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Assistant Corporate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6"/>
    </w:lvl>
  </w:abstractNum>
  <w:abstractNum w:abstractNumId="3">
    <w:nsid w:val="625558EC"/>
    <w:multiLevelType w:val="hybridMultilevel"/>
    <w:lvl w:ilvl="0">
      <w:lvlJc w:val="left"/>
      <w:lvlText w:val="(%1)"/>
      <w:numFmt w:val="decimal"/>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ix?doc=/Archives/edgar/data/789460/000095017025058752/wkc-20250425.htm#ann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2025-06-11T15:18:56Z</dcterms:created>
  <dcterms:modified xsi:type="dcterms:W3CDTF">2025-06-11T15:18:56Z</dcterms:modified>
</cp:coreProperties>
</file>