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2" w:lineRule="exact"/>
        <w:rPr>
          <w:sz w:val="24"/>
          <w:szCs w:val="24"/>
          <w:color w:val="auto"/>
        </w:rPr>
      </w:pPr>
    </w:p>
    <w:p>
      <w:pPr>
        <w:ind w:right="2620" w:firstLine="8"/>
        <w:spacing w:after="0" w:line="255" w:lineRule="auto"/>
        <w:tabs>
          <w:tab w:leader="none" w:pos="2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2013</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o TRANSITION REPORT PURSUANT TO SECTION 13 OR 15(d) OF THE SECURITIES EXCHANGE ACT OF 1934</w:t>
      </w:r>
    </w:p>
    <w:p>
      <w:pPr>
        <w:spacing w:after="0" w:line="44" w:lineRule="exact"/>
        <w:rPr>
          <w:sz w:val="24"/>
          <w:szCs w:val="24"/>
          <w:color w:val="auto"/>
        </w:rPr>
      </w:pPr>
    </w:p>
    <w:p>
      <w:pPr>
        <w:spacing w:after="0"/>
        <w:tabs>
          <w:tab w:leader="none" w:pos="30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1467485</wp:posOffset>
            </wp:positionH>
            <wp:positionV relativeFrom="paragraph">
              <wp:posOffset>-21590</wp:posOffset>
            </wp:positionV>
            <wp:extent cx="1022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2350"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555875" cy="1217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1217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10"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Florida</w:t>
      </w:r>
    </w:p>
    <w:p>
      <w:pPr>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59-2459427</w:t>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5780" w:space="720"/>
            <w:col w:w="4920"/>
          </w:cols>
          <w:pgMar w:left="240" w:top="710" w:right="239" w:bottom="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9800 Northwest 41st Street, Suite 400</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Miami, Florida</w:t>
      </w:r>
    </w:p>
    <w:p>
      <w:pPr>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33178</w:t>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780" w:space="720"/>
            <w:col w:w="4920"/>
          </w:cols>
          <w:pgMar w:left="240" w:top="710" w:right="239"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 (305) 428-8000</w:t>
      </w:r>
    </w:p>
    <w:p>
      <w:pPr>
        <w:sectPr>
          <w:pgSz w:w="11900" w:h="16838" w:orient="portrait"/>
          <w:cols w:equalWidth="0" w:num="1">
            <w:col w:w="11420"/>
          </w:cols>
          <w:pgMar w:left="240" w:top="710" w:right="239" w:bottom="0" w:gutter="0" w:footer="0" w:header="0"/>
          <w:type w:val="continuous"/>
        </w:sect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line="234" w:lineRule="auto"/>
        <w:rPr>
          <w:sz w:val="20"/>
          <w:szCs w:val="20"/>
          <w:color w:val="auto"/>
        </w:rPr>
      </w:pPr>
      <w:r>
        <w:rPr>
          <w:rFonts w:ascii="Arial" w:cs="Arial" w:eastAsia="Arial" w:hAnsi="Arial"/>
          <w:sz w:val="18"/>
          <w:szCs w:val="18"/>
          <w:color w:val="auto"/>
        </w:rPr>
        <w:t>Common Stock,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 value $0.01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392" w:lineRule="exact"/>
        <w:rPr>
          <w:sz w:val="24"/>
          <w:szCs w:val="24"/>
          <w:color w:val="auto"/>
        </w:rPr>
      </w:pPr>
    </w:p>
    <w:p>
      <w:pPr>
        <w:sectPr>
          <w:pgSz w:w="11900" w:h="16838" w:orient="portrait"/>
          <w:cols w:equalWidth="0" w:num="2">
            <w:col w:w="5780" w:space="720"/>
            <w:col w:w="4920"/>
          </w:cols>
          <w:pgMar w:left="240" w:top="710"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ind w:right="2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6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Exchange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spacing w:after="0" w:line="299" w:lineRule="auto"/>
        <w:rPr>
          <w:sz w:val="20"/>
          <w:szCs w:val="20"/>
          <w:color w:val="auto"/>
        </w:rPr>
      </w:pPr>
      <w:r>
        <w:rPr>
          <w:rFonts w:ascii="Arial" w:cs="Arial" w:eastAsia="Arial" w:hAnsi="Arial"/>
          <w:sz w:val="16"/>
          <w:szCs w:val="16"/>
          <w:color w:val="auto"/>
        </w:rPr>
        <w:t>As of June 30, 2013, the registrant's most recently completed second fiscal quarter, the aggregate market value of the voting and non-voting common equity held by non-affiliates computed by reference to the market price at which the common equity was last sold was $3,051,760,000.</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5, 2014, the registrant had approximately 71,883,000 shares of outstanding common stock, par value $0.01 per share.</w:t>
      </w:r>
    </w:p>
    <w:p>
      <w:pPr>
        <w:sectPr>
          <w:pgSz w:w="11900" w:h="16838" w:orient="portrait"/>
          <w:cols w:equalWidth="0" w:num="1">
            <w:col w:w="11420"/>
          </w:cols>
          <w:pgMar w:left="240" w:top="71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Part III – Specified Portions of the Registrant's Definitive Proxy Statement for the 2014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8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20" w:type="dxa"/>
            <w:vAlign w:val="bottom"/>
            <w:gridSpan w:val="19"/>
          </w:tcPr>
          <w:p>
            <w:pPr>
              <w:ind w:left="160"/>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60" w:type="dxa"/>
            <w:vAlign w:val="bottom"/>
            <w:gridSpan w:val="3"/>
          </w:tcPr>
          <w:p>
            <w:pPr>
              <w:jc w:val="right"/>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Item 1A.</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Item 1B.</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8020" w:type="dxa"/>
            <w:vAlign w:val="bottom"/>
            <w:gridSpan w:val="19"/>
          </w:tcPr>
          <w:p>
            <w:pPr>
              <w:ind w:left="160"/>
              <w:spacing w:after="0" w:line="172"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Market for Registrant's Common Equity, Related Shareholder Matters and Issuer Purchases of Equity</w:t>
              </w:r>
            </w:hyperlink>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7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Securities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Item 7.</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Item 7A.</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8.</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9.</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Changes in and Disagreements with Accountants on Accounting and Financial Disclosure</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9A.</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9B.</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40">
              <w:r>
                <w:rPr>
                  <w:rFonts w:ascii="Arial" w:cs="Arial" w:eastAsia="Arial" w:hAnsi="Arial"/>
                  <w:sz w:val="18"/>
                  <w:szCs w:val="18"/>
                  <w:color w:val="0000EE"/>
                </w:rPr>
                <w:t>Item 10.</w:t>
              </w:r>
            </w:hyperlink>
          </w:p>
        </w:tc>
        <w:tc>
          <w:tcPr>
            <w:tcW w:w="8020" w:type="dxa"/>
            <w:vAlign w:val="bottom"/>
            <w:gridSpan w:val="19"/>
          </w:tcPr>
          <w:p>
            <w:pPr>
              <w:ind w:left="160"/>
              <w:spacing w:after="0" w:line="172" w:lineRule="exact"/>
              <w:rPr>
                <w:rFonts w:ascii="Arial" w:cs="Arial" w:eastAsia="Arial" w:hAnsi="Arial"/>
                <w:sz w:val="18"/>
                <w:szCs w:val="18"/>
                <w:color w:val="0000EE"/>
              </w:rPr>
            </w:pPr>
            <w:hyperlink w:anchor="page40">
              <w:r>
                <w:rPr>
                  <w:rFonts w:ascii="Arial" w:cs="Arial" w:eastAsia="Arial" w:hAnsi="Arial"/>
                  <w:sz w:val="18"/>
                  <w:szCs w:val="18"/>
                  <w:color w:val="0000EE"/>
                </w:rPr>
                <w:t>Directors, Executive Officers and Corporate Governance</w:t>
              </w:r>
            </w:hyperlink>
          </w:p>
        </w:tc>
        <w:tc>
          <w:tcPr>
            <w:tcW w:w="1460" w:type="dxa"/>
            <w:vAlign w:val="bottom"/>
            <w:gridSpan w:val="3"/>
          </w:tcPr>
          <w:p>
            <w:pPr>
              <w:jc w:val="right"/>
              <w:spacing w:after="0" w:line="17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 11.</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Executive Compensation</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 12.</w:t>
              </w:r>
            </w:hyperlink>
          </w:p>
        </w:tc>
        <w:tc>
          <w:tcPr>
            <w:tcW w:w="8020" w:type="dxa"/>
            <w:vAlign w:val="bottom"/>
            <w:gridSpan w:val="19"/>
          </w:tcPr>
          <w:p>
            <w:pPr>
              <w:ind w:left="160"/>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Security Ownership of Certain Beneficial Owners and Management and Related Shareholder Matters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28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 13.</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Certain Relationships and Related Transactions, and Director Independence</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2840" w:type="dxa"/>
            <w:vAlign w:val="bottom"/>
            <w:tcBorders>
              <w:left w:val="single" w:sz="8" w:color="0000EE"/>
            </w:tcBorders>
            <w:gridSpan w:val="4"/>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 14.</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Accounting Fees and Services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41">
              <w:r>
                <w:rPr>
                  <w:rFonts w:ascii="Arial" w:cs="Arial" w:eastAsia="Arial" w:hAnsi="Arial"/>
                  <w:sz w:val="18"/>
                  <w:szCs w:val="18"/>
                  <w:color w:val="0000EE"/>
                </w:rPr>
                <w:t>Item 15.</w:t>
              </w:r>
            </w:hyperlink>
          </w:p>
        </w:tc>
        <w:tc>
          <w:tcPr>
            <w:tcW w:w="8020" w:type="dxa"/>
            <w:vAlign w:val="bottom"/>
            <w:gridSpan w:val="19"/>
          </w:tcPr>
          <w:p>
            <w:pPr>
              <w:ind w:left="160"/>
              <w:spacing w:after="0" w:line="172" w:lineRule="exact"/>
              <w:rPr>
                <w:rFonts w:ascii="Arial" w:cs="Arial" w:eastAsia="Arial" w:hAnsi="Arial"/>
                <w:sz w:val="18"/>
                <w:szCs w:val="18"/>
                <w:color w:val="0000EE"/>
              </w:rPr>
            </w:pPr>
            <w:hyperlink w:anchor="page41">
              <w:r>
                <w:rPr>
                  <w:rFonts w:ascii="Arial" w:cs="Arial" w:eastAsia="Arial" w:hAnsi="Arial"/>
                  <w:sz w:val="18"/>
                  <w:szCs w:val="18"/>
                  <w:color w:val="0000EE"/>
                </w:rPr>
                <w:t>Exhibits, Financial Statement Schedules</w:t>
              </w:r>
            </w:hyperlink>
          </w:p>
        </w:tc>
        <w:tc>
          <w:tcPr>
            <w:tcW w:w="1460" w:type="dxa"/>
            <w:vAlign w:val="bottom"/>
            <w:gridSpan w:val="3"/>
          </w:tcPr>
          <w:p>
            <w:pPr>
              <w:jc w:val="right"/>
              <w:spacing w:after="0" w:line="172"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43" w:right="1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10-K ("2013 10-K Report") as "World Fuel," "we," "our" and "us."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global fuel logistics company, principally engaged in the marketing, sale and distribution of aviation, marine, and land fuel and related products and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third-tier airlines, cargo carriers, regional and low cost carriers, airports, fixed based operators, corporate fleets, fractional operators, private aircraft, military fleets and to the United States ("U.S.") and foreign governments. In our marine segment, we offer fuel, lubricants and related products and services to a broad base of marine customers, including international container and tanker fleets, commercial cruise lines, yachts and time-charter operators, as well as to the U.S. and foreign governments. In our land segment, we offer fuel, lubricants and related products and services to petroleum distributors operating in the land transportation market, retail petroleum operators, and industrial, commercial and government customers, as well as engage in crude oil marketing activities. In addition, we offer transaction management services which consist of card payment solutions and merchant processing services to customers in the aviation, marine and land transportation industries.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offices throughout the United States and in various foreign jurisdictions, including: the United Kingdom, Denmark, Norway, the Netherlands, Germany, Greece, the United Arab Emirates, Russia, Taiwan, South Korea, Singapore, Japan, Hong Kong, Costa Rica, Brazil, Chile, Argentina, Mexico, Colombia, Puerto Rico, Canada, South Africa, Gibraltar, India and Australia. See "Item 2 – Properties" for a list of principal offices by business segment and "Exhibit 21.1 – Subsidiaries of the Registrant" included in this 2013 10-K Report for a list of our subsidiaries.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Financial information with respect to our business segments and the geographic areas of our business is provided in Note 11 to the accompanying consolidated financial statements included in this 2013 10-K Report.</w:t>
      </w:r>
    </w:p>
    <w:p>
      <w:pPr>
        <w:spacing w:after="0" w:line="20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principal executive office is located at 9800 Northwest 41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Suite 400, Miami, Florida 33178 and our telephone number at this address is 305-428-8000. Our internet address is http://www.wfscorp.com and the investor relations section of our website is located at http://ir.wfscorp.com. We make available free of charge, on or through the investor relations section of our website, our Annual Reports on Form 10-K, Quarterly Reports on Form 10-Q ("10-Q Report"),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Corporate Conduct and Ethics ("Code of Conduct"), Board of Directors' committee charters and Corporate Governance Principles. Our internet website and information contained on our internet website are not part of this 2013 10-K Report and are not incorporated by reference in this 2013 10-K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market fuel and related products and services to major commercial airlines, second and third-tier airlines, cargo carriers, regional and low-cost carriers, airports, fixed based operators, corporate fleets, fractional operators, private aircraft, military fleets and to the U.S. and foreign governments. Our aviation-related services include fuel management, price risk management, arranging ground handling, providing 24/7 global dispatch services and arranging and providing international trip planning, including flight plans, weather reports and overflight permits. In addition, we offer card payment solutions and related processing services. Because fuel is a major component of an aircraft's operating costs, our customers require cost effective and professional fuel services. We have developed an extensive network of third-party suppliers and service providers that enables us to provide aviation fuel and related services throughout the world. We believe the breadth of our service offering combined with our global supplier network is a strategic differentiator that allows customers to secure fuel and high-quality services in any location worldwide on short notice.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purchase our aviation fuel from suppliers worldwide, which is then typically delivered into our customers' aircraft or designated storage directly from our suppliers pursuant to arrangements with them or from our fuel inventory pursuant to contracts with various third parties. Inventory is purchased at airport locations or shipped via pipelines and held at multiple locations for strategic reasons. We typically hedge inventory in pipelines in an effort to protect us against price risk. We also engage in both contract sales, which are sales made pursuant to fuel purchase contracts with customers who commit to purchasing fuel from us over the contract term, and spot sales, which are sales that do not involve continuing contractual obligations by our customers to purchase fuel from us. Our cost of fuel is generally tied to market-based formulas or is government controlled and our suppliers typically extend unsecured trade credit to us. We may prepay our fuel purchases when limited by the amount of credit extended to us by suppliers or as required to transact business in certain countries. We also enter into derivative contracts in order to mitigate the risk of market price fluctuations of certain of our transactions and to offer our customers fuel pricing alternatives to meet their needs.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each of the years presented in the accompanying consolidated statements of income and comprehensive income, none of our aviation customers accounted for more than 10% of total consolidated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market fuel, lubricants and related products and services to a broad base of marine customers, including international container and tanker fleets, commercial cruise lines, yachts and time-charter operators, as well as to the U.S. and foreign governments. Through our extensive network of offices, we provide our customers with real-time global market intelligence and rapid access to quality and competitively priced marine fuel 24 hours a day, every day of the year. In addition, we offer card payment solutions and related processing services. Our marine fuel related services include management services for the procurement of fuel, cost control through the use of price hedging instruments, quality control and claims management.</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act as a reseller as we generally take delivery for fuel purchased from our supplier at the same place and time as the fuel is sold to our customer. We also sell fuel from our inventory, which we maintain in certain locations for strategic reasons in storage facilities that we own or lease and generally hedge in an effort to protect us against price risk. We also act as a broker and are paid a commission for negotiating the transaction by arranging the fuel purchase contract between the supplier and the end user and expediting the arrangements for the delivery of fuel. In addition, we enter into derivative contracts in order to mitigate the risk of market price fluctuations on certain of our transactions and to offer our customers fuel pricing alternatives to meet their needs.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or market-based formulas or is government controlled, and our suppliers typically extend unsecured trade credit to us. We also contract with third parties to provide various services for our customers, including fueling of vessels in port and at sea, and transportation and delivery of fuel and fuel products.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each of the years presented in the accompanying consolidated statements of income and comprehensive income, none of our marine customers accounted for more than 10% of total consolidated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our land segment, we offer fuel, lubricants and related products and services to petroleum distributors operating in the land transportation market, retail petroleum operators, and industrial, commercial and government customers. Our land-related services include management services for the procurement of fuel and price risk management. Additionally, we engage in crude oil marketing activities. We primarily conduct these activities throughout most of the United States as well as parts of Brazil and the United Kingdom.</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offer transaction management services, which include card payment solutions, merchant processing services, payment solutions for tolls across Europe, government payment systems for global fuel procurement and commercial payment programs in the land transportation industry.</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our fuel marketing activities, we act as a reseller as we purchase fuel from a supplier and contemporaneously resell it to our customers through spot sales and contract sales. In general, fuel is delivered to our customers directly or at designated tanker truck loading terminals commonly referred to as "racks," which are owned and operated by our suppliers or other third-parties, or directly to customer locations through third party carriers. We also maintain inventory in certain locations including pipelines and ship inventory via railcar. Inventory held in storage or being shipped is typically hedged in an effort to protect us against price risk. Our cost of fuel is generally tied to market-based formulas and our suppliers typically extend unsecured trade credit to us. We also enter into derivative contracts in order to mitigate the risk of market price fluctuations for certain of our transactions and to offer our customers fuel pricing alternatives to meet their needs.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each of the years presented in the accompanying consolidated statements of income and comprehensive income, none of our land customers accounted for more than 10% of total consolidated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competitors within the highly fragmented world-wide downstream markets of aviation, marine and land fuel are numerous, ranging from large multinational corporations, principally major oil producers, which have significantly greater capital resources, to relatively small and specialized firms. We compete with the major oil producers that market fuel directly to the large commercial airlines, shipping companies and petroleum distributors operating in the land transportation market as well as fuel resellers. We believe that our extensive market knowledge, worldwide presence, logistical expertise, extension of credit and use of derivatives to provide fuel pricing alternatives give us the ability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5, 2014, we employed 2,758 people worldwide.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current and past activities are subject to substantial regulation by federal, state and local government agencies, inside and outside the United States,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non-compliance. See "Item 1A – Risk Factors," and "Item 3 – Legal Proceedings."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also be affected by new environmental laws and regulations that will apply to us or our customers in the future, some of which could reduce the demand for our products and services. For example, the U.S. Environmental Protection Agency has finalized rules requiring the reporting of greenhouse gas ("GHG") emissions by petroleum product suppliers and facilities meeting certain annual emissions thresholds and to regulate emissions from major sources of GHGs under the Clean Air Act. In addition, a number of countries outside the U.S. have enacted or are considering GHG emission schemes. Although the ultimate impact of these or other future measures is difficult to accurately predict, they could affect our operations, earnings and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Examples of forward-looking statements in this 2013 10-K Report include, but are not limited to, our expectations regarding our business strategy, business prospects, operating results, ability to collect outstanding accounts receivable, potential liabilities and the extent of any insurance coverage, the impact of litigation and other proceedings,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and other proceedings,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209" w:lineRule="exact"/>
        <w:rPr>
          <w:sz w:val="20"/>
          <w:szCs w:val="20"/>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9" w:lineRule="exact"/>
        <w:rPr>
          <w:rFonts w:ascii="Arial" w:cs="Arial" w:eastAsia="Arial" w:hAnsi="Arial"/>
          <w:sz w:val="18"/>
          <w:szCs w:val="18"/>
          <w:color w:val="auto"/>
        </w:rPr>
      </w:pPr>
    </w:p>
    <w:p>
      <w:pPr>
        <w:ind w:left="660" w:right="4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 w:lineRule="exact"/>
        <w:rPr>
          <w:rFonts w:ascii="Arial" w:cs="Arial" w:eastAsia="Arial" w:hAnsi="Arial"/>
          <w:sz w:val="18"/>
          <w:szCs w:val="18"/>
          <w:color w:val="auto"/>
        </w:rPr>
      </w:pP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fluctuations;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Lac-Mégantic derailment and related matters;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uninsured losses;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9" w:lineRule="exact"/>
        <w:rPr>
          <w:rFonts w:ascii="Arial" w:cs="Arial" w:eastAsia="Arial" w:hAnsi="Arial"/>
          <w:sz w:val="18"/>
          <w:szCs w:val="18"/>
          <w:color w:val="auto"/>
        </w:rPr>
      </w:pPr>
    </w:p>
    <w:p>
      <w:pPr>
        <w:ind w:left="660" w:right="2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requirements, restrictions and covenants in our senior revolving credit facility ("Credit Facility") and our senior term loans ("Term Loans");</w:t>
      </w:r>
    </w:p>
    <w:p>
      <w:pPr>
        <w:spacing w:after="0" w:line="1" w:lineRule="exact"/>
        <w:rPr>
          <w:rFonts w:ascii="Arial" w:cs="Arial" w:eastAsia="Arial" w:hAnsi="Arial"/>
          <w:sz w:val="18"/>
          <w:szCs w:val="18"/>
          <w:color w:val="auto"/>
        </w:rPr>
      </w:pP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9" w:lineRule="exact"/>
        <w:rPr>
          <w:rFonts w:ascii="Arial" w:cs="Arial" w:eastAsia="Arial" w:hAnsi="Arial"/>
          <w:sz w:val="18"/>
          <w:szCs w:val="18"/>
          <w:color w:val="auto"/>
        </w:rPr>
      </w:pPr>
    </w:p>
    <w:p>
      <w:pPr>
        <w:ind w:left="660" w:right="74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 w:lineRule="exact"/>
        <w:rPr>
          <w:rFonts w:ascii="Arial" w:cs="Arial" w:eastAsia="Arial" w:hAnsi="Arial"/>
          <w:sz w:val="18"/>
          <w:szCs w:val="18"/>
          <w:color w:val="auto"/>
        </w:rPr>
      </w:pP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levels of competition;</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the costs associated in defending any actions; and</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including those described in "Item 1A – Risk Factors" and those described from time to time in our other filings with the SEC.</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2013 10-K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extend credit to most of our customers in connection with their purchases of fuel and services from us, and our business,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extend credit to certain of our customers in connection with their purchases of fuel and services from us. Our success in attracting customers has been due, in part, to our willingness to extend credit on an unsecured basis to customers that would otherwise be required to prepay or post letters of credit with other suppliers of fuel and other services. While no single customer represents more than 10% of our total consolidated revenue, diversification of credit risk is limited because we sell primarily within the aviation, marine and land transportation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exposure to credit losses will depend on the financial condition of our customers and other factors beyond our control, such as deteriorating conditions in the world economy or in the aviation, marine or land transportation industries, political instability, terrorist activities, military action or natural disasters in our market areas. The overall volatility in the credit and financial markets over the past several years increases our potential exposure to customer credit risk because it can make it more difficult for our customers to access sufficient capital to meet their liquidity needs. This market volatility, coupled with a reduction of business activity generally, increases our risks related to our status as an unsecured creditor of most of our customers. Credit losses, if significant, would have a material adverse effect on our business, financial condition, results of operations and cash flows.</w:t>
      </w:r>
    </w:p>
    <w:p>
      <w:pPr>
        <w:spacing w:after="0" w:line="18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Certain of our contracts with customers, suppliers and financial institutions expose us to heightened counterparty risk, which could have an adverse effect on our business.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price risk management services, we offer our customers various pricing structures for future purchases of fuel, including derivatives products designed to assist our customers with hedging their exposure to fluctuations in fuel prices. In the ordinary course of business, we enter into fixed forward pricing contracts ("fixed forward contracts") with our customers and suppliers under which we agree to sell or purchase, as the case may be, certain volumes of fuel at fixed prices. In addition, we may enter into swap transactions with a customer where we act as the counterparty in the customer's own attempt to mitigate their risk against price fluctuations. Furthermore, we may use derivatives to hedge price risks associated with our fuel inventories and purchase and sale commitments. We typically hedge our financial risk in any of the foregoing types of transactions by entering into commodity-based derivative instruments with financial institution counterparties (such as exchanges, broker/dealers, large energy companies and commercial and investment banks), often on an unsecured basis.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we will have effectively extended unsecured credit to that customer in an amount equal to the difference between the fixed price and the current market price multiplied by the applicable volumes of fuel. Based on the volatility of fuel prices, our counterparties may not be willing or able to fulfill their obligations to us under their fixed forward contracts or their swap transactions. For example, in the event the spot market price of fuel at the time of delivery is significantly less than the fixed price, a customer could decide to default on their purchase obligation to us and purchase the fuel at the current spot market rate from another supplier. Meanwhile, we may have already entered into a corresponding commitment with a supplier and/or entered into a swap contract with a financial counterparty in order to offer our customer specified pricing or terms. Our failure to honor any of these commitments could expose us to claims for damages, penalties or other costs.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Although we have credit standards and perform credit evaluations of our customers and suppliers, our evaluations may be inaccurate and we cannot assure you that credit performance will not be materially worse than anticipated. Accordingly, should any counterparty fail to honor its obligations under our agreements with them, we could sustain significant losses that would have a material adverse effect on our business, financial condition, results of operations and cash flows.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may be subject to costs and liabilities as a result of the derailment of a train carrying our crude oil in Lac-Mégantic, Quebec in July 2013.</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on behalf of DPTS Marketing, LLC ("DPM"), a crude oil marketing joint venture in which we own a 50% membership interest, purchased crude oil from various producers in the Bakken region of North Dakota. Dakota Petroleum Transport Solutions, LLC ("DPTS"), a crude oil transloading joint venture in which we also own a 50% membership interest, arranged for the transloading of the crude oil for DPM into tank cars at the joint venture's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resulted in significant loss of life, damage to the environment from spilled crude oil and extensive property damage.</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certain of our subsidiaries, DPM and DPTS, along with a number of third parties, including CPR, MMA and certain of its affiliates, several manufacturers and lessors of tank cars, as well as the intended purchaser and certain suppliers of the crude oil, were named as defendants in lawsuits and proceedings related to the incident. In addition, orders were issued by the government of Quebec against CPR, MMA and us, requiring CPR, MMA and us to recover the spilled crude oil caused by the incident and to otherwise fully remediate the impact of the incident on the environment. For a more detailed discussion of these proceedings, see "Legal Proceedings" under Part I – Item 3 of this 2013 10-K Report.</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Lac-Mégantic derailment, the Canadian Transportation Safety Board is conducting an investigation into the cause of the derailment and the events surrounding it. In addition, the Quebec police are conducting a criminal investigation and are reported to be coordinating with Canadian and U.S. law enforcement authorities.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 claims, lawsuits, proceedings, investigations and orders may be filed, commenced or issued with respect to the incident, which may involve civil claims for damages or governmental investigative, regulatory or enforcement actions against us. The adverse resolution of any proceedings related to these events could subject us and/or DPM or DPTS to monetary damages, fines and other costs, which could have a negative and material impact on our business, prospects, results of operations and financial condition.</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we and our joint ventures, DPM and DPTS, maintain insurance to mitigate the costs of environmental releases as well as other results of unexpected events, including loss of life, property damage and defense costs, there can be no guarantee that our insurance will be adequate to cover all liabilities that may be incurred as a result of this incident. However, we expect that substantially all of the legal costs we incur in defending against the proceedings described above will be covered by insurance.</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also evaluating potential claims that we, DPM or DPTS may assert against third parties to recover costs and other liabilities that may be incurred as a result of this incident. We can provide no guarantee that any such claims, if brought by us, will be successful or, if successful, that the responsible parties will have the financial resources to address any such claims. Any losses not covered by insurance or otherwise not recoverable from third parties, if significant, could have a material adverse effect on our business, financial condition, results of operations or cash flows.</w:t>
      </w:r>
    </w:p>
    <w:p>
      <w:pPr>
        <w:spacing w:after="0" w:line="16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fuel storage and transportation operations have inherent risks that could negatively impact our stock price, results of operations and financial condition.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fuel storage and distribution terminals and transporting fuel products involve inherent risks including:</w:t>
      </w:r>
    </w:p>
    <w:p>
      <w:pPr>
        <w:spacing w:after="0" w:line="212" w:lineRule="exact"/>
        <w:rPr>
          <w:sz w:val="20"/>
          <w:szCs w:val="20"/>
          <w:color w:val="auto"/>
        </w:rPr>
      </w:pP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spills and other environmental mishaps;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ind w:left="660" w:hanging="11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life;</w:t>
      </w: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damage to and destruction of property and equipment; and</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Damage arising from such occurrences may result in fines and third party lawsuits asserting large claims. We maintain insurance to mitigate these costs, but there can be no assurance that our insurance would be sufficient to cover the liabilities we might suffer from the occurrence of one or more of the risks described above.</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if we are involved in a spill, leak, fire or other accident involving hazardous substances or if there are releases of fuel or fuel products we own or have custody of, our operations could be disrupted. We could also be subject to material liabilities, such as the cost of investigating and remediating contaminated properties or claims by customers, employees or others who may have been injured, or whose property may have been damaged. These liabilities, to the extent not covered by insurance, could have a material adverse effect on our business, financial condition, results of operations and cash flows. Some environmental laws impose strict liability, which means we could have liability without regard to whether we were negligent or at fault. Any of these occurrences, and any resulting negative media coverage, could have a material adverse effect on our stock price and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failures and data security breaches could harm our business.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upon our information technology ("IT") and communications systems to support key business functions and the efficient operation of these systems is critical to our business. Our IT systems, including our back-up systems, could be damaged or interrupted by power outages, computer and telecommunications failures, viruses, security breaches, natural disasters, and/or errors by our employees. A significant disruption in the functioning of these systems could damage our reputation, our ability to conduct our business, impact our credit and risk exposure decisions, cause us to lose customers or revenues, subject us to litigation and/or require us to incur significant expense to address and remediate or otherwise resolve these issues, which could have a material adverse effect on our business, financial condition, results of operations and cash flows.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have access to sensitive, confidential or personal data or information in certain of our businesses, some of which may be subject to privacy and security laws, regulations and customer-imposed controls. Despite our efforts to protect such information, our facilities and systems and those of our third-party service providers may be vulnerable to security breaches, theft, misplaced or lost data, programming and/or human errors that could potentially lead to the compromising of that information. We cannot be certain that advances in criminal capabilities (including cyber-attacks or cyber intrusions over the Internet, malware, computer viruses and the like), discovery of new vulnerabilities, physical system or network break-ins, inappropriate access, or other developments will not compromise or breach the technology protecting our networks that access and store sensitive information. The risk of a security breach or disruption,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European Union). Significant changes in applicable regulations may require us to make costly changes to our systems. Although we have taken steps to address these concerns by implementing network security and internal control measures, there can be no assurance that a system failure or data security breach will not have a material adverse effect on our business, financial condition,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Businesses we have acquired or may acquire in the future, as well as strategic investments such as joint venture arrangements, expose us to increased operating risks.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growth strategy, we have been acquisitive and intend to continue to explore acquisition opportunities of fuel resellers, logistics companies and other service businesses. We cannot provide any assurance that we will find attractive acquisition candidates in the future, that we will be able to acquire such candidates on economically acceptable terms or that we will be able to finance acquisitions on economically acceptable terms. If we acquire new businesses in the future, we may incur substantial additional indebtedness and other expenses or we may complete potentially dilutive issuances of equity securities, which may affect the market price of our common stock, inhibit our ability to pay dividends or restrict our operations. We have also entered into joint venture arrangements and equity method investments intended to complement or expand our business. These types of transactions are subject to substantial risks and liabilities associated with their operations, as well as the risk that our relationships with our partners do not succeed in the manner that we anticipate.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involve significant challenges and risks, including:</w:t>
      </w:r>
    </w:p>
    <w:p>
      <w:pPr>
        <w:spacing w:after="0" w:line="212" w:lineRule="exact"/>
        <w:rPr>
          <w:sz w:val="20"/>
          <w:szCs w:val="20"/>
          <w:color w:val="auto"/>
        </w:rPr>
      </w:pPr>
    </w:p>
    <w:p>
      <w:pPr>
        <w:ind w:left="660" w:right="440" w:hanging="112"/>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integrate and manage acquired businesses or strategic investments, while maintaining uniform standards and controls;</w:t>
      </w:r>
    </w:p>
    <w:p>
      <w:pPr>
        <w:spacing w:after="0" w:line="2"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our investment and anticipated synergies in the acquired businesses or strategic investments;</w:t>
      </w:r>
    </w:p>
    <w:p>
      <w:pPr>
        <w:ind w:left="660" w:right="1040" w:hanging="11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 the potentially negative impact of changes in management on existing business relationships and other disruptions of our business;</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entering into businesses or markets in which we may have no or limited direct prior experience;</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the acquired businesses;</w:t>
      </w:r>
    </w:p>
    <w:p>
      <w:pPr>
        <w:ind w:left="660" w:right="140" w:hanging="11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integrate the IT systems of acquired businesses into our existing IT infrastructure and manage those systems that cannot be effectively integrated;</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to write-down acquired assets as a result of the acquired business being worth less than we paid for it;</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 requirements exceeding our estimates;</w:t>
      </w:r>
    </w:p>
    <w:p>
      <w:pPr>
        <w:ind w:left="660" w:hanging="11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an acquisition or strategic investment could reduce our future earnings; and</w:t>
      </w: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or unknown liabilities, and no or limited indemnities.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coverage for some of our operations may be insufficient to cover losses.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there can be no assurance that our insurance coverage will be available or will be adequate to cover claims that may arise.</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Furthermore, our ability to obtain and maintain adequate insurance and the cost of such insurance may be affected by significant claims, such as the Lac-Mégantic derailment, and conditions in the insurance market over which we have no control. If the cost of insurance increases, we may decide to discontinue certain insurance coverage, reduce our level of coverage or increase our deductibles in order to offset the cost increase. In addition, our existing types and levels of insurance coverage could become difficult or impossible to obtain in the future. The occurrence of an event that is not fully covered by insurance, the loss of insurance coverage or a significant increase in the cost of insurance could have a material adverse effect on our business, financial condition, results of operations and cash flows.</w:t>
      </w:r>
    </w:p>
    <w:p>
      <w:pPr>
        <w:spacing w:after="0" w:line="18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an adverse effect on our results of operations.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However, our efforts to hedge our exposure to fuel price and exchange rate fluctuations could be ineffective. For example, because there currently is no market for aviation jet fuel futures, we enter into hedging transactions with respect to our aviation business by trading in heating oil futures. If the price of aviation jet fuel and heating oil are not correlated, then it is more likely that our attempts to mitigate price risk associated with our aviation business would not be effective. For purposes of hedging, heating oil is not a perfect substitute for aviation jet fuel and short-term significant pricing differences may occur. There may be times where the change in the price of jet fuel increases or decreases based on market supply-and-demand fundamentals or disruptive events (e.g. hurricanes) while the change in the price of heating oil remains relatively constant.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enter into proprietary derivative transactions, primarily intended to capitalize on arbitrage opportunities associated with basis or time spreads related to fuel products we sell. Proprietary derivative transactions, by their nature, entail exposure to adverse changes in commodity prices in relation to our proprietary position. Although we have established limits on such exposure, any such adverse changes could result in losses. The risks we face because of our use of financial derivatives can be exacerbated by volatility in the financial and other markets. In addition, we may fail to adequately hedge our risks or could otherwise incur losses if our employees fail to comply with our policies and procedures with respect to hedging or proprietary trading, for example by engaging in unauthorized trading activity or failing to hedge a specific financial risk or observe limits on exposure, which could subject us to financial losses that would have a material adverse effect on our business, financial condition, results of operations and cash flows.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Finally, the majority of our derivatives are not designated as cash flow hedges for accounting purposes, and we therefore recognize changes in the fair market value of these derivatives as a component of revenue or cost of revenue (based on the underlying transaction type) in our consolidated statements of income and comprehensive income. Since the fair value of these derivatives are marked to market at the end of each quarter, changes in the fair value of our derivative instruments as a result of gains or losses may cause our earnings to fluctuate from period to period.</w:t>
      </w:r>
    </w:p>
    <w:p>
      <w:pPr>
        <w:spacing w:after="0" w:line="16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If we fail to comply with laws or other government regulations applicable to our operations, we could suffer penalties or costs that could have a material adverse effect on our business.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 and local government levels relating to, among other things:</w:t>
      </w:r>
    </w:p>
    <w:p>
      <w:pPr>
        <w:spacing w:after="0" w:line="209" w:lineRule="exact"/>
        <w:rPr>
          <w:sz w:val="20"/>
          <w:szCs w:val="20"/>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transportation and handling of fuel and fuel products;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operation of fuel storage and distribution facilities;</w:t>
      </w:r>
    </w:p>
    <w:p>
      <w:pPr>
        <w:ind w:left="660" w:hanging="11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workplace safety;</w:t>
      </w: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fuel spillage or seepage;</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protection;</w:t>
      </w:r>
    </w:p>
    <w:p>
      <w:pPr>
        <w:ind w:left="660" w:hanging="11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and data protection;</w:t>
      </w: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reporting requirements; and</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hazardous waste disposal.</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fail to comply with these laws or regulations, we could be subject to substantial fines or penalties or to civil or criminal liability. In addition, compliance with existing and future laws regulating the delivery of fuel by barge, truck or railcar, fuel storage terminals and underground storage tanks that we own or operate may require significant capital expenditures and increased operating and maintenance costs. Any significant fines and costs incurred as a result of such regulations could have a material adverse effect on our business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Reduced sales to our government customers could adversely affect our profitability.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complex logistics and extended payment terms for our government customers, sales of products and services to such customers generally carry higher margins than sales to other customers. U.S. government budget constraints and the scheduled withdrawal of armed forces from Afghanistan are expected to result in a decrease in defense spending, which in turn could cause a significant reduction in sales and related profit in our government services business. Furthermore, profitability associated with our government services business may fluctuate significantly from time to time as a result of the commencement, extension or completion of existing and new government contracts. Accordingly, a decrease in government sales could contribute disproportionately to a reduction in our gross margin and profitability and such decrease could be sudden. Therefore, the loss of a significant government customer or a material reduction in sales to government customers could adversely affect our business, financial condition, results of operations and cash flows.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 is dependent on the ability to obtain financing to meet our capital requirements and fund our future growth, which may be particularly difficult to obtain if there is volatility in the credit or capital markets.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credit arrangements with banks, suppliers and other parties as a significant source of liquidity for capital requirements not satisfied by operating cash flow. Any inability to obtain credit as and when we need it on commercially reasonable terms or at all, such as in the event there is a substantial tightening of the global credit markets or a significant reduction in supplier trade credit, could have a negative impact on our business, financial condition, and cash flows, as well as our future development and growth. Furthermore, if we are unable to obtain debt financing and instead raise capital through an equity issuance, existing shareholders would be diluted. Even if we are able to obtain debt financing, the restrictions creditors may place on our operations and our increased interest expense and leverage could limit our ability to grow.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conditions in the aviation, marine and land transportation industries may have an adverse effect on our business.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 is focused on the marketing of fuel and other related products and services to the aviation, marine and land transportation industries, which are generally affected by economic cycles. Therefore, weak economic conditions can have a negative impact on the business of our customers which may, in turn, have an adverse effect on our business. In addition, any political instability, natural disasters, terrorist activity or military action that disrupts shipping, flight operations or land transportation will adversely affect our customers and may reduce the demand for our products and services. 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the aviation, marine and land transportation industries are subject to continuing changes in laws and regulations, including environmental regulations mandating or incentivizing alternative energy sources or attempting to control or limit emissions and pollution. For example, recent amendments to the International Convention for the Prevention of Pollution from Ships, or MARPOL, established a phased reduction of the sulfur content in fuel oil and allows for stricter sulfur limits in designated emission control areas. Further changes in laws and regulations applicable to international and national maritime trade are expected over the coming years. Complying with these and other laws and regulations may require capital expenditures by our customers or otherwise increase our customers' operating costs, which could in turn, reduce the demand for our products and services. Although the ultimate impact of any regulations is difficult to predict accurately, they could have a material adverse effect on our business or on the businesses of our customers.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If the fuel and other products we purchase from our suppliers fails to meet the contractual specifications we have agreed to supply to our customers, our business could be adversely affected.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purchase fuel and other products from suppliers and resell to customers. If the fuel and other products we sell fails to meet the specifications we have agreed to with customers, we could incur significant liabilities if a customer initiates a claim or a lawsuit for which we settle or results in a decision against us. In addition, our relationship with our customers could be adversely affected and adverse publicity about any allegations of contaminated products may negatively affect us, regardless of whether the allegations are true. Although in most cases we have recourse against our suppliers for products that fail to meet contractual specifications, such recourse cannot be assured and may be costly to enforce. For example, several of our supply agreements are with foreign entities, including foreign governments, and are governed by the laws of foreign jurisdictions. If a supplier breaches such agreement, then we may incur the additional costs of determining our rights and obligations under the agreement, under applicable foreign laws, and enforcing an agreement in a foreign jurisdiction. Any significant liability in excess of any applicable insurance coverage could have a material adverse effect on our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Fuel prices have been extremely volatile in the past, may be volatile in the future and depend on factors outside of our control, such as:</w:t>
      </w:r>
    </w:p>
    <w:p>
      <w:pPr>
        <w:spacing w:after="0" w:line="212" w:lineRule="exact"/>
        <w:rPr>
          <w:sz w:val="20"/>
          <w:szCs w:val="20"/>
          <w:color w:val="auto"/>
        </w:rPr>
      </w:pP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global crude oil and natural gas prices;</w:t>
      </w:r>
    </w:p>
    <w:p>
      <w:pPr>
        <w:ind w:left="660" w:hanging="112"/>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conditions;</w:t>
      </w:r>
    </w:p>
    <w:p>
      <w:pPr>
        <w:spacing w:after="0" w:line="9" w:lineRule="exact"/>
        <w:rPr>
          <w:rFonts w:ascii="Arial" w:cs="Arial" w:eastAsia="Arial" w:hAnsi="Arial"/>
          <w:sz w:val="18"/>
          <w:szCs w:val="18"/>
          <w:color w:val="auto"/>
        </w:rPr>
      </w:pPr>
    </w:p>
    <w:p>
      <w:pPr>
        <w:ind w:left="660" w:right="140" w:hanging="112"/>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spacing w:after="0" w:line="1" w:lineRule="exact"/>
        <w:rPr>
          <w:rFonts w:ascii="Arial" w:cs="Arial" w:eastAsia="Arial" w:hAnsi="Arial"/>
          <w:sz w:val="18"/>
          <w:szCs w:val="18"/>
          <w:color w:val="auto"/>
        </w:rPr>
      </w:pPr>
    </w:p>
    <w:p>
      <w:pPr>
        <w:ind w:left="660" w:hanging="112"/>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pricing or production controls by various organizations and oil producing countries;</w:t>
      </w: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or supply;</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energy conservation efforts;</w:t>
      </w:r>
    </w:p>
    <w:p>
      <w:pPr>
        <w:ind w:left="660" w:hanging="112"/>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and availability of alternative fuels; and</w:t>
      </w: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fuel prices increase, our customers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in order to reduce costs or comply with new environmental regulations to obtain associated incentives. For example, in the shipping industry an increasing number of container ships are sailing at reduced speeds, known as "slow-steaming," in order to conserve fuel and reduce carbon emissions. In any such event, there can be no assurance that the volume of orders from our customers will increase again or that we will be able to replace lost volumes with new customers. In addition, if fuel prices increase, our own credit limits could prevent us from purchasing enough fuel from our suppliers to meet our customers' demands or could require us to prepay for fuel purchases which would impair our liquidity.</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maintain fuel inventories for competitive reasons. Because fuel is a commodity, we have no control over the changing market value of our inventory. Our inventory is valued using the average cost methodology and is stated at the lower of average cost or market. While we attempt to mitigate these fluctuations through hedging, there can be no assurance that such hedges will be effective. A rapid decline in fuel prices could cause our inventory value to be higher than market, resulting in our inventory being marked down to market or the inventory itself sold at lower prices. Accordingly, if the market value of our inventory is less than our average cost, we would record a write-down of inventory and a non-cash charge to cost of revenue, which would adversely impact our earnings.</w:t>
      </w:r>
    </w:p>
    <w:p>
      <w:pPr>
        <w:spacing w:after="0" w:line="18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Because we offer fuel products and services on a worldwide basis, our business is subject to risks associated with doing business internationally.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future operating results could be harmed by a variety of factors, including:</w:t>
      </w:r>
    </w:p>
    <w:p>
      <w:pPr>
        <w:spacing w:after="0" w:line="212" w:lineRule="exact"/>
        <w:rPr>
          <w:sz w:val="20"/>
          <w:szCs w:val="20"/>
          <w:color w:val="auto"/>
        </w:rPr>
      </w:pPr>
    </w:p>
    <w:p>
      <w:pPr>
        <w:ind w:left="660" w:right="80" w:hanging="112"/>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which could increase our costs of or prevent us from doing certain business internationally;</w:t>
      </w:r>
    </w:p>
    <w:p>
      <w:pPr>
        <w:spacing w:after="0" w:line="2" w:lineRule="exact"/>
        <w:rPr>
          <w:rFonts w:ascii="Arial" w:cs="Arial" w:eastAsia="Arial" w:hAnsi="Arial"/>
          <w:sz w:val="18"/>
          <w:szCs w:val="18"/>
          <w:color w:val="auto"/>
        </w:rPr>
      </w:pPr>
    </w:p>
    <w:p>
      <w:pPr>
        <w:ind w:left="660" w:hanging="11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ind w:left="660" w:hanging="112"/>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ind w:left="660" w:hanging="11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regulatory requirements, which may be costly and require significant time to implement;</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the payment of distributions;</w:t>
      </w:r>
    </w:p>
    <w:p>
      <w:pPr>
        <w:ind w:left="660" w:right="40" w:hanging="112"/>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risks specific to foreign jurisdictions; and</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terrorism, war, civil unrest and natural disasters.</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operate in certain high risk locations that have been experiencing military action or continued unrest which could disrupt the supply of fuel or otherwise disrupt our operations in those areas. In these high risk locations, we may also incur substantial operating costs, including maintaining the safety of our personnel. Furthermore, we cannot guarantee the safety of our personnel in these locations and there is a risk of serious injury or loss of life of employees or subcontractors.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require us to comply with applicable U.S and international laws and regulations.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Doing business on a worldwide basis requires us to comply with the laws and regulations of the U.S. government and various international jurisdictions. These regulations place restrictions on our operations, trade practices and partners and investment decisions. In particular, our international operations are subject to U.S. and foreign anti-corruption laws and regulations, such as the Foreign Corrupt Practices Act ("FCPA") and the U.K. Anti-Bribery Act, and economic sanction programs administered by the U.S. Treasury Department's Office of Foreign Assets Control ("OFAC"). The FCPA prohibits us from providing anything of value to foreign officials for the purposes of influencing official decisions or obtaining or retaining business and the U.K. Anti-Bribery Act prohibits bribery both in the United Kingdom and internationally, as well as bribery across public and private sectors. As part of our business, we regularly deal with state-owned business enterprises, the employees of which are considered foreign officials for purposes of the FCPA. In addition, some of the international locations in which we operate lack a developed legal system and have higher than normal levels of corruption. Economic sanctions programs restrict our business dealings with certain countries and individuals. From time to time, certain of our subsidiaries have limited business dealings in countries subject to comprehensive OFAC-administered sanctions, specifically Cuba, Iran, Syria and Sudan. These business dealings, which represent an insignificant amount of our consolidated revenues and income, generally consist of the purchase of overflight permits and the provision of flight support and fuel services pursuant to licenses issued by OFAC or as otherwise permitted by U.S. sanctions regulations. As a result of the above activities, we are exposed to a heightened risk of violating anti-corruption laws and OFAC regulations. Violations of these regulations are punishable by civil penalties, including fines, denial of export privileges, injunctions, asset seizures, debarment from government contracts and revocations or restrictions of licenses, as well as criminal fines and imprisonment.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established policies and procedures designed to assist with our compliance with applicable U.S. and international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 In addition, various state and municipal governments, universities and other investors maintain prohibitions or restrictions on investments in companies that do business with sanctioned countries, which could adversely affect the market for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December 8, 2009, we received an administrative subpoena from OFAC requesting information regarding our transactions involving Sudanese overflight payments since June 30, 2008. We responded to the subpoena and identified a small number of sanctioned country-related transactions which took place after our license had expired that may have resulted in violations of U.S. sanctions regulations or our OFAC-issued license. In our response to OFAC, we noted that the transactions we identified as potential violations resulted in very small amounts of revenue to us. We have also taken various remedial actions to further strengthen our compliance related policies and procedures. Nevertheless, should OFAC determine that these activities constituted violations of U.S. sanctions regulations, civil penalties, including fines, could be assessed against us. Additionally, in the course of its ongoing review, OFAC could request additional information from us, in the form of additional subpoenas or otherwise, and we intend to fully cooperate with any such additional subpoenas or requests. We cannot predict the ultimate outcome of the OFAC review, the total costs to be incurred in response to this review, the potential impact on our personnel, the effect of implementing any further measures that may be necessary to ensure full compliance with U.S. sanctions regulations or to what extent, if at all, we could be subject to fines, sanctions or other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agreements with certain of our key executive officers, the employment agreements do not prevent those officers from ceasing their employment with us at any time. If we are unable to retain existing senior management and key personnel, or to attract other qualified senior management and key personnel on terms satisfactory to us, our business will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the requirements of our Credit Facility and Term Loans could adversely affect our operating flexibility.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the ability to borrow money pursuant to a Credit Facility and Term Loans that impose certain operating and financial covenants on us, such as limiting or prohibiting our ability to (i) pay dividends, (ii) incur additional debt, (iii) create liens, (iv) make restricted payments, (v) sell assets and (vi) engage in mergers or acquisitions. Our failure to comply with the requirements of these facilities, including meeting certain financial ratios, could result in an event of default. An event of default, if not cured or waived, would permit acceleration of any outstanding indebtedness under these facilities, could trigger cross-defaults under other agreements to which we are a party, such as certain derivative contracts and promissory notes issued in connection with acquisitions, and would impair our ability to obtain working capital advances and letters of credit, any of which could have a material adverse effect on our business, financial condition, results of operations and cash flows.</w:t>
      </w:r>
    </w:p>
    <w:p>
      <w:pPr>
        <w:spacing w:after="0" w:line="18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operations may be adversely affected by legislation as well as competition from other energy sources and new or advanced technology.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are significant governmental incentives and consumer pressures to increase the use of alternative fuels in the United States. A number of automotive, industrial and power generation manufacturers are developing more fuel efficient engines, hybrid engines and alternative clean power systems using fuel cells or clean burning gaseous fuels.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federal, state and/or foreign governments may enact legislation or regulations that attempt to control or limit GHGs such as carbon dioxide. Such laws or regulations could impose costs tied to carbon emissions, operational requirements or restrictions, or additional charges to fund energy efficiency activities. They could also provide a cost advantage to alternative energy sources, result in other costs or requirements, such as costs associated with the adoption of new infrastructure and technology to respond to new mandates, or impose costs or restrictions on end users of fuel. For example, some of our customers in the transportation industry may be required to purchase allowances or offsets or incur other costs to comply with existing or future requirements relating to GHG. Finally, the focus on climate change could also negatively impact the reputation of fuel products or services such as those we offer. The occurrence of the foregoing events could put upward pressure on the cost of fuel relative to other energy sources, increase our costs and the prices we charge to customers, reduce the demand for our products, and therefore adversely affect our business,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who fail to provide services to us or our customers as agreed could harm our business.</w:t>
      </w:r>
    </w:p>
    <w:p>
      <w:pPr>
        <w:spacing w:after="0" w:line="1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We use third parties to provide various services to our customers, including into-plane fueling at airports, fueling of vessels in port and at sea and delivering land-based fuel. The failure of these third parties to perform these services in accordance with contractual terms for any reason, such as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the extent that we use third parties in our operations in foreign markets, we are also subject to the risk that we would be held accountable for the failure of these third parties to comply with the laws and regulations of the U.S. and various international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proposed derivatives legislation and rulemaking could have an adverse effect on our business.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Dodd-Frank Wall Street Transparency and Accountability Act of 2010 (the "Act") provides for federal regulation of the over-the-counter swaps market both for commodities and securities, and gives the U.S. Commodity Futures Trading Commission ("CFTC") and the SEC broad authority to regulate the swaps market and its principal participants. This includes, among others, derivative transactions linked to crude oil, refined products and natural gas prices. The CFTC and the SEC are continuing to consider, finalize and implement rules governing, among other things, where swaps are transacted (on exchange versus off exchange); how they are transacted (cleared versus uncleared; margined versus unmargined); the differing responsibilities of those who participate in over-the-counter derivatives (end users, swap dealers, major swap participants); and the application of cross-border rules in the global derivatives market. Regulations setting limits on the size of a party's derivative positions in major energy markets were adopted by the CFTC but vacated after a successful challenge in Federal court. In November 2013, the CFTC proposed a new position limits rule which would limit trading in options, futures, and swaps contracts related to certain agricultural, metal, and energy commodities, including energy commodities in which we currently engage in derivative transactions. We cannot currently predict whether or when the proposed rule will be adopted or the effect of the final rule on our business. Furthermore, certain of the other requirements under the Act have taken effect and other regulations that could have a significant impact on us are expected to be finalized in the near future.</w:t>
      </w:r>
    </w:p>
    <w:p>
      <w:pPr>
        <w:spacing w:after="0" w:line="3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various foreign jurisdictions have adopted or are in the process of adopting legislation regulating the use of derivatives, including Singapore and Europe, where we currently conduct certain derivatives related activities.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regulations are finalized, adopted and implemented, we continue to evaluate how legislation will impact our ability to conduct our business. In particular, the Act and any new (or newly implemented) regulations and international legislation could significantly increase the cost of our derivative contracts (including through requirements to post collateral, which could adversely affect our cash flows and liquidity, or subject us directly or indirectly to reporting requirements), materially alter the terms of our derivative contracts, reduce our ability to offer derivative and other price management products to our customers, reduce the demand for our price risk management services, reduce the availability of derivatives to protect against risks we encounter, increase price volatility in commodities we buy and sell (and derivatives related to those commodities), reduce our ability to monetize or restructure our existing commodity price contracts, and increase our exposure to less creditworthy counterparties. If the increased cost of derivative contracts is significant or we reduce or limit our derivatives activities as a result of the legislation, our profitability and results of operations could be adversely affected. Any of these consequences could have a material adverse effect on us, our financial condition, and our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governmental regulation of shipments by rail of crude oil and other fuel products may lead to additional costs.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rely in part on rail shipments to transport crude oil and other fuel products in both the United States and Canada. Recent rail incidents have led and are likely to continue to lead to additional governmental regulation of rail shipments of crude oil and other fuel products in Canada and the United States and to increased safety standards for the tank cars that transport these products. We cannot predict with any certainty what form any additional regulations may take. Any increased regulation could result in higher operating costs, which could adversely affect our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disruptions in the availability or supply of fuel would adversely affect our business.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success of a significant portion of our business depends on our ability to purchase, sell and coordinate delivery of fuel and fuel-related services to our customers. Our business would be adversely affected to the extent that political instability, natural disasters, terrorist activity, military action or other conditions disrupt the availability or supply of fuel.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equivalents and investments are subject to risks that may cause illiquidity and losses from declines in value.</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cash equivalents, principally consisting of overnight investments, bank money market accounts and bank time deposits are subject to credit, liquidity, market and interest rate risk, which can be exacerbated by volatility in the capital markets. Adverse changes in this respect can result in the decline of the fair value of our cash equivalents and therefore our liquidity, which could materially affect our business, financial condition,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future litigation could have an adverse effect on us.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currently involved in legal proceedings that have arisen in the ordinary course of our business. Lawsuits and other administrative or legal proceedings can involve substantial costs, including the costs associated with investigation, litigation and possible settlement, judgment, penalty or fine. Although we generally maintain insurance to mitigate certain costs, there can be no assurance that costs associated with lawsuits or other legal proceedings will not exceed the limits of insurance policies. Our business, financial condition, results of operations and cash flows could be adversely affected if a judgment, penalty or fine is not fully covered by insurance.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materially affect our reported results.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that are denominated in foreign currencies. This subjects us to foreign currency exchange risk. Although we use hedging strategies to manage and minimize the impact of foreign currency exchange risk, at any given time, only a portion of this risk may be hedged, and our exposure to this risk may be substantial. As a result, fluctuations in foreign exchange rates could adversely affect our profitability.</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us, to relatively small and specialized firms. In addition to competing with fuel resellers, we also compete with the major oil producers that market fuel directly to the large commercial airlines, shipping companies and petroleum distributors operating in the land transportation market. Although many major oil companies have been divesting their downstream assets, some continue to compete with us in certain markets while others may decide to re-enter the market in the future. Our business could be adversely affected because of increased competition from these oil companies, who may choose to increase their direct marketing in order to compete with us or provide less advantageous price and credit terms to us than to our fuel reseller competitors.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or foreign tax laws could adversely affect our business and future operating results.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affected by various U.S. and foreign taxes, including income taxes and taxes imposed on the purchase and sale of aviation, marine and land fuel products, such as sales, excise, value added tax, energy, environmental and other taxes. From time to time, we may also benefit from special tax concessions in certain jurisdictions. Changes in U.S. and foreign tax laws, our failure to comply with such laws or the loss of tax concessions could adversely affect our business, financial condition, results of operations and cash flows.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We are regularly under audit by tax authorities and, although we believe our tax estimates are reasonable, the final determination of tax audits and any related litigation could be materially different from our historical income tax provisions and accruals. The results of an audit or litigation could have a material effect on our financial statements in the period or periods for which that determination is made.</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Finally, we earn a significant amount of our operating income from outside the U.S., and any repatriation of funds currently held in foreign jurisdictions to the U.S. may result in higher effective income tax rates for the Company. In addition, there have been proposals to change U.S. income tax laws that would significantly impact how U.S. multinational corporations are taxed on foreign earnings. Although we cannot predict whether or in what form any proposed legislation may pass, if enacted it could have a material adverse impact on our income tax expense,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Item 2. Properties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sets forth our principal properties, all of which are leased, as of February 5, 2014. We consider all of our properties and facilities to be suitable and adequate for our present needs and do not anticipate that we will experience difficulty in renewing or replacing those leases that expire in 2014 in any material respect.</w:t>
      </w:r>
    </w:p>
    <w:p>
      <w:pPr>
        <w:spacing w:after="0" w:line="172" w:lineRule="exact"/>
        <w:rPr>
          <w:sz w:val="20"/>
          <w:szCs w:val="20"/>
          <w:color w:val="auto"/>
        </w:rPr>
      </w:pPr>
    </w:p>
    <w:p>
      <w:pPr>
        <w:ind w:right="5040"/>
        <w:spacing w:after="0" w:line="442" w:lineRule="auto"/>
        <w:rPr>
          <w:sz w:val="20"/>
          <w:szCs w:val="20"/>
          <w:color w:val="auto"/>
        </w:rPr>
      </w:pPr>
      <w:r>
        <w:rPr>
          <w:rFonts w:ascii="Arial" w:cs="Arial" w:eastAsia="Arial" w:hAnsi="Arial"/>
          <w:sz w:val="22"/>
          <w:szCs w:val="22"/>
          <w:b w:val="1"/>
          <w:bCs w:val="1"/>
          <w:color w:val="auto"/>
        </w:rPr>
        <w:t xml:space="preserve">WORLD FUEL SERVICES CORPORATION AND SUBSIDIARIES </w:t>
      </w:r>
      <w:r>
        <w:rPr>
          <w:rFonts w:ascii="Arial" w:cs="Arial" w:eastAsia="Arial" w:hAnsi="Arial"/>
          <w:sz w:val="22"/>
          <w:szCs w:val="22"/>
          <w:color w:val="auto"/>
        </w:rPr>
        <w:t>PROPERTIES</w:t>
      </w:r>
    </w:p>
    <w:p>
      <w:pPr>
        <w:spacing w:after="0"/>
        <w:tabs>
          <w:tab w:leader="none" w:pos="3940" w:val="left"/>
          <w:tab w:leader="none" w:pos="78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b w:val="1"/>
          <w:bCs w:val="1"/>
          <w:color w:val="auto"/>
        </w:rPr>
        <w:t>Principal Use</w:t>
      </w:r>
      <w:r>
        <w:rPr>
          <w:sz w:val="20"/>
          <w:szCs w:val="20"/>
          <w:color w:val="auto"/>
        </w:rPr>
        <w:tab/>
      </w:r>
      <w:r>
        <w:rPr>
          <w:rFonts w:ascii="Arial" w:cs="Arial" w:eastAsia="Arial" w:hAnsi="Arial"/>
          <w:sz w:val="16"/>
          <w:szCs w:val="16"/>
          <w:b w:val="1"/>
          <w:bCs w:val="1"/>
          <w:color w:val="auto"/>
        </w:rPr>
        <w:t>Lease Expiration</w:t>
      </w:r>
    </w:p>
    <w:p>
      <w:pPr>
        <w:sectPr>
          <w:pgSz w:w="11900" w:h="16838" w:orient="portrait"/>
          <w:cols w:equalWidth="0" w:num="1">
            <w:col w:w="11420"/>
          </w:cols>
          <w:pgMar w:left="240" w:top="143" w:right="239" w:bottom="1440" w:gutter="0" w:footer="0" w:header="0"/>
        </w:sectPr>
      </w:pPr>
    </w:p>
    <w:p>
      <w:pPr>
        <w:spacing w:after="0" w:line="261" w:lineRule="exact"/>
        <w:rPr>
          <w:sz w:val="20"/>
          <w:szCs w:val="20"/>
          <w:color w:val="auto"/>
        </w:rPr>
      </w:pPr>
    </w:p>
    <w:p>
      <w:pPr>
        <w:ind w:right="1100"/>
        <w:spacing w:after="0" w:line="299" w:lineRule="auto"/>
        <w:rPr>
          <w:sz w:val="20"/>
          <w:szCs w:val="20"/>
          <w:color w:val="auto"/>
        </w:rPr>
      </w:pPr>
      <w:r>
        <w:rPr>
          <w:rFonts w:ascii="Arial" w:cs="Arial" w:eastAsia="Arial" w:hAnsi="Arial"/>
          <w:sz w:val="16"/>
          <w:szCs w:val="16"/>
          <w:color w:val="auto"/>
        </w:rPr>
        <w:t>9800 Northwest 41st Street Miami, FL 33178, USA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3340 S. Harlem Avenue</w:t>
      </w:r>
    </w:p>
    <w:p>
      <w:pPr>
        <w:spacing w:after="0"/>
        <w:rPr>
          <w:sz w:val="20"/>
          <w:szCs w:val="20"/>
          <w:color w:val="auto"/>
        </w:rPr>
      </w:pPr>
      <w:r>
        <w:rPr>
          <w:rFonts w:ascii="Arial" w:cs="Arial" w:eastAsia="Arial" w:hAnsi="Arial"/>
          <w:sz w:val="18"/>
          <w:szCs w:val="18"/>
          <w:color w:val="auto"/>
        </w:rPr>
        <w:t>Riverside, IL 60546, USA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62 Buckingham Gate</w:t>
      </w:r>
    </w:p>
    <w:p>
      <w:pPr>
        <w:spacing w:after="0"/>
        <w:rPr>
          <w:sz w:val="20"/>
          <w:szCs w:val="20"/>
          <w:color w:val="auto"/>
        </w:rPr>
      </w:pPr>
      <w:r>
        <w:rPr>
          <w:rFonts w:ascii="Arial" w:cs="Arial" w:eastAsia="Arial" w:hAnsi="Arial"/>
          <w:sz w:val="18"/>
          <w:szCs w:val="18"/>
          <w:color w:val="auto"/>
        </w:rPr>
        <w:t>London, UK SW1E 6AJ</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Kingfisher House North Park</w:t>
      </w:r>
    </w:p>
    <w:p>
      <w:pPr>
        <w:spacing w:after="0" w:line="234" w:lineRule="auto"/>
        <w:rPr>
          <w:sz w:val="20"/>
          <w:szCs w:val="20"/>
          <w:color w:val="auto"/>
        </w:rPr>
      </w:pPr>
      <w:r>
        <w:rPr>
          <w:rFonts w:ascii="Arial" w:cs="Arial" w:eastAsia="Arial" w:hAnsi="Arial"/>
          <w:sz w:val="18"/>
          <w:szCs w:val="18"/>
          <w:color w:val="auto"/>
        </w:rPr>
        <w:t>Gatwick Road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Crawley, West Sussex, UK RH102XN</w:t>
      </w:r>
    </w:p>
    <w:p>
      <w:pPr>
        <w:spacing w:after="0" w:line="262" w:lineRule="exact"/>
        <w:rPr>
          <w:sz w:val="20"/>
          <w:szCs w:val="20"/>
          <w:color w:val="auto"/>
        </w:rPr>
      </w:pPr>
    </w:p>
    <w:p>
      <w:pPr>
        <w:ind w:right="880"/>
        <w:spacing w:after="0" w:line="238" w:lineRule="auto"/>
        <w:rPr>
          <w:sz w:val="20"/>
          <w:szCs w:val="20"/>
          <w:color w:val="auto"/>
        </w:rPr>
      </w:pPr>
      <w:r>
        <w:rPr>
          <w:rFonts w:ascii="Arial" w:cs="Arial" w:eastAsia="Arial" w:hAnsi="Arial"/>
          <w:sz w:val="18"/>
          <w:szCs w:val="18"/>
          <w:color w:val="auto"/>
        </w:rPr>
        <w:t>238A Thompson Road #17-03 Novena Square Tower A Singapore 307684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Office No. 2003, Swiss Tower</w:t>
      </w:r>
    </w:p>
    <w:p>
      <w:pPr>
        <w:spacing w:after="0"/>
        <w:rPr>
          <w:sz w:val="20"/>
          <w:szCs w:val="20"/>
          <w:color w:val="auto"/>
        </w:rPr>
      </w:pPr>
      <w:r>
        <w:rPr>
          <w:rFonts w:ascii="Arial" w:cs="Arial" w:eastAsia="Arial" w:hAnsi="Arial"/>
          <w:sz w:val="16"/>
          <w:szCs w:val="16"/>
          <w:color w:val="auto"/>
        </w:rPr>
        <w:t>Plot No. Y3, Jumeirah Lakes Towers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Dubai, United Arab Emirates</w:t>
      </w:r>
    </w:p>
    <w:p>
      <w:pPr>
        <w:spacing w:after="0" w:line="239" w:lineRule="exact"/>
        <w:rPr>
          <w:sz w:val="20"/>
          <w:szCs w:val="20"/>
          <w:color w:val="auto"/>
        </w:rPr>
      </w:pPr>
    </w:p>
    <w:p>
      <w:pPr>
        <w:ind w:right="1140"/>
        <w:spacing w:after="0" w:line="234" w:lineRule="auto"/>
        <w:rPr>
          <w:sz w:val="20"/>
          <w:szCs w:val="20"/>
          <w:color w:val="auto"/>
        </w:rPr>
      </w:pPr>
      <w:r>
        <w:rPr>
          <w:rFonts w:ascii="Arial" w:cs="Arial" w:eastAsia="Arial" w:hAnsi="Arial"/>
          <w:sz w:val="18"/>
          <w:szCs w:val="18"/>
          <w:color w:val="auto"/>
        </w:rPr>
        <w:t>Av. Rio Branco 181/3602 – Parte, Centro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Rio de Janeiro, Brazil 20040 007</w:t>
      </w:r>
    </w:p>
    <w:p>
      <w:pPr>
        <w:spacing w:after="0" w:line="239" w:lineRule="exact"/>
        <w:rPr>
          <w:sz w:val="20"/>
          <w:szCs w:val="20"/>
          <w:color w:val="auto"/>
        </w:rPr>
      </w:pPr>
    </w:p>
    <w:p>
      <w:pPr>
        <w:ind w:right="640"/>
        <w:spacing w:after="0" w:line="275" w:lineRule="auto"/>
        <w:rPr>
          <w:sz w:val="20"/>
          <w:szCs w:val="20"/>
          <w:color w:val="auto"/>
        </w:rPr>
      </w:pPr>
      <w:r>
        <w:rPr>
          <w:rFonts w:ascii="Arial" w:cs="Arial" w:eastAsia="Arial" w:hAnsi="Arial"/>
          <w:sz w:val="16"/>
          <w:szCs w:val="16"/>
          <w:color w:val="auto"/>
        </w:rPr>
        <w:t>Calle Francisco Sarabia No. 34 B Colonia Penon de los Banos Delegación Venustiano Carranza C.P. 15520, Mexico D.F.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Executive, administrative, operations and</w:t>
      </w:r>
      <w:r>
        <w:rPr>
          <w:sz w:val="20"/>
          <w:szCs w:val="20"/>
          <w:color w:val="auto"/>
        </w:rPr>
        <w:tab/>
      </w:r>
      <w:r>
        <w:rPr>
          <w:rFonts w:ascii="Arial" w:cs="Arial" w:eastAsia="Arial" w:hAnsi="Arial"/>
          <w:sz w:val="16"/>
          <w:szCs w:val="16"/>
          <w:color w:val="auto"/>
        </w:rPr>
        <w:t>May 2021</w:t>
      </w:r>
    </w:p>
    <w:p>
      <w:pPr>
        <w:spacing w:after="0" w:line="234" w:lineRule="auto"/>
        <w:rPr>
          <w:sz w:val="20"/>
          <w:szCs w:val="20"/>
          <w:color w:val="auto"/>
        </w:rPr>
      </w:pPr>
      <w:r>
        <w:rPr>
          <w:rFonts w:ascii="Arial" w:cs="Arial" w:eastAsia="Arial" w:hAnsi="Arial"/>
          <w:sz w:val="18"/>
          <w:szCs w:val="18"/>
          <w:color w:val="auto"/>
        </w:rPr>
        <w:t>sales office for corporate, aviation, marine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land segments</w:t>
      </w:r>
    </w:p>
    <w:p>
      <w:pPr>
        <w:spacing w:after="0" w:line="234"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June 2018</w:t>
      </w:r>
    </w:p>
    <w:p>
      <w:pPr>
        <w:spacing w:after="0"/>
        <w:rPr>
          <w:sz w:val="20"/>
          <w:szCs w:val="20"/>
          <w:color w:val="auto"/>
        </w:rPr>
      </w:pPr>
      <w:r>
        <w:rPr>
          <w:rFonts w:ascii="Arial" w:cs="Arial" w:eastAsia="Arial" w:hAnsi="Arial"/>
          <w:sz w:val="18"/>
          <w:szCs w:val="18"/>
          <w:color w:val="auto"/>
        </w:rPr>
        <w:t>for land segment</w:t>
      </w:r>
    </w:p>
    <w:p>
      <w:pPr>
        <w:spacing w:after="0" w:line="234"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June 2023</w:t>
      </w:r>
    </w:p>
    <w:p>
      <w:pPr>
        <w:spacing w:after="0"/>
        <w:rPr>
          <w:sz w:val="20"/>
          <w:szCs w:val="20"/>
          <w:color w:val="auto"/>
        </w:rPr>
      </w:pPr>
      <w:r>
        <w:rPr>
          <w:rFonts w:ascii="Arial" w:cs="Arial" w:eastAsia="Arial" w:hAnsi="Arial"/>
          <w:sz w:val="18"/>
          <w:szCs w:val="18"/>
          <w:color w:val="auto"/>
        </w:rPr>
        <w:t>for aviation, marine and land segments</w:t>
      </w:r>
    </w:p>
    <w:p>
      <w:pPr>
        <w:spacing w:after="0" w:line="234"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September 2015</w:t>
      </w:r>
    </w:p>
    <w:p>
      <w:pPr>
        <w:spacing w:after="0"/>
        <w:rPr>
          <w:sz w:val="20"/>
          <w:szCs w:val="20"/>
          <w:color w:val="auto"/>
        </w:rPr>
      </w:pPr>
      <w:r>
        <w:rPr>
          <w:rFonts w:ascii="Arial" w:cs="Arial" w:eastAsia="Arial" w:hAnsi="Arial"/>
          <w:sz w:val="18"/>
          <w:szCs w:val="18"/>
          <w:color w:val="auto"/>
        </w:rPr>
        <w:t>for aviation and land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December 2015</w:t>
      </w:r>
    </w:p>
    <w:p>
      <w:pPr>
        <w:spacing w:after="0"/>
        <w:rPr>
          <w:sz w:val="20"/>
          <w:szCs w:val="20"/>
          <w:color w:val="auto"/>
        </w:rPr>
      </w:pPr>
      <w:r>
        <w:rPr>
          <w:rFonts w:ascii="Arial" w:cs="Arial" w:eastAsia="Arial" w:hAnsi="Arial"/>
          <w:sz w:val="18"/>
          <w:szCs w:val="18"/>
          <w:color w:val="auto"/>
        </w:rPr>
        <w:t>for aviation and marine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Sales and marketing office for aviation and</w:t>
      </w:r>
      <w:r>
        <w:rPr>
          <w:sz w:val="20"/>
          <w:szCs w:val="20"/>
          <w:color w:val="auto"/>
        </w:rPr>
        <w:tab/>
      </w:r>
      <w:r>
        <w:rPr>
          <w:rFonts w:ascii="Arial" w:cs="Arial" w:eastAsia="Arial" w:hAnsi="Arial"/>
          <w:sz w:val="16"/>
          <w:szCs w:val="16"/>
          <w:color w:val="auto"/>
        </w:rPr>
        <w:t>March 2017</w:t>
      </w:r>
    </w:p>
    <w:p>
      <w:pPr>
        <w:spacing w:after="0"/>
        <w:rPr>
          <w:sz w:val="20"/>
          <w:szCs w:val="20"/>
          <w:color w:val="auto"/>
        </w:rPr>
      </w:pPr>
      <w:r>
        <w:rPr>
          <w:rFonts w:ascii="Arial" w:cs="Arial" w:eastAsia="Arial" w:hAnsi="Arial"/>
          <w:sz w:val="18"/>
          <w:szCs w:val="18"/>
          <w:color w:val="auto"/>
        </w:rPr>
        <w:t>marine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December 2016</w:t>
      </w:r>
    </w:p>
    <w:p>
      <w:pPr>
        <w:spacing w:after="0"/>
        <w:rPr>
          <w:sz w:val="20"/>
          <w:szCs w:val="20"/>
          <w:color w:val="auto"/>
        </w:rPr>
      </w:pPr>
      <w:r>
        <w:rPr>
          <w:rFonts w:ascii="Arial" w:cs="Arial" w:eastAsia="Arial" w:hAnsi="Arial"/>
          <w:sz w:val="18"/>
          <w:szCs w:val="18"/>
          <w:color w:val="auto"/>
        </w:rPr>
        <w:t>for aviation, marine and land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October 2014</w:t>
      </w:r>
    </w:p>
    <w:p>
      <w:pPr>
        <w:spacing w:after="0"/>
        <w:rPr>
          <w:sz w:val="20"/>
          <w:szCs w:val="20"/>
          <w:color w:val="auto"/>
        </w:rPr>
      </w:pPr>
      <w:r>
        <w:rPr>
          <w:rFonts w:ascii="Arial" w:cs="Arial" w:eastAsia="Arial" w:hAnsi="Arial"/>
          <w:sz w:val="18"/>
          <w:szCs w:val="18"/>
          <w:color w:val="auto"/>
        </w:rPr>
        <w:t>for aviation segment</w:t>
      </w:r>
    </w:p>
    <w:p>
      <w:pPr>
        <w:spacing w:after="0" w:line="633" w:lineRule="exact"/>
        <w:rPr>
          <w:sz w:val="20"/>
          <w:szCs w:val="20"/>
          <w:color w:val="auto"/>
        </w:rPr>
      </w:pPr>
    </w:p>
    <w:p>
      <w:pPr>
        <w:sectPr>
          <w:pgSz w:w="11900" w:h="16838" w:orient="portrait"/>
          <w:cols w:equalWidth="0" w:num="2">
            <w:col w:w="3240" w:space="720"/>
            <w:col w:w="7460"/>
          </w:cols>
          <w:pgMar w:left="240" w:top="143" w:right="2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Arial" w:cs="Arial" w:eastAsia="Arial" w:hAnsi="Arial"/>
                <w:sz w:val="18"/>
                <w:szCs w:val="18"/>
                <w:color w:val="auto"/>
              </w:rPr>
              <w:t>Forum 2, Building N, Level 4, Radial</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March 2018</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Santa Ana Belén (Lindoral), Pozos,</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for aviation and marine segments</w:t>
            </w:r>
          </w:p>
        </w:tc>
        <w:tc>
          <w:tcPr>
            <w:tcW w:w="1580" w:type="dxa"/>
            <w:vAlign w:val="bottom"/>
          </w:tcPr>
          <w:p>
            <w:pPr>
              <w:spacing w:after="0"/>
              <w:rPr>
                <w:sz w:val="17"/>
                <w:szCs w:val="17"/>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Santa Ana San José, Costa Rica</w:t>
            </w:r>
          </w:p>
        </w:tc>
        <w:tc>
          <w:tcPr>
            <w:tcW w:w="39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37"/>
        </w:trPr>
        <w:tc>
          <w:tcPr>
            <w:tcW w:w="3660" w:type="dxa"/>
            <w:vAlign w:val="bottom"/>
          </w:tcPr>
          <w:p>
            <w:pPr>
              <w:spacing w:after="0"/>
              <w:rPr>
                <w:sz w:val="20"/>
                <w:szCs w:val="20"/>
                <w:color w:val="auto"/>
              </w:rPr>
            </w:pPr>
            <w:r>
              <w:rPr>
                <w:rFonts w:ascii="Arial" w:cs="Arial" w:eastAsia="Arial" w:hAnsi="Arial"/>
                <w:sz w:val="18"/>
                <w:szCs w:val="18"/>
                <w:color w:val="auto"/>
              </w:rPr>
              <w:t>555 West Brown Deer Road, Suite 200</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January 2015</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Milwaukee, WI 53224, USA</w:t>
            </w:r>
          </w:p>
        </w:tc>
        <w:tc>
          <w:tcPr>
            <w:tcW w:w="3900" w:type="dxa"/>
            <w:vAlign w:val="bottom"/>
          </w:tcPr>
          <w:p>
            <w:pPr>
              <w:ind w:left="300"/>
              <w:spacing w:after="0"/>
              <w:rPr>
                <w:sz w:val="20"/>
                <w:szCs w:val="20"/>
                <w:color w:val="auto"/>
              </w:rPr>
            </w:pPr>
            <w:r>
              <w:rPr>
                <w:rFonts w:ascii="Arial" w:cs="Arial" w:eastAsia="Arial" w:hAnsi="Arial"/>
                <w:sz w:val="18"/>
                <w:szCs w:val="18"/>
                <w:color w:val="auto"/>
              </w:rPr>
              <w:t>for land segment</w:t>
            </w:r>
          </w:p>
        </w:tc>
        <w:tc>
          <w:tcPr>
            <w:tcW w:w="1580" w:type="dxa"/>
            <w:vAlign w:val="bottom"/>
          </w:tcPr>
          <w:p>
            <w:pPr>
              <w:spacing w:after="0"/>
              <w:rPr>
                <w:sz w:val="18"/>
                <w:szCs w:val="18"/>
                <w:color w:val="auto"/>
              </w:rPr>
            </w:pPr>
          </w:p>
        </w:tc>
      </w:tr>
      <w:tr>
        <w:trPr>
          <w:trHeight w:val="437"/>
        </w:trPr>
        <w:tc>
          <w:tcPr>
            <w:tcW w:w="3660" w:type="dxa"/>
            <w:vAlign w:val="bottom"/>
          </w:tcPr>
          <w:p>
            <w:pPr>
              <w:spacing w:after="0"/>
              <w:rPr>
                <w:sz w:val="20"/>
                <w:szCs w:val="20"/>
                <w:color w:val="auto"/>
              </w:rPr>
            </w:pPr>
            <w:r>
              <w:rPr>
                <w:rFonts w:ascii="Arial" w:cs="Arial" w:eastAsia="Arial" w:hAnsi="Arial"/>
                <w:sz w:val="18"/>
                <w:szCs w:val="18"/>
                <w:color w:val="auto"/>
              </w:rPr>
              <w:t>605 North Highway 169, Suite 1100 &amp; 1200</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June 2018</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Plymouth, MN 55441, USA</w:t>
            </w:r>
          </w:p>
        </w:tc>
        <w:tc>
          <w:tcPr>
            <w:tcW w:w="3900" w:type="dxa"/>
            <w:vAlign w:val="bottom"/>
          </w:tcPr>
          <w:p>
            <w:pPr>
              <w:ind w:left="300"/>
              <w:spacing w:after="0"/>
              <w:rPr>
                <w:sz w:val="20"/>
                <w:szCs w:val="20"/>
                <w:color w:val="auto"/>
              </w:rPr>
            </w:pPr>
            <w:r>
              <w:rPr>
                <w:rFonts w:ascii="Arial" w:cs="Arial" w:eastAsia="Arial" w:hAnsi="Arial"/>
                <w:sz w:val="18"/>
                <w:szCs w:val="18"/>
                <w:color w:val="auto"/>
              </w:rPr>
              <w:t>for land segment</w:t>
            </w:r>
          </w:p>
        </w:tc>
        <w:tc>
          <w:tcPr>
            <w:tcW w:w="1580" w:type="dxa"/>
            <w:vAlign w:val="bottom"/>
          </w:tcPr>
          <w:p>
            <w:pPr>
              <w:spacing w:after="0"/>
              <w:rPr>
                <w:sz w:val="18"/>
                <w:szCs w:val="18"/>
                <w:color w:val="auto"/>
              </w:rPr>
            </w:pPr>
          </w:p>
        </w:tc>
      </w:tr>
      <w:tr>
        <w:trPr>
          <w:trHeight w:val="437"/>
        </w:trPr>
        <w:tc>
          <w:tcPr>
            <w:tcW w:w="3660" w:type="dxa"/>
            <w:vAlign w:val="bottom"/>
          </w:tcPr>
          <w:p>
            <w:pPr>
              <w:spacing w:after="0"/>
              <w:rPr>
                <w:sz w:val="20"/>
                <w:szCs w:val="20"/>
                <w:color w:val="auto"/>
              </w:rPr>
            </w:pPr>
            <w:r>
              <w:rPr>
                <w:rFonts w:ascii="Arial" w:cs="Arial" w:eastAsia="Arial" w:hAnsi="Arial"/>
                <w:sz w:val="18"/>
                <w:szCs w:val="18"/>
                <w:color w:val="auto"/>
              </w:rPr>
              <w:t>One Mill Street</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w w:val="95"/>
              </w:rPr>
              <w:t>December 2015</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Parish, NY 13131, USA</w:t>
            </w:r>
          </w:p>
        </w:tc>
        <w:tc>
          <w:tcPr>
            <w:tcW w:w="3900" w:type="dxa"/>
            <w:vAlign w:val="bottom"/>
          </w:tcPr>
          <w:p>
            <w:pPr>
              <w:ind w:left="300"/>
              <w:spacing w:after="0"/>
              <w:rPr>
                <w:sz w:val="20"/>
                <w:szCs w:val="20"/>
                <w:color w:val="auto"/>
              </w:rPr>
            </w:pPr>
            <w:r>
              <w:rPr>
                <w:rFonts w:ascii="Arial" w:cs="Arial" w:eastAsia="Arial" w:hAnsi="Arial"/>
                <w:sz w:val="18"/>
                <w:szCs w:val="18"/>
                <w:color w:val="auto"/>
              </w:rPr>
              <w:t>for aviation segment</w:t>
            </w:r>
          </w:p>
        </w:tc>
        <w:tc>
          <w:tcPr>
            <w:tcW w:w="1580" w:type="dxa"/>
            <w:vAlign w:val="bottom"/>
          </w:tcPr>
          <w:p>
            <w:pPr>
              <w:spacing w:after="0"/>
              <w:rPr>
                <w:sz w:val="18"/>
                <w:szCs w:val="18"/>
                <w:color w:val="auto"/>
              </w:rPr>
            </w:pPr>
          </w:p>
        </w:tc>
      </w:tr>
      <w:tr>
        <w:trPr>
          <w:trHeight w:val="437"/>
        </w:trPr>
        <w:tc>
          <w:tcPr>
            <w:tcW w:w="3660" w:type="dxa"/>
            <w:vAlign w:val="bottom"/>
          </w:tcPr>
          <w:p>
            <w:pPr>
              <w:spacing w:after="0"/>
              <w:rPr>
                <w:sz w:val="20"/>
                <w:szCs w:val="20"/>
                <w:color w:val="auto"/>
              </w:rPr>
            </w:pPr>
            <w:r>
              <w:rPr>
                <w:rFonts w:ascii="Arial" w:cs="Arial" w:eastAsia="Arial" w:hAnsi="Arial"/>
                <w:sz w:val="18"/>
                <w:szCs w:val="18"/>
                <w:color w:val="auto"/>
              </w:rPr>
              <w:t>Virkelyst 10</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August 2015</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DK-9400 Nr. Sundby, Denmark</w:t>
            </w:r>
          </w:p>
        </w:tc>
        <w:tc>
          <w:tcPr>
            <w:tcW w:w="3900" w:type="dxa"/>
            <w:vAlign w:val="bottom"/>
          </w:tcPr>
          <w:p>
            <w:pPr>
              <w:ind w:left="300"/>
              <w:spacing w:after="0"/>
              <w:rPr>
                <w:sz w:val="20"/>
                <w:szCs w:val="20"/>
                <w:color w:val="auto"/>
              </w:rPr>
            </w:pPr>
            <w:r>
              <w:rPr>
                <w:rFonts w:ascii="Arial" w:cs="Arial" w:eastAsia="Arial" w:hAnsi="Arial"/>
                <w:sz w:val="18"/>
                <w:szCs w:val="18"/>
                <w:color w:val="auto"/>
              </w:rPr>
              <w:t>for aviation and land segments</w:t>
            </w:r>
          </w:p>
        </w:tc>
        <w:tc>
          <w:tcPr>
            <w:tcW w:w="1580" w:type="dxa"/>
            <w:vAlign w:val="bottom"/>
          </w:tcPr>
          <w:p>
            <w:pPr>
              <w:spacing w:after="0"/>
              <w:rPr>
                <w:sz w:val="18"/>
                <w:szCs w:val="18"/>
                <w:color w:val="auto"/>
              </w:rPr>
            </w:pPr>
          </w:p>
        </w:tc>
      </w:tr>
      <w:tr>
        <w:trPr>
          <w:trHeight w:val="437"/>
        </w:trPr>
        <w:tc>
          <w:tcPr>
            <w:tcW w:w="3660" w:type="dxa"/>
            <w:vAlign w:val="bottom"/>
          </w:tcPr>
          <w:p>
            <w:pPr>
              <w:spacing w:after="0"/>
              <w:rPr>
                <w:sz w:val="20"/>
                <w:szCs w:val="20"/>
                <w:color w:val="auto"/>
              </w:rPr>
            </w:pPr>
            <w:r>
              <w:rPr>
                <w:rFonts w:ascii="Arial" w:cs="Arial" w:eastAsia="Arial" w:hAnsi="Arial"/>
                <w:sz w:val="18"/>
                <w:szCs w:val="18"/>
                <w:color w:val="auto"/>
              </w:rPr>
              <w:t>6000 Metcalf Ln</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April 2017</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Shawnee Mission, KS 66202, USA</w:t>
            </w:r>
          </w:p>
        </w:tc>
        <w:tc>
          <w:tcPr>
            <w:tcW w:w="3900" w:type="dxa"/>
            <w:vAlign w:val="bottom"/>
          </w:tcPr>
          <w:p>
            <w:pPr>
              <w:ind w:left="300"/>
              <w:spacing w:after="0"/>
              <w:rPr>
                <w:sz w:val="20"/>
                <w:szCs w:val="20"/>
                <w:color w:val="auto"/>
              </w:rPr>
            </w:pPr>
            <w:r>
              <w:rPr>
                <w:rFonts w:ascii="Arial" w:cs="Arial" w:eastAsia="Arial" w:hAnsi="Arial"/>
                <w:sz w:val="18"/>
                <w:szCs w:val="18"/>
                <w:color w:val="auto"/>
              </w:rPr>
              <w:t>for land segment</w:t>
            </w:r>
          </w:p>
        </w:tc>
        <w:tc>
          <w:tcPr>
            <w:tcW w:w="1580" w:type="dxa"/>
            <w:vAlign w:val="bottom"/>
          </w:tcPr>
          <w:p>
            <w:pPr>
              <w:spacing w:after="0"/>
              <w:rPr>
                <w:sz w:val="18"/>
                <w:szCs w:val="18"/>
                <w:color w:val="auto"/>
              </w:rPr>
            </w:pPr>
          </w:p>
        </w:tc>
      </w:tr>
      <w:tr>
        <w:trPr>
          <w:trHeight w:val="437"/>
        </w:trPr>
        <w:tc>
          <w:tcPr>
            <w:tcW w:w="3660" w:type="dxa"/>
            <w:vAlign w:val="bottom"/>
          </w:tcPr>
          <w:p>
            <w:pPr>
              <w:spacing w:after="0"/>
              <w:rPr>
                <w:sz w:val="20"/>
                <w:szCs w:val="20"/>
                <w:color w:val="auto"/>
              </w:rPr>
            </w:pPr>
            <w:r>
              <w:rPr>
                <w:rFonts w:ascii="Arial" w:cs="Arial" w:eastAsia="Arial" w:hAnsi="Arial"/>
                <w:sz w:val="18"/>
                <w:szCs w:val="18"/>
                <w:color w:val="auto"/>
              </w:rPr>
              <w:t>8650 College Blvd</w:t>
            </w:r>
          </w:p>
        </w:tc>
        <w:tc>
          <w:tcPr>
            <w:tcW w:w="3900" w:type="dxa"/>
            <w:vAlign w:val="bottom"/>
          </w:tcPr>
          <w:p>
            <w:pPr>
              <w:ind w:left="30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w w:val="95"/>
              </w:rPr>
              <w:t>December 2014</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Overland Park, KS 66210, USA</w:t>
            </w:r>
          </w:p>
        </w:tc>
        <w:tc>
          <w:tcPr>
            <w:tcW w:w="3900" w:type="dxa"/>
            <w:vAlign w:val="bottom"/>
          </w:tcPr>
          <w:p>
            <w:pPr>
              <w:ind w:left="300"/>
              <w:spacing w:after="0"/>
              <w:rPr>
                <w:sz w:val="20"/>
                <w:szCs w:val="20"/>
                <w:color w:val="auto"/>
              </w:rPr>
            </w:pPr>
            <w:r>
              <w:rPr>
                <w:rFonts w:ascii="Arial" w:cs="Arial" w:eastAsia="Arial" w:hAnsi="Arial"/>
                <w:sz w:val="18"/>
                <w:szCs w:val="18"/>
                <w:color w:val="auto"/>
              </w:rPr>
              <w:t>for aviation, marine and land segments</w:t>
            </w:r>
          </w:p>
        </w:tc>
        <w:tc>
          <w:tcPr>
            <w:tcW w:w="15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Item 3. 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Lac-Mégantic, Quebec</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described in Note 7 to the Consolidated Financial Statements – Commitments and Contingencies – Lac-Mégantic, Quebec, various lawsuits have been filed against us and other third parties related to the Lac-Mégantic incident. In 2013, we, certain of our subsidiaries, DPM and DPTS, along with a number of third parties, including MMA and certain of its affiliates, as well as several manufacturers and lessors of tank cars, were named as defendants in twenty complaints filed in the Circuit Court of Cook County, Illinois. The complaints generally allege wrongful death and negligence in the failure to provide for the proper and safe transportation of crude oil and seek economic and compensatory damages, as well as costs. The actions were removed to the United States District Court for the Northern District of Illinois (the "IL District Court") and subsequently reassigned to a single judge in the IL District Court (other than one action that was remanded to state court prior to reassignment and another that was voluntarily dismissed by the plaintiffs). The plaintiffs subsequently filed a motion to have these actions remanded to state court. We filed a motion in the United States District Court for the District of Maine (the "ME District Court"), where MMA's bankruptcy is pending, to transfer all of these actions to that court. The motion to transfer is currently pending before the ME District Court and the IL District Court has stayed all rulings in the actions, including the motion to remand, until after the Maine court has ruled on the motion to transfer. We believe these claims against us, certain of our subsidiaries, DPM and DPTS are without merit and intend to vigorously defend against such claims and pursue any and all defenses available.</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motion generally alleges wrongful death and negligence in the failure to provide for the proper and safe transportation of crude oil. We believe these claims against us, certain of our subsidiaries, DPM and DPTS are without merit and intend to vigorously defend against such claims and pursue any and all defenses available.</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the Quebec Minister for Sustainable Development, Environment, Wildlife and Parks (the "Minister") issued an order requiring MMA and us to recover the spilled crude oil caused by the incident and to otherwise fully remediate the impact of the incident on the environment. The Minister subsequently issued a modified order, to which CPR was added as a party. The requirements of the modified order with respect to us are not materially different from the initial order (the initial order and modified order are hereinafter collectively referred to as the "Order"). We have filed a contestation of the Order before the Tribunal administratif du Québec, an administrative body responsible for hearing such contestations, that challenges the legality and validity of the Order on various grounds.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Lac-Mégantic derailment, the Canadian Transportation Safety Board is conducting an investigation into the cause of the derailment and the events surrounding it. In addition, the Quebec police are conducting a criminal investigation and are reported to be coordinating with Canadian and U.S. law enforcement authorities.</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Cathay Pacific Litigation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April 11, 2012, Cathay Pacific Airways Limited ("Cathay") filed a writ in the High Court of the Republic of Singapore against one of our subsidiaries, World Fuel Services (Singapore) Pte Ltd. ("WFSS") alleging property damage and bodily injuries arising out of the emergency landing of a Cathay aircraft in Hong Kong on April 13, 2010, which Cathay alleged was caused by contaminated fuel supplied by WFSS. Cathay also alleged that WFSS supplied contaminated fuel to a Cathay flight originating from the same airport on April 12, 2010. On November 16, 2012, Cathay filed a Statement of Claim in the High Court of the Hong Kong Special Administrative Region against WFSS and PT Pertamina (Persero) ("Pertamina"), the party that supplied the subject fuel to WFSS, alleging breach of contract and negligence. Although not specified in either the writ or the claim, Cathay was asserting damages relating to the incident of approximately $34.0 million. Effective December 24, 2013, Cathay, WFSS and Pertamina entered into a settlement agreement whereby Cathay, in consideration of payments from each of WFSS and Pertamina, agreed to release and forever discharge any and all claims it may have against WFSS and Pertamina arising out of these incidents without any admission of liability by WFSS or Pertamina. The amount due to Cathay from WFSS under the settlement agreement was not significant and fully covered by insurance. The parties jointly filed a Notice of Discontinuance dismissing the Singapore case in January 2014 and the settlement agreement requires that the parties take similar action to have the Hong Kong case dismissed.</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We are a party to various claims, complaints and proceedings arising in the ordinary course of our business operations including, but not limited to:</w:t>
      </w:r>
    </w:p>
    <w:p>
      <w:pPr>
        <w:spacing w:after="0" w:line="19" w:lineRule="exact"/>
        <w:rPr>
          <w:sz w:val="20"/>
          <w:szCs w:val="20"/>
          <w:color w:val="auto"/>
        </w:rPr>
      </w:pPr>
    </w:p>
    <w:p>
      <w:pPr>
        <w:jc w:val="both"/>
        <w:ind w:firstLine="8"/>
        <w:spacing w:after="0" w:line="275" w:lineRule="auto"/>
        <w:tabs>
          <w:tab w:leader="none" w:pos="221"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commercial and governmental contract claims, such as property damage, demurrage, billing and fuel quality claims, (ii) environmental claims and (iii) bankruptcy preference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Item 5. Market for Registrant's Common Equity, Related Shareholder Matters and Issuer Purchases of Equity Securities</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common stock is traded on the New York Stock Exchange ("NYSE") under the symbol INT. As of February 5, 2014, there were 320 shareholders of record of our common stock and the closing price of our stock on the NYSE was $42.81. The following table sets forth, for each quarter in 2013 and 2012, the high and low closing sales prices of our common stock as reported by the NYSE.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4160" w:type="dxa"/>
            <w:vAlign w:val="bottom"/>
          </w:tcPr>
          <w:p>
            <w:pPr>
              <w:jc w:val="right"/>
              <w:ind w:right="592"/>
              <w:spacing w:after="0"/>
              <w:rPr>
                <w:sz w:val="20"/>
                <w:szCs w:val="20"/>
                <w:color w:val="auto"/>
              </w:rPr>
            </w:pPr>
            <w:r>
              <w:rPr>
                <w:rFonts w:ascii="Arial" w:cs="Arial" w:eastAsia="Arial" w:hAnsi="Arial"/>
                <w:sz w:val="18"/>
                <w:szCs w:val="18"/>
                <w:b w:val="1"/>
                <w:bCs w:val="1"/>
                <w:color w:val="auto"/>
              </w:rPr>
              <w:t>Price</w:t>
            </w:r>
          </w:p>
        </w:tc>
        <w:tc>
          <w:tcPr>
            <w:tcW w:w="1240" w:type="dxa"/>
            <w:vAlign w:val="bottom"/>
          </w:tcPr>
          <w:p>
            <w:pPr>
              <w:spacing w:after="0"/>
              <w:rPr>
                <w:sz w:val="17"/>
                <w:szCs w:val="17"/>
                <w:color w:val="auto"/>
              </w:rPr>
            </w:pPr>
          </w:p>
        </w:tc>
      </w:tr>
      <w:tr>
        <w:trPr>
          <w:trHeight w:val="242"/>
        </w:trPr>
        <w:tc>
          <w:tcPr>
            <w:tcW w:w="374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b w:val="1"/>
                <w:bCs w:val="1"/>
                <w:color w:val="auto"/>
              </w:rPr>
              <w:t>High</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4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4160" w:type="dxa"/>
            <w:vAlign w:val="bottom"/>
          </w:tcPr>
          <w:p>
            <w:pPr>
              <w:jc w:val="right"/>
              <w:ind w:right="992"/>
              <w:spacing w:after="0" w:line="202" w:lineRule="exact"/>
              <w:rPr>
                <w:sz w:val="20"/>
                <w:szCs w:val="20"/>
                <w:color w:val="auto"/>
              </w:rPr>
            </w:pPr>
            <w:r>
              <w:rPr>
                <w:rFonts w:ascii="Arial" w:cs="Arial" w:eastAsia="Arial" w:hAnsi="Arial"/>
                <w:sz w:val="18"/>
                <w:szCs w:val="18"/>
                <w:color w:val="auto"/>
              </w:rPr>
              <w:t>$45.11</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$37.84</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4160" w:type="dxa"/>
            <w:vAlign w:val="bottom"/>
            <w:shd w:val="clear" w:color="auto" w:fill="CCEEFF"/>
          </w:tcPr>
          <w:p>
            <w:pPr>
              <w:jc w:val="right"/>
              <w:ind w:right="992"/>
              <w:spacing w:after="0" w:line="202" w:lineRule="exact"/>
              <w:rPr>
                <w:sz w:val="20"/>
                <w:szCs w:val="20"/>
                <w:color w:val="auto"/>
              </w:rPr>
            </w:pPr>
            <w:r>
              <w:rPr>
                <w:rFonts w:ascii="Arial" w:cs="Arial" w:eastAsia="Arial" w:hAnsi="Arial"/>
                <w:sz w:val="18"/>
                <w:szCs w:val="18"/>
                <w:color w:val="auto"/>
              </w:rPr>
              <w:t>41.88</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37.03</w:t>
            </w: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4160" w:type="dxa"/>
            <w:vAlign w:val="bottom"/>
          </w:tcPr>
          <w:p>
            <w:pPr>
              <w:jc w:val="right"/>
              <w:ind w:right="992"/>
              <w:spacing w:after="0" w:line="202" w:lineRule="exact"/>
              <w:rPr>
                <w:sz w:val="20"/>
                <w:szCs w:val="20"/>
                <w:color w:val="auto"/>
              </w:rPr>
            </w:pPr>
            <w:r>
              <w:rPr>
                <w:rFonts w:ascii="Arial" w:cs="Arial" w:eastAsia="Arial" w:hAnsi="Arial"/>
                <w:sz w:val="18"/>
                <w:szCs w:val="18"/>
                <w:color w:val="auto"/>
              </w:rPr>
              <w:t>41.62</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4160" w:type="dxa"/>
            <w:vAlign w:val="bottom"/>
            <w:shd w:val="clear" w:color="auto" w:fill="CCEEFF"/>
          </w:tcPr>
          <w:p>
            <w:pPr>
              <w:jc w:val="right"/>
              <w:ind w:right="992"/>
              <w:spacing w:after="0" w:line="202" w:lineRule="exact"/>
              <w:rPr>
                <w:sz w:val="20"/>
                <w:szCs w:val="20"/>
                <w:color w:val="auto"/>
              </w:rPr>
            </w:pPr>
            <w:r>
              <w:rPr>
                <w:rFonts w:ascii="Arial" w:cs="Arial" w:eastAsia="Arial" w:hAnsi="Arial"/>
                <w:sz w:val="18"/>
                <w:szCs w:val="18"/>
                <w:color w:val="auto"/>
              </w:rPr>
              <w:t>43.21</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36.79</w:t>
            </w:r>
          </w:p>
        </w:tc>
      </w:tr>
      <w:tr>
        <w:trPr>
          <w:trHeight w:val="419"/>
        </w:trPr>
        <w:tc>
          <w:tcPr>
            <w:tcW w:w="3740" w:type="dxa"/>
            <w:vAlign w:val="bottom"/>
          </w:tcPr>
          <w:p>
            <w:pPr>
              <w:spacing w:after="0"/>
              <w:rPr>
                <w:sz w:val="20"/>
                <w:szCs w:val="20"/>
                <w:color w:val="auto"/>
              </w:rPr>
            </w:pPr>
            <w:r>
              <w:rPr>
                <w:rFonts w:ascii="Arial" w:cs="Arial" w:eastAsia="Arial" w:hAnsi="Arial"/>
                <w:sz w:val="18"/>
                <w:szCs w:val="18"/>
                <w:color w:val="auto"/>
              </w:rPr>
              <w:t>2012</w:t>
            </w: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160" w:type="dxa"/>
            <w:vAlign w:val="bottom"/>
            <w:shd w:val="clear" w:color="auto" w:fill="CCEEFF"/>
          </w:tcPr>
          <w:p>
            <w:pPr>
              <w:jc w:val="right"/>
              <w:ind w:right="992"/>
              <w:spacing w:after="0" w:line="202" w:lineRule="exact"/>
              <w:rPr>
                <w:sz w:val="20"/>
                <w:szCs w:val="20"/>
                <w:color w:val="auto"/>
              </w:rPr>
            </w:pPr>
            <w:r>
              <w:rPr>
                <w:rFonts w:ascii="Arial" w:cs="Arial" w:eastAsia="Arial" w:hAnsi="Arial"/>
                <w:sz w:val="18"/>
                <w:szCs w:val="18"/>
                <w:color w:val="auto"/>
              </w:rPr>
              <w:t>$48.94</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$40.09</w:t>
            </w: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4160" w:type="dxa"/>
            <w:vAlign w:val="bottom"/>
          </w:tcPr>
          <w:p>
            <w:pPr>
              <w:jc w:val="right"/>
              <w:ind w:right="992"/>
              <w:spacing w:after="0" w:line="202" w:lineRule="exact"/>
              <w:rPr>
                <w:sz w:val="20"/>
                <w:szCs w:val="20"/>
                <w:color w:val="auto"/>
              </w:rPr>
            </w:pPr>
            <w:r>
              <w:rPr>
                <w:rFonts w:ascii="Arial" w:cs="Arial" w:eastAsia="Arial" w:hAnsi="Arial"/>
                <w:sz w:val="18"/>
                <w:szCs w:val="18"/>
                <w:color w:val="auto"/>
              </w:rPr>
              <w:t>44.32</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35.40</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4160" w:type="dxa"/>
            <w:vAlign w:val="bottom"/>
            <w:shd w:val="clear" w:color="auto" w:fill="CCEEFF"/>
          </w:tcPr>
          <w:p>
            <w:pPr>
              <w:jc w:val="right"/>
              <w:ind w:right="992"/>
              <w:spacing w:after="0" w:line="202" w:lineRule="exact"/>
              <w:rPr>
                <w:sz w:val="20"/>
                <w:szCs w:val="20"/>
                <w:color w:val="auto"/>
              </w:rPr>
            </w:pPr>
            <w:r>
              <w:rPr>
                <w:rFonts w:ascii="Arial" w:cs="Arial" w:eastAsia="Arial" w:hAnsi="Arial"/>
                <w:sz w:val="18"/>
                <w:szCs w:val="18"/>
                <w:color w:val="auto"/>
              </w:rPr>
              <w:t>41.03</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34.58</w:t>
            </w:r>
          </w:p>
        </w:tc>
      </w:tr>
      <w:tr>
        <w:trPr>
          <w:trHeight w:val="2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 quarter</w:t>
            </w:r>
          </w:p>
        </w:tc>
        <w:tc>
          <w:tcPr>
            <w:tcW w:w="416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rPr>
              <w:t>41.68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2013 and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5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Per Share Amount</w:t>
            </w:r>
          </w:p>
        </w:tc>
        <w:tc>
          <w:tcPr>
            <w:tcW w:w="2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Declaration Date</w:t>
            </w:r>
          </w:p>
        </w:tc>
        <w:tc>
          <w:tcPr>
            <w:tcW w:w="2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Record Date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Payment Date</w:t>
            </w:r>
          </w:p>
        </w:tc>
      </w:tr>
      <w:tr>
        <w:trPr>
          <w:trHeight w:val="203"/>
        </w:trPr>
        <w:tc>
          <w:tcPr>
            <w:tcW w:w="1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2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March 8, 2013</w:t>
            </w:r>
          </w:p>
        </w:tc>
        <w:tc>
          <w:tcPr>
            <w:tcW w:w="2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March 22, 2013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April 5, 2013</w:t>
            </w:r>
          </w:p>
        </w:tc>
      </w:tr>
      <w:tr>
        <w:trPr>
          <w:trHeight w:val="203"/>
        </w:trPr>
        <w:tc>
          <w:tcPr>
            <w:tcW w:w="1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May 31, 2013</w:t>
            </w:r>
          </w:p>
        </w:tc>
        <w:tc>
          <w:tcPr>
            <w:tcW w:w="2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June 21, 2013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July 5, 2013</w:t>
            </w: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2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August 23, 2013</w:t>
            </w:r>
          </w:p>
        </w:tc>
        <w:tc>
          <w:tcPr>
            <w:tcW w:w="2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September 20, 2013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October 4, 2013</w:t>
            </w:r>
          </w:p>
        </w:tc>
      </w:tr>
      <w:tr>
        <w:trPr>
          <w:trHeight w:val="203"/>
        </w:trPr>
        <w:tc>
          <w:tcPr>
            <w:tcW w:w="1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2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November 26, 2013</w:t>
            </w:r>
          </w:p>
        </w:tc>
        <w:tc>
          <w:tcPr>
            <w:tcW w:w="2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December 13, 2013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January 3, 2014</w:t>
            </w:r>
          </w:p>
        </w:tc>
      </w:tr>
      <w:tr>
        <w:trPr>
          <w:trHeight w:val="419"/>
        </w:trPr>
        <w:tc>
          <w:tcPr>
            <w:tcW w:w="1560" w:type="dxa"/>
            <w:vAlign w:val="bottom"/>
          </w:tcPr>
          <w:p>
            <w:pPr>
              <w:spacing w:after="0"/>
              <w:rPr>
                <w:sz w:val="20"/>
                <w:szCs w:val="20"/>
                <w:color w:val="auto"/>
              </w:rPr>
            </w:pPr>
            <w:r>
              <w:rPr>
                <w:rFonts w:ascii="Arial" w:cs="Arial" w:eastAsia="Arial" w:hAnsi="Arial"/>
                <w:sz w:val="18"/>
                <w:szCs w:val="18"/>
                <w:color w:val="auto"/>
              </w:rPr>
              <w:t>2012</w:t>
            </w:r>
          </w:p>
        </w:tc>
        <w:tc>
          <w:tcPr>
            <w:tcW w:w="2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1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March 6, 2012</w:t>
            </w:r>
          </w:p>
        </w:tc>
        <w:tc>
          <w:tcPr>
            <w:tcW w:w="2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March 23, 2012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April 6, 2012</w:t>
            </w: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2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June 12, 2012</w:t>
            </w:r>
          </w:p>
        </w:tc>
        <w:tc>
          <w:tcPr>
            <w:tcW w:w="2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June 22, 2012</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July 6, 2012</w:t>
            </w:r>
          </w:p>
        </w:tc>
      </w:tr>
      <w:tr>
        <w:trPr>
          <w:trHeight w:val="203"/>
        </w:trPr>
        <w:tc>
          <w:tcPr>
            <w:tcW w:w="1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0.0375</w:t>
            </w:r>
          </w:p>
        </w:tc>
        <w:tc>
          <w:tcPr>
            <w:tcW w:w="20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August 24, 2012</w:t>
            </w:r>
          </w:p>
        </w:tc>
        <w:tc>
          <w:tcPr>
            <w:tcW w:w="2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September 14, 2012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October 5, 2012</w:t>
            </w:r>
          </w:p>
        </w:tc>
      </w:tr>
      <w:tr>
        <w:trPr>
          <w:trHeight w:val="223"/>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 quarter</w:t>
            </w:r>
          </w:p>
        </w:tc>
        <w:tc>
          <w:tcPr>
            <w:tcW w:w="2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0.0375</w:t>
            </w:r>
          </w:p>
        </w:tc>
        <w:tc>
          <w:tcPr>
            <w:tcW w:w="2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November 20, 2012</w:t>
            </w:r>
          </w:p>
        </w:tc>
        <w:tc>
          <w:tcPr>
            <w:tcW w:w="2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December 14, 2012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January 4, 2013</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Credit Facility and Term Loans restrict the payment of cash dividends to a maximum of the sum of (i) $50.0 million plus (ii) 50% of the cumulative consolidated net income for each fiscal quarter beginning with the fiscal quarter ended March 31, 2010, plus (iii) 100% of the net proceeds of all equity issuances made after October 2013. For additional information regarding our Credit Facility and Term Loans, see Note 6 to the accompanying consolidated financial statements, included herein, and "Liquidity and Capital Resources" in "Item 7 – Management's Discussion and Analysis of Financial Condition and Results of Operations."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five-year period from December 31, 2008 through December 31, 2013. The cumulative return includes reinvestment of dividends.</w:t>
      </w:r>
    </w:p>
    <w:p>
      <w:pPr>
        <w:spacing w:after="0" w:line="209" w:lineRule="exact"/>
        <w:rPr>
          <w:sz w:val="20"/>
          <w:szCs w:val="20"/>
          <w:color w:val="auto"/>
        </w:rPr>
      </w:pPr>
    </w:p>
    <w:p>
      <w:pPr>
        <w:jc w:val="center"/>
        <w:spacing w:after="0" w:line="238" w:lineRule="auto"/>
        <w:rPr>
          <w:sz w:val="20"/>
          <w:szCs w:val="20"/>
          <w:color w:val="auto"/>
        </w:rPr>
      </w:pPr>
      <w:r>
        <w:rPr>
          <w:rFonts w:ascii="Arial" w:cs="Arial" w:eastAsia="Arial" w:hAnsi="Arial"/>
          <w:sz w:val="18"/>
          <w:szCs w:val="18"/>
          <w:color w:val="auto"/>
        </w:rPr>
        <w:t xml:space="preserve">Comparison of 5 Year Cumulative Total Return </w:t>
      </w:r>
      <w:r>
        <w:rPr>
          <w:rFonts w:ascii="Arial" w:cs="Arial" w:eastAsia="Arial" w:hAnsi="Arial"/>
          <w:sz w:val="18"/>
          <w:szCs w:val="18"/>
          <w:i w:val="1"/>
          <w:iCs w:val="1"/>
          <w:color w:val="auto"/>
        </w:rPr>
        <w:t>Among World Fuel, the Russell 2000 Index, and the S&amp;P Energy Index $100 invested on 12/31/08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642610" cy="2933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ending December 31.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Copyright© 2014 S&amp;P, a division of The McGraw-Hill Companies Inc. All rights reserved.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summarizes securities authorized for issuance related to outstanding restricted stock units ("RSUs") and stock-settled stock appreciation rights ("SSAR Awards") under our equity compensation plan (which was approved by our shareholders) and available for future issuance under our equity compensation plan as of December 31, 2013 (in thousands, except weighted average price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(c) Number of securities</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(a) Maximum number of</w:t>
            </w:r>
          </w:p>
        </w:tc>
        <w:tc>
          <w:tcPr>
            <w:tcW w:w="2280" w:type="dxa"/>
            <w:vAlign w:val="bottom"/>
          </w:tcPr>
          <w:p>
            <w:pPr>
              <w:spacing w:after="0"/>
              <w:rPr>
                <w:sz w:val="17"/>
                <w:szCs w:val="17"/>
                <w:color w:val="auto"/>
              </w:rPr>
            </w:pP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remaining available</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securities to be issued</w:t>
            </w:r>
          </w:p>
        </w:tc>
        <w:tc>
          <w:tcPr>
            <w:tcW w:w="22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(b) Weighted average</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for future issuance under</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upon exercise of</w:t>
            </w:r>
          </w:p>
        </w:tc>
        <w:tc>
          <w:tcPr>
            <w:tcW w:w="22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exercise or conversion</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equity compensation plan</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outstanding</w:t>
            </w:r>
          </w:p>
        </w:tc>
        <w:tc>
          <w:tcPr>
            <w:tcW w:w="22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price of outstanding</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(excluding securities</w:t>
            </w:r>
          </w:p>
        </w:tc>
      </w:tr>
      <w:tr>
        <w:trPr>
          <w:trHeight w:val="24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name or description</w:t>
            </w:r>
          </w:p>
        </w:tc>
        <w:tc>
          <w:tcPr>
            <w:tcW w:w="2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RSUs and SSAR Awards</w:t>
            </w:r>
          </w:p>
        </w:tc>
        <w:tc>
          <w:tcPr>
            <w:tcW w:w="2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RSUs and SSAR Awards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reflected in column (a))</w:t>
            </w:r>
          </w:p>
        </w:tc>
      </w:tr>
      <w:tr>
        <w:trPr>
          <w:trHeight w:val="203"/>
        </w:trPr>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 Omnibus Plan</w:t>
            </w:r>
          </w:p>
        </w:tc>
        <w:tc>
          <w:tcPr>
            <w:tcW w:w="23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1,019</w:t>
            </w:r>
          </w:p>
        </w:tc>
        <w:tc>
          <w:tcPr>
            <w:tcW w:w="22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$10.07</w:t>
            </w:r>
          </w:p>
        </w:tc>
        <w:tc>
          <w:tcPr>
            <w:tcW w:w="2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3,495</w:t>
            </w:r>
          </w:p>
        </w:tc>
      </w:tr>
      <w:tr>
        <w:trPr>
          <w:trHeight w:val="27"/>
        </w:trPr>
        <w:tc>
          <w:tcPr>
            <w:tcW w:w="2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are no outstanding warrants to purchase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rPr>
          <w:sz w:val="20"/>
          <w:szCs w:val="20"/>
          <w:color w:val="auto"/>
        </w:rPr>
      </w:pPr>
      <w:r>
        <w:rPr>
          <w:rFonts w:ascii="Arial" w:cs="Arial" w:eastAsia="Arial" w:hAnsi="Arial"/>
          <w:sz w:val="18"/>
          <w:szCs w:val="18"/>
          <w:color w:val="auto"/>
        </w:rPr>
        <w:t>December 31, 2013 (in thousands, except average price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 Number</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Approximate Dollar</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of Shares Purchased</w:t>
            </w:r>
          </w:p>
        </w:tc>
        <w:tc>
          <w:tcPr>
            <w:tcW w:w="2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Value of Shares that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Total Number</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as Part of Publicly</w:t>
            </w:r>
          </w:p>
        </w:tc>
        <w:tc>
          <w:tcPr>
            <w:tcW w:w="2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May Yet Be Purchased</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of Shares</w:t>
            </w:r>
          </w:p>
        </w:tc>
        <w:tc>
          <w:tcPr>
            <w:tcW w:w="160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auto"/>
              </w:rPr>
              <w:t>Average Price</w:t>
            </w:r>
          </w:p>
        </w:tc>
        <w:tc>
          <w:tcPr>
            <w:tcW w:w="23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Announced Plans or</w:t>
            </w:r>
          </w:p>
        </w:tc>
        <w:tc>
          <w:tcPr>
            <w:tcW w:w="2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Under the Plans or</w:t>
            </w:r>
          </w:p>
        </w:tc>
        <w:tc>
          <w:tcPr>
            <w:tcW w:w="0" w:type="dxa"/>
            <w:vAlign w:val="bottom"/>
          </w:tcPr>
          <w:p>
            <w:pPr>
              <w:spacing w:after="0"/>
              <w:rPr>
                <w:sz w:val="1"/>
                <w:szCs w:val="1"/>
                <w:color w:val="auto"/>
              </w:rPr>
            </w:pPr>
          </w:p>
        </w:tc>
      </w:tr>
      <w:tr>
        <w:trPr>
          <w:trHeight w:val="242"/>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Purchased (1)</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Paid Per Share</w:t>
            </w:r>
          </w:p>
        </w:tc>
        <w:tc>
          <w:tcPr>
            <w:tcW w:w="23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Programs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Programs (2)</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10/1/13-10/31/13</w:t>
            </w:r>
          </w:p>
        </w:tc>
        <w:tc>
          <w:tcPr>
            <w:tcW w:w="1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$30,016</w:t>
            </w:r>
          </w:p>
        </w:tc>
        <w:tc>
          <w:tcPr>
            <w:tcW w:w="0" w:type="dxa"/>
            <w:vAlign w:val="bottom"/>
          </w:tcPr>
          <w:p>
            <w:pPr>
              <w:spacing w:after="0"/>
              <w:rPr>
                <w:sz w:val="1"/>
                <w:szCs w:val="1"/>
                <w:color w:val="auto"/>
              </w:rPr>
            </w:pP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11/1/13-11/30/13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3"/>
              </w:rPr>
              <w:t>38.49</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6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15,028</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12/1/13-12/31/13</w:t>
            </w:r>
          </w:p>
        </w:tc>
        <w:tc>
          <w:tcPr>
            <w:tcW w:w="1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15,028</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w w:val="93"/>
              </w:rPr>
              <w:t>38.49</w:t>
            </w:r>
          </w:p>
        </w:tc>
        <w:tc>
          <w:tcPr>
            <w:tcW w:w="2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$15,028</w:t>
            </w:r>
          </w:p>
        </w:tc>
        <w:tc>
          <w:tcPr>
            <w:tcW w:w="0" w:type="dxa"/>
            <w:vAlign w:val="bottom"/>
          </w:tcPr>
          <w:p>
            <w:pPr>
              <w:spacing w:after="0"/>
              <w:rPr>
                <w:sz w:val="1"/>
                <w:szCs w:val="1"/>
                <w:color w:val="auto"/>
              </w:rPr>
            </w:pPr>
          </w:p>
        </w:tc>
      </w:tr>
      <w:tr>
        <w:trPr>
          <w:trHeight w:val="217"/>
        </w:trPr>
        <w:tc>
          <w:tcPr>
            <w:tcW w:w="17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left="540" w:hanging="532"/>
        <w:spacing w:after="0" w:line="23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08" w:lineRule="exact"/>
        <w:rPr>
          <w:rFonts w:ascii="Arial" w:cs="Arial" w:eastAsia="Arial" w:hAnsi="Arial"/>
          <w:sz w:val="18"/>
          <w:szCs w:val="18"/>
          <w:color w:val="auto"/>
        </w:rPr>
      </w:pPr>
    </w:p>
    <w:p>
      <w:pPr>
        <w:jc w:val="both"/>
        <w:ind w:left="540" w:hanging="532"/>
        <w:spacing w:after="0" w:line="236"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October 2008, our Board of Directors authorized a $50.0 million common stock repurchase program (the "Repurchase Program"). The program does not require a minimum number of shares of common stock to be purchased and has no expiration date but may be suspended or discontinued at any time. As of December 31, 2013, approximately $15.0 million remains available for repurchases under this program. The timing and amount of shares of common stock to be repurchased under the program will depend on market conditions, share price, securities law and other legal requirements and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2013, see the corresponding 10-Q Report for each such quarter.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Item 6. Selected Financial Data</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2013 10-K Report. The historical results are not necessarily indicative of the operating results to be expected in the future. All financial information presented has been prepared in U.S. dollars and in accordance with accounting principles generally accepted in the United States.</w:t>
      </w:r>
    </w:p>
    <w:p>
      <w:pPr>
        <w:spacing w:after="0" w:line="176" w:lineRule="exact"/>
        <w:rPr>
          <w:sz w:val="20"/>
          <w:szCs w:val="20"/>
          <w:color w:val="auto"/>
        </w:rPr>
      </w:pPr>
    </w:p>
    <w:p>
      <w:pPr>
        <w:ind w:right="5040"/>
        <w:spacing w:after="0" w:line="259" w:lineRule="auto"/>
        <w:rPr>
          <w:sz w:val="20"/>
          <w:szCs w:val="20"/>
          <w:color w:val="auto"/>
        </w:rPr>
      </w:pPr>
      <w:r>
        <w:rPr>
          <w:rFonts w:ascii="Arial" w:cs="Arial" w:eastAsia="Arial" w:hAnsi="Arial"/>
          <w:sz w:val="21"/>
          <w:szCs w:val="21"/>
          <w:b w:val="1"/>
          <w:bCs w:val="1"/>
          <w:color w:val="auto"/>
        </w:rPr>
        <w:t>WORLD FUEL SERVICES CORPORATION AND SUBSIDIARIES SELECTED CONSOLIDATED FINANCIAL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earnings and dividends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gridSpan w:val="6"/>
          </w:tcPr>
          <w:p>
            <w:pPr>
              <w:ind w:left="6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2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 (1)</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 (2)</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 (3)</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 (4)</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 (5)</w:t>
            </w:r>
          </w:p>
        </w:tc>
        <w:tc>
          <w:tcPr>
            <w:tcW w:w="160" w:type="dxa"/>
            <w:vAlign w:val="bottom"/>
          </w:tcPr>
          <w:p>
            <w:pPr>
              <w:spacing w:after="0"/>
              <w:rPr>
                <w:sz w:val="21"/>
                <w:szCs w:val="21"/>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41,561,947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38,945,338</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34,622,854</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19,131,147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11,295,177</w:t>
            </w:r>
          </w:p>
        </w:tc>
        <w:tc>
          <w:tcPr>
            <w:tcW w:w="160" w:type="dxa"/>
            <w:vAlign w:val="bottom"/>
            <w:shd w:val="clear" w:color="auto" w:fill="CCEEFF"/>
          </w:tcPr>
          <w:p>
            <w:pPr>
              <w:spacing w:after="0"/>
              <w:rPr>
                <w:sz w:val="17"/>
                <w:szCs w:val="17"/>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40,809,189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38,271,891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33,987,851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18,689,006</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10,919,586</w:t>
            </w:r>
          </w:p>
        </w:tc>
        <w:tc>
          <w:tcPr>
            <w:tcW w:w="160" w:type="dxa"/>
            <w:vAlign w:val="bottom"/>
          </w:tcPr>
          <w:p>
            <w:pPr>
              <w:spacing w:after="0"/>
              <w:rPr>
                <w:sz w:val="19"/>
                <w:szCs w:val="19"/>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752,758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673,447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635,003</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442,141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375,591</w:t>
            </w:r>
          </w:p>
        </w:tc>
        <w:tc>
          <w:tcPr>
            <w:tcW w:w="160" w:type="dxa"/>
            <w:vAlign w:val="bottom"/>
            <w:shd w:val="clear" w:color="auto" w:fill="CCEEFF"/>
          </w:tcPr>
          <w:p>
            <w:pPr>
              <w:spacing w:after="0"/>
              <w:rPr>
                <w:sz w:val="17"/>
                <w:szCs w:val="17"/>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expenses (6)</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488,400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416,424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378,031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261,275</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221,596</w:t>
            </w:r>
          </w:p>
        </w:tc>
        <w:tc>
          <w:tcPr>
            <w:tcW w:w="160" w:type="dxa"/>
            <w:vAlign w:val="bottom"/>
          </w:tcPr>
          <w:p>
            <w:pPr>
              <w:spacing w:after="0"/>
              <w:rPr>
                <w:sz w:val="19"/>
                <w:szCs w:val="19"/>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264,358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257,023</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256,972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180,866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153,995</w:t>
            </w:r>
          </w:p>
        </w:tc>
        <w:tc>
          <w:tcPr>
            <w:tcW w:w="160" w:type="dxa"/>
            <w:vAlign w:val="bottom"/>
            <w:shd w:val="clear" w:color="auto" w:fill="CCEEFF"/>
          </w:tcPr>
          <w:p>
            <w:pPr>
              <w:spacing w:after="0"/>
              <w:rPr>
                <w:sz w:val="17"/>
                <w:szCs w:val="17"/>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Non-operating expenses, net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160" w:type="dxa"/>
            <w:vAlign w:val="bottom"/>
          </w:tcPr>
          <w:p>
            <w:pPr>
              <w:spacing w:after="0"/>
              <w:rPr>
                <w:sz w:val="19"/>
                <w:szCs w:val="19"/>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246,665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239,595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238,203</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177,530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149,909</w:t>
            </w:r>
          </w:p>
        </w:tc>
        <w:tc>
          <w:tcPr>
            <w:tcW w:w="160" w:type="dxa"/>
            <w:vAlign w:val="bottom"/>
            <w:shd w:val="clear" w:color="auto" w:fill="CCEEFF"/>
          </w:tcPr>
          <w:p>
            <w:pPr>
              <w:spacing w:after="0"/>
              <w:rPr>
                <w:sz w:val="17"/>
                <w:szCs w:val="17"/>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32,346</w:t>
            </w:r>
          </w:p>
        </w:tc>
        <w:tc>
          <w:tcPr>
            <w:tcW w:w="160" w:type="dxa"/>
            <w:vAlign w:val="bottom"/>
          </w:tcPr>
          <w:p>
            <w:pPr>
              <w:spacing w:after="0"/>
              <w:rPr>
                <w:sz w:val="19"/>
                <w:szCs w:val="19"/>
                <w:color w:val="auto"/>
              </w:rPr>
            </w:pPr>
          </w:p>
        </w:tc>
      </w:tr>
      <w:tr>
        <w:trPr>
          <w:trHeight w:val="206"/>
        </w:trPr>
        <w:tc>
          <w:tcPr>
            <w:tcW w:w="29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including noncontrolling</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29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207,160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201,351</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199,202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146,503</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117,563</w:t>
            </w:r>
          </w:p>
        </w:tc>
        <w:tc>
          <w:tcPr>
            <w:tcW w:w="160" w:type="dxa"/>
            <w:vAlign w:val="bottom"/>
            <w:shd w:val="clear" w:color="auto" w:fill="CCEEFF"/>
          </w:tcPr>
          <w:p>
            <w:pPr>
              <w:spacing w:after="0"/>
              <w:rPr>
                <w:sz w:val="17"/>
                <w:szCs w:val="17"/>
                <w:color w:val="auto"/>
              </w:rPr>
            </w:pPr>
          </w:p>
        </w:tc>
      </w:tr>
      <w:tr>
        <w:trPr>
          <w:trHeight w:val="206"/>
        </w:trPr>
        <w:tc>
          <w:tcPr>
            <w:tcW w:w="2920" w:type="dxa"/>
            <w:vAlign w:val="bottom"/>
          </w:tcPr>
          <w:p>
            <w:pPr>
              <w:spacing w:after="0" w:line="206" w:lineRule="exact"/>
              <w:rPr>
                <w:sz w:val="20"/>
                <w:szCs w:val="20"/>
                <w:color w:val="auto"/>
              </w:rPr>
            </w:pPr>
            <w:r>
              <w:rPr>
                <w:rFonts w:ascii="Arial" w:cs="Arial" w:eastAsia="Arial" w:hAnsi="Arial"/>
                <w:sz w:val="18"/>
                <w:szCs w:val="18"/>
                <w:color w:val="auto"/>
              </w:rPr>
              <w:t>Net income (loss) attributable to</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2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9"/>
                <w:szCs w:val="19"/>
                <w:color w:val="auto"/>
              </w:rPr>
            </w:pPr>
          </w:p>
        </w:tc>
      </w:tr>
      <w:tr>
        <w:trPr>
          <w:trHeight w:val="206"/>
        </w:trPr>
        <w:tc>
          <w:tcPr>
            <w:tcW w:w="29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attributable to to World</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29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Fuel</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203,075</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189,345</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194,029</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146,865</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117,139</w:t>
            </w:r>
          </w:p>
        </w:tc>
        <w:tc>
          <w:tcPr>
            <w:tcW w:w="160" w:type="dxa"/>
            <w:vAlign w:val="bottom"/>
            <w:shd w:val="clear" w:color="auto" w:fill="CCEEFF"/>
          </w:tcPr>
          <w:p>
            <w:pPr>
              <w:spacing w:after="0"/>
              <w:rPr>
                <w:sz w:val="17"/>
                <w:szCs w:val="17"/>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2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w:t>
            </w:r>
          </w:p>
        </w:tc>
        <w:tc>
          <w:tcPr>
            <w:tcW w:w="160" w:type="dxa"/>
            <w:vAlign w:val="bottom"/>
          </w:tcPr>
          <w:p>
            <w:pPr>
              <w:spacing w:after="0"/>
              <w:rPr>
                <w:sz w:val="17"/>
                <w:szCs w:val="17"/>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9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Basic weighted average common</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9"/>
        </w:trPr>
        <w:tc>
          <w:tcPr>
            <w:tcW w:w="29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71,224</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71,154</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70,687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62,168</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59,003</w:t>
            </w:r>
          </w:p>
        </w:tc>
        <w:tc>
          <w:tcPr>
            <w:tcW w:w="160" w:type="dxa"/>
            <w:vAlign w:val="bottom"/>
            <w:shd w:val="clear" w:color="auto" w:fill="CCEEFF"/>
          </w:tcPr>
          <w:p>
            <w:pPr>
              <w:spacing w:after="0"/>
              <w:rPr>
                <w:sz w:val="17"/>
                <w:szCs w:val="17"/>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2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7"/>
                <w:szCs w:val="17"/>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9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Diluted weighted average common</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9"/>
        </w:trPr>
        <w:tc>
          <w:tcPr>
            <w:tcW w:w="29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71,800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71,817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71,510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63,441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59,901</w:t>
            </w:r>
          </w:p>
        </w:tc>
        <w:tc>
          <w:tcPr>
            <w:tcW w:w="160" w:type="dxa"/>
            <w:vAlign w:val="bottom"/>
            <w:shd w:val="clear" w:color="auto" w:fill="CCEEFF"/>
          </w:tcPr>
          <w:p>
            <w:pPr>
              <w:spacing w:after="0"/>
              <w:rPr>
                <w:sz w:val="17"/>
                <w:szCs w:val="17"/>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6"/>
        </w:trPr>
        <w:tc>
          <w:tcPr>
            <w:tcW w:w="2920" w:type="dxa"/>
            <w:vAlign w:val="bottom"/>
          </w:tcPr>
          <w:p>
            <w:pPr>
              <w:spacing w:after="0" w:line="186" w:lineRule="exact"/>
              <w:rPr>
                <w:sz w:val="20"/>
                <w:szCs w:val="20"/>
                <w:color w:val="auto"/>
              </w:rPr>
            </w:pPr>
            <w:r>
              <w:rPr>
                <w:rFonts w:ascii="Arial" w:cs="Arial" w:eastAsia="Arial" w:hAnsi="Arial"/>
                <w:sz w:val="18"/>
                <w:szCs w:val="18"/>
                <w:color w:val="auto"/>
              </w:rPr>
              <w:t>Cash dividends declared per</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2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common share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30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2013 (1)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2012 (2)</w:t>
            </w: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2011 (3)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2010 (4)</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2009 (5)</w:t>
            </w:r>
          </w:p>
        </w:tc>
      </w:tr>
      <w:tr>
        <w:trPr>
          <w:trHeight w:val="206"/>
        </w:trPr>
        <w:tc>
          <w:tcPr>
            <w:tcW w:w="30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Cash, cash equivalents and short-</w:t>
            </w:r>
          </w:p>
        </w:tc>
        <w:tc>
          <w:tcPr>
            <w:tcW w:w="14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0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term investments</w:t>
            </w:r>
          </w:p>
        </w:tc>
        <w:tc>
          <w:tcPr>
            <w:tcW w:w="1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292,061</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172,740</w:t>
            </w:r>
          </w:p>
        </w:tc>
        <w:tc>
          <w:tcPr>
            <w:tcW w:w="11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   205,415</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272,893</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306,943</w:t>
            </w:r>
          </w:p>
        </w:tc>
        <w:tc>
          <w:tcPr>
            <w:tcW w:w="160" w:type="dxa"/>
            <w:vAlign w:val="bottom"/>
            <w:shd w:val="clear" w:color="auto" w:fill="CCEEFF"/>
          </w:tcPr>
          <w:p>
            <w:pPr>
              <w:spacing w:after="0"/>
              <w:rPr>
                <w:sz w:val="17"/>
                <w:szCs w:val="17"/>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2,538,642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2,193,866</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2,160,561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1,386,700</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951,398</w:t>
            </w:r>
          </w:p>
        </w:tc>
        <w:tc>
          <w:tcPr>
            <w:tcW w:w="160" w:type="dxa"/>
            <w:vAlign w:val="bottom"/>
          </w:tcPr>
          <w:p>
            <w:pPr>
              <w:spacing w:after="0"/>
              <w:rPr>
                <w:sz w:val="17"/>
                <w:szCs w:val="17"/>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3,815,501</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3,281,377</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3,122,227</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2,067,867</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1,467,947</w:t>
            </w:r>
          </w:p>
        </w:tc>
        <w:tc>
          <w:tcPr>
            <w:tcW w:w="160" w:type="dxa"/>
            <w:vAlign w:val="bottom"/>
            <w:shd w:val="clear" w:color="auto" w:fill="CCEEFF"/>
          </w:tcPr>
          <w:p>
            <w:pPr>
              <w:spacing w:after="0"/>
              <w:rPr>
                <w:sz w:val="17"/>
                <w:szCs w:val="17"/>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4,739,277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4,107,751</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3,697,246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2,566,450</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1,747,995</w:t>
            </w:r>
          </w:p>
        </w:tc>
        <w:tc>
          <w:tcPr>
            <w:tcW w:w="160" w:type="dxa"/>
            <w:vAlign w:val="bottom"/>
          </w:tcPr>
          <w:p>
            <w:pPr>
              <w:spacing w:after="0"/>
              <w:rPr>
                <w:sz w:val="17"/>
                <w:szCs w:val="17"/>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2,514,515</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2,149,298</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2,026,142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1,358,484</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951,711</w:t>
            </w:r>
          </w:p>
        </w:tc>
        <w:tc>
          <w:tcPr>
            <w:tcW w:w="160" w:type="dxa"/>
            <w:vAlign w:val="bottom"/>
            <w:shd w:val="clear" w:color="auto" w:fill="CCEEFF"/>
          </w:tcPr>
          <w:p>
            <w:pPr>
              <w:spacing w:after="0"/>
              <w:rPr>
                <w:sz w:val="17"/>
                <w:szCs w:val="17"/>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Total long-term liabilities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545,868</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416,829</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324,386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81,402</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63,035</w:t>
            </w:r>
          </w:p>
        </w:tc>
        <w:tc>
          <w:tcPr>
            <w:tcW w:w="160" w:type="dxa"/>
            <w:vAlign w:val="bottom"/>
          </w:tcPr>
          <w:p>
            <w:pPr>
              <w:spacing w:after="0"/>
              <w:rPr>
                <w:sz w:val="17"/>
                <w:szCs w:val="17"/>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 (7)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1,678,894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1,541,624</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1,346,718</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1,126,564</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733,249</w:t>
            </w:r>
          </w:p>
        </w:tc>
        <w:tc>
          <w:tcPr>
            <w:tcW w:w="160" w:type="dxa"/>
            <w:vAlign w:val="bottom"/>
            <w:shd w:val="clear" w:color="auto" w:fill="CCEEFF"/>
          </w:tcPr>
          <w:p>
            <w:pPr>
              <w:spacing w:after="0"/>
              <w:rPr>
                <w:sz w:val="17"/>
                <w:szCs w:val="17"/>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2013, we completed three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8" w:lineRule="exact"/>
        <w:rPr>
          <w:rFonts w:ascii="Arial" w:cs="Arial" w:eastAsia="Arial" w:hAnsi="Arial"/>
          <w:sz w:val="18"/>
          <w:szCs w:val="18"/>
          <w:color w:val="auto"/>
        </w:rPr>
      </w:pPr>
    </w:p>
    <w:p>
      <w:pPr>
        <w:jc w:val="both"/>
        <w:ind w:left="540" w:hanging="532"/>
        <w:spacing w:after="0" w:line="23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2012, we acquired i) certain assets of CarterEnergy Corporation, including the assets comprising its wholesale motor fuel distribution business (the "CarterEnergy business") on September 1st, ii) certain assets of Multi Service Corporation, including the assets comprising its transaction management business, and all of the outstanding stock of its foreign subsidiaries (the "Multi Service business") on December 31st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96"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2011, we acquired i) all of the outstanding stock of Nordic Camp Supply ApS and certain affiliates ("NCS") and ii) all of the outstanding stock of Ascent Aviation Group, Inc. ("Ascent") on March 1st and April 1st, respectively, and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540" w:hanging="532"/>
        <w:spacing w:after="0" w:line="26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2010, we acquired i) certain assets of Lakeside Oil Company, Inc., including the assets comprising its wholesale motor fuel distribution business (the "Lakeside business") on July 1st, ii) all of the outstanding stock of Western Petroleum Company ("Western") on October 1st,</w:t>
      </w:r>
    </w:p>
    <w:p>
      <w:pPr>
        <w:jc w:val="both"/>
        <w:ind w:left="540" w:right="20" w:firstLine="8"/>
        <w:spacing w:after="0" w:line="237" w:lineRule="auto"/>
        <w:tabs>
          <w:tab w:leader="none" w:pos="7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of the outstanding stock of The Hiller Group Incorporated, Air Petro Corp. and all of the outstanding membership interests of HG Equipment, LLC and AHT Services, LLC (collectively, "Hiller") on December 31st and iv) completed two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8"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2009, we acquired i) all of the outstanding stock of Henty Oil Limited, Tank and Marine Engineering Limited and Henty Shipping Services Limited (collectively, "Henty") and ii) certain assets of TGS Petroleum, Inc., including the assets comprising its wholesale motor fuel distribution business (the "TGS business"). The financial position and results of operations of these acquisitions have been included in our consolidated financial statements since April 1, 2009.</w:t>
      </w:r>
    </w:p>
    <w:p>
      <w:pPr>
        <w:spacing w:after="0" w:line="195"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operating expenses are total non-cash compensation costs associated with share-based payment awards of $16.7 million for 2013, $14.1 million for 2012, $11.0 million for 2011, $10.1 million for 2010 and $6.5 million for 2009 and intangible amortization expense of $22.4 million for 2013, $18.1 million for 2012, $25.0 million for 2011, $9.8 million for 2010 and $8.3 million for 2009.</w:t>
      </w:r>
    </w:p>
    <w:p>
      <w:pPr>
        <w:spacing w:after="0" w:line="194"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2013, we repurchased 926,000 shares of our common stock for an aggregate value of $35.0 million pursuant to the Repurchase Program. In 2010, we completed a public offering of 9,200,000 shares of our common stock and received net proceeds of $218.8 million.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7. Management's Discussion and Analysis of Financial Condition and Results of Operations</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discussion should be read in conjunction with "Item 6 – Selected Financial Data," and with the accompanying consolidated financial statements and related notes thereto appearing elsewhere in this 2013 10-K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global fuel logistics company, principally engaged in the marketing, sale and distribution of aviation, marine, and land fuel and related products and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Additionally, we offer transaction management services which consist of card payment solutions and merchant processing services to customers in the aviation, marine and land transportation industries. In our aviation segment, we offer fuel and related products and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lubricants and related products and services to a broad base of marine customers, including international container and tanker fleets, commercial cruise lines, yachts and time-charter operators, as well as to the U.S. and foreign governments. In our land segment, we offer fuel, lubricants and related products and services to petroleum distributors operating in the land transportation market, retail petroleum operators, and industrial, commercial and government customers and we engage in crude oil marketing activities.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revenue and cost of revenue are significantly impacted by world oil prices, as evidenced in part by our revenue and cost of revenue fluctuations in previous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this 2013 10-K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11 to the accompanying consolidated financial statements included in this 2013 10-K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included elsewhere in this 2013 10-K Report,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share-based payment awards, derivatives, goodwill and identifiable intangible assets and certain accrued liabilities.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2013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third-party subcontractor. Our fuel sales are generated as a fuel reseller as well as from on-hand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fuel-related services is recognized when services are performed, the sales price is fixed or determinable and collectability is reasonably assured. We record the sale of fuel-related services on a gross basis as we generally have latitude in establishing the sales price, have discretion in supplier selection, maintain credit risk and are the primary obligor in the sales arrangement.</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Revenue from card payment and processing transactions is recognized at the time the purchase is made by the customer using the charge card.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from charge card transactions is generated from processing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Awards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share-based payment awards on a fair value basis. Under fair value accounting, the grant-date fair value of the share-based payment award is amortized as compensation expense, on a straight-line basis, over the vesting period for both graded and cliff vesting awards. Annual compensation expense for share-based payment awards is reduced by an expected forfeiture amount on the outstanding share-based payment awards.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estimated fair value of stock awards, such as restricted stock and RSUs is based on the grant-date market value of our common stock, as defined in the respective plans under which the awards were granted. To determine the estimated fair value of SSAR Awards, we use the Black-Scholes option pricing model. The estimation of the fair value of SSAR Awards on the date of grant using an option-pricing model is affected by our stock price as well as assumptions regarding a number of complex and subjective variables. These variables include our expected stock price volatility over the term of the awards, actual and projected employee stock option exercise behaviors, risk-free interest rates and expected dividends. The expected term of SSAR Awards represents the estimated period of time from grant until exercise or conversion and is based on vesting schedules and expected post-vesting,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non-recurring events that would not be expected in the future. Risk-free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share-based payment awards (excess income tax benefits) are classified as financing cash flows. These excess income tax benefits are credited to capital in excess of par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 of current or future credit worthiness of our customers, particularly in these difficult economic and financial markets. Accounts receivable are reduced by an allowance for bad debt.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If credit losses exceed established allowances, our business, financial condition, results of operations and cash flows may be adversely affected.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credit risks inherent in our business, see "Item 1A – Risk Factors" in this 2013 10-K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(expense) income,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(expense) income,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 acquisitions bring to existing operations and the prevailing market value for comparable companies. Goodwill is not subject to periodic amortization; instead, it is reviewed annually at year-end (or more frequently under certain circumstances) for impairment. We assess qualitative factors to determine whether it is more likely than not that the fair value of any individual reporting unit is less than its carrying amount. In performing the qualitative assessment, we assess relevant events and circumstances that may impact the fair value of our reporting units, including the following: (i) macroeconomic conditions, (ii) industry and market considerations, (iii) earnings quality/sustainability, (iv) overall financial performance, (v) events affecting a reporting unit, (vi) share price and (vii) recent fair value calculation for our reporting units, if available. After assessing the above described events and circumstances, if we determine that it is more likely than not that the fair value of a reporting unit is greater than its carrying value, then no further testing is required. Otherwise, we would perform the first step of quantitative testing for goodwill impairment.</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time to time, we may perform the first step of quantitative testing for goodwill impairment in lieu of performing a qualitative assessment. The first step of the goodwill impairment test compares the estimated fair value of a reporting unit with its carrying value. We estimate the fair value of a reporting unit using discounted cash flows and market capitalization methodologies.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our acquisitions, we record identifiable intangible assets existing at the date of the acquisitions for customer relationships, supplier and non-compete agreements, developed technology and trademark/trade name rights. Identifiable intangible assets subject to amortization are amortized over their estimated useful lives and are reviewed for impairment and appropriate remaining useful lives whenever events or changes in circumstances indicate that the carrying amount of an asset may not be recoverable based on market factors and operational considerations. For identifiable intangible assets not subject to amortization, we first assess qualitative factors to determine whether it is more likely than not that an asset has been impaired. After assessing qualitative factors, if we determine that it is more likely than not that the fair value of an asset is greater than its carrying value, then no further testing is required. Otherwise, we would review for impairment by comparing the fair value of the intangible asset to its carrying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Extinguishment of Liability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normal course of business, we accrue liabilities for fuel and services received for which invoices have not yet been received. These liabilities are derecognized, or extinguished, if either (i) payment is made to relieve our obligation for the liability or (ii) we are legally released from our obligation for the liability, such as when our legal obligations with respect to such liabilities lapse or otherwise no longer exist. We derecognized vendor liability accruals due to the legal release of our obligations in the amount of $8.5 million, $11.2 million and $8.3 million during 2013, 2012 and 2011, respectively, which is reflected as a reduction of cost of revenue in the accompanying consolidated statements of income and comprehensive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results of operations include the results of (i) the Multi Service business (aviation, marine, and land segments) commencing on December 31, 2012, (ii) the CarterEnergy business (land segment) commencing on September 1, 2012, (iii) Ascent (aviation segment) commencing on April 1, 2011 and (iv) NCS (aviation and land segments) commencing on March 1,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compared to 2012</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2013 was $41.6 billion, an increase of $2.6 billion, or 6.7%, as compared to 2012.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20" w:type="dxa"/>
            <w:vAlign w:val="bottom"/>
          </w:tcPr>
          <w:p>
            <w:pPr>
              <w:spacing w:after="0"/>
              <w:rPr>
                <w:sz w:val="21"/>
                <w:szCs w:val="21"/>
                <w:color w:val="auto"/>
              </w:rPr>
            </w:pPr>
          </w:p>
        </w:tc>
        <w:tc>
          <w:tcPr>
            <w:tcW w:w="3040" w:type="dxa"/>
            <w:vAlign w:val="bottom"/>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6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420" w:type="dxa"/>
            <w:vAlign w:val="bottom"/>
            <w:gridSpan w:val="2"/>
          </w:tcPr>
          <w:p>
            <w:pPr>
              <w:ind w:left="460"/>
              <w:spacing w:after="0"/>
              <w:rPr>
                <w:sz w:val="20"/>
                <w:szCs w:val="20"/>
                <w:color w:val="auto"/>
              </w:rPr>
            </w:pPr>
            <w:r>
              <w:rPr>
                <w:rFonts w:ascii="Arial" w:cs="Arial" w:eastAsia="Arial" w:hAnsi="Arial"/>
                <w:sz w:val="18"/>
                <w:szCs w:val="18"/>
                <w:b w:val="1"/>
                <w:bCs w:val="1"/>
                <w:color w:val="auto"/>
              </w:rPr>
              <w:t>$ Change</w:t>
            </w:r>
          </w:p>
        </w:tc>
      </w:tr>
      <w:tr>
        <w:trPr>
          <w:trHeight w:val="203"/>
        </w:trPr>
        <w:tc>
          <w:tcPr>
            <w:tcW w:w="30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4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$ 16,087,611</w:t>
            </w:r>
          </w:p>
        </w:tc>
        <w:tc>
          <w:tcPr>
            <w:tcW w:w="166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$ 14,692,042</w:t>
            </w: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$ 1,395,569</w:t>
            </w:r>
          </w:p>
        </w:tc>
        <w:tc>
          <w:tcPr>
            <w:tcW w:w="160" w:type="dxa"/>
            <w:vAlign w:val="bottom"/>
            <w:shd w:val="clear" w:color="auto" w:fill="CCEEFF"/>
          </w:tcPr>
          <w:p>
            <w:pPr>
              <w:spacing w:after="0"/>
              <w:rPr>
                <w:sz w:val="17"/>
                <w:szCs w:val="17"/>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14,790,342</w:t>
            </w:r>
          </w:p>
        </w:tc>
        <w:tc>
          <w:tcPr>
            <w:tcW w:w="16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14,750,425</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39,917</w:t>
            </w: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10,683,994</w:t>
            </w:r>
          </w:p>
        </w:tc>
        <w:tc>
          <w:tcPr>
            <w:tcW w:w="16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9,502,871</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1,181,123</w:t>
            </w:r>
          </w:p>
        </w:tc>
        <w:tc>
          <w:tcPr>
            <w:tcW w:w="160" w:type="dxa"/>
            <w:vAlign w:val="bottom"/>
            <w:shd w:val="clear" w:color="auto" w:fill="CCEEFF"/>
          </w:tcPr>
          <w:p>
            <w:pPr>
              <w:spacing w:after="0"/>
              <w:rPr>
                <w:sz w:val="17"/>
                <w:szCs w:val="17"/>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$ 41,561,947</w:t>
            </w:r>
          </w:p>
        </w:tc>
        <w:tc>
          <w:tcPr>
            <w:tcW w:w="1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$ 38,945,338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$ 2,616,609</w:t>
            </w:r>
          </w:p>
        </w:tc>
        <w:tc>
          <w:tcPr>
            <w:tcW w:w="160" w:type="dxa"/>
            <w:vAlign w:val="bottom"/>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aviation segment revenue for 2013 was $16.1 billion, an increase of $1.4 billion, or 9.5% as compared to 2012. Of the increase in aviation segment revenue, $2.0 billion was due to increased volume attributable to new and existing customers, which was partially offset by $0.6 billion due to a decrease in the average price per gallon sold as a result of lower average jet fuel prices in 2013 as compared to 2012.</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marine segment revenue for 2013 and 2012 was $14.8 billion. Of the increase in marine segment revenue, $0.5 billion was due to increased volume attributable to new and existing customers, which was principally offset by a decrease in the average price per metric ton sold as a result of lower average marine fuel prices in 2013 as compared to 2012.</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land segment revenue for 2013 was $10.7 billion, an increase of $1.2 billion, or 12.4%, as compared to 2012. The increase in land segment revenue was principally due to revenue from acquired businesses.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2013 was $752.8 million, an increase of $79.3 million, or 11.8%, as compared to 2012.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60" w:type="dxa"/>
            <w:vAlign w:val="bottom"/>
          </w:tcPr>
          <w:p>
            <w:pPr>
              <w:spacing w:after="0"/>
              <w:rPr>
                <w:sz w:val="21"/>
                <w:szCs w:val="21"/>
                <w:color w:val="auto"/>
              </w:rPr>
            </w:pPr>
          </w:p>
        </w:tc>
        <w:tc>
          <w:tcPr>
            <w:tcW w:w="3040" w:type="dxa"/>
            <w:vAlign w:val="bottom"/>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48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3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4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$ 327,178</w:t>
            </w:r>
          </w:p>
        </w:tc>
        <w:tc>
          <w:tcPr>
            <w:tcW w:w="148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$ 294,601</w:t>
            </w: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32,577</w:t>
            </w:r>
          </w:p>
        </w:tc>
        <w:tc>
          <w:tcPr>
            <w:tcW w:w="16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177,052</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208,028</w:t>
            </w:r>
          </w:p>
        </w:tc>
        <w:tc>
          <w:tcPr>
            <w:tcW w:w="5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(30,976)</w:t>
            </w:r>
          </w:p>
        </w:tc>
        <w:tc>
          <w:tcPr>
            <w:tcW w:w="16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248,528</w:t>
            </w:r>
          </w:p>
        </w:tc>
        <w:tc>
          <w:tcPr>
            <w:tcW w:w="14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170,818</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77,710</w:t>
            </w:r>
          </w:p>
        </w:tc>
        <w:tc>
          <w:tcPr>
            <w:tcW w:w="160" w:type="dxa"/>
            <w:vAlign w:val="bottom"/>
            <w:shd w:val="clear" w:color="auto" w:fill="CCEEFF"/>
          </w:tcPr>
          <w:p>
            <w:pPr>
              <w:spacing w:after="0"/>
              <w:rPr>
                <w:sz w:val="17"/>
                <w:szCs w:val="17"/>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$ 752,758</w:t>
            </w: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$ 673,447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79,311</w:t>
            </w:r>
          </w:p>
        </w:tc>
        <w:tc>
          <w:tcPr>
            <w:tcW w:w="160" w:type="dxa"/>
            <w:vAlign w:val="bottom"/>
          </w:tcPr>
          <w:p>
            <w:pPr>
              <w:spacing w:after="0"/>
              <w:rPr>
                <w:sz w:val="18"/>
                <w:szCs w:val="18"/>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aviation segment gross profit for 2013 was $327.2 million, an increase of $32.6 million, or 11.1%, as compared to 2012. Of the increase in aviation segment gross profit, $28.6 million was due to increased volume attributable to new and existing customers and $10.9 million was due to gross profit from acquired businesses. These increases were partially offset by $6.9 million in lower gross profit per gallon sold principally due to fluctuations in customer mix.</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marine segment gross profit for 2013 was $177.1 million, a decrease of $31.0 million, or 14.9%, as compared to 2012. Of the decrease in marine segment gross profit, $37.6 million was due to decreased gross profit per metric ton sold principally due to limited price volatility in 2013 and fluctuations in customer mix. This decrease was partially offset by $6.6 million due to increased volume attributable to new and existing customers.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land segment gross profit for 2013 was $248.5 million, an increase of $77.7 million, or 45.5%, as compared to 2012. The increase in land segment gross profit was principally due to gross profit from acquired businesses.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2013 were $488.4 million, an increase of $72.0 million, or 17.3%, as compared to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60" w:type="dxa"/>
            <w:vAlign w:val="bottom"/>
          </w:tcPr>
          <w:p>
            <w:pPr>
              <w:spacing w:after="0"/>
              <w:rPr>
                <w:sz w:val="21"/>
                <w:szCs w:val="21"/>
                <w:color w:val="auto"/>
              </w:rPr>
            </w:pPr>
          </w:p>
        </w:tc>
        <w:tc>
          <w:tcPr>
            <w:tcW w:w="2340" w:type="dxa"/>
            <w:vAlign w:val="bottom"/>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4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234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$ 288,021</w:t>
            </w:r>
          </w:p>
        </w:tc>
        <w:tc>
          <w:tcPr>
            <w:tcW w:w="128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$ 237,362</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50,659</w:t>
            </w:r>
          </w:p>
        </w:tc>
        <w:tc>
          <w:tcPr>
            <w:tcW w:w="160" w:type="dxa"/>
            <w:vAlign w:val="bottom"/>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11,745</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4,790</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6,955</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188,634</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174,272</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14,362</w:t>
            </w:r>
          </w:p>
        </w:tc>
        <w:tc>
          <w:tcPr>
            <w:tcW w:w="160" w:type="dxa"/>
            <w:vAlign w:val="bottom"/>
            <w:shd w:val="clear" w:color="auto" w:fill="CCEEFF"/>
          </w:tcPr>
          <w:p>
            <w:pPr>
              <w:spacing w:after="0"/>
              <w:rPr>
                <w:sz w:val="17"/>
                <w:szCs w:val="17"/>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$ 488,400</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$ 416,424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71,976</w:t>
            </w:r>
          </w:p>
        </w:tc>
        <w:tc>
          <w:tcPr>
            <w:tcW w:w="160" w:type="dxa"/>
            <w:vAlign w:val="bottom"/>
          </w:tcPr>
          <w:p>
            <w:pPr>
              <w:spacing w:after="0"/>
              <w:rPr>
                <w:sz w:val="18"/>
                <w:szCs w:val="18"/>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$50.7 million increase in compensation and employee benefits was principally due to the inclusion of expenses from acquired businesses. The $7.0 million increase in provision for bad debt was principally due to an overall increase in the accounts receivable balance in 2013 as compared to 2012 and additional reserves for specific customers. The $14.4 million increase in general and administrative expenses was due to $26.2 million related to the inclusion of expenses from acquired businesses, which was partially offset by $11.8 million in decreased expenses due to efforts to drive greater operational efficiencies.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2013 was $264.4 million, an increase of $7.3 million, or 2.9%, as compared to 2012.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during these periods was attributable to the following segments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21"/>
                <w:szCs w:val="2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$ 150,886</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$ 128,153</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22,733</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73,770</w:t>
            </w: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103,229</w:t>
            </w:r>
          </w:p>
        </w:tc>
        <w:tc>
          <w:tcPr>
            <w:tcW w:w="4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(29,459)</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84,767</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75,291</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9,476</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080" w:type="dxa"/>
            <w:vAlign w:val="bottom"/>
          </w:tcPr>
          <w:p>
            <w:pPr>
              <w:spacing w:after="0"/>
              <w:rPr>
                <w:sz w:val="18"/>
                <w:szCs w:val="18"/>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color w:val="auto"/>
              </w:rPr>
              <w:t>309,423</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306,673</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45,065</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49,650</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$ 264,358</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$ 257,023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60" w:type="dxa"/>
            <w:vAlign w:val="bottom"/>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aviation segment income from operations for 2013 was $150.9 million, an increase of $22.7 million, or 17.7%, as compared to 2012. This increase resulted from $32.6 million in higher gross profit, which was partially offset by $9.9 million in increased operating expenses attributable to the inclusion of acquired businesses.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income from operations for 2013 was $73.8 million, a decrease of $29.5 million, or 28.5%, as compared to 2012. This decrease principally resulted from $31.0 million in lower gross profit.</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land segment income from operations for 2013 was $84.8 million, an increase of $9.5 million, or 12.6%, as compared to 2012. This increase resulted from $77.7 million in higher gross profit, which was partially offset by increased operating expenses of $68.2 million. Of the increase in land segment operating expenses, $67.1 million was related to the inclusion of acquired businesses.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Corporate overhead costs not charged to the business segments for 2013 were $45.1 million, a decrease of $4.6 million, or 9.2%, as compared to 2012. The decrease in corporate overhead costs not charged to the business segments was attributable to decreases in general and administrative expenses, principally professional fees.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2013, we had non-operating expenses, net of $17.7 million, an increase of $0.3 million, or 1.5%,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2012.</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2013, our effective income tax rate was 16.0% and our income tax provision was $39.5 million, as compared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of 16.0% and an income tax provision of $38.2 million for 2012. Although there was no net change in the overall effective income tax rate between 2013 and 2012, the rates continue to have various recurring components attributable to differences in the results of our subsidiaries in tax jurisdictions with different income tax rates and outstanding uncertain tax positions net of certain nonrecurring discrete tax items including statute lapses, audit settlements, and a change in estimate.</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Net Income Attributable to Noncontrolling Interest. </w:t>
      </w:r>
      <w:r>
        <w:rPr>
          <w:rFonts w:ascii="Arial" w:cs="Arial" w:eastAsia="Arial" w:hAnsi="Arial"/>
          <w:sz w:val="18"/>
          <w:szCs w:val="18"/>
          <w:color w:val="auto"/>
        </w:rPr>
        <w:t>For 2013, net income attributable to noncontrolling interest was $4.1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$7.9 million, or 66.0%, as compared to 2012. The decrease was principally due to the results of our crude oil marketing joint venture.</w:t>
      </w:r>
    </w:p>
    <w:p>
      <w:pPr>
        <w:spacing w:after="0" w:line="17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2013 was $203.1 million, an increase of $13.7 million, or 7.3%,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2012. Diluted earnings per common share for 2013 was $2.83 per common share, an increase of $0.19 per common share, or 7.2% as compared to 2012.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Non-GAAP Net Income and Non-GAAP Diluted Earnings per Common Share. </w:t>
      </w:r>
      <w:r>
        <w:rPr>
          <w:rFonts w:ascii="Arial" w:cs="Arial" w:eastAsia="Arial" w:hAnsi="Arial"/>
          <w:sz w:val="18"/>
          <w:szCs w:val="18"/>
          <w:color w:val="auto"/>
        </w:rPr>
        <w:t>Our non-GAAP net income for 2013 was $230.5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$14.6 million, or 6.8%, as compared to 2012. Non-GAAP diluted earnings per common share for 2013 was $3.22 per common share, an increase of $0.21 per common share, or 7.0%, as compared to 2012. The following table sets forth the reconciliation between our net income and non-GAAP net income for 2013 and 2012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6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2013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6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122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$ 203,075</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$ 189,345</w:t>
            </w:r>
          </w:p>
        </w:tc>
        <w:tc>
          <w:tcPr>
            <w:tcW w:w="160" w:type="dxa"/>
            <w:vAlign w:val="bottom"/>
            <w:shd w:val="clear" w:color="auto" w:fill="CCEEFF"/>
          </w:tcPr>
          <w:p>
            <w:pPr>
              <w:spacing w:after="0"/>
              <w:rPr>
                <w:sz w:val="17"/>
                <w:szCs w:val="17"/>
                <w:color w:val="auto"/>
              </w:rPr>
            </w:pPr>
          </w:p>
        </w:tc>
      </w:tr>
      <w:tr>
        <w:trPr>
          <w:trHeight w:val="206"/>
        </w:trPr>
        <w:tc>
          <w:tcPr>
            <w:tcW w:w="6760" w:type="dxa"/>
            <w:vAlign w:val="bottom"/>
          </w:tcPr>
          <w:p>
            <w:pPr>
              <w:spacing w:after="0" w:line="206" w:lineRule="exact"/>
              <w:rPr>
                <w:sz w:val="20"/>
                <w:szCs w:val="20"/>
                <w:color w:val="auto"/>
              </w:rPr>
            </w:pPr>
            <w:r>
              <w:rPr>
                <w:rFonts w:ascii="Arial" w:cs="Arial" w:eastAsia="Arial" w:hAnsi="Arial"/>
                <w:sz w:val="18"/>
                <w:szCs w:val="18"/>
                <w:color w:val="auto"/>
              </w:rPr>
              <w:t>Share-based compensation expense, net of income taxes of $5,534 and $4,442 for</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760" w:type="dxa"/>
            <w:vAlign w:val="bottom"/>
          </w:tcPr>
          <w:p>
            <w:pPr>
              <w:ind w:left="180"/>
              <w:spacing w:after="0" w:line="200" w:lineRule="exact"/>
              <w:rPr>
                <w:sz w:val="20"/>
                <w:szCs w:val="20"/>
                <w:color w:val="auto"/>
              </w:rPr>
            </w:pPr>
            <w:r>
              <w:rPr>
                <w:rFonts w:ascii="Arial" w:cs="Arial" w:eastAsia="Arial" w:hAnsi="Arial"/>
                <w:sz w:val="18"/>
                <w:szCs w:val="18"/>
                <w:color w:val="auto"/>
              </w:rPr>
              <w:t>2013 and 2012, respectively</w:t>
            </w:r>
          </w:p>
        </w:tc>
        <w:tc>
          <w:tcPr>
            <w:tcW w:w="122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11,182</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9,637</w:t>
            </w:r>
          </w:p>
        </w:tc>
        <w:tc>
          <w:tcPr>
            <w:tcW w:w="160" w:type="dxa"/>
            <w:vAlign w:val="bottom"/>
          </w:tcPr>
          <w:p>
            <w:pPr>
              <w:spacing w:after="0"/>
              <w:rPr>
                <w:sz w:val="17"/>
                <w:szCs w:val="17"/>
                <w:color w:val="auto"/>
              </w:rPr>
            </w:pPr>
          </w:p>
        </w:tc>
      </w:tr>
      <w:tr>
        <w:trPr>
          <w:trHeight w:val="206"/>
        </w:trPr>
        <w:tc>
          <w:tcPr>
            <w:tcW w:w="6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Intangible asset amortization expense, net of income taxes of $8,128 and $4,090 for</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7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2013 and 2012, respectively</w:t>
            </w:r>
          </w:p>
        </w:tc>
        <w:tc>
          <w:tcPr>
            <w:tcW w:w="122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14,448</w:t>
            </w: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14,037</w:t>
            </w:r>
          </w:p>
        </w:tc>
      </w:tr>
      <w:tr>
        <w:trPr>
          <w:trHeight w:val="223"/>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 related to certain acquisitions, net of income taxes of $1,574 for 2012*</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60" w:type="dxa"/>
            <w:vAlign w:val="bottom"/>
          </w:tcPr>
          <w:p>
            <w:pPr>
              <w:spacing w:after="0"/>
              <w:rPr>
                <w:sz w:val="19"/>
                <w:szCs w:val="19"/>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 attributable to World Fuel</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$ 230,527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$ 215,943</w:t>
            </w:r>
          </w:p>
        </w:tc>
        <w:tc>
          <w:tcPr>
            <w:tcW w:w="160" w:type="dxa"/>
            <w:vAlign w:val="bottom"/>
            <w:shd w:val="clear" w:color="auto" w:fill="CCEEFF"/>
          </w:tcPr>
          <w:p>
            <w:pPr>
              <w:spacing w:after="0"/>
              <w:rPr>
                <w:sz w:val="17"/>
                <w:szCs w:val="17"/>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line="23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incurred in 2013 relate to the anticipated 2014 acquisition of Watson Petroleum Limited. The 2012 expenses relate to the acquisition of the Multi Service business.</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our non-GAAP diluted earnings per common share for 2013 and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2013</w:t>
            </w: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2012</w:t>
            </w:r>
          </w:p>
        </w:tc>
        <w:tc>
          <w:tcPr>
            <w:tcW w:w="160" w:type="dxa"/>
            <w:vAlign w:val="bottom"/>
          </w:tcPr>
          <w:p>
            <w:pPr>
              <w:spacing w:after="0"/>
              <w:rPr>
                <w:sz w:val="21"/>
                <w:szCs w:val="2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2.83</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 net of income taxes</w:t>
            </w:r>
          </w:p>
        </w:tc>
        <w:tc>
          <w:tcPr>
            <w:tcW w:w="1340" w:type="dxa"/>
            <w:vAlign w:val="bottom"/>
          </w:tcPr>
          <w:p>
            <w:pPr>
              <w:spacing w:after="0"/>
              <w:rPr>
                <w:sz w:val="17"/>
                <w:szCs w:val="17"/>
                <w:color w:val="auto"/>
              </w:rPr>
            </w:pPr>
          </w:p>
        </w:tc>
        <w:tc>
          <w:tcPr>
            <w:tcW w:w="7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0.16</w:t>
            </w:r>
          </w:p>
        </w:tc>
        <w:tc>
          <w:tcPr>
            <w:tcW w:w="48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0.13</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amortization expense, net of income taxes</w:t>
            </w:r>
          </w:p>
        </w:tc>
        <w:tc>
          <w:tcPr>
            <w:tcW w:w="1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0.20</w:t>
            </w:r>
          </w:p>
        </w:tc>
        <w:tc>
          <w:tcPr>
            <w:tcW w:w="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0.20</w:t>
            </w:r>
          </w:p>
        </w:tc>
      </w:tr>
      <w:tr>
        <w:trPr>
          <w:trHeight w:val="223"/>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 related to certain acquisitions net of income taxes*</w:t>
            </w: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0.03</w:t>
            </w: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diluted earnings per common share</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3.22</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3.01</w:t>
            </w:r>
          </w:p>
        </w:tc>
      </w:tr>
      <w:tr>
        <w:trPr>
          <w:trHeight w:val="27"/>
        </w:trPr>
        <w:tc>
          <w:tcPr>
            <w:tcW w:w="5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3" w:lineRule="exact"/>
        <w:rPr>
          <w:sz w:val="20"/>
          <w:szCs w:val="20"/>
          <w:color w:val="auto"/>
        </w:rPr>
      </w:pPr>
    </w:p>
    <w:p>
      <w:pPr>
        <w:ind w:left="540" w:hanging="532"/>
        <w:spacing w:after="0" w:line="23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expenses incurred in 2013 relate to the anticipated 2014 acquisition of Watson Petroleum Limited. The 2012 expenses relate to the acquisition of the Multi Service business.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non-GAAP financial measures exclude costs associated with share based compensation, amortization of acquired intangible assets and expenses related to certain acquisitions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as well as the expenses related to the anticipated acquisition of Watson Petroleum Limited and the acquisition of the Multi Service business, are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2012 was $38.9 billion, an increase of $4.3 billion, or 12.5%, as compared to 2011.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80" w:type="dxa"/>
            <w:vAlign w:val="bottom"/>
          </w:tcPr>
          <w:p>
            <w:pPr>
              <w:spacing w:after="0"/>
              <w:rPr>
                <w:sz w:val="21"/>
                <w:szCs w:val="21"/>
                <w:color w:val="auto"/>
              </w:rPr>
            </w:pPr>
          </w:p>
        </w:tc>
        <w:tc>
          <w:tcPr>
            <w:tcW w:w="30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154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 Change</w:t>
            </w:r>
          </w:p>
        </w:tc>
      </w:tr>
      <w:tr>
        <w:trPr>
          <w:trHeight w:val="203"/>
        </w:trPr>
        <w:tc>
          <w:tcPr>
            <w:tcW w:w="3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8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$ 14,692,042</w:t>
            </w:r>
          </w:p>
        </w:tc>
        <w:tc>
          <w:tcPr>
            <w:tcW w:w="154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$ 12,866,019</w:t>
            </w: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$ 1,826,023</w:t>
            </w:r>
          </w:p>
        </w:tc>
        <w:tc>
          <w:tcPr>
            <w:tcW w:w="160" w:type="dxa"/>
            <w:vAlign w:val="bottom"/>
            <w:shd w:val="clear" w:color="auto" w:fill="CCEEFF"/>
          </w:tcPr>
          <w:p>
            <w:pPr>
              <w:spacing w:after="0"/>
              <w:rPr>
                <w:sz w:val="17"/>
                <w:szCs w:val="17"/>
                <w:color w:val="auto"/>
              </w:rPr>
            </w:pP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14,750,425</w:t>
            </w:r>
          </w:p>
        </w:tc>
        <w:tc>
          <w:tcPr>
            <w:tcW w:w="15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14,565,086</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185,339</w:t>
            </w:r>
          </w:p>
        </w:tc>
        <w:tc>
          <w:tcPr>
            <w:tcW w:w="160" w:type="dxa"/>
            <w:vAlign w:val="bottom"/>
          </w:tcPr>
          <w:p>
            <w:pPr>
              <w:spacing w:after="0"/>
              <w:rPr>
                <w:sz w:val="17"/>
                <w:szCs w:val="17"/>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9,502,871</w:t>
            </w:r>
          </w:p>
        </w:tc>
        <w:tc>
          <w:tcPr>
            <w:tcW w:w="15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7,191,749</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2,311,122</w:t>
            </w:r>
          </w:p>
        </w:tc>
        <w:tc>
          <w:tcPr>
            <w:tcW w:w="160" w:type="dxa"/>
            <w:vAlign w:val="bottom"/>
            <w:shd w:val="clear" w:color="auto" w:fill="CCEEFF"/>
          </w:tcPr>
          <w:p>
            <w:pPr>
              <w:spacing w:after="0"/>
              <w:rPr>
                <w:sz w:val="17"/>
                <w:szCs w:val="17"/>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$ 38,945,338</w:t>
            </w: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$ 34,622,854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$ 4,322,484</w:t>
            </w:r>
          </w:p>
        </w:tc>
        <w:tc>
          <w:tcPr>
            <w:tcW w:w="160" w:type="dxa"/>
            <w:vAlign w:val="bottom"/>
          </w:tcPr>
          <w:p>
            <w:pPr>
              <w:spacing w:after="0"/>
              <w:rPr>
                <w:sz w:val="18"/>
                <w:szCs w:val="18"/>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aviation segment revenue for 2012 was $14.7 billion, an increase of $1.8 billion, or 14.2% as compared to 2011. The increase in aviation segment revenue was principally due to increased volume attributable to new and existing customers.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marine segment revenue for 2012 was $14.8 billion, an increase of $0.2 billion, or 1.3%, as compared to 2011. The increase in marine segment revenue was principally due to an increase in the average price per metric ton sold as a result of higher world oil prices in 2012 as compared to 2011.</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revenue for 2012 was $9.5 billion, an increase of $2.3 billion, or 32.1%, as compared to 2011. The increase in land segment revenue was due to $0.7 billion attributable to the inclusion of revenue from acquired businesses, $0.7 billion in increased volume attributable to crude oil marketing activities and $0.6 billion in increased volume attributable to new and existing customers. The remaining $0.3 billion increase was due to an increase in the average price per gallon sold as a result of higher world oil prices in 2012 as compared to 2011.</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2012 was $673.4 million, an increase of $38.4 million, or 6.1%, as compared to 2011.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60" w:type="dxa"/>
            <w:vAlign w:val="bottom"/>
          </w:tcPr>
          <w:p>
            <w:pPr>
              <w:spacing w:after="0"/>
              <w:rPr>
                <w:sz w:val="21"/>
                <w:szCs w:val="21"/>
                <w:color w:val="auto"/>
              </w:rPr>
            </w:pPr>
          </w:p>
        </w:tc>
        <w:tc>
          <w:tcPr>
            <w:tcW w:w="304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480" w:type="dxa"/>
            <w:vAlign w:val="bottom"/>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3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4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$ 294,601</w:t>
            </w:r>
          </w:p>
        </w:tc>
        <w:tc>
          <w:tcPr>
            <w:tcW w:w="148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$ 306,112</w:t>
            </w: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(11,511)</w:t>
            </w:r>
          </w:p>
        </w:tc>
        <w:tc>
          <w:tcPr>
            <w:tcW w:w="16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208,028</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195,109</w:t>
            </w:r>
          </w:p>
        </w:tc>
        <w:tc>
          <w:tcPr>
            <w:tcW w:w="5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12,919</w:t>
            </w:r>
          </w:p>
        </w:tc>
        <w:tc>
          <w:tcPr>
            <w:tcW w:w="16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170,818</w:t>
            </w:r>
          </w:p>
        </w:tc>
        <w:tc>
          <w:tcPr>
            <w:tcW w:w="14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133,782</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37,036</w:t>
            </w:r>
          </w:p>
        </w:tc>
        <w:tc>
          <w:tcPr>
            <w:tcW w:w="160" w:type="dxa"/>
            <w:vAlign w:val="bottom"/>
            <w:shd w:val="clear" w:color="auto" w:fill="CCEEFF"/>
          </w:tcPr>
          <w:p>
            <w:pPr>
              <w:spacing w:after="0"/>
              <w:rPr>
                <w:sz w:val="17"/>
                <w:szCs w:val="17"/>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$ 673,447</w:t>
            </w: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$ 635,003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38,444</w:t>
            </w:r>
          </w:p>
        </w:tc>
        <w:tc>
          <w:tcPr>
            <w:tcW w:w="160" w:type="dxa"/>
            <w:vAlign w:val="bottom"/>
          </w:tcPr>
          <w:p>
            <w:pPr>
              <w:spacing w:after="0"/>
              <w:rPr>
                <w:sz w:val="18"/>
                <w:szCs w:val="18"/>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aviation segment gross profit for 2012 was $294.6 million, a decrease of $11.5 million, or 3.8%, as compared to 2011. The decrease in aviation segment gross profit was due to $8.9 million in lower gross profit per gallon sold in our physical inventory business as a result of the volatility, timing and direction of jet fuel price movements in 2012 as compared to 2011. The remaining decrease in aviation gross profit of $2.6 million was principally due to fluctuations in customer mix.</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gross profit for 2012 was $208.0 million, an increase of $12.9 million, or 6.6%, as compared to 2011. The increase in marine segment gross profit was principally due to higher gross profit per metric ton sold due to fluctuations in customer mix.</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gross profit for 2012 was $170.8 million, an increase of $37.0 million, or 27.7%, as compared to 2011. Of the increase in land segment gross profit, $30.3 million was due to gross profit from acquired businesses and $23.2 million was due to increased volume attributable to crude oil marketing activities, which were partially offset by a decrease in land segment gross profit of $16.5 million principally due to fluctuations in customer mix.</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2012 were $416.4 million, an increase of $38.4 million, or 10.2%, as compared to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2440" w:type="dxa"/>
            <w:vAlign w:val="bottom"/>
            <w:gridSpan w:val="2"/>
          </w:tcPr>
          <w:p>
            <w:pPr>
              <w:spacing w:after="0"/>
              <w:rPr>
                <w:sz w:val="21"/>
                <w:szCs w:val="2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23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$ 237,362</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$ 215,275</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22,087</w:t>
            </w:r>
          </w:p>
        </w:tc>
        <w:tc>
          <w:tcPr>
            <w:tcW w:w="2280" w:type="dxa"/>
            <w:vAlign w:val="bottom"/>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4,790</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8,173</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(3,383)</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174,272</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154,583</w:t>
            </w: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19,689</w:t>
            </w:r>
          </w:p>
        </w:tc>
        <w:tc>
          <w:tcPr>
            <w:tcW w:w="2280" w:type="dxa"/>
            <w:vAlign w:val="bottom"/>
          </w:tcPr>
          <w:p>
            <w:pPr>
              <w:spacing w:after="0"/>
              <w:rPr>
                <w:sz w:val="17"/>
                <w:szCs w:val="17"/>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7"/>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jc w:val="right"/>
              <w:ind w:right="172"/>
              <w:spacing w:after="0"/>
              <w:rPr>
                <w:sz w:val="20"/>
                <w:szCs w:val="20"/>
                <w:color w:val="auto"/>
              </w:rPr>
            </w:pPr>
            <w:r>
              <w:rPr>
                <w:rFonts w:ascii="Arial" w:cs="Arial" w:eastAsia="Arial" w:hAnsi="Arial"/>
                <w:sz w:val="18"/>
                <w:szCs w:val="18"/>
                <w:color w:val="auto"/>
              </w:rPr>
              <w:t>$ 416,424</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$ 378,031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38,393</w:t>
            </w:r>
          </w:p>
        </w:tc>
        <w:tc>
          <w:tcPr>
            <w:tcW w:w="2280" w:type="dxa"/>
            <w:vAlign w:val="bottom"/>
          </w:tcPr>
          <w:p>
            <w:pPr>
              <w:spacing w:after="0"/>
              <w:rPr>
                <w:sz w:val="18"/>
                <w:szCs w:val="18"/>
                <w:color w:val="auto"/>
              </w:rPr>
            </w:pPr>
          </w:p>
        </w:tc>
      </w:tr>
      <w:tr>
        <w:trPr>
          <w:trHeight w:val="20"/>
        </w:trPr>
        <w:tc>
          <w:tcPr>
            <w:tcW w:w="42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7"/>
        </w:trPr>
        <w:tc>
          <w:tcPr>
            <w:tcW w:w="4260" w:type="dxa"/>
            <w:vAlign w:val="bottom"/>
          </w:tcPr>
          <w:p>
            <w:pPr>
              <w:spacing w:after="0"/>
              <w:rPr>
                <w:sz w:val="20"/>
                <w:szCs w:val="20"/>
                <w:color w:val="auto"/>
              </w:rPr>
            </w:pPr>
            <w:r>
              <w:rPr>
                <w:rFonts w:ascii="Arial" w:cs="Arial" w:eastAsia="Arial" w:hAnsi="Arial"/>
                <w:sz w:val="18"/>
                <w:szCs w:val="18"/>
                <w:color w:val="auto"/>
              </w:rPr>
              <w:t>28</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426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$22.1 million increase in compensation and employee benefits was due to $13.5 million in increased expenses to support our growing global business and $8.6 million related to the inclusion of expenses from acquired businesses. We had a lower increase in our accounts receivable balance in 2012 as compared to 2011, resulting in a $3.4 million decrease in provision for bad debt in 2012. The $19.7 million increase in general and administrative expenses was due to $10.3 million related to the inclusion of expenses from acquired businesses, $4.9 million in increased expenses to support our growing global business and $4.5 million in expenses related to the acquisition of the Multi Service business in December 2012.</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2012 was $257.0 million. Income from operations during these periods was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80" w:type="dxa"/>
            <w:vAlign w:val="bottom"/>
          </w:tcPr>
          <w:p>
            <w:pPr>
              <w:spacing w:after="0"/>
              <w:rPr>
                <w:sz w:val="21"/>
                <w:szCs w:val="21"/>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13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4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248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$ 128,153</w:t>
            </w:r>
          </w:p>
        </w:tc>
        <w:tc>
          <w:tcPr>
            <w:tcW w:w="132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$ 146,411</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(18,258)</w:t>
            </w: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103,229</w:t>
            </w: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95,982</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7,247</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75,291</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62,049</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13,242</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080" w:type="dxa"/>
            <w:vAlign w:val="bottom"/>
          </w:tcPr>
          <w:p>
            <w:pPr>
              <w:spacing w:after="0"/>
              <w:rPr>
                <w:sz w:val="18"/>
                <w:szCs w:val="18"/>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color w:val="auto"/>
              </w:rPr>
              <w:t>306,673</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304,442</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2,231</w:t>
            </w:r>
          </w:p>
        </w:tc>
        <w:tc>
          <w:tcPr>
            <w:tcW w:w="16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49,650</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47,470</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$ 257,023</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$ 256,972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aviation segment income from operations for 2012 was $128.2 million, a decrease of $18.3 million, or 12.5%, as compared to 2011. This decrease resulted from $11.5 million in lower gross profit and $6.8 million in increased operating expenses principally attributable to the inclusion of expenses from acquired businesses.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income from operations for 2012 was $103.2 million, an increase of $7.2 million, or 7.6%, as compared to 2011. This increase resulted from $12.9 million in higher gross profit, which was partially offset by increased operating expenses of $5.7 million.</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income from operations for 2012 was $75.3 million, an increase of $13.2 million, or 21.3%, as compared to 2011. This increase resulted from $37.0 million in higher gross profit, which was partially offset by increased operating expenses of $23.8 million. Of the increase in land segment operating expenses, $16.6 million was related to the inclusion of expenses from acquired businesses and $7.2 million was due to increased expenses to support our growing global business.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overhead costs not charged to the business segments for 2012 were $49.7 million, an increase of $2.2 million, or 4.6%, as compared to 2011.</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2012, we had non-operating expenses, net of $17.4 million, a decrease of $1.3 million, or 7.1%,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2011. This decrease was due to a $2.8 million positive change related to foreign currency transaction gains and losses and a $1.8 million positive change related to non-operating activities. This decrease was partially offset by a $3.3 million increase in interest expense and other financing costs, net, as a result of higher average borrowings in 2012 as compared to 2011.</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2012, our effective income tax rate was 16.0% and our income tax provision was $38.2 million, as compared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of 16.4% and an income tax provision of $39.0 million for 2011. The lower effective income tax rate for 2012 resulted primarily from differences in the actual results of our subsidiaries in tax jurisdictions with different income tax rates as compared to 2011, the reduction of certain income tax reserves for uncertain tax positions due to a discrete item related to a change in estimate, statutes of limitation lapses and the settlement of an income tax audit.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Net Income Attributable to Noncontrolling Interest. </w:t>
      </w:r>
      <w:r>
        <w:rPr>
          <w:rFonts w:ascii="Arial" w:cs="Arial" w:eastAsia="Arial" w:hAnsi="Arial"/>
          <w:sz w:val="18"/>
          <w:szCs w:val="18"/>
          <w:color w:val="auto"/>
        </w:rPr>
        <w:t>For 2012, net income attributable to noncontrolling interest was $12.0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$6.8 million as compared to 2011. The increase was principally due to the results of our crude oil marketing joint venture.</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2012 was $189.3 million, a decrease of $4.7 million, or 2.4%,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2011. Diluted earnings per common share for 2012 was $2.64 per common share, a decrease of $0.07 per common share, or 2.6%, as compared to 2011.</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Non-GAAP Net Income and Non-GAAP Diluted Earnings per Common Share. </w:t>
      </w:r>
      <w:r>
        <w:rPr>
          <w:rFonts w:ascii="Arial" w:cs="Arial" w:eastAsia="Arial" w:hAnsi="Arial"/>
          <w:sz w:val="18"/>
          <w:szCs w:val="18"/>
          <w:color w:val="auto"/>
        </w:rPr>
        <w:t>Our non-GAAP net income for 2012 was $215.9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$5.2 million, or 2.3%, as compared to 2011. Non-GAAP diluted earnings per common share for 2012 was $3.01 per common share, a decrease of $0.08 per common share, or 2.6%, as compared to 2011. The following table sets forth the reconciliation between our net income and our non-GAAP net income for 2012 and 2011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2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6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116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$ 189,345</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$ 194,029</w:t>
            </w:r>
          </w:p>
        </w:tc>
        <w:tc>
          <w:tcPr>
            <w:tcW w:w="160" w:type="dxa"/>
            <w:vAlign w:val="bottom"/>
            <w:shd w:val="clear" w:color="auto" w:fill="CCEEFF"/>
          </w:tcPr>
          <w:p>
            <w:pPr>
              <w:spacing w:after="0"/>
              <w:rPr>
                <w:sz w:val="17"/>
                <w:szCs w:val="17"/>
                <w:color w:val="auto"/>
              </w:rPr>
            </w:pPr>
          </w:p>
        </w:tc>
      </w:tr>
      <w:tr>
        <w:trPr>
          <w:trHeight w:val="206"/>
        </w:trPr>
        <w:tc>
          <w:tcPr>
            <w:tcW w:w="6820" w:type="dxa"/>
            <w:vAlign w:val="bottom"/>
          </w:tcPr>
          <w:p>
            <w:pPr>
              <w:spacing w:after="0" w:line="206" w:lineRule="exact"/>
              <w:rPr>
                <w:sz w:val="20"/>
                <w:szCs w:val="20"/>
                <w:color w:val="auto"/>
              </w:rPr>
            </w:pPr>
            <w:r>
              <w:rPr>
                <w:rFonts w:ascii="Arial" w:cs="Arial" w:eastAsia="Arial" w:hAnsi="Arial"/>
                <w:sz w:val="18"/>
                <w:szCs w:val="18"/>
                <w:color w:val="auto"/>
              </w:rPr>
              <w:t>Share-based compensation expense, net of income taxes of $4,442 and $3,480 for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820" w:type="dxa"/>
            <w:vAlign w:val="bottom"/>
          </w:tcPr>
          <w:p>
            <w:pPr>
              <w:ind w:left="180"/>
              <w:spacing w:after="0" w:line="200" w:lineRule="exact"/>
              <w:rPr>
                <w:sz w:val="20"/>
                <w:szCs w:val="20"/>
                <w:color w:val="auto"/>
              </w:rPr>
            </w:pPr>
            <w:r>
              <w:rPr>
                <w:rFonts w:ascii="Arial" w:cs="Arial" w:eastAsia="Arial" w:hAnsi="Arial"/>
                <w:sz w:val="18"/>
                <w:szCs w:val="18"/>
                <w:color w:val="auto"/>
              </w:rPr>
              <w:t>2012 and 2011, respectively</w:t>
            </w:r>
          </w:p>
        </w:tc>
        <w:tc>
          <w:tcPr>
            <w:tcW w:w="11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9,637</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7,558</w:t>
            </w:r>
          </w:p>
        </w:tc>
        <w:tc>
          <w:tcPr>
            <w:tcW w:w="160" w:type="dxa"/>
            <w:vAlign w:val="bottom"/>
          </w:tcPr>
          <w:p>
            <w:pPr>
              <w:spacing w:after="0"/>
              <w:rPr>
                <w:sz w:val="17"/>
                <w:szCs w:val="17"/>
                <w:color w:val="auto"/>
              </w:rPr>
            </w:pPr>
          </w:p>
        </w:tc>
      </w:tr>
      <w:tr>
        <w:trPr>
          <w:trHeight w:val="206"/>
        </w:trPr>
        <w:tc>
          <w:tcPr>
            <w:tcW w:w="6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Intangible asset amortization expense, net of income taxes of $4,090 and $5,465 for</w:t>
            </w: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8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2012 and 2011, respectively</w:t>
            </w:r>
          </w:p>
        </w:tc>
        <w:tc>
          <w:tcPr>
            <w:tcW w:w="11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14,037</w:t>
            </w: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19,546</w:t>
            </w:r>
          </w:p>
        </w:tc>
      </w:tr>
      <w:tr>
        <w:trPr>
          <w:trHeight w:val="206"/>
        </w:trPr>
        <w:tc>
          <w:tcPr>
            <w:tcW w:w="6820" w:type="dxa"/>
            <w:vAlign w:val="bottom"/>
          </w:tcPr>
          <w:p>
            <w:pPr>
              <w:spacing w:after="0" w:line="206" w:lineRule="exact"/>
              <w:rPr>
                <w:sz w:val="20"/>
                <w:szCs w:val="20"/>
                <w:color w:val="auto"/>
              </w:rPr>
            </w:pPr>
            <w:r>
              <w:rPr>
                <w:rFonts w:ascii="Arial" w:cs="Arial" w:eastAsia="Arial" w:hAnsi="Arial"/>
                <w:sz w:val="18"/>
                <w:szCs w:val="18"/>
                <w:color w:val="auto"/>
              </w:rPr>
              <w:t>Expenses related to the acquisition of the Multi Service business, net of income taxes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6820" w:type="dxa"/>
            <w:vAlign w:val="bottom"/>
          </w:tcPr>
          <w:p>
            <w:pPr>
              <w:ind w:left="180"/>
              <w:spacing w:after="0"/>
              <w:rPr>
                <w:sz w:val="20"/>
                <w:szCs w:val="20"/>
                <w:color w:val="auto"/>
              </w:rPr>
            </w:pPr>
            <w:r>
              <w:rPr>
                <w:rFonts w:ascii="Arial" w:cs="Arial" w:eastAsia="Arial" w:hAnsi="Arial"/>
                <w:sz w:val="18"/>
                <w:szCs w:val="18"/>
                <w:color w:val="auto"/>
              </w:rPr>
              <w:t>of $1,574</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2,924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6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Non-GAAP net income attributable to World Fuel</w:t>
            </w:r>
          </w:p>
        </w:tc>
        <w:tc>
          <w:tcPr>
            <w:tcW w:w="116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$ 215,943</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$ 221,133</w:t>
            </w:r>
          </w:p>
        </w:tc>
        <w:tc>
          <w:tcPr>
            <w:tcW w:w="160" w:type="dxa"/>
            <w:vAlign w:val="bottom"/>
            <w:shd w:val="clear" w:color="auto" w:fill="CCEEFF"/>
          </w:tcPr>
          <w:p>
            <w:pPr>
              <w:spacing w:after="0"/>
              <w:rPr>
                <w:sz w:val="17"/>
                <w:szCs w:val="17"/>
                <w:color w:val="auto"/>
              </w:rPr>
            </w:pPr>
          </w:p>
        </w:tc>
      </w:tr>
      <w:tr>
        <w:trPr>
          <w:trHeight w:val="27"/>
        </w:trPr>
        <w:tc>
          <w:tcPr>
            <w:tcW w:w="6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our non-GAAP diluted earnings per common share for 2012 and 2011: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2012</w:t>
            </w:r>
          </w:p>
        </w:tc>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2011</w:t>
            </w:r>
          </w:p>
        </w:tc>
        <w:tc>
          <w:tcPr>
            <w:tcW w:w="160" w:type="dxa"/>
            <w:vAlign w:val="bottom"/>
          </w:tcPr>
          <w:p>
            <w:pPr>
              <w:spacing w:after="0"/>
              <w:rPr>
                <w:sz w:val="21"/>
                <w:szCs w:val="2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 net of income taxes</w:t>
            </w:r>
          </w:p>
        </w:tc>
        <w:tc>
          <w:tcPr>
            <w:tcW w:w="420" w:type="dxa"/>
            <w:vAlign w:val="bottom"/>
          </w:tcPr>
          <w:p>
            <w:pPr>
              <w:spacing w:after="0"/>
              <w:rPr>
                <w:sz w:val="17"/>
                <w:szCs w:val="17"/>
                <w:color w:val="auto"/>
              </w:rPr>
            </w:pPr>
          </w:p>
        </w:tc>
        <w:tc>
          <w:tcPr>
            <w:tcW w:w="7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0.13</w:t>
            </w:r>
          </w:p>
        </w:tc>
        <w:tc>
          <w:tcPr>
            <w:tcW w:w="46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amortization expense, net of income taxes</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0.20</w:t>
            </w:r>
          </w:p>
        </w:tc>
        <w:tc>
          <w:tcPr>
            <w:tcW w:w="4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0.27</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 related to the acquisition of the Multi Service business, net of income taxes</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diluted earnings per common share</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3.01</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3.09</w:t>
            </w:r>
          </w:p>
        </w:tc>
      </w:tr>
      <w:tr>
        <w:trPr>
          <w:trHeight w:val="27"/>
        </w:trPr>
        <w:tc>
          <w:tcPr>
            <w:tcW w:w="6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non-GAAP financial measures exclude costs associated with share based compensation, amortization of acquired intangible assets and expenses related to certain acquisitions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as well as the expenses related to the acquisition of the Multi Service business, are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reflects the major categories of cash flows for 2013, 2012 and 2011. For additional details, please see the consolidated statements of cash flows in the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264,302</w:t>
            </w:r>
          </w:p>
        </w:tc>
        <w:tc>
          <w:tcPr>
            <w:tcW w:w="11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145,791</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(142,536)</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(174,560)</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(246,622)</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(144,632)</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29,509</w:t>
            </w:r>
          </w:p>
        </w:tc>
        <w:tc>
          <w:tcPr>
            <w:tcW w:w="11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66,858</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222,566</w:t>
            </w:r>
          </w:p>
        </w:tc>
        <w:tc>
          <w:tcPr>
            <w:tcW w:w="160" w:type="dxa"/>
            <w:vAlign w:val="bottom"/>
            <w:shd w:val="clear" w:color="auto" w:fill="CCEEFF"/>
          </w:tcPr>
          <w:p>
            <w:pPr>
              <w:spacing w:after="0"/>
              <w:rPr>
                <w:sz w:val="17"/>
                <w:szCs w:val="17"/>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compared to 2012</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For 2013, net cash provided by operating activities was $264.3 million as compared to $145.8 million for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$118.5 million increase in operating cash flows was principally due to favorable year-over-year changes in working capital.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2013, net cash used in investing activities was $174.6 million as compared to $246.6 million for 2012. The $72.0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used in investing activities was principally due to a $140.8 million reduction in cash used for acquisitions and other investments in 2013 as compared to 2012, which was partially offset by a $54.3 million increase in capital expenditures for the upgrade and expansion of certain inventory storage and transloading facilities in 2013.</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2013, net cash provided by financing activities was $29.5 million as compared to $66.9 million for 2012. The $37.4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provided by financing activities was principally due to purchases of common stock of $35.0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compared to 2011</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For 2012, net cash provided by operating activities was $145.8 million as compared to net cash used in operating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$142.5 million for 2011. The $288.3 million increase in operating cash flows was principally due to favorable year-over-year changes in working capital.</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2012, net cash used in investing activities was $246.6 million as compared to $144.6 million for 2011. The $102.0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cash used in investing activities was principally due to an increase in cash used for the acquisition of businesses in 2012 as compared to 2011.</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2012, net cash provided by financing activities was $66.9 million as compared to $222.6 million for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$155.7 million decrease in financing cash flows was principally due to borrowings under our Credit Facility of $100.5 million in 2012 as compared to Term Loan borrowings of $250.0 million in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2013 and 2012, we had cash and cash equivalents of $292.1 million and $172.7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of which $39.7 million and $172.7 million, respectively, was available for use by our U.S. subsidiaries without incurring additional costs.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We have a Credit Facility which permits borrowings of up to $1.1 billion with a sublimit of $400.0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letters of credit and bankers' acceptances. Under the Credit Facility, we have the right to request increases in available borrowings up to an additional $150.0 million, subject to the satisfaction of certain conditions. The Credit Facility matures in October 2018. We had outstanding borrowings under our Credit Facility totaling $200.0 million and $100.5 million as of December 31, 2013 and 2012, respectively. Our issued letters of credit under the Credit Facility totaled $7.4 million and $47.4 million as of December 31, 2013 and 2012, respectively. We also had $242.5 million and $247.5 million in Term Loans outstanding as of December 31, 2013 and 2012, respectively.</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borrow and issue letters of credit, which would have a material adverse effect on our business, financial condition, results of operations and cash flows. As of December 31, 2013, we were in compliance with all financial covenants contained in our Credit Facility and our Term Loans.</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December 31, 2013 and 2012, our outstanding letters of credit and bank guarantees under these credit lines totaled $150.6 million and $184.2 million, respectively. We also have Receivables Purchase Agreements ("RPAs") that allow for the sale of up to an aggregate of $325.0 million of our accounts receivable. As of December 31, 2013, we had sold accounts receivable of $95.7 million under the RPAs.</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 xml:space="preserve">Short-Term Debt. </w:t>
      </w:r>
      <w:r>
        <w:rPr>
          <w:rFonts w:ascii="Arial" w:cs="Arial" w:eastAsia="Arial" w:hAnsi="Arial"/>
          <w:sz w:val="18"/>
          <w:szCs w:val="18"/>
          <w:color w:val="auto"/>
        </w:rPr>
        <w:t>As of December 31, 2013, our short-term debt of $14.6 million represents the current maturities (within the next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promissory notes related to acquisitions, capital lease obligations and Term Loan borrowings.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believe that available funds from existing cash and cash equivalents and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from operating activities), the state of worldwide credit markets, and our levels of outstanding debt. Depending on the severity and direct impact of these factors on us, financing may be limited or unavailable on terms favorable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significant contractual obligations and off-balance sheet arrangements are set forth below. For additional information on any of the following and other contractual obligations and off-balance sheet arrangements, see Notes 6 and 7 in the notes to the consolidated financial statements in Item 15 of this 2013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our contractual obligations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7"/>
              </w:rPr>
              <w:t>&lt; 1 year</w:t>
            </w:r>
          </w:p>
        </w:tc>
        <w:tc>
          <w:tcPr>
            <w:tcW w:w="11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1-3 years</w:t>
            </w:r>
          </w:p>
        </w:tc>
        <w:tc>
          <w:tcPr>
            <w:tcW w:w="11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3-5 years</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&gt; 5 years</w:t>
            </w:r>
          </w:p>
        </w:tc>
        <w:tc>
          <w:tcPr>
            <w:tcW w:w="160" w:type="dxa"/>
            <w:vAlign w:val="bottom"/>
          </w:tcPr>
          <w:p>
            <w:pPr>
              <w:spacing w:after="0"/>
              <w:rPr>
                <w:sz w:val="21"/>
                <w:szCs w:val="21"/>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and interest obligations</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$ 529,388</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28,720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49,626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451,042</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160,872</w:t>
            </w:r>
          </w:p>
        </w:tc>
        <w:tc>
          <w:tcPr>
            <w:tcW w:w="26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31,649</w:t>
            </w:r>
          </w:p>
        </w:tc>
        <w:tc>
          <w:tcPr>
            <w:tcW w:w="2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54,562</w:t>
            </w:r>
          </w:p>
        </w:tc>
        <w:tc>
          <w:tcPr>
            <w:tcW w:w="30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34,259</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40,402</w:t>
            </w:r>
          </w:p>
        </w:tc>
        <w:tc>
          <w:tcPr>
            <w:tcW w:w="16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Employment agreement obligations</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15,643</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8,188</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7,455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Derivatives obligations</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20,139</w:t>
            </w:r>
          </w:p>
        </w:tc>
        <w:tc>
          <w:tcPr>
            <w:tcW w:w="26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19,637</w:t>
            </w:r>
          </w:p>
        </w:tc>
        <w:tc>
          <w:tcPr>
            <w:tcW w:w="2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502</w:t>
            </w:r>
          </w:p>
        </w:tc>
        <w:tc>
          <w:tcPr>
            <w:tcW w:w="30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commitment obligations</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13,880</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13,880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Other obligations</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7,653</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2,673</w:t>
            </w: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4,586</w:t>
            </w:r>
          </w:p>
        </w:tc>
        <w:tc>
          <w:tcPr>
            <w:tcW w:w="3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3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$ 747,575</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104,747</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116,731</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485,695</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40,402</w:t>
            </w:r>
          </w:p>
        </w:tc>
        <w:tc>
          <w:tcPr>
            <w:tcW w:w="160" w:type="dxa"/>
            <w:vAlign w:val="bottom"/>
            <w:shd w:val="clear" w:color="auto" w:fill="CCEEFF"/>
          </w:tcPr>
          <w:p>
            <w:pPr>
              <w:spacing w:after="0"/>
              <w:rPr>
                <w:sz w:val="17"/>
                <w:szCs w:val="17"/>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fixed-rate and variable-rate, fixed-term debt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payment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2013, our liabilities for unrecognized income tax benefits ("Unrecognized Tax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were $36.2 million. The timing of any settlement of our Unrecognized Tax Liabilities with the respective taxing authority cannot be reasonably estimated.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Letters of Credit and Bank Guarantees. </w:t>
      </w:r>
      <w:r>
        <w:rPr>
          <w:rFonts w:ascii="Arial" w:cs="Arial" w:eastAsia="Arial" w:hAnsi="Arial"/>
          <w:sz w:val="16"/>
          <w:szCs w:val="16"/>
          <w:color w:val="auto"/>
        </w:rPr>
        <w:t>In the normal course of business, we are required to provide letters of credit to certain suppliers.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these letters of credit expire within one year from their issuance, and expired letters of credit are renewed as needed. As of December 31, 2013, we had issued letters of credit and bank guarantees totaling $158.0 million under our Credit Facility and other uncommitted credit lines. For additional information on our Credit Facility and other credit lines, see the discussion in "Liquidity and Capital Resources" above.</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garnishment bonds, primarily in our aviation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segments. As of December 31, 2013, we had $34.1 million in outstanding bonds that were arranged in order to satisfy various security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regarding recent accounting pronouncements is included in Note 1 to the accompanying consolidated financial statements included in this 2013 10-K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Item 7A. 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As of December 31, 2013, there were no outstanding cash flow hedges. As of December 31, 2012, we recorded a net gain of $0.1 million associated with our outstanding cash flow hedges.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fixed price purchase and sale contracts. As of December 31, 2013 and 2012, we recorded net gains of $0.7 million and $1.0 million, respectively, related to the ineffectiveness between our derivative hedging instruments and hedged items on the respective dates.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w:t>
      </w:r>
      <w:r>
        <w:rPr>
          <w:rFonts w:ascii="Arial" w:cs="Arial" w:eastAsia="Arial" w:hAnsi="Arial"/>
          <w:sz w:val="18"/>
          <w:szCs w:val="18"/>
          <w:i w:val="1"/>
          <w:iCs w:val="1"/>
          <w:color w:val="auto"/>
        </w:rPr>
        <w:t xml:space="preserve"> </w:t>
      </w:r>
      <w:r>
        <w:rPr>
          <w:rFonts w:ascii="Arial" w:cs="Arial" w:eastAsia="Arial" w:hAnsi="Arial"/>
          <w:sz w:val="18"/>
          <w:szCs w:val="18"/>
          <w:color w:val="auto"/>
        </w:rPr>
        <w:t>and land fuel in the form of swaps or futures as well as certain fixed price purchase and sale contracts and proprietary trading. In addition, non-designated derivatives are also entered into to hedge the risk of currency rate fluctuations. As of December 31, 2013 and 2012, we recorded net gains of $2.9 million and $9.8 million, respectively, associated with our outstanding non-designated derivatives.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December 31, 2013, our derivative instruments, at their respective fair value positions were as follows (in thousands, except weighted average fixed price and weighted average mark-to-market amount):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Average   Mark-to-</w:t>
            </w:r>
          </w:p>
        </w:tc>
        <w:tc>
          <w:tcPr>
            <w:tcW w:w="120" w:type="dxa"/>
            <w:vAlign w:val="bottom"/>
          </w:tcPr>
          <w:p>
            <w:pPr>
              <w:spacing w:after="0"/>
              <w:rPr>
                <w:sz w:val="17"/>
                <w:szCs w:val="17"/>
                <w:color w:val="auto"/>
              </w:rPr>
            </w:pPr>
          </w:p>
        </w:tc>
        <w:tc>
          <w:tcPr>
            <w:tcW w:w="1780" w:type="dxa"/>
            <w:vAlign w:val="bottom"/>
            <w:gridSpan w:val="2"/>
          </w:tcPr>
          <w:p>
            <w:pPr>
              <w:jc w:val="right"/>
              <w:ind w:right="1120"/>
              <w:spacing w:after="0" w:line="202" w:lineRule="exact"/>
              <w:rPr>
                <w:sz w:val="20"/>
                <w:szCs w:val="20"/>
                <w:color w:val="auto"/>
              </w:rPr>
            </w:pPr>
            <w:r>
              <w:rPr>
                <w:rFonts w:ascii="Arial" w:cs="Arial" w:eastAsia="Arial" w:hAnsi="Arial"/>
                <w:sz w:val="18"/>
                <w:szCs w:val="18"/>
                <w:b w:val="1"/>
                <w:bCs w:val="1"/>
                <w:color w:val="auto"/>
              </w:rPr>
              <w:t>Fair</w:t>
            </w: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7"/>
              </w:rPr>
              <w:t>Settlement</w:t>
            </w: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Fixed</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17"/>
                <w:szCs w:val="17"/>
                <w:color w:val="auto"/>
              </w:rPr>
            </w:pPr>
          </w:p>
        </w:tc>
        <w:tc>
          <w:tcPr>
            <w:tcW w:w="1780" w:type="dxa"/>
            <w:vAlign w:val="bottom"/>
            <w:gridSpan w:val="2"/>
          </w:tcPr>
          <w:p>
            <w:pPr>
              <w:jc w:val="right"/>
              <w:ind w:right="1120"/>
              <w:spacing w:after="0" w:line="202" w:lineRule="exact"/>
              <w:rPr>
                <w:sz w:val="20"/>
                <w:szCs w:val="20"/>
                <w:color w:val="auto"/>
              </w:rPr>
            </w:pPr>
            <w:r>
              <w:rPr>
                <w:rFonts w:ascii="Arial" w:cs="Arial" w:eastAsia="Arial" w:hAnsi="Arial"/>
                <w:sz w:val="18"/>
                <w:szCs w:val="18"/>
                <w:b w:val="1"/>
                <w:bCs w:val="1"/>
                <w:color w:val="auto"/>
              </w:rPr>
              <w:t>Value</w:t>
            </w:r>
          </w:p>
        </w:tc>
      </w:tr>
      <w:tr>
        <w:trPr>
          <w:trHeight w:val="242"/>
        </w:trPr>
        <w:tc>
          <w:tcPr>
            <w:tcW w:w="1420" w:type="dxa"/>
            <w:vAlign w:val="bottom"/>
          </w:tcPr>
          <w:p>
            <w:pPr>
              <w:spacing w:after="0"/>
              <w:rPr>
                <w:sz w:val="20"/>
                <w:szCs w:val="20"/>
                <w:color w:val="auto"/>
              </w:rPr>
            </w:pPr>
            <w:r>
              <w:rPr>
                <w:rFonts w:ascii="Arial" w:cs="Arial" w:eastAsia="Arial" w:hAnsi="Arial"/>
                <w:sz w:val="18"/>
                <w:szCs w:val="18"/>
                <w:b w:val="1"/>
                <w:bCs w:val="1"/>
                <w:color w:val="auto"/>
              </w:rPr>
              <w:t>Hedge Strategy</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Period</w:t>
            </w:r>
          </w:p>
        </w:tc>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Notional</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Unit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w w:val="94"/>
              </w:rPr>
              <w:t>Amount</w:t>
            </w:r>
          </w:p>
        </w:tc>
      </w:tr>
      <w:tr>
        <w:trPr>
          <w:trHeight w:val="203"/>
        </w:trPr>
        <w:tc>
          <w:tcPr>
            <w:tcW w:w="1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Fair Value Hedge</w:t>
            </w:r>
          </w:p>
        </w:tc>
        <w:tc>
          <w:tcPr>
            <w:tcW w:w="100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7"/>
              </w:rPr>
              <w:t>Commodity contracts for inventory hedging (long)</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BBL $</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97.07</w:t>
            </w: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0.731</w:t>
            </w: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c>
          <w:tcPr>
            <w:tcW w:w="1060" w:type="dxa"/>
            <w:vAlign w:val="bottom"/>
          </w:tcPr>
          <w:p>
            <w:pPr>
              <w:spacing w:after="0"/>
              <w:rPr>
                <w:sz w:val="17"/>
                <w:szCs w:val="17"/>
                <w:color w:val="auto"/>
              </w:rPr>
            </w:pPr>
          </w:p>
        </w:tc>
      </w:tr>
      <w:tr>
        <w:trPr>
          <w:trHeight w:val="206"/>
        </w:trPr>
        <w:tc>
          <w:tcPr>
            <w:tcW w:w="1420" w:type="dxa"/>
            <w:vAlign w:val="bottom"/>
          </w:tcPr>
          <w:p>
            <w:pPr>
              <w:spacing w:after="0"/>
              <w:rPr>
                <w:sz w:val="17"/>
                <w:szCs w:val="17"/>
                <w:color w:val="auto"/>
              </w:rPr>
            </w:pPr>
          </w:p>
        </w:tc>
        <w:tc>
          <w:tcPr>
            <w:tcW w:w="1000" w:type="dxa"/>
            <w:vAlign w:val="bottom"/>
          </w:tcPr>
          <w:p>
            <w:pPr>
              <w:ind w:left="80"/>
              <w:spacing w:after="0" w:line="206"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6" w:lineRule="exact"/>
              <w:rPr>
                <w:sz w:val="20"/>
                <w:szCs w:val="20"/>
                <w:color w:val="auto"/>
              </w:rPr>
            </w:pPr>
            <w:r>
              <w:rPr>
                <w:rFonts w:ascii="Arial" w:cs="Arial" w:eastAsia="Arial" w:hAnsi="Arial"/>
                <w:sz w:val="18"/>
                <w:szCs w:val="18"/>
                <w:color w:val="auto"/>
              </w:rPr>
              <w:t>Commodity contracts for inventory hedging</w:t>
            </w: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2,408</w:t>
            </w:r>
          </w:p>
        </w:tc>
        <w:tc>
          <w:tcPr>
            <w:tcW w:w="580" w:type="dxa"/>
            <w:vAlign w:val="bottom"/>
          </w:tcPr>
          <w:p>
            <w:pPr>
              <w:jc w:val="right"/>
              <w:ind w:right="72"/>
              <w:spacing w:after="0" w:line="206" w:lineRule="exact"/>
              <w:rPr>
                <w:sz w:val="20"/>
                <w:szCs w:val="20"/>
                <w:color w:val="auto"/>
              </w:rPr>
            </w:pPr>
            <w:r>
              <w:rPr>
                <w:rFonts w:ascii="Arial" w:cs="Arial" w:eastAsia="Arial" w:hAnsi="Arial"/>
                <w:sz w:val="18"/>
                <w:szCs w:val="18"/>
                <w:color w:val="auto"/>
              </w:rPr>
              <w:t>BBL</w:t>
            </w: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120.21</w:t>
            </w:r>
          </w:p>
        </w:tc>
        <w:tc>
          <w:tcPr>
            <w:tcW w:w="1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(0.588)</w:t>
            </w:r>
          </w:p>
        </w:tc>
        <w:tc>
          <w:tcPr>
            <w:tcW w:w="12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(1,415)</w:t>
            </w:r>
          </w:p>
        </w:tc>
        <w:tc>
          <w:tcPr>
            <w:tcW w:w="1060" w:type="dxa"/>
            <w:vAlign w:val="bottom"/>
          </w:tcPr>
          <w:p>
            <w:pPr>
              <w:spacing w:after="0"/>
              <w:rPr>
                <w:sz w:val="17"/>
                <w:szCs w:val="17"/>
                <w:color w:val="auto"/>
              </w:rPr>
            </w:pPr>
          </w:p>
        </w:tc>
      </w:tr>
      <w:tr>
        <w:trPr>
          <w:trHeight w:val="220"/>
        </w:trPr>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(short)</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60" w:type="dxa"/>
            <w:vAlign w:val="bottom"/>
          </w:tcPr>
          <w:p>
            <w:pPr>
              <w:spacing w:after="0"/>
              <w:rPr>
                <w:sz w:val="17"/>
                <w:szCs w:val="17"/>
                <w:color w:val="auto"/>
              </w:rPr>
            </w:pPr>
          </w:p>
        </w:tc>
      </w:tr>
      <w:tr>
        <w:trPr>
          <w:trHeight w:val="27"/>
        </w:trPr>
        <w:tc>
          <w:tcPr>
            <w:tcW w:w="1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9"/>
        </w:trPr>
        <w:tc>
          <w:tcPr>
            <w:tcW w:w="1420" w:type="dxa"/>
            <w:vAlign w:val="bottom"/>
          </w:tcPr>
          <w:p>
            <w:pPr>
              <w:spacing w:after="0"/>
              <w:rPr>
                <w:sz w:val="20"/>
                <w:szCs w:val="20"/>
                <w:color w:val="auto"/>
              </w:rPr>
            </w:pPr>
            <w:r>
              <w:rPr>
                <w:rFonts w:ascii="Arial" w:cs="Arial" w:eastAsia="Arial" w:hAnsi="Arial"/>
                <w:sz w:val="18"/>
                <w:szCs w:val="18"/>
                <w:color w:val="auto"/>
              </w:rPr>
              <w:t>Non-</w:t>
            </w:r>
          </w:p>
        </w:tc>
        <w:tc>
          <w:tcPr>
            <w:tcW w:w="1000" w:type="dxa"/>
            <w:vAlign w:val="bottom"/>
          </w:tcPr>
          <w:p>
            <w:pPr>
              <w:ind w:left="80"/>
              <w:spacing w:after="0"/>
              <w:rPr>
                <w:sz w:val="20"/>
                <w:szCs w:val="20"/>
                <w:color w:val="auto"/>
              </w:rPr>
            </w:pPr>
            <w:r>
              <w:rPr>
                <w:rFonts w:ascii="Arial" w:cs="Arial" w:eastAsia="Arial" w:hAnsi="Arial"/>
                <w:sz w:val="18"/>
                <w:szCs w:val="18"/>
                <w:color w:val="auto"/>
              </w:rPr>
              <w:t>2014</w:t>
            </w:r>
          </w:p>
        </w:tc>
        <w:tc>
          <w:tcPr>
            <w:tcW w:w="3900" w:type="dxa"/>
            <w:vAlign w:val="bottom"/>
          </w:tcPr>
          <w:p>
            <w:pPr>
              <w:ind w:left="40"/>
              <w:spacing w:after="0"/>
              <w:rPr>
                <w:sz w:val="20"/>
                <w:szCs w:val="20"/>
                <w:color w:val="auto"/>
              </w:rPr>
            </w:pPr>
            <w:r>
              <w:rPr>
                <w:rFonts w:ascii="Arial" w:cs="Arial" w:eastAsia="Arial" w:hAnsi="Arial"/>
                <w:sz w:val="18"/>
                <w:szCs w:val="18"/>
                <w:color w:val="auto"/>
              </w:rPr>
              <w:t>Commodity contracts (long)</w:t>
            </w:r>
          </w:p>
        </w:tc>
        <w:tc>
          <w:tcPr>
            <w:tcW w:w="940" w:type="dxa"/>
            <w:vAlign w:val="bottom"/>
          </w:tcPr>
          <w:p>
            <w:pPr>
              <w:jc w:val="right"/>
              <w:spacing w:after="0"/>
              <w:rPr>
                <w:sz w:val="20"/>
                <w:szCs w:val="20"/>
                <w:color w:val="auto"/>
              </w:rPr>
            </w:pPr>
            <w:r>
              <w:rPr>
                <w:rFonts w:ascii="Arial" w:cs="Arial" w:eastAsia="Arial" w:hAnsi="Arial"/>
                <w:sz w:val="18"/>
                <w:szCs w:val="18"/>
                <w:color w:val="auto"/>
              </w:rPr>
              <w:t>21,201</w:t>
            </w:r>
          </w:p>
        </w:tc>
        <w:tc>
          <w:tcPr>
            <w:tcW w:w="580" w:type="dxa"/>
            <w:vAlign w:val="bottom"/>
          </w:tcPr>
          <w:p>
            <w:pPr>
              <w:jc w:val="right"/>
              <w:spacing w:after="0"/>
              <w:rPr>
                <w:sz w:val="20"/>
                <w:szCs w:val="20"/>
                <w:color w:val="auto"/>
              </w:rPr>
            </w:pPr>
            <w:r>
              <w:rPr>
                <w:rFonts w:ascii="Arial" w:cs="Arial" w:eastAsia="Arial" w:hAnsi="Arial"/>
                <w:sz w:val="18"/>
                <w:szCs w:val="18"/>
                <w:color w:val="auto"/>
              </w:rPr>
              <w:t>BBL $</w:t>
            </w:r>
          </w:p>
        </w:tc>
        <w:tc>
          <w:tcPr>
            <w:tcW w:w="720" w:type="dxa"/>
            <w:vAlign w:val="bottom"/>
          </w:tcPr>
          <w:p>
            <w:pPr>
              <w:jc w:val="right"/>
              <w:spacing w:after="0"/>
              <w:rPr>
                <w:sz w:val="20"/>
                <w:szCs w:val="20"/>
                <w:color w:val="auto"/>
              </w:rPr>
            </w:pPr>
            <w:r>
              <w:rPr>
                <w:rFonts w:ascii="Arial" w:cs="Arial" w:eastAsia="Arial" w:hAnsi="Arial"/>
                <w:sz w:val="18"/>
                <w:szCs w:val="18"/>
                <w:color w:val="auto"/>
              </w:rPr>
              <w:t>76.85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32,558</w:t>
            </w:r>
          </w:p>
        </w:tc>
        <w:tc>
          <w:tcPr>
            <w:tcW w:w="1060" w:type="dxa"/>
            <w:vAlign w:val="bottom"/>
          </w:tcPr>
          <w:p>
            <w:pPr>
              <w:spacing w:after="0"/>
              <w:rPr>
                <w:sz w:val="24"/>
                <w:szCs w:val="24"/>
                <w:color w:val="auto"/>
              </w:rPr>
            </w:pPr>
          </w:p>
        </w:tc>
      </w:tr>
      <w:tr>
        <w:trPr>
          <w:trHeight w:val="199"/>
        </w:trPr>
        <w:tc>
          <w:tcPr>
            <w:tcW w:w="1420" w:type="dxa"/>
            <w:vAlign w:val="bottom"/>
          </w:tcPr>
          <w:p>
            <w:pPr>
              <w:spacing w:after="0" w:line="200" w:lineRule="exact"/>
              <w:rPr>
                <w:sz w:val="20"/>
                <w:szCs w:val="20"/>
                <w:color w:val="auto"/>
              </w:rPr>
            </w:pPr>
            <w:r>
              <w:rPr>
                <w:rFonts w:ascii="Arial" w:cs="Arial" w:eastAsia="Arial" w:hAnsi="Arial"/>
                <w:sz w:val="18"/>
                <w:szCs w:val="18"/>
                <w:color w:val="auto"/>
              </w:rPr>
              <w:t>Designated</w:t>
            </w: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22,110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BBL</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(26,703)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2015</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Commodity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BBL</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66.61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2.743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2,345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2015</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BBL</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(2.745)</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(1,952)</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7,306</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AUD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0.93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(0.045)</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14,846</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AUD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5,163</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BRL</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0.002</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6,143</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CAD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16,455</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CAD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0.022</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3,623,136</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CLP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526.58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2,050,646</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CLP</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522.03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22,377,451</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COP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1,919.11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21,721,361</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COP</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4"/>
              </w:rPr>
              <w:t>1,924.54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68,422</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DKK</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0.002</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37,000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DKK</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EUR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0.012</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32,640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EUR</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(0.013)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135,817</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GBP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201,321</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GBP</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(0.046)</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(9,242)</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18,569</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INR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111,367</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INR</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63.39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393,196</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JPY</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480,270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JPY</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100.70</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1,247,152</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MXN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1,074,000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9"/>
              </w:rPr>
              <w:t>MXN</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13.06</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42,500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NOK</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0.002</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41,041</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NOK</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PLN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(0.009)</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17,409</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9"/>
              </w:rPr>
              <w:t>RON</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29,931</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SGD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(0.006)</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24,708</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SGD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0.009</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ZAR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(0.005)</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115,020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ZAR</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2015</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GBP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60" w:type="dxa"/>
            <w:vAlign w:val="bottom"/>
          </w:tcPr>
          <w:p>
            <w:pPr>
              <w:spacing w:after="0"/>
              <w:rPr>
                <w:sz w:val="17"/>
                <w:szCs w:val="17"/>
                <w:color w:val="auto"/>
              </w:rPr>
            </w:pPr>
          </w:p>
        </w:tc>
      </w:tr>
      <w:tr>
        <w:trPr>
          <w:trHeight w:val="27"/>
        </w:trPr>
        <w:tc>
          <w:tcPr>
            <w:tcW w:w="1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r>
        <w:trPr>
          <w:trHeight w:val="217"/>
        </w:trPr>
        <w:tc>
          <w:tcPr>
            <w:tcW w:w="1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60" w:type="dxa"/>
            <w:vAlign w:val="bottom"/>
          </w:tcPr>
          <w:p>
            <w:pPr>
              <w:spacing w:after="0"/>
              <w:rPr>
                <w:sz w:val="18"/>
                <w:szCs w:val="18"/>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7"/>
        </w:trPr>
        <w:tc>
          <w:tcPr>
            <w:tcW w:w="1420" w:type="dxa"/>
            <w:vAlign w:val="bottom"/>
          </w:tcPr>
          <w:p>
            <w:pPr>
              <w:spacing w:after="0"/>
              <w:rPr>
                <w:sz w:val="20"/>
                <w:szCs w:val="20"/>
                <w:color w:val="auto"/>
              </w:rPr>
            </w:pPr>
            <w:r>
              <w:rPr>
                <w:rFonts w:ascii="Arial" w:cs="Arial" w:eastAsia="Arial" w:hAnsi="Arial"/>
                <w:sz w:val="18"/>
                <w:szCs w:val="18"/>
                <w:color w:val="auto"/>
              </w:rPr>
              <w:t>34</w:t>
            </w:r>
          </w:p>
        </w:tc>
        <w:tc>
          <w:tcPr>
            <w:tcW w:w="1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5"/>
        </w:trPr>
        <w:tc>
          <w:tcPr>
            <w:tcW w:w="14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2013, the applicable margins for base rate loans and eurodollar rate loans were 1.0% and 2.0%, respectively. As of December 31, 2013, we had $200.0 million of outstanding borrowings under our Credit Facility and borrowings of $242.5 million under our Term Loans. As of December 31, 2013, the aggregate outstanding balance of our promissory notes issued in connection with our acquisitions was $13.4 million, which bear interest at annual rates ranging from 1.2% to 6.0%. The remaining outstanding debt of $7.8 million as of December 31, 2013 primarily relates to capital leases and loans payable to noncontrolling shareholders of a consolidated subsidiary, which bear interest at annual rates ranging from 2.0% to 6.3%. The weighted average interest rate on our short-term debt was 2.1% and 2.4% as of December 31, 2013 and 2012, respectively. A 1.0% fluctuation in the interest rate on our outstanding debt would result in a $4.6 million change in interest expense during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analyzed our assets and liabilities denominated in currencies other than their respective functional currencies to identify consolidated currency exposures as of December 31, 2013, including derivatives utilized to hedge such exposures. For these assets and liabilities, we then assessed the effect of a hypothetical uniform 10% strengthening in the value of the U.S. dollar relative to these other currencies. This analysis indicated that the effect on our income before income taxes would not be significant.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8. Financial Statements and Supplementary Data</w:t>
      </w:r>
    </w:p>
    <w:p>
      <w:pPr>
        <w:spacing w:after="0" w:line="2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financial statements, together with the report thereon of PricewaterhouseCoopers LLP dated February 14, 2014, and the Selected Quarterly Financial Data (Unaudited), are set forth in Item 15 of this 2013 10-K Report.</w:t>
      </w:r>
    </w:p>
    <w:p>
      <w:pPr>
        <w:spacing w:after="0" w:line="200" w:lineRule="exact"/>
        <w:rPr>
          <w:sz w:val="20"/>
          <w:szCs w:val="20"/>
          <w:color w:val="auto"/>
        </w:rPr>
      </w:pPr>
    </w:p>
    <w:p>
      <w:pPr>
        <w:spacing w:after="0" w:line="202" w:lineRule="exact"/>
        <w:rPr>
          <w:sz w:val="20"/>
          <w:szCs w:val="20"/>
          <w:color w:val="auto"/>
        </w:rPr>
      </w:pPr>
    </w:p>
    <w:p>
      <w:pPr>
        <w:ind w:right="4120"/>
        <w:spacing w:after="0" w:line="238" w:lineRule="auto"/>
        <w:rPr>
          <w:sz w:val="20"/>
          <w:szCs w:val="20"/>
          <w:color w:val="auto"/>
        </w:rPr>
      </w:pPr>
      <w:r>
        <w:rPr>
          <w:rFonts w:ascii="Arial" w:cs="Arial" w:eastAsia="Arial" w:hAnsi="Arial"/>
          <w:sz w:val="22"/>
          <w:szCs w:val="22"/>
          <w:color w:val="auto"/>
        </w:rPr>
        <w:t>Item 9. Changes in and Disagreements with Accountants on Accounting and Financial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2013 using the framework specified in Internal Control – Integrated Framework (1992) issued by the Committee of Sponsoring Organizations of the Treadway Commission (COSO). Based on such assessment, management has concluded that our internal control over financial reporting was effective as of December 31, 2013.</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effectiveness of our internal control over financial reporting as of December 31, 2013 has been audited by PricewaterhouseCoopers LLP, an independent registered certified public accounting firm, as stated in their report appearing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we have included the CarterEnergy and Multi Service businesses, which were acquired in 2012, in our assessment of the effectiveness of our internal control over financial reporting.</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2013.</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Item 10. Directors, Executive Officers and Corporate Governance</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Governance Documents." We intend to disclose any amendments to our Code of Conduct or waivers with respect to our Code of Conduct granted to our principal executive, financial and accounting officers on our website.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2014 Annual Meeting of Shareholders to be filed pursuant to Regulation 14A within 120 days after the close of the fiscal year ended December 31, 2013.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Item 11. Executive Compensation</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on executive compensation is incorporated herein by reference from our Definitive Proxy Statement for the 2014 Annual Meeting of Shareholders to be filed pursuant to Regulation 14A within 120 days after the close of the fiscal year ended December 31, 2013.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12. Security Ownership of Certain Beneficial Owners and Management and Related Shareholder Matters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Definitive Proxy Statement for the 2014 Annual Meeting of Shareholders to be filed pursuant to Regulation 14A within 120 days after the close of the fiscal year ended December 31, 2013.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Item 13. Certain Relationships and Related Transactions, and Director Independence</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Definitive Proxy Statement for the 2014 Annual Meeting of Shareholders to be filed pursuant to Regulation 14A within 120 days after the close of the fiscal year ended December 31, 2013.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Item 14. Principal Accounting Fees and Services</w:t>
      </w: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Information on principal accounting fees and services is incorporated herein by reference from our Definitive Proxy Statement for the 2014 Annual Meeting of Shareholders to be filed pursuant to Regulation 14A within 120 days after the close of the fiscal year ended December 31, 2013.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Item 15. Exhibits, Financial Statement Schedules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(a)(1)</w:t>
        <w:tab/>
        <w:t>The following consolidated financial statements are filed as a part of this 2013 10-K Report:</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60" w:type="dxa"/>
            <w:vAlign w:val="bottom"/>
            <w:tcBorders>
              <w:bottom w:val="single" w:sz="8" w:color="0000EE"/>
            </w:tcBorders>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(i)</w:t>
              </w:r>
            </w:hyperlink>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4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Report of Independent Registered Certified Public Accounting Firm.</w:t>
              </w:r>
            </w:hyperlink>
          </w:p>
        </w:tc>
        <w:tc>
          <w:tcPr>
            <w:tcW w:w="2020" w:type="dxa"/>
            <w:vAlign w:val="bottom"/>
          </w:tcPr>
          <w:p>
            <w:pPr>
              <w:spacing w:after="0"/>
              <w:rPr>
                <w:sz w:val="17"/>
                <w:szCs w:val="17"/>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r>
      <w:tr>
        <w:trPr>
          <w:trHeight w:val="426"/>
        </w:trPr>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(ii)</w:t>
              </w:r>
            </w:hyperlink>
          </w:p>
        </w:tc>
        <w:tc>
          <w:tcPr>
            <w:tcW w:w="840" w:type="dxa"/>
            <w:vAlign w:val="bottom"/>
          </w:tcPr>
          <w:p>
            <w:pPr>
              <w:spacing w:after="0"/>
              <w:rPr>
                <w:sz w:val="24"/>
                <w:szCs w:val="24"/>
                <w:color w:val="auto"/>
              </w:rPr>
            </w:pPr>
          </w:p>
        </w:tc>
        <w:tc>
          <w:tcPr>
            <w:tcW w:w="5160" w:type="dxa"/>
            <w:vAlign w:val="bottom"/>
            <w:tcBorders>
              <w:bottom w:val="single" w:sz="8" w:color="0000EE"/>
            </w:tcBorders>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Consolidated Balance Sheets as of December 31, 2013 and 2012.</w:t>
              </w:r>
            </w:hyperlink>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r>
    </w:tbl>
    <w:p>
      <w:pPr>
        <w:spacing w:after="0" w:line="260" w:lineRule="exact"/>
        <w:rPr>
          <w:sz w:val="20"/>
          <w:szCs w:val="20"/>
          <w:color w:val="auto"/>
        </w:rPr>
      </w:pPr>
    </w:p>
    <w:p>
      <w:pPr>
        <w:ind w:left="1680" w:hanging="1037"/>
        <w:spacing w:after="0"/>
        <w:tabs>
          <w:tab w:leader="none" w:pos="1680" w:val="left"/>
        </w:tabs>
        <w:numPr>
          <w:ilvl w:val="0"/>
          <w:numId w:val="15"/>
        </w:numPr>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Income and Comprehensive Income for 2013, 2012 and 2011.   43</w:t>
        </w:r>
      </w:hyperlink>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(iv)</w:t>
              </w:r>
            </w:hyperlink>
          </w:p>
        </w:tc>
        <w:tc>
          <w:tcPr>
            <w:tcW w:w="800" w:type="dxa"/>
            <w:vAlign w:val="bottom"/>
          </w:tcPr>
          <w:p>
            <w:pPr>
              <w:spacing w:after="0"/>
              <w:rPr>
                <w:sz w:val="17"/>
                <w:szCs w:val="17"/>
                <w:color w:val="auto"/>
              </w:rPr>
            </w:pPr>
          </w:p>
        </w:tc>
        <w:tc>
          <w:tcPr>
            <w:tcW w:w="584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Consolidated Statements of Shareholders' Equity for 2013, 2012 and 2011.</w:t>
              </w:r>
            </w:hyperlink>
          </w:p>
        </w:tc>
        <w:tc>
          <w:tcPr>
            <w:tcW w:w="1420" w:type="dxa"/>
            <w:vAlign w:val="bottom"/>
          </w:tcPr>
          <w:p>
            <w:pPr>
              <w:spacing w:after="0"/>
              <w:rPr>
                <w:sz w:val="17"/>
                <w:szCs w:val="17"/>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r>
      <w:tr>
        <w:trPr>
          <w:trHeight w:val="426"/>
        </w:trPr>
        <w:tc>
          <w:tcPr>
            <w:tcW w:w="24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(v)</w:t>
              </w:r>
            </w:hyperlink>
          </w:p>
        </w:tc>
        <w:tc>
          <w:tcPr>
            <w:tcW w:w="6640" w:type="dxa"/>
            <w:vAlign w:val="bottom"/>
            <w:gridSpan w:val="4"/>
          </w:tcPr>
          <w:p>
            <w:pPr>
              <w:ind w:left="800"/>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for 2013, 2012 and 2011.</w:t>
              </w:r>
            </w:hyperlink>
          </w:p>
        </w:tc>
        <w:tc>
          <w:tcPr>
            <w:tcW w:w="1620" w:type="dxa"/>
            <w:vAlign w:val="bottom"/>
            <w:gridSpan w:val="2"/>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r>
      <w:tr>
        <w:trPr>
          <w:trHeight w:val="20"/>
        </w:trPr>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26"/>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(vi)</w:t>
              </w:r>
            </w:hyperlink>
          </w:p>
        </w:tc>
        <w:tc>
          <w:tcPr>
            <w:tcW w:w="800" w:type="dxa"/>
            <w:vAlign w:val="bottom"/>
          </w:tcPr>
          <w:p>
            <w:pPr>
              <w:spacing w:after="0"/>
              <w:rPr>
                <w:sz w:val="24"/>
                <w:szCs w:val="24"/>
                <w:color w:val="auto"/>
              </w:rPr>
            </w:pPr>
          </w:p>
        </w:tc>
        <w:tc>
          <w:tcPr>
            <w:tcW w:w="3760" w:type="dxa"/>
            <w:vAlign w:val="bottom"/>
            <w:tcBorders>
              <w:bottom w:val="single" w:sz="8" w:color="0000EE"/>
            </w:tcBorders>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Notes to the Consolidated Financial Statements.</w:t>
              </w:r>
            </w:hyperlink>
          </w:p>
        </w:tc>
        <w:tc>
          <w:tcPr>
            <w:tcW w:w="208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r>
    </w:tbl>
    <w:p>
      <w:pPr>
        <w:spacing w:after="0" w:line="260" w:lineRule="exact"/>
        <w:rPr>
          <w:sz w:val="20"/>
          <w:szCs w:val="20"/>
          <w:color w:val="auto"/>
        </w:rPr>
      </w:pPr>
    </w:p>
    <w:p>
      <w:pPr>
        <w:ind w:left="640" w:right="2340" w:hanging="639"/>
        <w:spacing w:after="0" w:line="299" w:lineRule="auto"/>
        <w:tabs>
          <w:tab w:leader="none" w:pos="620" w:val="left"/>
        </w:tabs>
        <w:rPr>
          <w:sz w:val="20"/>
          <w:szCs w:val="20"/>
          <w:color w:val="auto"/>
        </w:rPr>
      </w:pPr>
      <w:r>
        <w:rPr>
          <w:rFonts w:ascii="Arial" w:cs="Arial" w:eastAsia="Arial" w:hAnsi="Arial"/>
          <w:sz w:val="16"/>
          <w:szCs w:val="16"/>
          <w:color w:val="auto"/>
        </w:rPr>
        <w:t>(a)(2)</w:t>
        <w:tab/>
        <w:t>Consolidated financial statement schedules have been omitted either because the required information is set forth in the consolidated financial statements or notes thereto, or the information called for is not required.</w:t>
      </w:r>
    </w:p>
    <w:p>
      <w:pPr>
        <w:spacing w:after="0" w:line="185"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w:t>
      </w:r>
    </w:p>
    <w:p>
      <w:pPr>
        <w:ind w:left="640"/>
        <w:spacing w:after="0"/>
        <w:rPr>
          <w:rFonts w:ascii="Arial" w:cs="Arial" w:eastAsia="Arial" w:hAnsi="Arial"/>
          <w:sz w:val="18"/>
          <w:szCs w:val="18"/>
          <w:color w:val="auto"/>
        </w:rPr>
      </w:pPr>
      <w:r>
        <w:rPr>
          <w:rFonts w:ascii="Arial" w:cs="Arial" w:eastAsia="Arial" w:hAnsi="Arial"/>
          <w:sz w:val="18"/>
          <w:szCs w:val="18"/>
          <w:color w:val="auto"/>
        </w:rPr>
        <w:t>2013 10-K Report: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18"/>
                <w:szCs w:val="18"/>
                <w:color w:val="auto"/>
              </w:rPr>
              <w:t>3.1</w:t>
            </w:r>
          </w:p>
        </w:tc>
        <w:tc>
          <w:tcPr>
            <w:tcW w:w="10400" w:type="dxa"/>
            <w:vAlign w:val="bottom"/>
          </w:tcPr>
          <w:p>
            <w:pPr>
              <w:ind w:left="100"/>
              <w:spacing w:after="0" w:line="206" w:lineRule="exact"/>
              <w:rPr>
                <w:sz w:val="20"/>
                <w:szCs w:val="20"/>
                <w:color w:val="auto"/>
              </w:rPr>
            </w:pPr>
            <w:r>
              <w:rPr>
                <w:rFonts w:ascii="Arial" w:cs="Arial" w:eastAsia="Arial" w:hAnsi="Arial"/>
                <w:sz w:val="18"/>
                <w:szCs w:val="18"/>
                <w:color w:val="auto"/>
              </w:rPr>
              <w:t>Restated Articles of Incorporation (incorporated by reference herein to Exhibit 99.2 to our Current Report on Form 8-K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February 3, 2005).</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Articles of Amendment to Restated Articles of Incorporation (incorporated by reference herein to Exhibit 3.1 to our Current Report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Form 8-K filed on November 23, 2009).</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10400" w:type="dxa"/>
            <w:vAlign w:val="bottom"/>
          </w:tcPr>
          <w:p>
            <w:pPr>
              <w:ind w:left="100"/>
              <w:spacing w:after="0"/>
              <w:rPr>
                <w:sz w:val="20"/>
                <w:szCs w:val="20"/>
                <w:color w:val="auto"/>
              </w:rPr>
            </w:pPr>
            <w:r>
              <w:rPr>
                <w:rFonts w:ascii="Arial" w:cs="Arial" w:eastAsia="Arial" w:hAnsi="Arial"/>
                <w:sz w:val="18"/>
                <w:szCs w:val="18"/>
                <w:color w:val="auto"/>
              </w:rPr>
              <w:t>By-Laws, amended and restated as of August 26, 2011 (incorporated by reference herein to Exhibit 3.1 to our Current Report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Form 8-K filed on August 29,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Agreement between World Fuel Services Corporation and Paul H. Stebbins, dated March 14, 2008 (incorporated by reference herein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to Exhibit 10.1 to our Current Report on Form 8-K filed on March 20,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No. 1, dated August 26, 2011, to Agreement between World Fuel Services Corporation and Paul H. Stebbins</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by reference herein to Exhibit 10.2 to our Current Report on Form 8-K filed on August 29,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400" w:type="dxa"/>
            <w:vAlign w:val="bottom"/>
          </w:tcPr>
          <w:p>
            <w:pPr>
              <w:ind w:left="100"/>
              <w:spacing w:after="0"/>
              <w:rPr>
                <w:sz w:val="20"/>
                <w:szCs w:val="20"/>
                <w:color w:val="auto"/>
              </w:rPr>
            </w:pPr>
            <w:r>
              <w:rPr>
                <w:rFonts w:ascii="Arial" w:cs="Arial" w:eastAsia="Arial" w:hAnsi="Arial"/>
                <w:sz w:val="18"/>
                <w:szCs w:val="18"/>
                <w:color w:val="auto"/>
              </w:rPr>
              <w:t>Agreement between World Fuel Services Corporation and Michael J. Kasbar, dated March 14, 2008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10.2 to our Current Report on Form 8-K filed on March 20,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by reference herein to Exhibit 10.1 to our Current Report on Form 8-K filed on August 29,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Amendment No. 2, dated April 9, 2012, to Agreement between World Fuel Services Corporation and Michael J. Kasbar (incorporated</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by reference herein to Exhibit 10.1 to our Current Report on Form 8-K filed on April 13, 2012).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Executive Severance Agreement between World Fuel Services Corporation and Ira M. Birns, dated April 16, 2007 (incorporated by</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reference herein to Exhibit 10.2 to our Current Report on Form 8-K filed on April 16, 2007).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tcPr>
          <w:p>
            <w:pPr>
              <w:ind w:left="100"/>
              <w:spacing w:after="0"/>
              <w:rPr>
                <w:sz w:val="20"/>
                <w:szCs w:val="20"/>
                <w:color w:val="auto"/>
              </w:rPr>
            </w:pPr>
            <w:r>
              <w:rPr>
                <w:rFonts w:ascii="Arial" w:cs="Arial" w:eastAsia="Arial" w:hAnsi="Arial"/>
                <w:sz w:val="18"/>
                <w:szCs w:val="18"/>
                <w:color w:val="auto"/>
              </w:rPr>
              <w:t>Employment Agreement between World Fuel Services, Inc. and Michael S. Clementi, effective January 1, 2008 (incorporated by</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reference herein to Exhibit 10.3 to our Current Report on Form 8-K filed on March 20,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Employment Agreement between World Fuel Services, Inc. and Michael S. Clementi, dated May 20,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8"/>
              </w:rPr>
              <w:t>(incorporated by reference herein to Exhibit 10.1 to our Quarterly Report on Form 10-Q for the quarter ended June 30, 2011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1993 Non-Employee Directors Stock Option Plan, as amended and restated (incorporated by reference herein to Exhibit 4.1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Registration Statement on Form S-8 filed on December 20, 2005). *</w:t>
            </w: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14"/>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100"/>
              <w:spacing w:after="0"/>
              <w:rPr>
                <w:sz w:val="20"/>
                <w:szCs w:val="20"/>
                <w:color w:val="auto"/>
              </w:rPr>
            </w:pPr>
            <w:r>
              <w:rPr>
                <w:rFonts w:ascii="Arial" w:cs="Arial" w:eastAsia="Arial" w:hAnsi="Arial"/>
                <w:sz w:val="18"/>
                <w:szCs w:val="18"/>
                <w:color w:val="auto"/>
              </w:rPr>
              <w:t>1996 Employee Stock Option Plan (incorporated by reference herein to Exhibit A to our Schedule 14A filed on June 25, 1998).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tcPr>
          <w:p>
            <w:pPr>
              <w:ind w:left="100"/>
              <w:spacing w:after="0"/>
              <w:rPr>
                <w:sz w:val="20"/>
                <w:szCs w:val="20"/>
                <w:color w:val="auto"/>
              </w:rPr>
            </w:pPr>
            <w:r>
              <w:rPr>
                <w:rFonts w:ascii="Arial" w:cs="Arial" w:eastAsia="Arial" w:hAnsi="Arial"/>
                <w:sz w:val="18"/>
                <w:szCs w:val="18"/>
                <w:color w:val="auto"/>
              </w:rPr>
              <w:t>2001 Omnibus Plan, as amended and restated (incorporated by reference herein to Exhibit 4.2 to our Registration Statement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Form S-8 filed on December 20, 2005).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tcPr>
          <w:p>
            <w:pPr>
              <w:ind w:left="100"/>
              <w:spacing w:after="0"/>
              <w:rPr>
                <w:sz w:val="20"/>
                <w:szCs w:val="20"/>
                <w:color w:val="auto"/>
              </w:rPr>
            </w:pPr>
            <w:r>
              <w:rPr>
                <w:rFonts w:ascii="Arial" w:cs="Arial" w:eastAsia="Arial" w:hAnsi="Arial"/>
                <w:sz w:val="18"/>
                <w:szCs w:val="18"/>
                <w:color w:val="auto"/>
              </w:rPr>
              <w:t>2006 Omnibus Plan (incorporated by reference herein to Exhibit 10.1 to our Current Report on Form 8-K filed on November 7,</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2006).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tcPr>
          <w:p>
            <w:pPr>
              <w:ind w:left="100"/>
              <w:spacing w:after="0"/>
              <w:rPr>
                <w:sz w:val="20"/>
                <w:szCs w:val="20"/>
                <w:color w:val="auto"/>
              </w:rPr>
            </w:pPr>
            <w:r>
              <w:rPr>
                <w:rFonts w:ascii="Arial" w:cs="Arial" w:eastAsia="Arial" w:hAnsi="Arial"/>
                <w:sz w:val="18"/>
                <w:szCs w:val="18"/>
                <w:color w:val="auto"/>
              </w:rPr>
              <w:t>First Amendment to the World Fuel Services Corporation 2006 Omnibus Plan, effective February 26, 2008 (incorporated by</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reference herein to Exhibit 10.2 to our Quarterly Report on Form 10-Q for the quarter ended June 30, 2008 filed on August 7,</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Second Amendment to the World Fuel Services Corporation 2006 Omnibus Plan, effective June 3, 2008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10.2 to our Quarterly Report on Form 10-Q for the quarter ended June 30, 2008 filed on August 7,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100"/>
              <w:spacing w:after="0"/>
              <w:rPr>
                <w:sz w:val="20"/>
                <w:szCs w:val="20"/>
                <w:color w:val="auto"/>
              </w:rPr>
            </w:pPr>
            <w:r>
              <w:rPr>
                <w:rFonts w:ascii="Arial" w:cs="Arial" w:eastAsia="Arial" w:hAnsi="Arial"/>
                <w:sz w:val="18"/>
                <w:szCs w:val="18"/>
                <w:color w:val="auto"/>
              </w:rPr>
              <w:t>World Fuel Services Corporation 2013 Executive Incentive Plan (incorporated by reference herein to Exhibit 10.1 to our Current</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Report on Form 8-K filed on June 4, 2013).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Form of Named Executive Officer Restricted Stock Unit Grant Agreement under the 2006 Omnibus Plan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10.4 to our Quarterly Report on Form 10-Q for the quarter ended June 30, 2011 filed on August 2,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Form of Named Executive Officer Restricted Stock Agreement under the 2006 Omnibus Plan (incorporated by reference herein to</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Exhibit 10.5 to our Quarterly Report on Form 10-Q for the quarter ended June 30, 2011 filed on 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Stock-Settled Stock Appreciation Right Agreement in connection with the 2006 Omnibus Plan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10.3 to our Current Report on Form 8-K filed on November 7, 2006).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Named Executive Officer Performance-Based Restricted Stock Grant Agreement under the 2006 Omnibus Plan</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(incorporated by reference herein to Exhibit 10.1 to our Quarterly Report on Form 10-Q for the quarter ended September 30, 2012</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filed on November 1, 2012).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Ira M. Birns Restricted Stock Unit Grant Agreement, dated March 15, 2010 (incorporated by reference herein to Exhibit 10.19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Annual Report on Form 10-K for the fiscal year ended December 31, 2011 filed on February 23, 2012).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March 15, 2010 Ira M. Birns Restricted Stock Unit Grant Agreement, dated February 3, 2011 (incorporated by</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reference herein to Exhibit 10.20 to our Annual Report on Form 10-K for the fiscal year ended December 31, 2011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February 23, 2012).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2009, 2010 and 2011 Michael S. Clementi Restricted Stock Unit Grant Agreements, dated May 20,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8"/>
              </w:rPr>
              <w:t>(incorporated by reference herein to Exhibit 10.2 to our Quarterly Report on Form 10-Q for the quarter ended June 30, 2011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2009, 2010 and 2011 Michael S. Clementi Restricted Stock Unit Grant Agreements, dated October 25,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(incorporated by reference herein to Exhibit 10.1 to our Quarterly Report on Form 10-Q for the quarter ended September 30, 2011</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filed on November 1,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Michael S. Clementi Restricted Stock Unit Grant Agreement under the 2006 Omnibus Plan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10.3 to our Quarterly Report on Form 10-Q for the quarter ended June 30, 2011 filed on August 2, 2011). *</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10.25</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2013 Non-Employee Director Restricted Stock Unit Award Agreement under the 2006 Omnibus Plan.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Stock-Settled Stock Appreciation Right Agreement (Non-Employee Director) in connection with the 2006 Omnibus Plan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by reference herein to Exhibit 10.5 to our Current Report on Form 8-K filed on November 7, 2006).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10.27</w:t>
            </w:r>
          </w:p>
        </w:tc>
        <w:tc>
          <w:tcPr>
            <w:tcW w:w="10400" w:type="dxa"/>
            <w:vAlign w:val="bottom"/>
          </w:tcPr>
          <w:p>
            <w:pPr>
              <w:ind w:left="100"/>
              <w:spacing w:after="0"/>
              <w:rPr>
                <w:sz w:val="20"/>
                <w:szCs w:val="20"/>
                <w:color w:val="auto"/>
              </w:rPr>
            </w:pPr>
            <w:r>
              <w:rPr>
                <w:rFonts w:ascii="Arial" w:cs="Arial" w:eastAsia="Arial" w:hAnsi="Arial"/>
                <w:sz w:val="18"/>
                <w:szCs w:val="18"/>
                <w:color w:val="auto"/>
              </w:rPr>
              <w:t>Fourth Amended and Restated Credit Agreement, dated as of October 10, 2013, among World Fuel Services Corporation, World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Fuel Services Europe, Ltd. and World Fuel Services (Singapore) Pte Ltd, as borrowers, Bank of America, N.A., as administrative</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7"/>
              </w:rPr>
              <w:t>agent, and the financial institutions named therein as lenders (incorporated herein by reference to Exhibit 10.1 to our Current Report</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on Form 8-K filed on October 11, 2013).</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400" w:type="dxa"/>
            <w:vAlign w:val="bottom"/>
          </w:tcPr>
          <w:p>
            <w:pPr>
              <w:ind w:left="100"/>
              <w:spacing w:after="0"/>
              <w:rPr>
                <w:sz w:val="20"/>
                <w:szCs w:val="20"/>
                <w:color w:val="auto"/>
              </w:rPr>
            </w:pPr>
            <w:r>
              <w:rPr>
                <w:rFonts w:ascii="Arial" w:cs="Arial" w:eastAsia="Arial" w:hAnsi="Arial"/>
                <w:sz w:val="18"/>
                <w:szCs w:val="18"/>
                <w:color w:val="auto"/>
              </w:rPr>
              <w:t>Subsidiaries of the Registrant.</w:t>
            </w: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8"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14"/>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400" w:type="dxa"/>
            <w:vAlign w:val="bottom"/>
          </w:tcPr>
          <w:p>
            <w:pPr>
              <w:ind w:left="100"/>
              <w:spacing w:after="0"/>
              <w:rPr>
                <w:sz w:val="20"/>
                <w:szCs w:val="20"/>
                <w:color w:val="auto"/>
              </w:rPr>
            </w:pPr>
            <w:r>
              <w:rPr>
                <w:rFonts w:ascii="Arial" w:cs="Arial" w:eastAsia="Arial" w:hAnsi="Arial"/>
                <w:sz w:val="18"/>
                <w:szCs w:val="18"/>
                <w:color w:val="auto"/>
              </w:rPr>
              <w:t>Consent of Independent Registered Certified Public Accounting Firm.</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Rule 13a-14(a) or Rule 15d-14(a).</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Rule 13a-14(a) or Rule 15d-14(a).</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100"/>
              <w:spacing w:after="0"/>
              <w:rPr>
                <w:sz w:val="20"/>
                <w:szCs w:val="20"/>
                <w:color w:val="auto"/>
              </w:rPr>
            </w:pPr>
            <w:r>
              <w:rPr>
                <w:rFonts w:ascii="Arial" w:cs="Arial" w:eastAsia="Arial" w:hAnsi="Arial"/>
                <w:sz w:val="18"/>
                <w:szCs w:val="18"/>
                <w:color w:val="auto"/>
              </w:rPr>
              <w:t>Statement of Chief Executive Officer and Chief Financial Officer under Section 906 of the Sarbanes-Oxley Act of 2002 (18 U.S.C.</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Section 1350).</w:t>
            </w:r>
          </w:p>
        </w:tc>
      </w:tr>
    </w:tbl>
    <w:p>
      <w:pPr>
        <w:spacing w:after="0" w:line="235" w:lineRule="exact"/>
        <w:rPr>
          <w:sz w:val="20"/>
          <w:szCs w:val="20"/>
          <w:color w:val="auto"/>
        </w:rPr>
      </w:pPr>
    </w:p>
    <w:p>
      <w:pPr>
        <w:ind w:left="1120" w:right="40" w:hanging="1112"/>
        <w:spacing w:after="0" w:line="23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10-K for the year ended December 31, 2013,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9"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REPORT OF INDEPENDENT REGISTERED CERTIFIED</w:t>
      </w:r>
    </w:p>
    <w:p>
      <w:pPr>
        <w:spacing w:after="0"/>
        <w:rPr>
          <w:sz w:val="20"/>
          <w:szCs w:val="20"/>
          <w:color w:val="auto"/>
        </w:rPr>
      </w:pPr>
      <w:r>
        <w:rPr>
          <w:rFonts w:ascii="Arial" w:cs="Arial" w:eastAsia="Arial" w:hAnsi="Arial"/>
          <w:sz w:val="22"/>
          <w:szCs w:val="22"/>
          <w:color w:val="auto"/>
        </w:rPr>
        <w:t>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World Fuel Services Corporation:</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and comprehensive income, shareholders' equity, and cash flows present fairly, in all material respects, the financial position of World Fuel Services Corporation and its subsidiaries (the "Company") as of December 31, 2013 and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Internal Control – Integrated Framework (1992)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Miami, Florida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899"/>
        <w:spacing w:after="0" w:line="235" w:lineRule="auto"/>
        <w:rPr>
          <w:sz w:val="20"/>
          <w:szCs w:val="20"/>
          <w:color w:val="auto"/>
        </w:rPr>
      </w:pPr>
      <w:r>
        <w:rPr>
          <w:rFonts w:ascii="Arial" w:cs="Arial" w:eastAsia="Arial" w:hAnsi="Arial"/>
          <w:sz w:val="22"/>
          <w:szCs w:val="22"/>
          <w:color w:val="auto"/>
        </w:rPr>
        <w:t>WORLD FUEL SERVICES CORPORATION AND SUBSIDIARIES CONSOLIDATED BALANCE SHEETS</w:t>
      </w:r>
    </w:p>
    <w:p>
      <w:pPr>
        <w:spacing w:after="0"/>
        <w:rPr>
          <w:sz w:val="20"/>
          <w:szCs w:val="20"/>
          <w:color w:val="auto"/>
        </w:rPr>
      </w:pPr>
      <w:r>
        <w:rPr>
          <w:rFonts w:ascii="Arial" w:cs="Arial" w:eastAsia="Arial" w:hAnsi="Arial"/>
          <w:sz w:val="18"/>
          <w:szCs w:val="18"/>
          <w:color w:val="auto"/>
        </w:rPr>
        <w:t>(In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4"/>
          </w:tcPr>
          <w:p>
            <w:pPr>
              <w:ind w:left="42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6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6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292,061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172,740</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7"/>
              </w:rPr>
              <w:t>2,538,642</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2,193,866</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655,046</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572,313</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120,205</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158,909</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209,547</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183,549</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7"/>
                <w:szCs w:val="17"/>
                <w:color w:val="auto"/>
              </w:rPr>
            </w:pPr>
          </w:p>
        </w:tc>
        <w:tc>
          <w:tcPr>
            <w:tcW w:w="9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97"/>
              </w:rPr>
              <w:t>3,815,501</w:t>
            </w: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3,281,377</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129,685</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112,525</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483,591</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470,506</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310,500</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243,343</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4,739,277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4,107,751</w:t>
            </w:r>
          </w:p>
        </w:tc>
        <w:tc>
          <w:tcPr>
            <w:tcW w:w="160" w:type="dxa"/>
            <w:vAlign w:val="bottom"/>
          </w:tcPr>
          <w:p>
            <w:pPr>
              <w:spacing w:after="0"/>
              <w:rPr>
                <w:sz w:val="18"/>
                <w:szCs w:val="18"/>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debt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14,647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26,065</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7"/>
              </w:rPr>
              <w:t>2,210,427</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1,814,794</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289,441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308,439</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7"/>
                <w:szCs w:val="17"/>
                <w:color w:val="auto"/>
              </w:rPr>
            </w:pPr>
          </w:p>
        </w:tc>
        <w:tc>
          <w:tcPr>
            <w:tcW w:w="9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97"/>
              </w:rPr>
              <w:t>2,514,515</w:t>
            </w: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2,149,298</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449,064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354,253</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Non-current income tax liabilities, net</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82,532</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50,879</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14,272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11,697</w:t>
            </w: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3,060,383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2,566,127</w:t>
            </w:r>
          </w:p>
        </w:tc>
        <w:tc>
          <w:tcPr>
            <w:tcW w:w="160" w:type="dxa"/>
            <w:vAlign w:val="bottom"/>
          </w:tcPr>
          <w:p>
            <w:pPr>
              <w:spacing w:after="0"/>
              <w:rPr>
                <w:sz w:val="18"/>
                <w:szCs w:val="18"/>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World Fuel shareholders' equity:</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Preferred stock, $1.00 par value; shares of 100 authorized, none issued</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6"/>
        </w:trPr>
        <w:tc>
          <w:tcPr>
            <w:tcW w:w="6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$0.01 par value; shares of 100,000 authorized, shares of 71,883</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72,147 issued and outstanding as of December 31, 2013 and 2012,</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5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Capital in excess of par value</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495,199</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517,589</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1,207,299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1,014,882</w:t>
            </w:r>
          </w:p>
        </w:tc>
        <w:tc>
          <w:tcPr>
            <w:tcW w:w="160" w:type="dxa"/>
            <w:vAlign w:val="bottom"/>
            <w:shd w:val="clear" w:color="auto" w:fill="CCEEFF"/>
          </w:tcPr>
          <w:p>
            <w:pPr>
              <w:spacing w:after="0"/>
              <w:rPr>
                <w:sz w:val="17"/>
                <w:szCs w:val="17"/>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(29,319)</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(16,018)</w:t>
            </w:r>
          </w:p>
        </w:tc>
      </w:tr>
      <w:tr>
        <w:trPr>
          <w:trHeight w:val="203"/>
        </w:trPr>
        <w:tc>
          <w:tcPr>
            <w:tcW w:w="6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World Fuel shareholders' equity</w:t>
            </w: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1,673,898</w:t>
            </w: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1,517,174</w:t>
            </w:r>
          </w:p>
        </w:tc>
        <w:tc>
          <w:tcPr>
            <w:tcW w:w="160" w:type="dxa"/>
            <w:vAlign w:val="bottom"/>
            <w:shd w:val="clear" w:color="auto" w:fill="CCEEFF"/>
          </w:tcPr>
          <w:p>
            <w:pPr>
              <w:spacing w:after="0"/>
              <w:rPr>
                <w:sz w:val="17"/>
                <w:szCs w:val="17"/>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Noncontrolling interest equity</w:t>
            </w:r>
          </w:p>
        </w:tc>
        <w:tc>
          <w:tcPr>
            <w:tcW w:w="38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4,996</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24,450</w:t>
            </w:r>
          </w:p>
        </w:tc>
      </w:tr>
      <w:tr>
        <w:trPr>
          <w:trHeight w:val="203"/>
        </w:trPr>
        <w:tc>
          <w:tcPr>
            <w:tcW w:w="6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1,678,894</w:t>
            </w: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1,541,624</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4,739,277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4,107,751</w:t>
            </w:r>
          </w:p>
        </w:tc>
        <w:tc>
          <w:tcPr>
            <w:tcW w:w="160" w:type="dxa"/>
            <w:vAlign w:val="bottom"/>
          </w:tcPr>
          <w:p>
            <w:pPr>
              <w:spacing w:after="0"/>
              <w:rPr>
                <w:sz w:val="18"/>
                <w:szCs w:val="18"/>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5100"/>
        <w:spacing w:after="0" w:line="233" w:lineRule="auto"/>
        <w:rPr>
          <w:sz w:val="20"/>
          <w:szCs w:val="20"/>
          <w:color w:val="auto"/>
        </w:rPr>
      </w:pPr>
      <w:r>
        <w:rPr>
          <w:rFonts w:ascii="Arial" w:cs="Arial" w:eastAsia="Arial" w:hAnsi="Arial"/>
          <w:sz w:val="22"/>
          <w:szCs w:val="22"/>
          <w:color w:val="auto"/>
        </w:rPr>
        <w:t>WORLD FUEL SERVICES CORPORATION AND SUBSIDIARIES CONSOLIDATED STATEMENTS OF INCOME AND COMPREHENSIVE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earnings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gridSpan w:val="6"/>
          </w:tcPr>
          <w:p>
            <w:pPr>
              <w:ind w:left="66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5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41,561,947</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38,945,338</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34,622,854</w:t>
            </w:r>
          </w:p>
        </w:tc>
        <w:tc>
          <w:tcPr>
            <w:tcW w:w="160" w:type="dxa"/>
            <w:vAlign w:val="bottom"/>
            <w:shd w:val="clear" w:color="auto" w:fill="CCEEFF"/>
          </w:tcPr>
          <w:p>
            <w:pPr>
              <w:spacing w:after="0"/>
              <w:rPr>
                <w:sz w:val="17"/>
                <w:szCs w:val="17"/>
                <w:color w:val="auto"/>
              </w:rPr>
            </w:pP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40,809,189</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38,271,891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33,987,851</w:t>
            </w:r>
          </w:p>
        </w:tc>
        <w:tc>
          <w:tcPr>
            <w:tcW w:w="160" w:type="dxa"/>
            <w:vAlign w:val="bottom"/>
          </w:tcPr>
          <w:p>
            <w:pPr>
              <w:spacing w:after="0"/>
              <w:rPr>
                <w:sz w:val="19"/>
                <w:szCs w:val="19"/>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752,758</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673,447</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635,003</w:t>
            </w:r>
          </w:p>
        </w:tc>
        <w:tc>
          <w:tcPr>
            <w:tcW w:w="160" w:type="dxa"/>
            <w:vAlign w:val="bottom"/>
            <w:shd w:val="clear" w:color="auto" w:fill="CCEEFF"/>
          </w:tcPr>
          <w:p>
            <w:pPr>
              <w:spacing w:after="0"/>
              <w:rPr>
                <w:sz w:val="17"/>
                <w:szCs w:val="17"/>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99"/>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288,021</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237,362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215,275</w:t>
            </w:r>
          </w:p>
        </w:tc>
        <w:tc>
          <w:tcPr>
            <w:tcW w:w="16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8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11,745</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4,790</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8,173</w:t>
            </w:r>
          </w:p>
        </w:tc>
        <w:tc>
          <w:tcPr>
            <w:tcW w:w="16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188,634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174,272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154,583</w:t>
            </w:r>
          </w:p>
        </w:tc>
        <w:tc>
          <w:tcPr>
            <w:tcW w:w="160" w:type="dxa"/>
            <w:vAlign w:val="bottom"/>
            <w:shd w:val="clear" w:color="auto" w:fill="CCEEFF"/>
          </w:tcPr>
          <w:p>
            <w:pPr>
              <w:spacing w:after="0"/>
              <w:rPr>
                <w:sz w:val="17"/>
                <w:szCs w:val="17"/>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5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488,400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416,424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378,031</w:t>
            </w:r>
          </w:p>
        </w:tc>
        <w:tc>
          <w:tcPr>
            <w:tcW w:w="160" w:type="dxa"/>
            <w:vAlign w:val="bottom"/>
          </w:tcPr>
          <w:p>
            <w:pPr>
              <w:spacing w:after="0"/>
              <w:rPr>
                <w:sz w:val="20"/>
                <w:szCs w:val="20"/>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264,358</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257,023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256,972</w:t>
            </w:r>
          </w:p>
        </w:tc>
        <w:tc>
          <w:tcPr>
            <w:tcW w:w="160" w:type="dxa"/>
            <w:vAlign w:val="bottom"/>
            <w:shd w:val="clear" w:color="auto" w:fill="CCEEFF"/>
          </w:tcPr>
          <w:p>
            <w:pPr>
              <w:spacing w:after="0"/>
              <w:rPr>
                <w:sz w:val="17"/>
                <w:szCs w:val="17"/>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99"/>
        </w:trPr>
        <w:tc>
          <w:tcPr>
            <w:tcW w:w="5260" w:type="dxa"/>
            <w:vAlign w:val="bottom"/>
          </w:tcPr>
          <w:p>
            <w:pPr>
              <w:spacing w:after="0"/>
              <w:rPr>
                <w:sz w:val="20"/>
                <w:szCs w:val="20"/>
                <w:color w:val="auto"/>
              </w:rPr>
            </w:pPr>
            <w:r>
              <w:rPr>
                <w:rFonts w:ascii="Arial" w:cs="Arial" w:eastAsia="Arial" w:hAnsi="Arial"/>
                <w:sz w:val="18"/>
                <w:szCs w:val="18"/>
                <w:color w:val="auto"/>
              </w:rPr>
              <w:t>Non-operating expenses, net: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and other financing costs, net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(17,287)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(19,097)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(15,825)</w:t>
            </w: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1,669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(17,693)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(17,428)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(18,769)</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7"/>
                <w:szCs w:val="17"/>
                <w:color w:val="auto"/>
              </w:rPr>
            </w:pPr>
          </w:p>
        </w:tc>
        <w:tc>
          <w:tcPr>
            <w:tcW w:w="10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246,665</w:t>
            </w:r>
          </w:p>
        </w:tc>
        <w:tc>
          <w:tcPr>
            <w:tcW w:w="240" w:type="dxa"/>
            <w:vAlign w:val="bottom"/>
          </w:tcPr>
          <w:p>
            <w:pPr>
              <w:spacing w:after="0"/>
              <w:rPr>
                <w:sz w:val="17"/>
                <w:szCs w:val="17"/>
                <w:color w:val="auto"/>
              </w:rPr>
            </w:pPr>
          </w:p>
        </w:tc>
        <w:tc>
          <w:tcPr>
            <w:tcW w:w="10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239,595</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238,203</w:t>
            </w:r>
          </w:p>
        </w:tc>
        <w:tc>
          <w:tcPr>
            <w:tcW w:w="16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39,505</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38,244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39,001</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Net income including noncontrolling interest</w:t>
            </w:r>
          </w:p>
        </w:tc>
        <w:tc>
          <w:tcPr>
            <w:tcW w:w="280" w:type="dxa"/>
            <w:vAlign w:val="bottom"/>
          </w:tcPr>
          <w:p>
            <w:pPr>
              <w:spacing w:after="0"/>
              <w:rPr>
                <w:sz w:val="17"/>
                <w:szCs w:val="17"/>
                <w:color w:val="auto"/>
              </w:rPr>
            </w:pPr>
          </w:p>
        </w:tc>
        <w:tc>
          <w:tcPr>
            <w:tcW w:w="10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207,160</w:t>
            </w:r>
          </w:p>
        </w:tc>
        <w:tc>
          <w:tcPr>
            <w:tcW w:w="240" w:type="dxa"/>
            <w:vAlign w:val="bottom"/>
          </w:tcPr>
          <w:p>
            <w:pPr>
              <w:spacing w:after="0"/>
              <w:rPr>
                <w:sz w:val="17"/>
                <w:szCs w:val="17"/>
                <w:color w:val="auto"/>
              </w:rPr>
            </w:pPr>
          </w:p>
        </w:tc>
        <w:tc>
          <w:tcPr>
            <w:tcW w:w="10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201,351</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199,202</w:t>
            </w:r>
          </w:p>
        </w:tc>
        <w:tc>
          <w:tcPr>
            <w:tcW w:w="16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4,085</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12,006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5,173</w:t>
            </w:r>
          </w:p>
        </w:tc>
        <w:tc>
          <w:tcPr>
            <w:tcW w:w="160" w:type="dxa"/>
            <w:vAlign w:val="bottom"/>
            <w:shd w:val="clear" w:color="auto" w:fill="CCEEFF"/>
          </w:tcPr>
          <w:p>
            <w:pPr>
              <w:spacing w:after="0"/>
              <w:rPr>
                <w:sz w:val="17"/>
                <w:szCs w:val="17"/>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World Fuel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203,075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189,345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194,029</w:t>
            </w:r>
          </w:p>
        </w:tc>
        <w:tc>
          <w:tcPr>
            <w:tcW w:w="160" w:type="dxa"/>
            <w:vAlign w:val="bottom"/>
          </w:tcPr>
          <w:p>
            <w:pPr>
              <w:spacing w:after="0"/>
              <w:rPr>
                <w:sz w:val="18"/>
                <w:szCs w:val="18"/>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2.74</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526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w:t>
            </w:r>
          </w:p>
        </w:tc>
        <w:tc>
          <w:tcPr>
            <w:tcW w:w="28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71,224</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71,154</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70,687</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2.71</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526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shares</w:t>
            </w:r>
          </w:p>
        </w:tc>
        <w:tc>
          <w:tcPr>
            <w:tcW w:w="28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71,800</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71,817</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71,510</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2"/>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including noncontrolling interest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207,160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201,351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199,202</w:t>
            </w:r>
          </w:p>
        </w:tc>
        <w:tc>
          <w:tcPr>
            <w:tcW w:w="16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(13,189)</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(9,606)</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(11,277)</w:t>
            </w:r>
          </w:p>
        </w:tc>
      </w:tr>
      <w:tr>
        <w:trPr>
          <w:trHeight w:val="206"/>
        </w:trPr>
        <w:tc>
          <w:tcPr>
            <w:tcW w:w="52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 hedges, net of income taxes of $36 for 2013 and 2012,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2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(13,301)</w:t>
            </w:r>
          </w:p>
        </w:tc>
        <w:tc>
          <w:tcPr>
            <w:tcW w:w="2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(9,494)</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(11,277)</w:t>
            </w:r>
          </w:p>
        </w:tc>
      </w:tr>
      <w:tr>
        <w:trPr>
          <w:trHeight w:val="203"/>
        </w:trPr>
        <w:tc>
          <w:tcPr>
            <w:tcW w:w="5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including noncontrolling interest</w:t>
            </w: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193,859</w:t>
            </w: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191,857</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187,925</w:t>
            </w:r>
          </w:p>
        </w:tc>
        <w:tc>
          <w:tcPr>
            <w:tcW w:w="160" w:type="dxa"/>
            <w:vAlign w:val="bottom"/>
            <w:shd w:val="clear" w:color="auto" w:fill="CCEEFF"/>
          </w:tcPr>
          <w:p>
            <w:pPr>
              <w:spacing w:after="0"/>
              <w:rPr>
                <w:sz w:val="17"/>
                <w:szCs w:val="17"/>
                <w:color w:val="auto"/>
              </w:rPr>
            </w:pP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4,085</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12,006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60" w:type="dxa"/>
            <w:vAlign w:val="bottom"/>
          </w:tcPr>
          <w:p>
            <w:pPr>
              <w:spacing w:after="0"/>
              <w:rPr>
                <w:sz w:val="19"/>
                <w:szCs w:val="19"/>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attributable to World Fuel</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189,774</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179,851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182,752</w:t>
            </w:r>
          </w:p>
        </w:tc>
        <w:tc>
          <w:tcPr>
            <w:tcW w:w="160" w:type="dxa"/>
            <w:vAlign w:val="bottom"/>
            <w:shd w:val="clear" w:color="auto" w:fill="CCEEFF"/>
          </w:tcPr>
          <w:p>
            <w:pPr>
              <w:spacing w:after="0"/>
              <w:rPr>
                <w:sz w:val="17"/>
                <w:szCs w:val="17"/>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WORLD FUEL SERVICES CORPORATION AND SUBSIDIARIES</w:t>
      </w:r>
    </w:p>
    <w:p>
      <w:pPr>
        <w:spacing w:after="0"/>
        <w:rPr>
          <w:sz w:val="20"/>
          <w:szCs w:val="20"/>
          <w:color w:val="auto"/>
        </w:rPr>
      </w:pPr>
      <w:r>
        <w:rPr>
          <w:rFonts w:ascii="Arial" w:cs="Arial" w:eastAsia="Arial" w:hAnsi="Arial"/>
          <w:sz w:val="22"/>
          <w:szCs w:val="22"/>
          <w:color w:val="auto"/>
        </w:rPr>
        <w:t>CONSOLIDATED STATEMENTS OF SHAREHOLDERS' EQUITY</w:t>
      </w: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Noncontrolling</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in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World Fuel</w:t>
            </w:r>
          </w:p>
        </w:tc>
        <w:tc>
          <w:tcPr>
            <w:tcW w:w="3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Interest</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9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Excess of</w:t>
            </w:r>
          </w:p>
        </w:tc>
        <w:tc>
          <w:tcPr>
            <w:tcW w:w="9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2"/>
          </w:tcPr>
          <w:p>
            <w:pPr>
              <w:jc w:val="right"/>
              <w:ind w:right="8"/>
              <w:spacing w:after="0" w:line="12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06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Shareholders'</w:t>
            </w:r>
          </w:p>
        </w:tc>
        <w:tc>
          <w:tcPr>
            <w:tcW w:w="380" w:type="dxa"/>
            <w:vAlign w:val="bottom"/>
          </w:tcPr>
          <w:p>
            <w:pPr>
              <w:spacing w:after="0"/>
              <w:rPr>
                <w:sz w:val="12"/>
                <w:szCs w:val="12"/>
                <w:color w:val="auto"/>
              </w:rPr>
            </w:pPr>
          </w:p>
        </w:tc>
        <w:tc>
          <w:tcPr>
            <w:tcW w:w="8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Par Value</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Equity</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6"/>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w:t>
            </w:r>
          </w:p>
        </w:tc>
        <w:tc>
          <w:tcPr>
            <w:tcW w:w="6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2010</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69,602</w:t>
            </w:r>
          </w:p>
        </w:tc>
        <w:tc>
          <w:tcPr>
            <w:tcW w:w="30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696</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468,963</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652,796</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4,753</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1,127,208</w:t>
            </w:r>
          </w:p>
        </w:tc>
        <w:tc>
          <w:tcPr>
            <w:tcW w:w="38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(644)</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$ 1,126,564</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20"/>
                <w:szCs w:val="20"/>
                <w:color w:val="auto"/>
              </w:rPr>
            </w:pPr>
            <w:r>
              <w:rPr>
                <w:rFonts w:ascii="Arial" w:cs="Arial" w:eastAsia="Arial" w:hAnsi="Arial"/>
                <w:sz w:val="14"/>
                <w:szCs w:val="14"/>
                <w:color w:val="auto"/>
              </w:rPr>
              <w:t>Net income</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194,029</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194,029</w:t>
            </w:r>
          </w:p>
        </w:tc>
        <w:tc>
          <w:tcPr>
            <w:tcW w:w="3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5,173</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199,202</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declared</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(10,603)</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(10,603)</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(10,603)</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noncontrolling</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interest upon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consolidation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joint venture</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614</w:t>
            </w: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Investment by</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interest</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10,411</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10,411</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Distribution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noncontrolling</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interest</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(1,797)</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awards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8,906</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8,906</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8,906</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related to</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awards</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including</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income tax</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benefit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$5,952</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944</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7,399</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7,409</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7,409</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to</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acquisitions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691</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27,484</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27,491</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27,491</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Purchases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tendered by</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employees to</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satisfy the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required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withholding</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taxes related to</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awards</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(83)</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(10,201)</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(10,202)</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(10,202)</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loss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(11,277)</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(11,277)</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(11,277)</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20"/>
                <w:szCs w:val="20"/>
                <w:color w:val="auto"/>
              </w:rPr>
            </w:pPr>
            <w:r>
              <w:rPr>
                <w:rFonts w:ascii="Arial" w:cs="Arial" w:eastAsia="Arial" w:hAnsi="Arial"/>
                <w:sz w:val="14"/>
                <w:szCs w:val="14"/>
                <w:color w:val="auto"/>
              </w:rPr>
              <w:t>Balance as of</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December 31,</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00" w:type="dxa"/>
            <w:vAlign w:val="bottom"/>
          </w:tcPr>
          <w:p>
            <w:pPr>
              <w:ind w:left="140"/>
              <w:spacing w:after="0"/>
              <w:rPr>
                <w:sz w:val="20"/>
                <w:szCs w:val="20"/>
                <w:color w:val="auto"/>
              </w:rPr>
            </w:pPr>
            <w:r>
              <w:rPr>
                <w:rFonts w:ascii="Arial" w:cs="Arial" w:eastAsia="Arial" w:hAnsi="Arial"/>
                <w:sz w:val="14"/>
                <w:szCs w:val="14"/>
                <w:color w:val="auto"/>
              </w:rPr>
              <w:t>2011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71,154</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712</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502,551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836,222</w:t>
            </w:r>
          </w:p>
        </w:tc>
        <w:tc>
          <w:tcPr>
            <w:tcW w:w="18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(6,524)</w:t>
            </w:r>
          </w:p>
        </w:tc>
        <w:tc>
          <w:tcPr>
            <w:tcW w:w="18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1,332,961</w:t>
            </w:r>
          </w:p>
        </w:tc>
        <w:tc>
          <w:tcPr>
            <w:tcW w:w="3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13,757</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1,346,718</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189,345</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189,345</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201,351</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Cash dividends</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declared</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(10,685)</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(10,685)</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(10,685)</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Distribution of</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interest</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(1,313)</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Amortization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awards</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13,610</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13,610</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13,610</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to</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including</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 of</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$3,681</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1,028</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6,401</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6,410</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Purchases of</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tendered by</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employees to</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satisfy the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required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withholding</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taxes related to</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share- based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140"/>
              <w:spacing w:after="0" w:line="157" w:lineRule="exact"/>
              <w:rPr>
                <w:sz w:val="20"/>
                <w:szCs w:val="20"/>
                <w:color w:val="auto"/>
              </w:rPr>
            </w:pPr>
            <w:r>
              <w:rPr>
                <w:rFonts w:ascii="Arial" w:cs="Arial" w:eastAsia="Arial" w:hAnsi="Arial"/>
                <w:sz w:val="14"/>
                <w:szCs w:val="14"/>
                <w:color w:val="auto"/>
              </w:rPr>
              <w:t>awards</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(35)</w:t>
            </w:r>
          </w:p>
        </w:tc>
        <w:tc>
          <w:tcPr>
            <w:tcW w:w="30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(4,973)</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(4,973)</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(4,973)</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loss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(9,494)</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(9,494)</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(9,494)</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70" w:orient="portrait"/>
          <w:cols w:equalWidth="0" w:num="1">
            <w:col w:w="10219"/>
          </w:cols>
          <w:pgMar w:left="240" w:top="143" w:right="1440"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20"/>
                <w:szCs w:val="20"/>
                <w:color w:val="auto"/>
              </w:rPr>
            </w:pPr>
            <w:r>
              <w:rPr>
                <w:rFonts w:ascii="Arial" w:cs="Arial" w:eastAsia="Arial" w:hAnsi="Arial"/>
                <w:sz w:val="14"/>
                <w:szCs w:val="14"/>
                <w:color w:val="auto"/>
              </w:rPr>
              <w:t>Balance as of</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72,147</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721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517,589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1,014,882</w:t>
            </w:r>
          </w:p>
        </w:tc>
        <w:tc>
          <w:tcPr>
            <w:tcW w:w="4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(16,018)</w:t>
            </w:r>
          </w:p>
        </w:tc>
        <w:tc>
          <w:tcPr>
            <w:tcW w:w="3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1,517,174</w:t>
            </w:r>
          </w:p>
        </w:tc>
        <w:tc>
          <w:tcPr>
            <w:tcW w:w="3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24,450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1,541,624</w:t>
            </w: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December 31,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203,075</w:t>
            </w: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203,075</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207,160</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Cash dividends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260" w:type="dxa"/>
            <w:vAlign w:val="bottom"/>
          </w:tcPr>
          <w:p>
            <w:pPr>
              <w:ind w:left="140"/>
              <w:spacing w:after="0" w:line="157" w:lineRule="exact"/>
              <w:rPr>
                <w:sz w:val="20"/>
                <w:szCs w:val="20"/>
                <w:color w:val="auto"/>
              </w:rPr>
            </w:pPr>
            <w:r>
              <w:rPr>
                <w:rFonts w:ascii="Arial" w:cs="Arial" w:eastAsia="Arial" w:hAnsi="Arial"/>
                <w:sz w:val="14"/>
                <w:szCs w:val="14"/>
                <w:color w:val="auto"/>
              </w:rPr>
              <w:t>declared</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(10,658)</w:t>
            </w:r>
          </w:p>
        </w:tc>
        <w:tc>
          <w:tcPr>
            <w:tcW w:w="40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(10,658)</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(10,658)</w:t>
            </w: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Investment by</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interest</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17,524</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17,524</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Distribution of</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260" w:type="dxa"/>
            <w:vAlign w:val="bottom"/>
          </w:tcPr>
          <w:p>
            <w:pPr>
              <w:ind w:left="140"/>
              <w:spacing w:after="0" w:line="157" w:lineRule="exact"/>
              <w:rPr>
                <w:sz w:val="20"/>
                <w:szCs w:val="20"/>
                <w:color w:val="auto"/>
              </w:rPr>
            </w:pPr>
            <w:r>
              <w:rPr>
                <w:rFonts w:ascii="Arial" w:cs="Arial" w:eastAsia="Arial" w:hAnsi="Arial"/>
                <w:sz w:val="14"/>
                <w:szCs w:val="14"/>
                <w:color w:val="auto"/>
              </w:rPr>
              <w:t>interest</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(15,489)</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(15,489)</w:t>
            </w: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Deconsolidation</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a land</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joint</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venture</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(25,574)</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(25,574)</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Amortization of</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share-based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payment</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260" w:type="dxa"/>
            <w:vAlign w:val="bottom"/>
          </w:tcPr>
          <w:p>
            <w:pPr>
              <w:ind w:left="140"/>
              <w:spacing w:after="0" w:line="157" w:lineRule="exact"/>
              <w:rPr>
                <w:sz w:val="20"/>
                <w:szCs w:val="20"/>
                <w:color w:val="auto"/>
              </w:rPr>
            </w:pPr>
            <w:r>
              <w:rPr>
                <w:rFonts w:ascii="Arial" w:cs="Arial" w:eastAsia="Arial" w:hAnsi="Arial"/>
                <w:sz w:val="14"/>
                <w:szCs w:val="14"/>
                <w:color w:val="auto"/>
              </w:rPr>
              <w:t>awards</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16,075</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16,075</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16,075</w:t>
            </w: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to</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including</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 of</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$3,301</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678</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3,294</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3,301</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3,301</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Purchases of</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tendered by</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employees to</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satisfy the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required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withholding</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taxes related to</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share- based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payment</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260" w:type="dxa"/>
            <w:vAlign w:val="bottom"/>
          </w:tcPr>
          <w:p>
            <w:pPr>
              <w:ind w:left="140"/>
              <w:spacing w:after="0" w:line="157" w:lineRule="exact"/>
              <w:rPr>
                <w:sz w:val="20"/>
                <w:szCs w:val="20"/>
                <w:color w:val="auto"/>
              </w:rPr>
            </w:pPr>
            <w:r>
              <w:rPr>
                <w:rFonts w:ascii="Arial" w:cs="Arial" w:eastAsia="Arial" w:hAnsi="Arial"/>
                <w:sz w:val="14"/>
                <w:szCs w:val="14"/>
                <w:color w:val="auto"/>
              </w:rPr>
              <w:t>awards</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(16)</w:t>
            </w:r>
          </w:p>
        </w:tc>
        <w:tc>
          <w:tcPr>
            <w:tcW w:w="30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(6,768)</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(6,768)</w:t>
            </w:r>
          </w:p>
        </w:tc>
        <w:tc>
          <w:tcPr>
            <w:tcW w:w="38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(6,768)</w:t>
            </w: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Purchases of</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(926)</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(34,991)</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(35,000)</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(35,000)</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Other</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comprehensive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260" w:type="dxa"/>
            <w:vAlign w:val="bottom"/>
          </w:tcPr>
          <w:p>
            <w:pPr>
              <w:ind w:left="140"/>
              <w:spacing w:after="0"/>
              <w:rPr>
                <w:sz w:val="20"/>
                <w:szCs w:val="20"/>
                <w:color w:val="auto"/>
              </w:rPr>
            </w:pPr>
            <w:r>
              <w:rPr>
                <w:rFonts w:ascii="Arial" w:cs="Arial" w:eastAsia="Arial" w:hAnsi="Arial"/>
                <w:sz w:val="14"/>
                <w:szCs w:val="14"/>
                <w:color w:val="auto"/>
              </w:rPr>
              <w:t>loss</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(13,301)</w:t>
            </w:r>
          </w:p>
        </w:tc>
        <w:tc>
          <w:tcPr>
            <w:tcW w:w="3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(13,301)</w:t>
            </w:r>
          </w:p>
        </w:tc>
        <w:tc>
          <w:tcPr>
            <w:tcW w:w="3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(13,301)</w:t>
            </w:r>
          </w:p>
        </w:tc>
      </w:tr>
      <w:tr>
        <w:trPr>
          <w:trHeight w:val="166"/>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w:t>
            </w: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2013</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71,883</w:t>
            </w:r>
          </w:p>
        </w:tc>
        <w:tc>
          <w:tcPr>
            <w:tcW w:w="30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719</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495,199</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$ 1,207,299</w:t>
            </w:r>
          </w:p>
        </w:tc>
        <w:tc>
          <w:tcPr>
            <w:tcW w:w="40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(29,319)</w:t>
            </w:r>
          </w:p>
        </w:tc>
        <w:tc>
          <w:tcPr>
            <w:tcW w:w="34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1,673,898</w:t>
            </w:r>
          </w:p>
        </w:tc>
        <w:tc>
          <w:tcPr>
            <w:tcW w:w="38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4,996</w:t>
            </w: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$ 1,678,894</w:t>
            </w:r>
          </w:p>
        </w:tc>
      </w:tr>
      <w:tr>
        <w:trPr>
          <w:trHeight w:val="27"/>
        </w:trPr>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5100"/>
        <w:spacing w:after="0" w:line="246" w:lineRule="auto"/>
        <w:rPr>
          <w:sz w:val="20"/>
          <w:szCs w:val="20"/>
          <w:color w:val="auto"/>
        </w:rPr>
      </w:pPr>
      <w:r>
        <w:rPr>
          <w:rFonts w:ascii="Arial" w:cs="Arial" w:eastAsia="Arial" w:hAnsi="Arial"/>
          <w:sz w:val="21"/>
          <w:szCs w:val="21"/>
          <w:color w:val="auto"/>
        </w:rPr>
        <w:t>WORLD FUEL SERVICES CORPORATION AND SUBSIDIARIES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gridSpan w:val="6"/>
          </w:tcPr>
          <w:p>
            <w:pPr>
              <w:ind w:left="6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5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53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including noncontrolling interest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207,160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201,351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199,202</w:t>
            </w:r>
          </w:p>
        </w:tc>
        <w:tc>
          <w:tcPr>
            <w:tcW w:w="160" w:type="dxa"/>
            <w:vAlign w:val="bottom"/>
          </w:tcPr>
          <w:p>
            <w:pPr>
              <w:spacing w:after="0"/>
              <w:rPr>
                <w:sz w:val="19"/>
                <w:szCs w:val="19"/>
                <w:color w:val="auto"/>
              </w:rPr>
            </w:pPr>
          </w:p>
        </w:tc>
      </w:tr>
      <w:tr>
        <w:trPr>
          <w:trHeight w:val="206"/>
        </w:trPr>
        <w:tc>
          <w:tcPr>
            <w:tcW w:w="5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Adjustments to reconcile net income including noncontrolling</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3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interest to net cash provided by (used in) operating activities: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44,710</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36,714</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40,530</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11,745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4,790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8,173</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Share-based payment award compensation costs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16,716</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14,079</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11,041</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(benefit) provision</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(8,243)</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9,665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1,641</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Extinguishment of liabilities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(8,538)</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(11,199)</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(8,348)</w:t>
            </w:r>
          </w:p>
        </w:tc>
        <w:tc>
          <w:tcPr>
            <w:tcW w:w="16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4,384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(5,659)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3,431</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Changes in assets and liabilities, net of acquisitions: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(328,969)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97,297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(725,986)</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(77,754)</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(90,847)</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(222,445)</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30,755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(51,155)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(2,319)</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(19,057)</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(940)</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(78,044)</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collateral with financial counterparties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9,920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(11,059)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4,957</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(21,957)</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4,793</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4,237</w:t>
            </w:r>
          </w:p>
        </w:tc>
        <w:tc>
          <w:tcPr>
            <w:tcW w:w="16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385,482</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(45,179)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581,948</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10,325</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(4,718)</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44,524</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income tax, net and other long-term liabilities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7,623</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(2,142)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(5,078)</w:t>
            </w:r>
          </w:p>
        </w:tc>
        <w:tc>
          <w:tcPr>
            <w:tcW w:w="160" w:type="dxa"/>
            <w:vAlign w:val="bottom"/>
            <w:shd w:val="clear" w:color="auto" w:fill="CCEEFF"/>
          </w:tcPr>
          <w:p>
            <w:pPr>
              <w:spacing w:after="0"/>
              <w:rPr>
                <w:sz w:val="17"/>
                <w:szCs w:val="17"/>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adjustments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57,142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(55,560)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(341,738)</w:t>
            </w:r>
          </w:p>
        </w:tc>
        <w:tc>
          <w:tcPr>
            <w:tcW w:w="160" w:type="dxa"/>
            <w:vAlign w:val="bottom"/>
          </w:tcPr>
          <w:p>
            <w:pPr>
              <w:spacing w:after="0"/>
              <w:rPr>
                <w:sz w:val="18"/>
                <w:szCs w:val="18"/>
                <w:color w:val="auto"/>
              </w:rPr>
            </w:pPr>
          </w:p>
        </w:tc>
      </w:tr>
      <w:tr>
        <w:trPr>
          <w:trHeight w:val="40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264,302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145,791</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(142,536)</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99"/>
        </w:trPr>
        <w:tc>
          <w:tcPr>
            <w:tcW w:w="53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and other investments, net of cash acquired</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(76,954)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(217,782)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(122,702)</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(82,716)</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(28,454)</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(19,492)</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short-term investments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(21,588)</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Proceeds from the sale of short-term investments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21,588</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notes receivable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(7,969)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(11,109)</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Repayment of notes receivable</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8,671</w:t>
            </w:r>
          </w:p>
        </w:tc>
        <w:tc>
          <w:tcPr>
            <w:tcW w:w="160" w:type="dxa"/>
            <w:vAlign w:val="bottom"/>
          </w:tcPr>
          <w:p>
            <w:pPr>
              <w:spacing w:after="0"/>
              <w:rPr>
                <w:sz w:val="17"/>
                <w:szCs w:val="17"/>
                <w:color w:val="auto"/>
              </w:rPr>
            </w:pPr>
          </w:p>
        </w:tc>
      </w:tr>
      <w:tr>
        <w:trPr>
          <w:trHeight w:val="206"/>
        </w:trPr>
        <w:tc>
          <w:tcPr>
            <w:tcW w:w="5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Decrease in cash due to deconsolidation of a land segment joint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3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venture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(6,921)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19"/>
        </w:trPr>
        <w:tc>
          <w:tcPr>
            <w:tcW w:w="5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(174,560)</w:t>
            </w:r>
          </w:p>
        </w:tc>
        <w:tc>
          <w:tcPr>
            <w:tcW w:w="22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(246,622)</w:t>
            </w: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(144,632)</w:t>
            </w:r>
          </w:p>
        </w:tc>
      </w:tr>
      <w:tr>
        <w:trPr>
          <w:trHeight w:val="405"/>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5300" w:type="dxa"/>
            <w:vAlign w:val="bottom"/>
          </w:tcPr>
          <w:p>
            <w:pPr>
              <w:spacing w:after="0" w:line="206" w:lineRule="exact"/>
              <w:rPr>
                <w:sz w:val="20"/>
                <w:szCs w:val="20"/>
                <w:color w:val="auto"/>
              </w:rPr>
            </w:pPr>
            <w:r>
              <w:rPr>
                <w:rFonts w:ascii="Arial" w:cs="Arial" w:eastAsia="Arial" w:hAnsi="Arial"/>
                <w:sz w:val="18"/>
                <w:szCs w:val="18"/>
                <w:color w:val="auto"/>
              </w:rPr>
              <w:t>Borrowings under senior revolving credit facility and senior term</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300" w:type="dxa"/>
            <w:vAlign w:val="bottom"/>
          </w:tcPr>
          <w:p>
            <w:pPr>
              <w:ind w:left="160"/>
              <w:spacing w:after="0" w:line="200" w:lineRule="exact"/>
              <w:rPr>
                <w:sz w:val="20"/>
                <w:szCs w:val="20"/>
                <w:color w:val="auto"/>
              </w:rPr>
            </w:pPr>
            <w:r>
              <w:rPr>
                <w:rFonts w:ascii="Arial" w:cs="Arial" w:eastAsia="Arial" w:hAnsi="Arial"/>
                <w:sz w:val="18"/>
                <w:szCs w:val="18"/>
                <w:color w:val="auto"/>
              </w:rPr>
              <w:t>loans</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4,550,500</w:t>
            </w:r>
          </w:p>
        </w:tc>
        <w:tc>
          <w:tcPr>
            <w:tcW w:w="22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4,050,500</w:t>
            </w:r>
          </w:p>
        </w:tc>
        <w:tc>
          <w:tcPr>
            <w:tcW w:w="24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5,019,594</w:t>
            </w:r>
          </w:p>
        </w:tc>
        <w:tc>
          <w:tcPr>
            <w:tcW w:w="160" w:type="dxa"/>
            <w:vAlign w:val="bottom"/>
          </w:tcPr>
          <w:p>
            <w:pPr>
              <w:spacing w:after="0"/>
              <w:rPr>
                <w:sz w:val="17"/>
                <w:szCs w:val="17"/>
                <w:color w:val="auto"/>
              </w:rPr>
            </w:pPr>
          </w:p>
        </w:tc>
      </w:tr>
      <w:tr>
        <w:trPr>
          <w:trHeight w:val="206"/>
        </w:trPr>
        <w:tc>
          <w:tcPr>
            <w:tcW w:w="5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Repayments under senior revolving credit facility and senior term</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3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w w:val="95"/>
              </w:rPr>
              <w:t>(4,456,000)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w w:val="95"/>
              </w:rPr>
              <w:t>(3,952,500)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(4,769,594)</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Borrowings of other debt</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6,118</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of other debt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(20,304)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(13,460)</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(12,876)</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Dividends paid on common stock</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(10,679)</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(10,685)</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(10,603)</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by noncontrolling interest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17,519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Distribution of noncontrolling interest</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(15,489)</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(1,401)</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(1,797)</w:t>
            </w:r>
          </w:p>
        </w:tc>
        <w:tc>
          <w:tcPr>
            <w:tcW w:w="16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common stock</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Payment of assumed employee benefits related to acquisitions</w:t>
            </w:r>
          </w:p>
        </w:tc>
        <w:tc>
          <w:tcPr>
            <w:tcW w:w="26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(5,421)</w:t>
            </w:r>
          </w:p>
        </w:tc>
        <w:tc>
          <w:tcPr>
            <w:tcW w:w="160" w:type="dxa"/>
            <w:vAlign w:val="bottom"/>
          </w:tcPr>
          <w:p>
            <w:pPr>
              <w:spacing w:after="0"/>
              <w:rPr>
                <w:sz w:val="17"/>
                <w:szCs w:val="17"/>
                <w:color w:val="auto"/>
              </w:rPr>
            </w:pPr>
          </w:p>
        </w:tc>
      </w:tr>
      <w:tr>
        <w:trPr>
          <w:trHeight w:val="206"/>
        </w:trPr>
        <w:tc>
          <w:tcPr>
            <w:tcW w:w="5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Federal and state tax benefits resulting from tax deductions in</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excess of the compensation cost recognized for share-based</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3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payment awards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3,301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3,681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5,952</w:t>
            </w:r>
          </w:p>
        </w:tc>
        <w:tc>
          <w:tcPr>
            <w:tcW w:w="160" w:type="dxa"/>
            <w:vAlign w:val="bottom"/>
            <w:shd w:val="clear" w:color="auto" w:fill="CCEEFF"/>
          </w:tcPr>
          <w:p>
            <w:pPr>
              <w:spacing w:after="0"/>
              <w:rPr>
                <w:sz w:val="17"/>
                <w:szCs w:val="17"/>
                <w:color w:val="auto"/>
              </w:rPr>
            </w:pPr>
          </w:p>
        </w:tc>
      </w:tr>
      <w:tr>
        <w:trPr>
          <w:trHeight w:val="206"/>
        </w:trPr>
        <w:tc>
          <w:tcPr>
            <w:tcW w:w="5300" w:type="dxa"/>
            <w:vAlign w:val="bottom"/>
          </w:tcPr>
          <w:p>
            <w:pPr>
              <w:spacing w:after="0" w:line="206" w:lineRule="exact"/>
              <w:rPr>
                <w:sz w:val="20"/>
                <w:szCs w:val="20"/>
                <w:color w:val="auto"/>
              </w:rPr>
            </w:pPr>
            <w:r>
              <w:rPr>
                <w:rFonts w:ascii="Arial" w:cs="Arial" w:eastAsia="Arial" w:hAnsi="Arial"/>
                <w:sz w:val="18"/>
                <w:szCs w:val="18"/>
                <w:color w:val="auto"/>
              </w:rPr>
              <w:t>Purchases of common stock tendered by employees to satisfy the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300" w:type="dxa"/>
            <w:vAlign w:val="bottom"/>
          </w:tcPr>
          <w:p>
            <w:pPr>
              <w:ind w:left="160"/>
              <w:spacing w:after="0" w:line="202" w:lineRule="exact"/>
              <w:rPr>
                <w:sz w:val="20"/>
                <w:szCs w:val="20"/>
                <w:color w:val="auto"/>
              </w:rPr>
            </w:pPr>
            <w:r>
              <w:rPr>
                <w:rFonts w:ascii="Arial" w:cs="Arial" w:eastAsia="Arial" w:hAnsi="Arial"/>
                <w:sz w:val="18"/>
                <w:szCs w:val="18"/>
                <w:color w:val="auto"/>
              </w:rPr>
              <w:t>required withholding taxes related to share-based payment</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300" w:type="dxa"/>
            <w:vAlign w:val="bottom"/>
          </w:tcPr>
          <w:p>
            <w:pPr>
              <w:ind w:left="160"/>
              <w:spacing w:after="0" w:line="200" w:lineRule="exact"/>
              <w:rPr>
                <w:sz w:val="20"/>
                <w:szCs w:val="20"/>
                <w:color w:val="auto"/>
              </w:rPr>
            </w:pPr>
            <w:r>
              <w:rPr>
                <w:rFonts w:ascii="Arial" w:cs="Arial" w:eastAsia="Arial" w:hAnsi="Arial"/>
                <w:sz w:val="18"/>
                <w:szCs w:val="18"/>
                <w:color w:val="auto"/>
              </w:rPr>
              <w:t>awards</w:t>
            </w:r>
          </w:p>
        </w:tc>
        <w:tc>
          <w:tcPr>
            <w:tcW w:w="260" w:type="dxa"/>
            <w:vAlign w:val="bottom"/>
          </w:tcPr>
          <w:p>
            <w:pPr>
              <w:spacing w:after="0"/>
              <w:rPr>
                <w:sz w:val="17"/>
                <w:szCs w:val="17"/>
                <w:color w:val="auto"/>
              </w:rPr>
            </w:pP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(6,768)</w:t>
            </w:r>
          </w:p>
        </w:tc>
        <w:tc>
          <w:tcPr>
            <w:tcW w:w="22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(4,973)</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(10,206)</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(3,689)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(4,304)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(2,483)</w:t>
            </w:r>
          </w:p>
        </w:tc>
        <w:tc>
          <w:tcPr>
            <w:tcW w:w="160" w:type="dxa"/>
            <w:vAlign w:val="bottom"/>
            <w:shd w:val="clear" w:color="auto" w:fill="CCEEFF"/>
          </w:tcPr>
          <w:p>
            <w:pPr>
              <w:spacing w:after="0"/>
              <w:rPr>
                <w:sz w:val="17"/>
                <w:szCs w:val="17"/>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19"/>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29,509</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66,858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222,566</w:t>
            </w:r>
          </w:p>
        </w:tc>
        <w:tc>
          <w:tcPr>
            <w:tcW w:w="160" w:type="dxa"/>
            <w:vAlign w:val="bottom"/>
          </w:tcPr>
          <w:p>
            <w:pPr>
              <w:spacing w:after="0"/>
              <w:rPr>
                <w:sz w:val="24"/>
                <w:szCs w:val="24"/>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1,298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7"/>
                <w:szCs w:val="17"/>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7"/>
                <w:szCs w:val="17"/>
                <w:color w:val="auto"/>
              </w:rPr>
            </w:pPr>
          </w:p>
        </w:tc>
        <w:tc>
          <w:tcPr>
            <w:tcW w:w="10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119,321</w:t>
            </w:r>
          </w:p>
        </w:tc>
        <w:tc>
          <w:tcPr>
            <w:tcW w:w="220" w:type="dxa"/>
            <w:vAlign w:val="bottom"/>
          </w:tcPr>
          <w:p>
            <w:pPr>
              <w:spacing w:after="0"/>
              <w:rPr>
                <w:sz w:val="17"/>
                <w:szCs w:val="17"/>
                <w:color w:val="auto"/>
              </w:rPr>
            </w:pPr>
          </w:p>
        </w:tc>
        <w:tc>
          <w:tcPr>
            <w:tcW w:w="10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(32,675)</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(67,478)</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as of beginning of year</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172,740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205,415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272,893</w:t>
            </w:r>
          </w:p>
        </w:tc>
        <w:tc>
          <w:tcPr>
            <w:tcW w:w="160" w:type="dxa"/>
            <w:vAlign w:val="bottom"/>
            <w:shd w:val="clear" w:color="auto" w:fill="CCEEFF"/>
          </w:tcPr>
          <w:p>
            <w:pPr>
              <w:spacing w:after="0"/>
              <w:rPr>
                <w:sz w:val="17"/>
                <w:szCs w:val="17"/>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as of end of year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292,061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172,740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205,415</w:t>
            </w:r>
          </w:p>
        </w:tc>
        <w:tc>
          <w:tcPr>
            <w:tcW w:w="160" w:type="dxa"/>
            <w:vAlign w:val="bottom"/>
          </w:tcPr>
          <w:p>
            <w:pPr>
              <w:spacing w:after="0"/>
              <w:rPr>
                <w:sz w:val="18"/>
                <w:szCs w:val="18"/>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3" w:right="239" w:bottom="470" w:gutter="0" w:footer="0" w:header="0"/>
        </w:sectPr>
      </w:pPr>
    </w:p>
    <w:p>
      <w:pPr>
        <w:spacing w:after="0" w:line="212"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47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720"/>
        <w:spacing w:after="0" w:line="246" w:lineRule="auto"/>
        <w:rPr>
          <w:sz w:val="20"/>
          <w:szCs w:val="20"/>
          <w:color w:val="auto"/>
        </w:rPr>
      </w:pPr>
      <w:r>
        <w:rPr>
          <w:rFonts w:ascii="Arial" w:cs="Arial" w:eastAsia="Arial" w:hAnsi="Arial"/>
          <w:sz w:val="21"/>
          <w:szCs w:val="21"/>
          <w:color w:val="auto"/>
        </w:rPr>
        <w:t>WORLD FUEL SERVICES CORPORATION AND SUBSIDIARIES CONSOLIDATED STATEMENTS OF CASH FLOWS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900" w:type="dxa"/>
            <w:vAlign w:val="bottom"/>
            <w:gridSpan w:val="7"/>
          </w:tcPr>
          <w:p>
            <w:pPr>
              <w:ind w:left="96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20" w:type="dxa"/>
            <w:vAlign w:val="bottom"/>
          </w:tcPr>
          <w:p>
            <w:pPr>
              <w:spacing w:after="0"/>
              <w:rPr>
                <w:sz w:val="21"/>
                <w:szCs w:val="21"/>
                <w:color w:val="auto"/>
              </w:rPr>
            </w:pPr>
          </w:p>
        </w:tc>
        <w:tc>
          <w:tcPr>
            <w:tcW w:w="5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Cash paid during the year for:</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net of capitalized interest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19,131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17,227</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12,098</w:t>
            </w:r>
          </w:p>
        </w:tc>
        <w:tc>
          <w:tcPr>
            <w:tcW w:w="160" w:type="dxa"/>
            <w:vAlign w:val="bottom"/>
            <w:shd w:val="clear" w:color="auto" w:fill="CCEEFF"/>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52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34,557</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26,529</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51,096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$2.6 million as of December 31, 2013 and $2.7 million as of December 31, 2012 and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had accrued capital expenditures totaling $1.8 million, which were recorded in accounts payable.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Due to a change in the operational control of a land segment joint venture from us to our joint venture partner, the aforementioned joint venture was deconsolidated effective December 31, 2013. We recorded a reduction of $44.2 million and $25.6 million in net assets and noncontrolling interest equity, respectively, and an increase of $25.6 million in other investments.</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2012, we granted equity awards to certain employees of which $2.7 million was previously recorded in accrued expenses and other current liabilities.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our acquisitions, we issued promissory notes totaling $3.0 million, $7.2 million and $9.0 million in 2013, 2012 and 2011, respectively and equity of $27.5 million in 2011. During 2011, we recorded a $1.4 million reduction to our promissory note payable to the sellers of an acquired business related to a purchase price adjustment.</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connection with an equity investment, we recorded a current liability and other investment of £10.0 million ($16.3 million) in 2012 and £2.0 million ($2.8 million) in 2013 related to contingent consideration. The aggregate amount of £12.0 million ($19.1 million) was paid in 2013.</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acquisitions for the years presented, the following table presents the assets acquired, net of cash and liabilities assumed: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80" w:type="dxa"/>
            <w:vAlign w:val="bottom"/>
            <w:gridSpan w:val="5"/>
          </w:tcPr>
          <w:p>
            <w:pPr>
              <w:ind w:left="3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39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 net of cash</w:t>
            </w:r>
          </w:p>
        </w:tc>
        <w:tc>
          <w:tcPr>
            <w:tcW w:w="1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77,164</w:t>
            </w:r>
          </w:p>
        </w:tc>
        <w:tc>
          <w:tcPr>
            <w:tcW w:w="12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$ 366,230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208,419</w:t>
            </w:r>
          </w:p>
        </w:tc>
        <w:tc>
          <w:tcPr>
            <w:tcW w:w="160" w:type="dxa"/>
            <w:vAlign w:val="bottom"/>
            <w:shd w:val="clear" w:color="auto" w:fill="CCEEFF"/>
          </w:tcPr>
          <w:p>
            <w:pPr>
              <w:spacing w:after="0"/>
              <w:rPr>
                <w:sz w:val="17"/>
                <w:szCs w:val="17"/>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Liabilities assumed</w:t>
            </w: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36,765</w:t>
            </w:r>
          </w:p>
        </w:tc>
        <w:tc>
          <w:tcPr>
            <w:tcW w:w="12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$ 151,816</w:t>
            </w: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54,296</w:t>
            </w:r>
          </w:p>
        </w:tc>
        <w:tc>
          <w:tcPr>
            <w:tcW w:w="160" w:type="dxa"/>
            <w:vAlign w:val="bottom"/>
          </w:tcPr>
          <w:p>
            <w:pPr>
              <w:spacing w:after="0"/>
              <w:rPr>
                <w:sz w:val="17"/>
                <w:szCs w:val="17"/>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right="5100"/>
        <w:spacing w:after="0" w:line="259" w:lineRule="auto"/>
        <w:rPr>
          <w:sz w:val="20"/>
          <w:szCs w:val="20"/>
          <w:color w:val="auto"/>
        </w:rPr>
      </w:pPr>
      <w:r>
        <w:rPr>
          <w:rFonts w:ascii="Arial" w:cs="Arial" w:eastAsia="Arial" w:hAnsi="Arial"/>
          <w:sz w:val="21"/>
          <w:szCs w:val="21"/>
          <w:color w:val="auto"/>
        </w:rPr>
        <w:t>WORLD FUEL SERVICES CORPORATION AND SUBSIDIARIES NOTES TO THE CONSOLIDATED FINANCIAL STATEMENTS</w:t>
      </w:r>
    </w:p>
    <w:p>
      <w:pPr>
        <w:spacing w:after="0" w:line="169" w:lineRule="exact"/>
        <w:rPr>
          <w:sz w:val="20"/>
          <w:szCs w:val="20"/>
          <w:color w:val="auto"/>
        </w:rPr>
      </w:pPr>
    </w:p>
    <w:p>
      <w:pPr>
        <w:ind w:right="4740" w:firstLine="8"/>
        <w:spacing w:after="0" w:line="264" w:lineRule="auto"/>
        <w:tabs>
          <w:tab w:leader="none" w:pos="19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Acquisitions, Significant Accounting Policies and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as "World Fuel," "we," "our" and "us."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global fuel logistics company, principally engaged in the marketing, sale and distribution of aviation, marine, and land fuel and related products and services on a worldwide basis. We compete by providing our customers value added benefits, including single 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and in some cases own storage and transportation assets for strategic purposes. Additionally, we offer transaction management services which consist of card payment solutions and merchant processing services to customers in the aviation, marine and land transportation industries. In our aviation segment, we offer fuel and related products and services to major commercial airlines, second and third-tier airlines, cargo carriers, regional and low cost carriers, airports, fixed based operators, corporate fleets, fractional operators, private aircraft, military fleets and to the United States ("U.S.") and foreign governments. In our marine segment, we offer fuel, lubricants and related products and services to a broad base of marine customers, including international container and tanker fleets, commercial cruise lines, yachts and time-charter operators, as well as to the U.S. and foreign governments. In our land segment, we offer fuel, lubricants and related products and services to petroleum distributors operating in the land transportation market, retail petroleum operators, and industrial, commercial and government customers. Additionally, we engage in crude oil marketing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Acquisitions</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2013, we completed three acquisitions in our land segment, which were not material individually or in the aggregate. The financial position, results of operations and cash flows of the 2013 acquisitions have been included in our consolidated financial statements since their respective acquisition dates.</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reconciles the estimated aggregate purchase price for the 2013 acquisitions to the cash paid for the acquisitions,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$ 43,792</w:t>
            </w:r>
          </w:p>
        </w:tc>
        <w:tc>
          <w:tcPr>
            <w:tcW w:w="160" w:type="dxa"/>
            <w:vAlign w:val="bottom"/>
            <w:shd w:val="clear" w:color="auto" w:fill="CCEEFF"/>
          </w:tcPr>
          <w:p>
            <w:pPr>
              <w:spacing w:after="0"/>
              <w:rPr>
                <w:sz w:val="18"/>
                <w:szCs w:val="18"/>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Cash acquired</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60" w:type="dxa"/>
            <w:vAlign w:val="bottom"/>
          </w:tcPr>
          <w:p>
            <w:pPr>
              <w:spacing w:after="0"/>
              <w:rPr>
                <w:sz w:val="19"/>
                <w:szCs w:val="19"/>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purchase price, net of cash acquired</w:t>
            </w:r>
          </w:p>
        </w:tc>
        <w:tc>
          <w:tcPr>
            <w:tcW w:w="3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40,457</w:t>
            </w:r>
          </w:p>
        </w:tc>
        <w:tc>
          <w:tcPr>
            <w:tcW w:w="1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302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1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Amounts due to sellers</w:t>
            </w:r>
          </w:p>
        </w:tc>
        <w:tc>
          <w:tcPr>
            <w:tcW w:w="3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7"/>
                <w:szCs w:val="17"/>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acquisition of businesses</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$ 37,333</w:t>
            </w:r>
          </w:p>
        </w:tc>
        <w:tc>
          <w:tcPr>
            <w:tcW w:w="160" w:type="dxa"/>
            <w:vAlign w:val="bottom"/>
          </w:tcPr>
          <w:p>
            <w:pPr>
              <w:spacing w:after="0"/>
              <w:rPr>
                <w:sz w:val="18"/>
                <w:szCs w:val="18"/>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estimated purchase price for each of the 2013 acquisitions is subject to change based on the final value of the net assets acquired and was allocated to the assets acquired and liabilities assumed based on their estimated fair value at the acquisition date. Since the valuations of the assets acquired and liabilities assumed in connection with the 2013 acquisitions have not been finalized, the allocation of the purchase price of these acquisitions may change. On an aggregate basis, the estimated purchase price allocation for the 2013 acquisitions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3,335</w:t>
            </w:r>
          </w:p>
        </w:tc>
        <w:tc>
          <w:tcPr>
            <w:tcW w:w="16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31,287</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8,839</w:t>
            </w:r>
          </w:p>
        </w:tc>
        <w:tc>
          <w:tcPr>
            <w:tcW w:w="16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3,917</w:t>
            </w:r>
          </w:p>
        </w:tc>
        <w:tc>
          <w:tcPr>
            <w:tcW w:w="16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4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14,068</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16,077</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2,717</w:t>
            </w:r>
          </w:p>
        </w:tc>
        <w:tc>
          <w:tcPr>
            <w:tcW w:w="16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4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5"/>
              </w:rPr>
              <w:t>(29,631)</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(3,582)</w:t>
            </w:r>
          </w:p>
        </w:tc>
        <w:tc>
          <w:tcPr>
            <w:tcW w:w="160" w:type="dxa"/>
            <w:vAlign w:val="bottom"/>
            <w:shd w:val="clear" w:color="auto" w:fill="CCEEFF"/>
          </w:tcPr>
          <w:p>
            <w:pPr>
              <w:spacing w:after="0"/>
              <w:rPr>
                <w:sz w:val="17"/>
                <w:szCs w:val="17"/>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60" w:type="dxa"/>
            <w:vAlign w:val="bottom"/>
          </w:tcPr>
          <w:p>
            <w:pPr>
              <w:spacing w:after="0"/>
              <w:rPr>
                <w:sz w:val="19"/>
                <w:szCs w:val="19"/>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purchase price</w:t>
            </w: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43,792</w:t>
            </w:r>
          </w:p>
        </w:tc>
      </w:tr>
      <w:tr>
        <w:trPr>
          <w:trHeight w:val="27"/>
        </w:trPr>
        <w:tc>
          <w:tcPr>
            <w:tcW w:w="58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2013 acquisitions, we recorded goodwill of $16.1 million in our land segment of which $9.1 million is anticipated to be deductible for income tax purposes. The aggregate identifiable intangible assets consisted of $13.3 million of customer relationships with a weighted average amortizable life of 6.1 years, as well as $0.8 million of indefinite-lived trademark/trade name rights.</w:t>
      </w:r>
    </w:p>
    <w:p>
      <w:pPr>
        <w:spacing w:after="0" w:line="20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revenues and net income of the 2013 acquisitions did not have a significant impact on our results for 2013. Pro forma information for the 2013 acquisitions has not been presented as the impact on our consolidated financial statements is not material, either individually or in the aggregate.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31, 2012, we acquired certain assets of Multi Service Corporation, including the assets comprising its transaction management business, and all of the outstanding stock of its foreign subsidiaries (the "Multi Service business"), a global transaction management company based in Overland Park, Kansas specializing in fleet, government, and commercial payment programs to expand our service offering within the transportation industry. The Multi Service product offering includes the Multi Service Fuel Card, accepted at more than 3,500 truck stops in the United States and Canada, payment solutions for tolls, bridges and tunnels across Europe, government payment systems for global fuel procurement, and commercial payment programs in the transportation industry.</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September 1, 2012, we acquired certain assets of CarterEnergy Corporation, including the assets comprising its wholesale motor fuel distribution business (the "CarterEnergy business"). We acquired the CarterEnergy business, based in Overland Park, Kansas, a distributor of branded gasoline and diesel fuel to more than 700 retail operators and a supplier to industrial, commercial and government customers, to expand our wholesale branded gasoline and diesel fuel business.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the above acquisitions, we completed three acquisitions, which were not material individually or in the aggregate. Of these acquisitions, two were in our aviation segment and the other was in our aviation and land segments.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position, results of operations and cash flows of the 2012 acquisitions have been included in our consolidated financial statements since their respective acquisition dates.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reconciles the aggregate purchase price for the 2012 acquisitions to the cash paid for the acquisitions,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$ 226,449</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Less: Cash acquired</w:t>
            </w:r>
          </w:p>
        </w:tc>
        <w:tc>
          <w:tcPr>
            <w:tcW w:w="3520" w:type="dxa"/>
            <w:vAlign w:val="bottom"/>
            <w:gridSpan w:val="2"/>
          </w:tcPr>
          <w:p>
            <w:pPr>
              <w:jc w:val="right"/>
              <w:ind w:right="160"/>
              <w:spacing w:after="0"/>
              <w:rPr>
                <w:sz w:val="20"/>
                <w:szCs w:val="20"/>
                <w:color w:val="auto"/>
              </w:rPr>
            </w:pPr>
            <w:r>
              <w:rPr>
                <w:rFonts w:ascii="Arial" w:cs="Arial" w:eastAsia="Arial" w:hAnsi="Arial"/>
                <w:sz w:val="18"/>
                <w:szCs w:val="18"/>
                <w:color w:val="auto"/>
              </w:rPr>
              <w:t>12,793</w:t>
            </w:r>
          </w:p>
        </w:tc>
        <w:tc>
          <w:tcPr>
            <w:tcW w:w="2280" w:type="dxa"/>
            <w:vAlign w:val="bottom"/>
          </w:tcPr>
          <w:p>
            <w:pPr>
              <w:spacing w:after="0"/>
              <w:rPr>
                <w:sz w:val="19"/>
                <w:szCs w:val="19"/>
                <w:color w:val="auto"/>
              </w:rPr>
            </w:pPr>
          </w:p>
        </w:tc>
      </w:tr>
      <w:tr>
        <w:trPr>
          <w:trHeight w:val="203"/>
        </w:trPr>
        <w:tc>
          <w:tcPr>
            <w:tcW w:w="56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Purchase price, net of cash acquired</w:t>
            </w:r>
          </w:p>
        </w:tc>
        <w:tc>
          <w:tcPr>
            <w:tcW w:w="3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213,656</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3360" w:type="dxa"/>
            <w:vAlign w:val="bottom"/>
          </w:tcPr>
          <w:p>
            <w:pPr>
              <w:jc w:val="right"/>
              <w:spacing w:after="0" w:line="202" w:lineRule="exact"/>
              <w:rPr>
                <w:sz w:val="20"/>
                <w:szCs w:val="20"/>
                <w:color w:val="auto"/>
              </w:rPr>
            </w:pPr>
            <w:r>
              <w:rPr>
                <w:rFonts w:ascii="Arial" w:cs="Arial" w:eastAsia="Arial" w:hAnsi="Arial"/>
                <w:sz w:val="18"/>
                <w:szCs w:val="18"/>
                <w:color w:val="auto"/>
              </w:rPr>
              <w:t>7,214</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Amounts due to sellers</w:t>
            </w:r>
          </w:p>
        </w:tc>
        <w:tc>
          <w:tcPr>
            <w:tcW w:w="3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2280" w:type="dxa"/>
            <w:vAlign w:val="bottom"/>
          </w:tcPr>
          <w:p>
            <w:pPr>
              <w:spacing w:after="0"/>
              <w:rPr>
                <w:sz w:val="17"/>
                <w:szCs w:val="17"/>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acquisition of businesses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$ 206,367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7"/>
        </w:trPr>
        <w:tc>
          <w:tcPr>
            <w:tcW w:w="5620" w:type="dxa"/>
            <w:vAlign w:val="bottom"/>
          </w:tcPr>
          <w:p>
            <w:pPr>
              <w:spacing w:after="0"/>
              <w:rPr>
                <w:sz w:val="20"/>
                <w:szCs w:val="20"/>
                <w:color w:val="auto"/>
              </w:rPr>
            </w:pPr>
            <w:r>
              <w:rPr>
                <w:rFonts w:ascii="Arial" w:cs="Arial" w:eastAsia="Arial" w:hAnsi="Arial"/>
                <w:sz w:val="18"/>
                <w:szCs w:val="18"/>
                <w:color w:val="auto"/>
              </w:rPr>
              <w:t>48</w:t>
            </w: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562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2013, we completed the valuation of the assets acquired and liabilities assumed for the 2012 acquisitions. As a result, during 2013, we paid an additional $17.5 million related to purchase price adjustments and completed the purchase price allocation which primarily resulted in adjustments to goodwill and identifiable intangible assets (see Note 5).</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purchase price for each of the 2012 acquisitions was allocated to the assets acquired and liabilities assumed based on their estimated fair value at the acquisition date. On an aggregate basis, the purchase price allocation for the 2012 acquisitions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3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12,793</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134,966</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7,311</w:t>
            </w:r>
          </w:p>
        </w:tc>
        <w:tc>
          <w:tcPr>
            <w:tcW w:w="16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10,323</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38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87,150</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121,188</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4,851</w:t>
            </w:r>
          </w:p>
        </w:tc>
        <w:tc>
          <w:tcPr>
            <w:tcW w:w="16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38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(130,297)</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(18,321)</w:t>
            </w:r>
          </w:p>
        </w:tc>
      </w:tr>
      <w:tr>
        <w:trPr>
          <w:trHeight w:val="223"/>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60" w:type="dxa"/>
            <w:vAlign w:val="bottom"/>
          </w:tcPr>
          <w:p>
            <w:pPr>
              <w:spacing w:after="0"/>
              <w:rPr>
                <w:sz w:val="19"/>
                <w:szCs w:val="19"/>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23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226,449</w:t>
            </w:r>
          </w:p>
        </w:tc>
        <w:tc>
          <w:tcPr>
            <w:tcW w:w="160" w:type="dxa"/>
            <w:vAlign w:val="bottom"/>
            <w:shd w:val="clear" w:color="auto" w:fill="CCEEFF"/>
          </w:tcPr>
          <w:p>
            <w:pPr>
              <w:spacing w:after="0"/>
              <w:rPr>
                <w:sz w:val="17"/>
                <w:szCs w:val="17"/>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Acquisitions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1, 2011, we completed the acquisition of all of the outstanding stock of Ascent Aviation Group, Inc. ("Ascent") based in Parish, New York. Ascent supplies branded aviation fuel and de-icing fluid to more than 450 airports and fixed base operators throughout North America. In connection with the Ascent acquisition, we paid certain assumed employee benefits which have been classified as a financing activity in the consolidated statement of cash flows due to the fact that the liability was paid on behalf of the seller subsequent to closing.</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 2011, we completed the acquisition of all of the outstanding stock of Nordic Camp Supply ApS and certain affiliates ("NCS") based in Aalborg, Denmark. NCS is a full-service supplier of aviation fuel and related logistics solutions supporting NATO, U.S. and other European armed forces operations in Iraq and Afghanistan.</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addition to the above acquisitions, we acquired certain assets of three companies in our aviation segment, one company in our marine segment and two companies in our land segment, which are not material individually and in the aggregate.</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position, results of operations and cash flows of the 2011 acquisitions have been included in our consolidated financial statements since their respective acquisition dates.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reconciles the aggregate purchase price for the 2011 acquisitions to the cash paid for the acquisitions,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$ 161,736</w:t>
            </w:r>
          </w:p>
        </w:tc>
        <w:tc>
          <w:tcPr>
            <w:tcW w:w="16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Cash acquired</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60" w:type="dxa"/>
            <w:vAlign w:val="bottom"/>
          </w:tcPr>
          <w:p>
            <w:pPr>
              <w:spacing w:after="0"/>
              <w:rPr>
                <w:sz w:val="19"/>
                <w:szCs w:val="19"/>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 net of cash acquired</w:t>
            </w:r>
          </w:p>
        </w:tc>
        <w:tc>
          <w:tcPr>
            <w:tcW w:w="3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159,098</w:t>
            </w:r>
          </w:p>
        </w:tc>
        <w:tc>
          <w:tcPr>
            <w:tcW w:w="16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3360" w:type="dxa"/>
            <w:vAlign w:val="bottom"/>
          </w:tcPr>
          <w:p>
            <w:pPr>
              <w:jc w:val="right"/>
              <w:spacing w:after="0" w:line="202" w:lineRule="exact"/>
              <w:rPr>
                <w:sz w:val="20"/>
                <w:szCs w:val="20"/>
                <w:color w:val="auto"/>
              </w:rPr>
            </w:pPr>
            <w:r>
              <w:rPr>
                <w:rFonts w:ascii="Arial" w:cs="Arial" w:eastAsia="Arial" w:hAnsi="Arial"/>
                <w:sz w:val="18"/>
                <w:szCs w:val="18"/>
                <w:color w:val="auto"/>
              </w:rPr>
              <w:t>9,028</w:t>
            </w:r>
          </w:p>
        </w:tc>
        <w:tc>
          <w:tcPr>
            <w:tcW w:w="16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Common stock issued</w:t>
            </w:r>
          </w:p>
        </w:tc>
        <w:tc>
          <w:tcPr>
            <w:tcW w:w="3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27,491</w:t>
            </w:r>
          </w:p>
        </w:tc>
      </w:tr>
      <w:tr>
        <w:trPr>
          <w:trHeight w:val="27"/>
        </w:trPr>
        <w:tc>
          <w:tcPr>
            <w:tcW w:w="56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acquisition of businesses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$ 122,579</w:t>
            </w:r>
          </w:p>
        </w:tc>
        <w:tc>
          <w:tcPr>
            <w:tcW w:w="160" w:type="dxa"/>
            <w:vAlign w:val="bottom"/>
          </w:tcPr>
          <w:p>
            <w:pPr>
              <w:spacing w:after="0"/>
              <w:rPr>
                <w:sz w:val="18"/>
                <w:szCs w:val="18"/>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fair value of the common stock issued as part of the consideration paid for our acquisitions was determined on the basis of the closing market price of the common stock on the acquisition date.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2012, we completed the valuation of the assets acquired and liabilities assumed for the 2011 acquisitions. As a result, during 2012, we paid an additional $0.7 million related to purchase price adjustments and completed the purchase price allocation which primarily resulted in adjustments to goodwill and identifiable intangible assets (see Note 5).</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purchase price for each of the 2011 acquisitions was allocated to the assets acquired and liabilities assumed based on their estimated fair value at the acquisition date. On an aggregate basis, the purchase price allocation for the 2011 acquisitions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2,638</w:t>
            </w:r>
          </w:p>
        </w:tc>
        <w:tc>
          <w:tcPr>
            <w:tcW w:w="16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61,741</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40,246</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23,838</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23,414</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46,282</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15,717</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(38,617)</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(8,453)</w:t>
            </w:r>
          </w:p>
        </w:tc>
        <w:tc>
          <w:tcPr>
            <w:tcW w:w="160" w:type="dxa"/>
            <w:vAlign w:val="bottom"/>
            <w:shd w:val="clear" w:color="auto" w:fill="CCEEFF"/>
          </w:tcPr>
          <w:p>
            <w:pPr>
              <w:spacing w:after="0"/>
              <w:rPr>
                <w:sz w:val="17"/>
                <w:szCs w:val="17"/>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60" w:type="dxa"/>
            <w:vAlign w:val="bottom"/>
          </w:tcPr>
          <w:p>
            <w:pPr>
              <w:spacing w:after="0"/>
              <w:rPr>
                <w:sz w:val="19"/>
                <w:szCs w:val="19"/>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161,736</w:t>
            </w:r>
          </w:p>
        </w:tc>
        <w:tc>
          <w:tcPr>
            <w:tcW w:w="160" w:type="dxa"/>
            <w:vAlign w:val="bottom"/>
            <w:shd w:val="clear" w:color="auto" w:fill="CCEEFF"/>
          </w:tcPr>
          <w:p>
            <w:pPr>
              <w:spacing w:after="0"/>
              <w:rPr>
                <w:sz w:val="17"/>
                <w:szCs w:val="17"/>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consolidated financial statements and related notes include the accounts of our wholly-owned and majority-owned subsidiaries and joint ventures where we exercise operational control or have a primary benefit of its profits. All significant intercompany accounts, transactions and profits are eliminated upon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cash, cash equivalents other than money market mutual funds, accounts receivable, accounts payable and accrued expenses approximate fair value based on the short maturities of these instruments.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measure our money market mutual funds, short-term investments and derivative contracts at their fair value in accordance with accounting guidance for fair value measurement. We believe the carrying value of our debt approximates fair value since these obligations bear interest at variable rates or fixed rates which are not significantly different than market rates.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accounting guidance on fair value measurements and disclosures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us. Unobservable inputs are inputs that reflect our assumptions about the assumptions market participants would use in pricing the asset or liability developed based on the best information available under the circumstances. The hierarchy is broken down into three levels based on the reliability of the inputs as follows:</w:t>
      </w:r>
    </w:p>
    <w:p>
      <w:pPr>
        <w:spacing w:after="0" w:line="210"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Inputs – Quoted prices (unadjusted) in active markets for identical assets or liabilities that we have the ability to access.</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Inputs – Inputs other than quoted prices included within Level 1 that are observable for the asset or liability, either directly or indirectly. We perform annual back-testing to validate that these inputs represent observable inputs that market participants use in pricing an asset or liability.</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Inputs – Inputs that are unobservable for the asset or liability.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availability of observable inputs can vary and is affected by a wide variety of factors. To the extent that valuation is based on inputs that are less observable or unobservable in the market, the determination of fair value requires more judgment. Accordingly, the degree of judgment exercised by us in determining fair value is greatest for instruments categorized in Level 3. In certain cases, the inputs used to measure fair value of a specific asset or liability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in its entirety.</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we feel market participants would use in pricing the asset or liability at the measurement date.</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Assets and liabilities that are recorded at fair value have been categorized based upon the fair value hierarchy. Our Level 1 items consist of exchange traded futures. Our Level 2 items consist of commodity swaps, commodity collars, non-designated derivatives in the form of physical forward purchase or sales commitments, hedged inventories and hedged physical forward purchase or sales commitments. Our Level 3 items consist of physical forward purchase or sales commitments, foreign currency forward contracts and the Earn-out liability. Realized and unrealized gains and losses of our physical forward purchase or sales commitments measured at fair value on a recurring basis that utilized Level 3 inputs are recognized as a component of either revenue or cost of revenue (based on the underlying transaction type). Realized and unrealized gains and losses of our foreign currency forward contracts which were not treated as cash flow hedges, measured at fair value on a recurring basis that utilized Level 3 inputs are recognized as other expense/income. Realized and unrealized gains and losses of our short-term investments measured at fair value on a recurring basis that utilized Level 3 inputs are recognized as other expense/income.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Derivative instruments can have bid and ask prices that may be observed in the marketplace. Bid prices reflect the highest price that a market participant is willing to pay and ask prices reflect the lowest price that a market participant is willing to accept. Our policy is to consistently apply mid-market pricing for valuation of our derivative instruments.</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Fair value of derivative commodity contracts and hedged item commitments is derived using forward prices that take into account commodity prices, interest rates, credit risk ratings, option volatility and currency rates. In accordance with the guidance on fair value measurements and disclosures, the impact of our credit risk rating is also considered when measuring the fair value of liabilities. The fair value of derivative instruments may be based on a combination of valuation inputs that are on different hierarchy levels. The fair value disclosures are determined based on the lowest level input that is significant to the fair value measurement in its entirety. The nature of inputs that are considered Level 3 are modeled 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Fair value of hedged item inventories is derived using spot commodity prices and basis differentials. Fair value of foreign currency contracts is derived using forward prices that take into account interest rates, credit risk ratings and currency rates. Factors that could warrant a Level 2 input to move to a Level 3 input may include lack of observable market data because of a decrease in market activity, a degradation of a short-term investment which requires us to value the investment based on a Level 3 input, or a change in significance of a Level 3 input to the fair value measurement in its entirety. Our policy is to recognize transfers between Level 1, 2 or 3 as of the beginning of the reporting period in which the event or change in circumstances caused the transfer to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to our valuation techniques during 2013 and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 of current or future credit worthiness of our customers, particularly in these difficult economic and financial markets. Accounts receivable are reduced by an allowance for bad debt.</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(expense) income,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(expense) income,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derivatives, see Note 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are reviewed based on market factors and operational considerations for impairment whenever events or changes in circumstances indicate that the carrying amount of an asset may not be recoverable.</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Purchases of computer software are capitalized. External costs and certain internal costs (including payroll and payroll-related costs of employees) directly associated with developing significant computer software applications for internal use are capitalized. Training and data conversion costs are expensed as incurred. Computer software costs are amortized using the straight-line method over the estimated useful life of the software.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 acquisitions bring to existing operations and the prevailing market value for comparable companies. Goodwill is not subject to periodic amortization; instead, it is reviewed annually at year-end (or more frequently under certain circumstances) for impairment. We assess qualitative factors to determine whether it is more likely than not that the fair value of any individual reporting unit is less than its carrying amount. In performing the qualitative assessment, we assess relevant events and circumstances that may impact the fair value of our reporting units, including the following: (i) macroeconomic conditions, (ii) industry and market considerations, (iii) earnings quality/sustainability, (iv) overall financial performance, (v) events affecting a reporting unit, (vi) share price and (vii) recent fair value calculation for our reporting units, if available. After assessing the above described events and circumstances, if we determine that it is more likely than not that the fair value of a reporting unit is greater than its carrying value, then no further testing is required. Otherwise, we would perform the first step of quantitative testing for goodwill impairment.</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time to time, we may perform the first step of quantitative testing for goodwill impairment in lieu of performing a qualitative assessment. The first step of the goodwill impairment test compares the estimated fair value of a reporting unit with its carrying value. We estimate the fair value of a reporting unit using discounted cash flows and market capitalization methodologies.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our acquisitions, we record identifiable intangible assets existing at the date of the acquisitions for customer relationships, supplier and non-compete agreements, developed technology and trademark/trade name rights. Identifiable intangible assets subject to amortization are amortized over their estimated useful lives and are reviewed for impairment and appropriate remaining useful lives whenever events or changes in circumstances indicate that the carrying amount of an asset may not be recoverable based on market factors and operational considerations. For identifiable intangible assets not subject to amortization, we first assess qualitative factors to determine whether it is more likely than not that an asset has been impaired. After assessing qualitative factors, if we determine that it is more likely than not that the fair value of an asset is greater than its carrying value, then no further testing is required. Otherwise, we would review for impairment by comparing the fair value of the intangible asset to its carrying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percent of the entities and exercise significant influence over the investee, but do not have operational or financial control. We also have a note receivable from our crude oil joint venture partner, which is not significant. As of December 31, 2013 and 2012, we had other investments of $83.8 million and $41.7 million, respectively, which are included within identifiable intangible and other non-current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Extinguishment of Liability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normal course of business, we accrue liabilities for fuel and services received for which invoices have not yet been received. These liabilities are derecognized, or extinguished, if either (i) payment is made to relieve our obligation for the liability or (ii) we are legally released from our obligation for the liability, such as when our legal obligations with respect to such liabilities lapse or otherwise no longer exist. We derecognized vendor liability accruals due to the legal release of our obligations in the amount of $8.5 million, $11.2 million and $8.3 million during 2013, 2012 and 2011, respectively, which is reflected as a reduction of cost of revenue in the accompanying consolidated statements of income and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third-party subcontractor. Our fuel sales are generated as a fuel reseller as well as from on-hand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fuel-related services is recognized when services are performed, the sales price is fixed or determinable and collectability is reasonably assured. We record the gross sale of fuel-related services as we generally have latitude in establishing the sales price, have discretion in supplier selection, maintain credit risk and are the primary obligor in the sales arrangement.</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Revenue from card payment and processing transactions is recognized at the time the purchase is made by the customer using the charge card.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from charge card transactions is generated from processing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and Customer Rebates and Branding Allowances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receive vendor rebates and branding allowances from a number of our fuel suppliers. Typically, a portion of the rebates and allowances is passed on to our customers under the same terms as required by our fuel suppliers. Generally, volume rebates are received from vendors under structured programs based on the level of fuel purchased or sold as specified in the applicable vendor agreements. Many of the vendor agreements require repayment of all or a portion of the amount received if we (or our customers, typically branded dealers) elect to discontinue selling the specified brand of fuel at certain locations. As of December 31, 2013, the estimated amount of fuel rebates and branding allowances that would have to be repaid upon de-branding at these locations, net of the amount due to us from the branded dealers under similar agreements between us and such dealers were not significant. No liability is recorded for the amount of obligations which would become payable upon de-branding.</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these vendor rebate and branding allowance arrangements require that we make assumptions and judgments regarding, for example, the likelihood of attaining specified levels of purchases or selling specified volume of products. We routinely review the relevant, significant factors and make adjustments when the facts and circumstances dictate that an adjustment is warranted.</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Vendor volume rebates are recognized as a reduction of cost of revenue in the period earned when realization is probable and estimatable and when certain other conditions are met. The rebates passed on to our customers are recognized as a reduction of revenue in the period earned in accordance with the applicable customer agreements. The rebate terms of the customer agreements are generally similar to those of the vendor agreements. We also receive branding allowances from fuel suppliers to defray the costs of branding and enhancing certain of our customer locations. The branding allowances received are recorded as a reduction of cost of revenue. The amounts recorded as a reduction of revenue related to volume rebates and branding allowance arrangements paid to our customers and the amounts recorded as a reduction to cost of revenue related to volume rebates received from vendors were not significant during each of the years presented on the consolidated statements of income and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Awards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share-based payment awards on a fair value basis. Under fair value accounting, the grant-date fair value of the share-based payment award is amortized as compensation expense, on a straight-line basis, over the vesting period for both graded and cliff vesting awards. Annual compensation expense for share-based payment awards is reduced by an expected forfeiture amount on outstanding share-based payment awards.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estimated fair value of stock awards, such as restricted stock and restricted stock units ("RSUs") is based on the grant-date market value of our common stock, as defined in the respective plans under which the awards were granted. To determine the estimated fair value of stock-settled stock appreciation rights ("SSAR Awards"), we use the Black-Scholes option pricing model. The estimation of the fair value of SSAR Awards on the date of grant using an option-pricing model is affected by our stock price as well as assumptions regarding a number of complex and subjective variables. These variables include our expected stock price volatility over the term of the awards, actual and projected employee stock option exercise behaviors, risk-free interest rates and expected dividends. The expected term of SSAR Awards represents the estimated period of time from grant until exercise or conversion and is based on vesting schedules and expected post-vesting,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non-recurring events that would not be expected in the future. Risk-free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share-based payment awards (excess income tax benefits) are classified as financing cash flows. These excess income tax benefits are credited to capital in excess of par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month-end exchange rates. Foreign currency transaction gains and losses are included in other (expense) income, net, in the accompanying consolidated statements of income and comprehensive income in the period incurred. We recorded net foreign currency transaction losses of $2.8 million and $2.7 million in 2013 and 2011, respectively, and a gain of $0.1 million in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 We recorded net foreign currency translation adjustment losses of $13.2 million, $9.6 million and $11.3 million in 2013, 2012 and 2011, respectively. Cumulative foreign currency translation adjustments included in accumulated other comprehensive income amounted to losses of $29.3 million and $16.1 million as of December 31, 2013 and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recognized in the income tax provision in the period that includes the enactment date.</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must assess the likelihood that our deferred tax assets will be recovered from our future taxable income, and to the extent we believe that recovery is not likely, we must establish a valuation allowance against those deferred tax assets. Deferred tax liabilities generally represent items for which we have already taken a deduction in our income tax return, but we have not yet recognized the items as expenses in our results of operations.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U.S. income taxes have not been recognized on undistributed earnings of foreign subsidiaries. Our intention is to reinvest these earnings permanently in active non-U.S.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Diluted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Potentially dilutive securities include restricted stock subject to forfeitable dividends, non-vested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6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World Fuel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203,075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189,345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194,029</w:t>
            </w:r>
          </w:p>
        </w:tc>
        <w:tc>
          <w:tcPr>
            <w:tcW w:w="160" w:type="dxa"/>
            <w:vAlign w:val="bottom"/>
          </w:tcPr>
          <w:p>
            <w:pPr>
              <w:spacing w:after="0"/>
              <w:rPr>
                <w:sz w:val="19"/>
                <w:szCs w:val="19"/>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for basic earnings per common share</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71,224</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71,154</w:t>
            </w:r>
          </w:p>
        </w:tc>
        <w:tc>
          <w:tcPr>
            <w:tcW w:w="2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70,687</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576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7"/>
                <w:szCs w:val="17"/>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2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71,800</w:t>
            </w:r>
          </w:p>
        </w:tc>
        <w:tc>
          <w:tcPr>
            <w:tcW w:w="24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71,817</w:t>
            </w: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71,510</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0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Weighted average securities which are not included in the calculation of</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diluted earnings per common share because their impact is anti-dilutive or</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their performance conditions have not been met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7"/>
                <w:szCs w:val="17"/>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60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2.74</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2.71</w:t>
            </w:r>
          </w:p>
        </w:tc>
      </w:tr>
      <w:tr>
        <w:trPr>
          <w:trHeight w:val="27"/>
        </w:trPr>
        <w:tc>
          <w:tcPr>
            <w:tcW w:w="6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years have been reclassified to conform to current year's presentation.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Presentation of an Unrecognized Tax Benefit When a Net Loss Carryforward, a Similar Tax Loss, or a Tax Credit Carryforward Exists. </w:t>
      </w:r>
      <w:r>
        <w:rPr>
          <w:rFonts w:ascii="Arial" w:cs="Arial" w:eastAsia="Arial" w:hAnsi="Arial"/>
          <w:sz w:val="16"/>
          <w:szCs w:val="16"/>
          <w:color w:val="auto"/>
        </w:rPr>
        <w:t>In July 2013,</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Accounting Standards Board ("FASB") issued an accounting standards update ("ASU") on the presentation of an unrecognized tax benefit when a net operating loss carryforward exists. Under this guidance, an unrecognized tax benefit, or a portion of an unrecognized tax benefit, should be presented in the financial statements as a reduction to a deferred tax asset for a net operating loss carryforward. This update is effective for fiscal years, and interim periods within those years, beginning after December 15, 2013. We are currently evaluating whether the adoption of this new guidance will have a significant impact on our consolidated financial statements and disclosures.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Inclusion of the Fed Funds Effective Swap Rate (or Overnight Index Swap Rate) as a Benchmark Interest Rate for Hedge Accounting Purposes.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2013, the FASB issued an ASU which includes amendments permitting the Fed Funds Effective Swap Rate to be used as a U.S. benchmark interest rate for hedge accounting purposes, in addition to U.S. Government and London Interbank Offered Rate. The amendments also remove the restriction on using different benchmark rates for similar hedges. This update is effective prospectively for qualifying new or redesignated hedging relationships entered into on or after July 17, 2013. The adoption of this ASU did not have a significant impact on our consolidated financial statements and disclosures.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Foreign Currency Matters Parent's Accounting for the Cumulative Translation Adjustment upon Derecognition of Certain Foreign Subsidiaries.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2013, the FASB issued an ASU aimed at resolving the diversity in practice of accounting for the release of 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In addition, the amendments in this ASU resolve the diversity in practice for the treatment of business combinations achieved in stages (sometimes also referred to as step acquisitions) involving a foreign entity. This update is effective for fiscal years, and interim periods within those years, beginning after December 15, 2013. We do not believe the adoption of this new guidance will have a significant impact on our consolidated financial statements and disclosures.</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Disclosure Obligations Resulting from Joint and Several Liability Arrangements. </w:t>
      </w:r>
      <w:r>
        <w:rPr>
          <w:rFonts w:ascii="Arial" w:cs="Arial" w:eastAsia="Arial" w:hAnsi="Arial"/>
          <w:sz w:val="18"/>
          <w:szCs w:val="18"/>
          <w:color w:val="auto"/>
        </w:rPr>
        <w:t>In February 2013, the FASB issued an ASU clarifying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recognition, measurement and disclosure of obligations resulting from joint and several liability arrangements for which the total amount of the obligation within the scope of this ASU is fixed at the reporting date, except for obligations addressed within existing guidance in U.S. GAAP. This update is effective for fiscal years, and interim periods within those years, beginning after December 15, 2013 and will be applied retrospectively. We do not believe the adoption of this new guidance will have a significant impact on our consolidated financial statements and disclosures.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Disclosure Relating to Amounts Reclassified Out of Accumulated Other Comprehensive Income. </w:t>
      </w:r>
      <w:r>
        <w:rPr>
          <w:rFonts w:ascii="Arial" w:cs="Arial" w:eastAsia="Arial" w:hAnsi="Arial"/>
          <w:sz w:val="18"/>
          <w:szCs w:val="18"/>
          <w:color w:val="auto"/>
        </w:rPr>
        <w:t>In February 2013, the FASB issued an ASU</w:t>
      </w:r>
      <w:r>
        <w:rPr>
          <w:rFonts w:ascii="Arial" w:cs="Arial" w:eastAsia="Arial" w:hAnsi="Arial"/>
          <w:sz w:val="18"/>
          <w:szCs w:val="18"/>
          <w:i w:val="1"/>
          <w:iCs w:val="1"/>
          <w:color w:val="auto"/>
        </w:rPr>
        <w:t xml:space="preserve"> </w:t>
      </w:r>
      <w:r>
        <w:rPr>
          <w:rFonts w:ascii="Arial" w:cs="Arial" w:eastAsia="Arial" w:hAnsi="Arial"/>
          <w:sz w:val="18"/>
          <w:szCs w:val="18"/>
          <w:color w:val="auto"/>
        </w:rPr>
        <w:t>amending the information that companies will be required to present relating to reclassifications out of accumulated other comprehensive income. The amendments require presentation, either on the face of the financial statements or in the notes, of amounts reclassified out of accumulated other comprehensive income by component and by net income line item. This update is effective for fiscal years, and interim periods within those years, beginning after December 15, 2012. The adoption of this ASU resulted in additional derivative disclosures included in Note 3 – Derivatives and did not have a significant impact on our consolidated financial statements and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Disclosure About Offsetting Assets and Liabilities. </w:t>
      </w:r>
      <w:r>
        <w:rPr>
          <w:rFonts w:ascii="Arial" w:cs="Arial" w:eastAsia="Arial" w:hAnsi="Arial"/>
          <w:sz w:val="18"/>
          <w:szCs w:val="18"/>
          <w:color w:val="auto"/>
        </w:rPr>
        <w:t>In December 2011, the FASB issued an ASU which requires companies to disclose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financial instruments that have been offset and related arrangements to enable users of its financial statements to understand the effect of those arrangements on its financial position. Companies will be required to provide both net (offset amounts) and gross information in the notes to the financial statements for relevant assets and liabilities that are offset. In January 2013, the FASB issued an ASU clarifying that the requirement to disclose information about financial instruments that have been offset and related arrangements applies only to derivatives, repurchase agreements and reverse purchase agreements, and securities borrowing and lending transactions that are either offset in accordance with specific criteria contained in the FASB Accounting Standards Codification or subject to a master netting arrangement or similar agreement. This update became effective at the beginning of our 2013 fiscal year. The adoption of this ASU did not have a significant impact on our consolidated financial statements and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had accounts receivable of $2.5 billion and $2.2 billion, net of an allowance for bad debt of $29.2 million and $23.7 million, as of December 31, 2013 and 2012, respectively. Accounts receivable are written-off when it becomes apparent based upon age or customer circumstances that such amounts will not be collected.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beginning of period</w:t>
            </w:r>
          </w:p>
        </w:tc>
        <w:tc>
          <w:tcPr>
            <w:tcW w:w="2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$ 23,719</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$ 24,301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$ 20,201</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Charges to provision for bad debt</w:t>
            </w:r>
          </w:p>
        </w:tc>
        <w:tc>
          <w:tcPr>
            <w:tcW w:w="2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11,745</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4,790</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8,173</w:t>
            </w:r>
          </w:p>
        </w:tc>
        <w:tc>
          <w:tcPr>
            <w:tcW w:w="160" w:type="dxa"/>
            <w:vAlign w:val="bottom"/>
          </w:tcPr>
          <w:p>
            <w:pPr>
              <w:spacing w:after="0"/>
              <w:rPr>
                <w:sz w:val="17"/>
                <w:szCs w:val="17"/>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 of uncollectible accounts receivable</w:t>
            </w:r>
          </w:p>
        </w:tc>
        <w:tc>
          <w:tcPr>
            <w:tcW w:w="2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(6,940)</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(6,025)</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w:t>
            </w:r>
          </w:p>
        </w:tc>
        <w:tc>
          <w:tcPr>
            <w:tcW w:w="160" w:type="dxa"/>
            <w:vAlign w:val="bottom"/>
            <w:shd w:val="clear" w:color="auto" w:fill="CCEEFF"/>
          </w:tcPr>
          <w:p>
            <w:pPr>
              <w:spacing w:after="0"/>
              <w:rPr>
                <w:sz w:val="17"/>
                <w:szCs w:val="17"/>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Recoveries of bad debt</w:t>
            </w:r>
          </w:p>
        </w:tc>
        <w:tc>
          <w:tcPr>
            <w:tcW w:w="2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664</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9"/>
                <w:szCs w:val="19"/>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end of period</w:t>
            </w:r>
          </w:p>
        </w:tc>
        <w:tc>
          <w:tcPr>
            <w:tcW w:w="2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$ 29,188</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$ 23,719</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$ 24,301</w:t>
            </w:r>
          </w:p>
        </w:tc>
      </w:tr>
      <w:tr>
        <w:trPr>
          <w:trHeight w:val="27"/>
        </w:trPr>
        <w:tc>
          <w:tcPr>
            <w:tcW w:w="4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Included in accounts receivable is a retained beneficial interest related to accounts receivable sold under our receivables purchase agreements.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retained beneficial interest was not significant as of December 31, 2013 and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As of December 31, 2013, there were no outstanding cash flow hedges. As of December 31, 2012, we recorded a net gain of $0.1 million associated with our outstanding cash flow hedges.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fixed price purchase and sale contracts. As of December 31, 2013 and 2012, we recorded net gains of $0.7 million and $1.0 million, respectively, related to the ineffectiveness between our derivative hedging instruments and hedged items on the respective dates.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w:t>
      </w:r>
      <w:r>
        <w:rPr>
          <w:rFonts w:ascii="Arial" w:cs="Arial" w:eastAsia="Arial" w:hAnsi="Arial"/>
          <w:sz w:val="18"/>
          <w:szCs w:val="18"/>
          <w:i w:val="1"/>
          <w:iCs w:val="1"/>
          <w:color w:val="auto"/>
        </w:rPr>
        <w:t xml:space="preserve"> </w:t>
      </w:r>
      <w:r>
        <w:rPr>
          <w:rFonts w:ascii="Arial" w:cs="Arial" w:eastAsia="Arial" w:hAnsi="Arial"/>
          <w:sz w:val="18"/>
          <w:szCs w:val="18"/>
          <w:color w:val="auto"/>
        </w:rPr>
        <w:t>and land fuel in the form of swaps or futures as well as certain fixed price purchase and sale contracts and proprietary trading. In addition, non-designated derivatives are also entered into to hedge the risk of currency rate fluctuations. As of December 31, 2013 and 2012, we recorded net gains of $2.9 million and $9.8 million, respectively, associated with our outstanding non-designated derivatives.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derivatives accounting policy, see Note 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December 31, 2013, our derivative instruments, at their respective fair value positions were as follows (in thousands, except weighted average fixed price and weighted average mark-to-market amount):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Average   Mark-to-</w:t>
            </w:r>
          </w:p>
        </w:tc>
        <w:tc>
          <w:tcPr>
            <w:tcW w:w="120" w:type="dxa"/>
            <w:vAlign w:val="bottom"/>
          </w:tcPr>
          <w:p>
            <w:pPr>
              <w:spacing w:after="0"/>
              <w:rPr>
                <w:sz w:val="17"/>
                <w:szCs w:val="17"/>
                <w:color w:val="auto"/>
              </w:rPr>
            </w:pPr>
          </w:p>
        </w:tc>
        <w:tc>
          <w:tcPr>
            <w:tcW w:w="1780" w:type="dxa"/>
            <w:vAlign w:val="bottom"/>
            <w:gridSpan w:val="2"/>
          </w:tcPr>
          <w:p>
            <w:pPr>
              <w:jc w:val="right"/>
              <w:ind w:right="1120"/>
              <w:spacing w:after="0" w:line="202" w:lineRule="exact"/>
              <w:rPr>
                <w:sz w:val="20"/>
                <w:szCs w:val="20"/>
                <w:color w:val="auto"/>
              </w:rPr>
            </w:pPr>
            <w:r>
              <w:rPr>
                <w:rFonts w:ascii="Arial" w:cs="Arial" w:eastAsia="Arial" w:hAnsi="Arial"/>
                <w:sz w:val="18"/>
                <w:szCs w:val="18"/>
                <w:b w:val="1"/>
                <w:bCs w:val="1"/>
                <w:color w:val="auto"/>
              </w:rPr>
              <w:t>Fair</w:t>
            </w: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7"/>
              </w:rPr>
              <w:t>Settlement</w:t>
            </w: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Fixed</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17"/>
                <w:szCs w:val="17"/>
                <w:color w:val="auto"/>
              </w:rPr>
            </w:pPr>
          </w:p>
        </w:tc>
        <w:tc>
          <w:tcPr>
            <w:tcW w:w="1780" w:type="dxa"/>
            <w:vAlign w:val="bottom"/>
            <w:gridSpan w:val="2"/>
          </w:tcPr>
          <w:p>
            <w:pPr>
              <w:jc w:val="right"/>
              <w:ind w:right="1120"/>
              <w:spacing w:after="0" w:line="202" w:lineRule="exact"/>
              <w:rPr>
                <w:sz w:val="20"/>
                <w:szCs w:val="20"/>
                <w:color w:val="auto"/>
              </w:rPr>
            </w:pPr>
            <w:r>
              <w:rPr>
                <w:rFonts w:ascii="Arial" w:cs="Arial" w:eastAsia="Arial" w:hAnsi="Arial"/>
                <w:sz w:val="18"/>
                <w:szCs w:val="18"/>
                <w:b w:val="1"/>
                <w:bCs w:val="1"/>
                <w:color w:val="auto"/>
              </w:rPr>
              <w:t>Value</w:t>
            </w:r>
          </w:p>
        </w:tc>
      </w:tr>
      <w:tr>
        <w:trPr>
          <w:trHeight w:val="242"/>
        </w:trPr>
        <w:tc>
          <w:tcPr>
            <w:tcW w:w="1420" w:type="dxa"/>
            <w:vAlign w:val="bottom"/>
          </w:tcPr>
          <w:p>
            <w:pPr>
              <w:spacing w:after="0"/>
              <w:rPr>
                <w:sz w:val="20"/>
                <w:szCs w:val="20"/>
                <w:color w:val="auto"/>
              </w:rPr>
            </w:pPr>
            <w:r>
              <w:rPr>
                <w:rFonts w:ascii="Arial" w:cs="Arial" w:eastAsia="Arial" w:hAnsi="Arial"/>
                <w:sz w:val="18"/>
                <w:szCs w:val="18"/>
                <w:b w:val="1"/>
                <w:bCs w:val="1"/>
                <w:color w:val="auto"/>
              </w:rPr>
              <w:t>Hedge Strategy</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Period</w:t>
            </w:r>
          </w:p>
        </w:tc>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Notional</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Unit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w w:val="94"/>
              </w:rPr>
              <w:t>Amount</w:t>
            </w:r>
          </w:p>
        </w:tc>
      </w:tr>
      <w:tr>
        <w:trPr>
          <w:trHeight w:val="203"/>
        </w:trPr>
        <w:tc>
          <w:tcPr>
            <w:tcW w:w="1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Fair Value Hedge</w:t>
            </w:r>
          </w:p>
        </w:tc>
        <w:tc>
          <w:tcPr>
            <w:tcW w:w="100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7"/>
              </w:rPr>
              <w:t>Commodity contracts for inventory hedging (long)</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BBL $</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97.07</w:t>
            </w: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0.731</w:t>
            </w: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c>
          <w:tcPr>
            <w:tcW w:w="1060" w:type="dxa"/>
            <w:vAlign w:val="bottom"/>
          </w:tcPr>
          <w:p>
            <w:pPr>
              <w:spacing w:after="0"/>
              <w:rPr>
                <w:sz w:val="17"/>
                <w:szCs w:val="17"/>
                <w:color w:val="auto"/>
              </w:rPr>
            </w:pPr>
          </w:p>
        </w:tc>
      </w:tr>
      <w:tr>
        <w:trPr>
          <w:trHeight w:val="206"/>
        </w:trPr>
        <w:tc>
          <w:tcPr>
            <w:tcW w:w="1420" w:type="dxa"/>
            <w:vAlign w:val="bottom"/>
          </w:tcPr>
          <w:p>
            <w:pPr>
              <w:spacing w:after="0"/>
              <w:rPr>
                <w:sz w:val="17"/>
                <w:szCs w:val="17"/>
                <w:color w:val="auto"/>
              </w:rPr>
            </w:pPr>
          </w:p>
        </w:tc>
        <w:tc>
          <w:tcPr>
            <w:tcW w:w="1000" w:type="dxa"/>
            <w:vAlign w:val="bottom"/>
          </w:tcPr>
          <w:p>
            <w:pPr>
              <w:ind w:left="80"/>
              <w:spacing w:after="0" w:line="206"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6" w:lineRule="exact"/>
              <w:rPr>
                <w:sz w:val="20"/>
                <w:szCs w:val="20"/>
                <w:color w:val="auto"/>
              </w:rPr>
            </w:pPr>
            <w:r>
              <w:rPr>
                <w:rFonts w:ascii="Arial" w:cs="Arial" w:eastAsia="Arial" w:hAnsi="Arial"/>
                <w:sz w:val="18"/>
                <w:szCs w:val="18"/>
                <w:color w:val="auto"/>
              </w:rPr>
              <w:t>Commodity contracts for inventory hedging</w:t>
            </w: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rPr>
              <w:t>2,408</w:t>
            </w:r>
          </w:p>
        </w:tc>
        <w:tc>
          <w:tcPr>
            <w:tcW w:w="580" w:type="dxa"/>
            <w:vAlign w:val="bottom"/>
          </w:tcPr>
          <w:p>
            <w:pPr>
              <w:jc w:val="right"/>
              <w:ind w:right="72"/>
              <w:spacing w:after="0" w:line="206" w:lineRule="exact"/>
              <w:rPr>
                <w:sz w:val="20"/>
                <w:szCs w:val="20"/>
                <w:color w:val="auto"/>
              </w:rPr>
            </w:pPr>
            <w:r>
              <w:rPr>
                <w:rFonts w:ascii="Arial" w:cs="Arial" w:eastAsia="Arial" w:hAnsi="Arial"/>
                <w:sz w:val="18"/>
                <w:szCs w:val="18"/>
                <w:color w:val="auto"/>
              </w:rPr>
              <w:t>BBL</w:t>
            </w: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120.21</w:t>
            </w:r>
          </w:p>
        </w:tc>
        <w:tc>
          <w:tcPr>
            <w:tcW w:w="1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(0.588)</w:t>
            </w:r>
          </w:p>
        </w:tc>
        <w:tc>
          <w:tcPr>
            <w:tcW w:w="12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(1,415)</w:t>
            </w:r>
          </w:p>
        </w:tc>
        <w:tc>
          <w:tcPr>
            <w:tcW w:w="1060" w:type="dxa"/>
            <w:vAlign w:val="bottom"/>
          </w:tcPr>
          <w:p>
            <w:pPr>
              <w:spacing w:after="0"/>
              <w:rPr>
                <w:sz w:val="17"/>
                <w:szCs w:val="17"/>
                <w:color w:val="auto"/>
              </w:rPr>
            </w:pPr>
          </w:p>
        </w:tc>
      </w:tr>
      <w:tr>
        <w:trPr>
          <w:trHeight w:val="220"/>
        </w:trPr>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(short)</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60" w:type="dxa"/>
            <w:vAlign w:val="bottom"/>
          </w:tcPr>
          <w:p>
            <w:pPr>
              <w:spacing w:after="0"/>
              <w:rPr>
                <w:sz w:val="17"/>
                <w:szCs w:val="17"/>
                <w:color w:val="auto"/>
              </w:rPr>
            </w:pPr>
          </w:p>
        </w:tc>
      </w:tr>
      <w:tr>
        <w:trPr>
          <w:trHeight w:val="27"/>
        </w:trPr>
        <w:tc>
          <w:tcPr>
            <w:tcW w:w="1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9"/>
        </w:trPr>
        <w:tc>
          <w:tcPr>
            <w:tcW w:w="1420" w:type="dxa"/>
            <w:vAlign w:val="bottom"/>
          </w:tcPr>
          <w:p>
            <w:pPr>
              <w:spacing w:after="0"/>
              <w:rPr>
                <w:sz w:val="20"/>
                <w:szCs w:val="20"/>
                <w:color w:val="auto"/>
              </w:rPr>
            </w:pPr>
            <w:r>
              <w:rPr>
                <w:rFonts w:ascii="Arial" w:cs="Arial" w:eastAsia="Arial" w:hAnsi="Arial"/>
                <w:sz w:val="18"/>
                <w:szCs w:val="18"/>
                <w:color w:val="auto"/>
              </w:rPr>
              <w:t>Non-</w:t>
            </w:r>
          </w:p>
        </w:tc>
        <w:tc>
          <w:tcPr>
            <w:tcW w:w="1000" w:type="dxa"/>
            <w:vAlign w:val="bottom"/>
          </w:tcPr>
          <w:p>
            <w:pPr>
              <w:ind w:left="80"/>
              <w:spacing w:after="0"/>
              <w:rPr>
                <w:sz w:val="20"/>
                <w:szCs w:val="20"/>
                <w:color w:val="auto"/>
              </w:rPr>
            </w:pPr>
            <w:r>
              <w:rPr>
                <w:rFonts w:ascii="Arial" w:cs="Arial" w:eastAsia="Arial" w:hAnsi="Arial"/>
                <w:sz w:val="18"/>
                <w:szCs w:val="18"/>
                <w:color w:val="auto"/>
              </w:rPr>
              <w:t>2014</w:t>
            </w:r>
          </w:p>
        </w:tc>
        <w:tc>
          <w:tcPr>
            <w:tcW w:w="3900" w:type="dxa"/>
            <w:vAlign w:val="bottom"/>
          </w:tcPr>
          <w:p>
            <w:pPr>
              <w:ind w:left="40"/>
              <w:spacing w:after="0"/>
              <w:rPr>
                <w:sz w:val="20"/>
                <w:szCs w:val="20"/>
                <w:color w:val="auto"/>
              </w:rPr>
            </w:pPr>
            <w:r>
              <w:rPr>
                <w:rFonts w:ascii="Arial" w:cs="Arial" w:eastAsia="Arial" w:hAnsi="Arial"/>
                <w:sz w:val="18"/>
                <w:szCs w:val="18"/>
                <w:color w:val="auto"/>
              </w:rPr>
              <w:t>Commodity contracts (long)</w:t>
            </w:r>
          </w:p>
        </w:tc>
        <w:tc>
          <w:tcPr>
            <w:tcW w:w="940" w:type="dxa"/>
            <w:vAlign w:val="bottom"/>
          </w:tcPr>
          <w:p>
            <w:pPr>
              <w:jc w:val="right"/>
              <w:spacing w:after="0"/>
              <w:rPr>
                <w:sz w:val="20"/>
                <w:szCs w:val="20"/>
                <w:color w:val="auto"/>
              </w:rPr>
            </w:pPr>
            <w:r>
              <w:rPr>
                <w:rFonts w:ascii="Arial" w:cs="Arial" w:eastAsia="Arial" w:hAnsi="Arial"/>
                <w:sz w:val="18"/>
                <w:szCs w:val="18"/>
                <w:color w:val="auto"/>
              </w:rPr>
              <w:t>21,201</w:t>
            </w:r>
          </w:p>
        </w:tc>
        <w:tc>
          <w:tcPr>
            <w:tcW w:w="580" w:type="dxa"/>
            <w:vAlign w:val="bottom"/>
          </w:tcPr>
          <w:p>
            <w:pPr>
              <w:jc w:val="right"/>
              <w:spacing w:after="0"/>
              <w:rPr>
                <w:sz w:val="20"/>
                <w:szCs w:val="20"/>
                <w:color w:val="auto"/>
              </w:rPr>
            </w:pPr>
            <w:r>
              <w:rPr>
                <w:rFonts w:ascii="Arial" w:cs="Arial" w:eastAsia="Arial" w:hAnsi="Arial"/>
                <w:sz w:val="18"/>
                <w:szCs w:val="18"/>
                <w:color w:val="auto"/>
              </w:rPr>
              <w:t>BBL $</w:t>
            </w:r>
          </w:p>
        </w:tc>
        <w:tc>
          <w:tcPr>
            <w:tcW w:w="720" w:type="dxa"/>
            <w:vAlign w:val="bottom"/>
          </w:tcPr>
          <w:p>
            <w:pPr>
              <w:jc w:val="right"/>
              <w:spacing w:after="0"/>
              <w:rPr>
                <w:sz w:val="20"/>
                <w:szCs w:val="20"/>
                <w:color w:val="auto"/>
              </w:rPr>
            </w:pPr>
            <w:r>
              <w:rPr>
                <w:rFonts w:ascii="Arial" w:cs="Arial" w:eastAsia="Arial" w:hAnsi="Arial"/>
                <w:sz w:val="18"/>
                <w:szCs w:val="18"/>
                <w:color w:val="auto"/>
              </w:rPr>
              <w:t>76.85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32,558</w:t>
            </w:r>
          </w:p>
        </w:tc>
        <w:tc>
          <w:tcPr>
            <w:tcW w:w="1060" w:type="dxa"/>
            <w:vAlign w:val="bottom"/>
          </w:tcPr>
          <w:p>
            <w:pPr>
              <w:spacing w:after="0"/>
              <w:rPr>
                <w:sz w:val="24"/>
                <w:szCs w:val="24"/>
                <w:color w:val="auto"/>
              </w:rPr>
            </w:pPr>
          </w:p>
        </w:tc>
      </w:tr>
      <w:tr>
        <w:trPr>
          <w:trHeight w:val="199"/>
        </w:trPr>
        <w:tc>
          <w:tcPr>
            <w:tcW w:w="1420" w:type="dxa"/>
            <w:vAlign w:val="bottom"/>
          </w:tcPr>
          <w:p>
            <w:pPr>
              <w:spacing w:after="0" w:line="200" w:lineRule="exact"/>
              <w:rPr>
                <w:sz w:val="20"/>
                <w:szCs w:val="20"/>
                <w:color w:val="auto"/>
              </w:rPr>
            </w:pPr>
            <w:r>
              <w:rPr>
                <w:rFonts w:ascii="Arial" w:cs="Arial" w:eastAsia="Arial" w:hAnsi="Arial"/>
                <w:sz w:val="18"/>
                <w:szCs w:val="18"/>
                <w:color w:val="auto"/>
              </w:rPr>
              <w:t>Designated</w:t>
            </w: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22,110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BBL</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(26,703)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2015</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Commodity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BBL</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66.61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2.743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2,345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2015</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BBL</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(2.745)</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(1,952)</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7,306</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AUD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0.93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(0.045)</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14,846</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AUD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5,163</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BRL</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0.002</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6,143</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CAD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16,455</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CAD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0.022</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3,623,136</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CLP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526.58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2,050,646</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CLP</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522.03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22,377,451</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COP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1,919.11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21,721,361</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COP</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4"/>
              </w:rPr>
              <w:t>1,924.54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68,422</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DKK</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0.002</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37,000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DKK</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EUR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0.012</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32,640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EUR</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(0.013)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135,817</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GBP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201,321</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GBP</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(0.046)</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(9,242)</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18,569</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INR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111,367</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INR</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63.39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393,196</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JPY</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480,270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JPY</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100.70</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1,247,152</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MXN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1,074,000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9"/>
              </w:rPr>
              <w:t>MXN</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13.06</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0.000</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42,500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NOK</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0.002</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41,041</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NOK</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PLN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(0.009)</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17,409</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9"/>
              </w:rPr>
              <w:t>RON</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29,931</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SGD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(0.006)</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24,708</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SGD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0.009</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ZAR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(0.005)</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0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115,020</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ZAR</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0.003</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6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2015</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2,900</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GBP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(0.051)</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60" w:type="dxa"/>
            <w:vAlign w:val="bottom"/>
          </w:tcPr>
          <w:p>
            <w:pPr>
              <w:spacing w:after="0"/>
              <w:rPr>
                <w:sz w:val="17"/>
                <w:szCs w:val="17"/>
                <w:color w:val="auto"/>
              </w:rPr>
            </w:pPr>
          </w:p>
        </w:tc>
      </w:tr>
      <w:tr>
        <w:trPr>
          <w:trHeight w:val="27"/>
        </w:trPr>
        <w:tc>
          <w:tcPr>
            <w:tcW w:w="1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r>
        <w:trPr>
          <w:trHeight w:val="217"/>
        </w:trPr>
        <w:tc>
          <w:tcPr>
            <w:tcW w:w="1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60" w:type="dxa"/>
            <w:vAlign w:val="bottom"/>
          </w:tcPr>
          <w:p>
            <w:pPr>
              <w:spacing w:after="0"/>
              <w:rPr>
                <w:sz w:val="18"/>
                <w:szCs w:val="18"/>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7"/>
        </w:trPr>
        <w:tc>
          <w:tcPr>
            <w:tcW w:w="1420" w:type="dxa"/>
            <w:vAlign w:val="bottom"/>
          </w:tcPr>
          <w:p>
            <w:pPr>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5"/>
        </w:trPr>
        <w:tc>
          <w:tcPr>
            <w:tcW w:w="14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366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Balance Sheet Location</w:t>
            </w:r>
          </w:p>
        </w:tc>
        <w:tc>
          <w:tcPr>
            <w:tcW w:w="200" w:type="dxa"/>
            <w:vAlign w:val="bottom"/>
          </w:tcPr>
          <w:p>
            <w:pPr>
              <w:spacing w:after="0"/>
              <w:rPr>
                <w:sz w:val="21"/>
                <w:szCs w:val="21"/>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3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 assets:</w:t>
            </w:r>
          </w:p>
        </w:tc>
        <w:tc>
          <w:tcPr>
            <w:tcW w:w="3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w w:val="97"/>
              </w:rPr>
              <w:t>Derivatives designated as hedging instruments</w:t>
            </w: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7"/>
                <w:szCs w:val="17"/>
                <w:color w:val="auto"/>
              </w:rPr>
            </w:pPr>
          </w:p>
        </w:tc>
      </w:tr>
      <w:tr>
        <w:trPr>
          <w:trHeight w:val="206"/>
        </w:trPr>
        <w:tc>
          <w:tcPr>
            <w:tcW w:w="3660" w:type="dxa"/>
            <w:vAlign w:val="bottom"/>
          </w:tcPr>
          <w:p>
            <w:pPr>
              <w:spacing w:after="0"/>
              <w:rPr>
                <w:sz w:val="17"/>
                <w:szCs w:val="17"/>
                <w:color w:val="auto"/>
              </w:rPr>
            </w:pPr>
          </w:p>
        </w:tc>
        <w:tc>
          <w:tcPr>
            <w:tcW w:w="364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contracts</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CEEFF"/>
          </w:tcPr>
          <w:p>
            <w:pPr>
              <w:spacing w:after="0"/>
              <w:rPr>
                <w:sz w:val="18"/>
                <w:szCs w:val="18"/>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3660" w:type="dxa"/>
            <w:vAlign w:val="bottom"/>
          </w:tcPr>
          <w:p>
            <w:pPr>
              <w:spacing w:after="0" w:line="200" w:lineRule="exact"/>
              <w:rPr>
                <w:sz w:val="20"/>
                <w:szCs w:val="20"/>
                <w:color w:val="auto"/>
              </w:rPr>
            </w:pPr>
            <w:r>
              <w:rPr>
                <w:rFonts w:ascii="Arial" w:cs="Arial" w:eastAsia="Arial" w:hAnsi="Arial"/>
                <w:sz w:val="18"/>
                <w:szCs w:val="18"/>
                <w:color w:val="auto"/>
              </w:rPr>
              <w:t>Derivatives not designated as hedging</w:t>
            </w: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3660" w:type="dxa"/>
            <w:vAlign w:val="bottom"/>
          </w:tcPr>
          <w:p>
            <w:pPr>
              <w:ind w:left="160"/>
              <w:spacing w:after="0" w:line="200" w:lineRule="exact"/>
              <w:rPr>
                <w:sz w:val="20"/>
                <w:szCs w:val="20"/>
                <w:color w:val="auto"/>
              </w:rPr>
            </w:pPr>
            <w:r>
              <w:rPr>
                <w:rFonts w:ascii="Arial" w:cs="Arial" w:eastAsia="Arial" w:hAnsi="Arial"/>
                <w:sz w:val="18"/>
                <w:szCs w:val="18"/>
                <w:color w:val="auto"/>
              </w:rPr>
              <w:t>instruments</w:t>
            </w: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4"/>
              </w:rPr>
              <w:t>47,062</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67,533</w:t>
            </w:r>
          </w:p>
        </w:tc>
        <w:tc>
          <w:tcPr>
            <w:tcW w:w="160" w:type="dxa"/>
            <w:vAlign w:val="bottom"/>
            <w:shd w:val="clear" w:color="auto" w:fill="CCEEFF"/>
          </w:tcPr>
          <w:p>
            <w:pPr>
              <w:spacing w:after="0"/>
              <w:rPr>
                <w:sz w:val="17"/>
                <w:szCs w:val="17"/>
                <w:color w:val="auto"/>
              </w:rPr>
            </w:pPr>
          </w:p>
        </w:tc>
      </w:tr>
      <w:tr>
        <w:trPr>
          <w:trHeight w:val="206"/>
        </w:trPr>
        <w:tc>
          <w:tcPr>
            <w:tcW w:w="3660" w:type="dxa"/>
            <w:vAlign w:val="bottom"/>
          </w:tcPr>
          <w:p>
            <w:pPr>
              <w:spacing w:after="0"/>
              <w:rPr>
                <w:sz w:val="17"/>
                <w:szCs w:val="17"/>
                <w:color w:val="auto"/>
              </w:rPr>
            </w:pPr>
          </w:p>
        </w:tc>
        <w:tc>
          <w:tcPr>
            <w:tcW w:w="3640" w:type="dxa"/>
            <w:vAlign w:val="bottom"/>
          </w:tcPr>
          <w:p>
            <w:pPr>
              <w:ind w:left="160"/>
              <w:spacing w:after="0" w:line="206" w:lineRule="exact"/>
              <w:rPr>
                <w:sz w:val="20"/>
                <w:szCs w:val="20"/>
                <w:color w:val="auto"/>
              </w:rPr>
            </w:pPr>
            <w:r>
              <w:rPr>
                <w:rFonts w:ascii="Arial" w:cs="Arial" w:eastAsia="Arial" w:hAnsi="Arial"/>
                <w:sz w:val="18"/>
                <w:szCs w:val="18"/>
                <w:color w:val="auto"/>
                <w:w w:val="99"/>
              </w:rPr>
              <w:t>Identifiable intangible and other non-current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3660" w:type="dxa"/>
            <w:vAlign w:val="bottom"/>
          </w:tcPr>
          <w:p>
            <w:pPr>
              <w:spacing w:after="0" w:line="200" w:lineRule="exact"/>
              <w:rPr>
                <w:sz w:val="20"/>
                <w:szCs w:val="20"/>
                <w:color w:val="auto"/>
              </w:rPr>
            </w:pPr>
            <w:r>
              <w:rPr>
                <w:rFonts w:ascii="Arial" w:cs="Arial" w:eastAsia="Arial" w:hAnsi="Arial"/>
                <w:sz w:val="18"/>
                <w:szCs w:val="18"/>
                <w:color w:val="auto"/>
              </w:rPr>
              <w:t>Commodity contracts</w:t>
            </w:r>
          </w:p>
        </w:tc>
        <w:tc>
          <w:tcPr>
            <w:tcW w:w="3640" w:type="dxa"/>
            <w:vAlign w:val="bottom"/>
          </w:tcPr>
          <w:p>
            <w:pPr>
              <w:ind w:left="160"/>
              <w:spacing w:after="0" w:line="200"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7"/>
                <w:szCs w:val="17"/>
                <w:color w:val="auto"/>
              </w:rPr>
            </w:pPr>
          </w:p>
        </w:tc>
        <w:tc>
          <w:tcPr>
            <w:tcW w:w="720" w:type="dxa"/>
            <w:vAlign w:val="bottom"/>
          </w:tcPr>
          <w:p>
            <w:pPr>
              <w:jc w:val="right"/>
              <w:ind w:right="92"/>
              <w:spacing w:after="0" w:line="200" w:lineRule="exact"/>
              <w:rPr>
                <w:sz w:val="20"/>
                <w:szCs w:val="20"/>
                <w:color w:val="auto"/>
              </w:rPr>
            </w:pPr>
            <w:r>
              <w:rPr>
                <w:rFonts w:ascii="Arial" w:cs="Arial" w:eastAsia="Arial" w:hAnsi="Arial"/>
                <w:sz w:val="18"/>
                <w:szCs w:val="18"/>
                <w:color w:val="auto"/>
              </w:rPr>
              <w:t>1,642</w:t>
            </w:r>
          </w:p>
        </w:tc>
        <w:tc>
          <w:tcPr>
            <w:tcW w:w="28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1,423</w:t>
            </w:r>
          </w:p>
        </w:tc>
        <w:tc>
          <w:tcPr>
            <w:tcW w:w="160" w:type="dxa"/>
            <w:vAlign w:val="bottom"/>
          </w:tcPr>
          <w:p>
            <w:pPr>
              <w:spacing w:after="0"/>
              <w:rPr>
                <w:sz w:val="17"/>
                <w:szCs w:val="17"/>
                <w:color w:val="auto"/>
              </w:rPr>
            </w:pPr>
          </w:p>
        </w:tc>
      </w:tr>
      <w:tr>
        <w:trPr>
          <w:trHeight w:val="206"/>
        </w:trPr>
        <w:tc>
          <w:tcPr>
            <w:tcW w:w="3660" w:type="dxa"/>
            <w:vAlign w:val="bottom"/>
            <w:shd w:val="clear" w:color="auto" w:fill="CCEEFF"/>
          </w:tcPr>
          <w:p>
            <w:pPr>
              <w:spacing w:after="0"/>
              <w:rPr>
                <w:sz w:val="17"/>
                <w:szCs w:val="17"/>
                <w:color w:val="auto"/>
              </w:rPr>
            </w:pPr>
          </w:p>
        </w:tc>
        <w:tc>
          <w:tcPr>
            <w:tcW w:w="364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Commodity contracts</w:t>
            </w:r>
          </w:p>
        </w:tc>
        <w:tc>
          <w:tcPr>
            <w:tcW w:w="36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1,141</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5,776</w:t>
            </w:r>
          </w:p>
        </w:tc>
        <w:tc>
          <w:tcPr>
            <w:tcW w:w="160" w:type="dxa"/>
            <w:vAlign w:val="bottom"/>
            <w:shd w:val="clear" w:color="auto" w:fill="CCEEFF"/>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640" w:type="dxa"/>
            <w:vAlign w:val="bottom"/>
          </w:tcPr>
          <w:p>
            <w:pPr>
              <w:ind w:left="160"/>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874</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5,003</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7"/>
                <w:szCs w:val="17"/>
                <w:color w:val="auto"/>
              </w:rPr>
            </w:pPr>
          </w:p>
        </w:tc>
      </w:tr>
      <w:tr>
        <w:trPr>
          <w:trHeight w:val="206"/>
        </w:trPr>
        <w:tc>
          <w:tcPr>
            <w:tcW w:w="3660" w:type="dxa"/>
            <w:vAlign w:val="bottom"/>
          </w:tcPr>
          <w:p>
            <w:pPr>
              <w:spacing w:after="0"/>
              <w:rPr>
                <w:sz w:val="17"/>
                <w:szCs w:val="17"/>
                <w:color w:val="auto"/>
              </w:rPr>
            </w:pPr>
          </w:p>
        </w:tc>
        <w:tc>
          <w:tcPr>
            <w:tcW w:w="364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contracts</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3,483</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59,205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77,064</w:t>
            </w:r>
          </w:p>
        </w:tc>
        <w:tc>
          <w:tcPr>
            <w:tcW w:w="160" w:type="dxa"/>
            <w:vAlign w:val="bottom"/>
            <w:shd w:val="clear" w:color="auto" w:fill="CCEEFF"/>
          </w:tcPr>
          <w:p>
            <w:pPr>
              <w:spacing w:after="0"/>
              <w:rPr>
                <w:sz w:val="18"/>
                <w:szCs w:val="18"/>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6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59,940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78,203</w:t>
            </w:r>
          </w:p>
        </w:tc>
        <w:tc>
          <w:tcPr>
            <w:tcW w:w="160" w:type="dxa"/>
            <w:vAlign w:val="bottom"/>
          </w:tcPr>
          <w:p>
            <w:pPr>
              <w:spacing w:after="0"/>
              <w:rPr>
                <w:sz w:val="20"/>
                <w:szCs w:val="20"/>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Derivative liabilities:</w:t>
            </w:r>
          </w:p>
        </w:tc>
        <w:tc>
          <w:tcPr>
            <w:tcW w:w="3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w w:val="97"/>
              </w:rPr>
              <w:t>Derivatives designated as hedging instruments</w:t>
            </w: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1,544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2,284</w:t>
            </w:r>
          </w:p>
        </w:tc>
        <w:tc>
          <w:tcPr>
            <w:tcW w:w="160" w:type="dxa"/>
            <w:vAlign w:val="bottom"/>
            <w:shd w:val="clear" w:color="auto" w:fill="CCEEFF"/>
          </w:tcPr>
          <w:p>
            <w:pPr>
              <w:spacing w:after="0"/>
              <w:rPr>
                <w:sz w:val="17"/>
                <w:szCs w:val="17"/>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6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1,544</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60" w:type="dxa"/>
            <w:vAlign w:val="bottom"/>
          </w:tcPr>
          <w:p>
            <w:pPr>
              <w:spacing w:after="0"/>
              <w:rPr>
                <w:sz w:val="20"/>
                <w:szCs w:val="20"/>
                <w:color w:val="auto"/>
              </w:rPr>
            </w:pPr>
          </w:p>
        </w:tc>
      </w:tr>
      <w:tr>
        <w:trPr>
          <w:trHeight w:val="206"/>
        </w:trPr>
        <w:tc>
          <w:tcPr>
            <w:tcW w:w="3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Derivatives not designated as hedging</w:t>
            </w:r>
          </w:p>
        </w:tc>
        <w:tc>
          <w:tcPr>
            <w:tcW w:w="3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instruments</w:t>
            </w:r>
          </w:p>
        </w:tc>
        <w:tc>
          <w:tcPr>
            <w:tcW w:w="3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64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4"/>
              </w:rPr>
              <w:t>26,876</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41,410</w:t>
            </w:r>
          </w:p>
        </w:tc>
        <w:tc>
          <w:tcPr>
            <w:tcW w:w="160" w:type="dxa"/>
            <w:vAlign w:val="bottom"/>
          </w:tcPr>
          <w:p>
            <w:pPr>
              <w:spacing w:after="0"/>
              <w:rPr>
                <w:sz w:val="17"/>
                <w:szCs w:val="17"/>
                <w:color w:val="auto"/>
              </w:rPr>
            </w:pPr>
          </w:p>
        </w:tc>
      </w:tr>
      <w:tr>
        <w:trPr>
          <w:trHeight w:val="206"/>
        </w:trPr>
        <w:tc>
          <w:tcPr>
            <w:tcW w:w="3660" w:type="dxa"/>
            <w:vAlign w:val="bottom"/>
            <w:shd w:val="clear" w:color="auto" w:fill="CCEEFF"/>
          </w:tcPr>
          <w:p>
            <w:pPr>
              <w:spacing w:after="0"/>
              <w:rPr>
                <w:sz w:val="17"/>
                <w:szCs w:val="17"/>
                <w:color w:val="auto"/>
              </w:rPr>
            </w:pPr>
          </w:p>
        </w:tc>
        <w:tc>
          <w:tcPr>
            <w:tcW w:w="364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w w:val="99"/>
              </w:rPr>
              <w:t>Identifiable intangible and other non-current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Commodity contracts</w:t>
            </w:r>
          </w:p>
        </w:tc>
        <w:tc>
          <w:tcPr>
            <w:tcW w:w="36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r>
      <w:tr>
        <w:trPr>
          <w:trHeight w:val="206"/>
        </w:trPr>
        <w:tc>
          <w:tcPr>
            <w:tcW w:w="3660" w:type="dxa"/>
            <w:vAlign w:val="bottom"/>
          </w:tcPr>
          <w:p>
            <w:pPr>
              <w:spacing w:after="0"/>
              <w:rPr>
                <w:sz w:val="17"/>
                <w:szCs w:val="17"/>
                <w:color w:val="auto"/>
              </w:rPr>
            </w:pPr>
          </w:p>
        </w:tc>
        <w:tc>
          <w:tcPr>
            <w:tcW w:w="364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3660" w:type="dxa"/>
            <w:vAlign w:val="bottom"/>
          </w:tcPr>
          <w:p>
            <w:pPr>
              <w:spacing w:after="0" w:line="200" w:lineRule="exact"/>
              <w:rPr>
                <w:sz w:val="20"/>
                <w:szCs w:val="20"/>
                <w:color w:val="auto"/>
              </w:rPr>
            </w:pPr>
            <w:r>
              <w:rPr>
                <w:rFonts w:ascii="Arial" w:cs="Arial" w:eastAsia="Arial" w:hAnsi="Arial"/>
                <w:sz w:val="18"/>
                <w:szCs w:val="18"/>
                <w:color w:val="auto"/>
              </w:rPr>
              <w:t>Commodity contracts</w:t>
            </w:r>
          </w:p>
        </w:tc>
        <w:tc>
          <w:tcPr>
            <w:tcW w:w="3640" w:type="dxa"/>
            <w:vAlign w:val="bottom"/>
          </w:tcPr>
          <w:p>
            <w:pPr>
              <w:ind w:left="160"/>
              <w:spacing w:after="0" w:line="200"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7"/>
                <w:szCs w:val="17"/>
                <w:color w:val="auto"/>
              </w:rPr>
            </w:pPr>
          </w:p>
        </w:tc>
        <w:tc>
          <w:tcPr>
            <w:tcW w:w="720" w:type="dxa"/>
            <w:vAlign w:val="bottom"/>
          </w:tcPr>
          <w:p>
            <w:pPr>
              <w:jc w:val="right"/>
              <w:ind w:right="92"/>
              <w:spacing w:after="0" w:line="200" w:lineRule="exact"/>
              <w:rPr>
                <w:sz w:val="20"/>
                <w:szCs w:val="20"/>
                <w:color w:val="auto"/>
              </w:rPr>
            </w:pPr>
            <w:r>
              <w:rPr>
                <w:rFonts w:ascii="Arial" w:cs="Arial" w:eastAsia="Arial" w:hAnsi="Arial"/>
                <w:sz w:val="18"/>
                <w:szCs w:val="18"/>
                <w:color w:val="auto"/>
                <w:w w:val="94"/>
              </w:rPr>
              <w:t>15,473</w:t>
            </w:r>
          </w:p>
        </w:tc>
        <w:tc>
          <w:tcPr>
            <w:tcW w:w="28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w w:val="94"/>
              </w:rPr>
              <w:t>20,927</w:t>
            </w:r>
          </w:p>
        </w:tc>
        <w:tc>
          <w:tcPr>
            <w:tcW w:w="16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1,228</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364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2,867</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595</w:t>
            </w:r>
          </w:p>
        </w:tc>
        <w:tc>
          <w:tcPr>
            <w:tcW w:w="160" w:type="dxa"/>
            <w:vAlign w:val="bottom"/>
          </w:tcPr>
          <w:p>
            <w:pPr>
              <w:spacing w:after="0"/>
              <w:rPr>
                <w:sz w:val="17"/>
                <w:szCs w:val="17"/>
                <w:color w:val="auto"/>
              </w:rPr>
            </w:pPr>
          </w:p>
        </w:tc>
      </w:tr>
      <w:tr>
        <w:trPr>
          <w:trHeight w:val="206"/>
        </w:trPr>
        <w:tc>
          <w:tcPr>
            <w:tcW w:w="3660" w:type="dxa"/>
            <w:vAlign w:val="bottom"/>
            <w:shd w:val="clear" w:color="auto" w:fill="CCEEFF"/>
          </w:tcPr>
          <w:p>
            <w:pPr>
              <w:spacing w:after="0"/>
              <w:rPr>
                <w:sz w:val="17"/>
                <w:szCs w:val="17"/>
                <w:color w:val="auto"/>
              </w:rPr>
            </w:pPr>
          </w:p>
        </w:tc>
        <w:tc>
          <w:tcPr>
            <w:tcW w:w="364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 currency contracts</w:t>
            </w:r>
          </w:p>
        </w:tc>
        <w:tc>
          <w:tcPr>
            <w:tcW w:w="36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8,789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17"/>
                <w:szCs w:val="17"/>
                <w:color w:val="auto"/>
              </w:rPr>
            </w:pPr>
          </w:p>
        </w:tc>
      </w:tr>
      <w:tr>
        <w:trPr>
          <w:trHeight w:val="22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contracts</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56,274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67,263</w:t>
            </w:r>
          </w:p>
        </w:tc>
        <w:tc>
          <w:tcPr>
            <w:tcW w:w="160" w:type="dxa"/>
            <w:vAlign w:val="bottom"/>
            <w:shd w:val="clear" w:color="auto" w:fill="CCEEFF"/>
          </w:tcPr>
          <w:p>
            <w:pPr>
              <w:spacing w:after="0"/>
              <w:rPr>
                <w:sz w:val="18"/>
                <w:szCs w:val="18"/>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6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57,818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69,547</w:t>
            </w:r>
          </w:p>
        </w:tc>
        <w:tc>
          <w:tcPr>
            <w:tcW w:w="160" w:type="dxa"/>
            <w:vAlign w:val="bottom"/>
          </w:tcPr>
          <w:p>
            <w:pPr>
              <w:spacing w:after="0"/>
              <w:rPr>
                <w:sz w:val="20"/>
                <w:szCs w:val="20"/>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tables present the effect of and financial statement location of our derivative instruments and related hedged items in fair value hedging relationships on our consolidated statements of income and comprehensive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b w:val="1"/>
                <w:bCs w:val="1"/>
                <w:color w:val="auto"/>
              </w:rPr>
              <w:t>Derivative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Realized and Unrealized</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9"/>
              </w:rPr>
              <w:t>Realized and Unrealized</w:t>
            </w:r>
          </w:p>
        </w:tc>
      </w:tr>
      <w:tr>
        <w:trPr>
          <w:trHeight w:val="242"/>
        </w:trPr>
        <w:tc>
          <w:tcPr>
            <w:tcW w:w="124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Location</w:t>
            </w:r>
          </w:p>
        </w:tc>
        <w:tc>
          <w:tcPr>
            <w:tcW w:w="640" w:type="dxa"/>
            <w:vAlign w:val="bottom"/>
          </w:tcPr>
          <w:p>
            <w:pPr>
              <w:spacing w:after="0"/>
              <w:rPr>
                <w:sz w:val="21"/>
                <w:szCs w:val="21"/>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Gain (Loss)</w:t>
            </w: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Hedged Items</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Location</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Gain (Loss)</w:t>
            </w:r>
          </w:p>
        </w:tc>
      </w:tr>
      <w:tr>
        <w:trPr>
          <w:trHeight w:val="184"/>
        </w:trPr>
        <w:tc>
          <w:tcPr>
            <w:tcW w:w="124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gridSpan w:val="6"/>
          </w:tcPr>
          <w:p>
            <w:pPr>
              <w:jc w:val="right"/>
              <w:spacing w:after="0" w:line="184" w:lineRule="exact"/>
              <w:rPr>
                <w:sz w:val="20"/>
                <w:szCs w:val="20"/>
                <w:color w:val="auto"/>
              </w:rPr>
            </w:pPr>
            <w:r>
              <w:rPr>
                <w:rFonts w:ascii="Arial" w:cs="Arial" w:eastAsia="Arial" w:hAnsi="Arial"/>
                <w:sz w:val="18"/>
                <w:szCs w:val="18"/>
                <w:b w:val="1"/>
                <w:bCs w:val="1"/>
                <w:color w:val="auto"/>
              </w:rPr>
              <w:t>For the year ended December 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gridSpan w:val="7"/>
          </w:tcPr>
          <w:p>
            <w:pPr>
              <w:jc w:val="right"/>
              <w:spacing w:after="0" w:line="184" w:lineRule="exact"/>
              <w:rPr>
                <w:sz w:val="20"/>
                <w:szCs w:val="20"/>
                <w:color w:val="auto"/>
              </w:rPr>
            </w:pPr>
            <w:r>
              <w:rPr>
                <w:rFonts w:ascii="Arial" w:cs="Arial" w:eastAsia="Arial" w:hAnsi="Arial"/>
                <w:sz w:val="18"/>
                <w:szCs w:val="18"/>
                <w:b w:val="1"/>
                <w:bCs w:val="1"/>
                <w:color w:val="auto"/>
              </w:rPr>
              <w:t>For the year ended December 31,</w:t>
            </w:r>
          </w:p>
        </w:tc>
        <w:tc>
          <w:tcPr>
            <w:tcW w:w="80" w:type="dxa"/>
            <w:vAlign w:val="bottom"/>
          </w:tcPr>
          <w:p>
            <w:pPr>
              <w:spacing w:after="0"/>
              <w:rPr>
                <w:sz w:val="15"/>
                <w:szCs w:val="15"/>
                <w:color w:val="auto"/>
              </w:rPr>
            </w:pPr>
          </w:p>
        </w:tc>
      </w:tr>
      <w:tr>
        <w:trPr>
          <w:trHeight w:val="242"/>
        </w:trPr>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r>
      <w:tr>
        <w:trPr>
          <w:trHeight w:val="206"/>
        </w:trPr>
        <w:tc>
          <w:tcPr>
            <w:tcW w:w="1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Commodity</w:t>
            </w:r>
          </w:p>
        </w:tc>
        <w:tc>
          <w:tcPr>
            <w:tcW w:w="10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
              <w:spacing w:after="0" w:line="206" w:lineRule="exact"/>
              <w:rPr>
                <w:sz w:val="20"/>
                <w:szCs w:val="20"/>
                <w:color w:val="auto"/>
              </w:rPr>
            </w:pPr>
            <w:r>
              <w:rPr>
                <w:rFonts w:ascii="Arial" w:cs="Arial" w:eastAsia="Arial" w:hAnsi="Arial"/>
                <w:sz w:val="18"/>
                <w:szCs w:val="18"/>
                <w:color w:val="auto"/>
              </w:rPr>
              <w:t>Firm</w:t>
            </w:r>
          </w:p>
        </w:tc>
        <w:tc>
          <w:tcPr>
            <w:tcW w:w="10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1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contracts</w:t>
            </w:r>
          </w:p>
        </w:tc>
        <w:tc>
          <w:tcPr>
            <w:tcW w:w="11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w w:val="99"/>
              </w:rPr>
              <w:t>Revenue  $</w:t>
            </w: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11,608</w:t>
            </w:r>
          </w:p>
        </w:tc>
        <w:tc>
          <w:tcPr>
            <w:tcW w:w="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
              <w:spacing w:after="0" w:line="200" w:lineRule="exact"/>
              <w:rPr>
                <w:sz w:val="20"/>
                <w:szCs w:val="20"/>
                <w:color w:val="auto"/>
              </w:rPr>
            </w:pPr>
            <w:r>
              <w:rPr>
                <w:rFonts w:ascii="Arial" w:cs="Arial" w:eastAsia="Arial" w:hAnsi="Arial"/>
                <w:sz w:val="18"/>
                <w:szCs w:val="18"/>
                <w:color w:val="auto"/>
              </w:rPr>
              <w:t>commitments</w:t>
            </w:r>
          </w:p>
        </w:tc>
        <w:tc>
          <w:tcPr>
            <w:tcW w:w="112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rPr>
              <w:t>Revenue  $</w:t>
            </w:r>
          </w:p>
        </w:tc>
        <w:tc>
          <w:tcPr>
            <w:tcW w:w="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w w:val="95"/>
              </w:rPr>
              <w:t>(12,973)</w:t>
            </w:r>
          </w:p>
        </w:tc>
      </w:tr>
      <w:tr>
        <w:trPr>
          <w:trHeight w:val="206"/>
        </w:trPr>
        <w:tc>
          <w:tcPr>
            <w:tcW w:w="1240" w:type="dxa"/>
            <w:vAlign w:val="bottom"/>
          </w:tcPr>
          <w:p>
            <w:pPr>
              <w:spacing w:after="0" w:line="206" w:lineRule="exact"/>
              <w:rPr>
                <w:sz w:val="20"/>
                <w:szCs w:val="20"/>
                <w:color w:val="auto"/>
              </w:rPr>
            </w:pPr>
            <w:r>
              <w:rPr>
                <w:rFonts w:ascii="Arial" w:cs="Arial" w:eastAsia="Arial" w:hAnsi="Arial"/>
                <w:sz w:val="18"/>
                <w:szCs w:val="18"/>
                <w:color w:val="auto"/>
              </w:rPr>
              <w:t>Commodity</w:t>
            </w:r>
          </w:p>
        </w:tc>
        <w:tc>
          <w:tcPr>
            <w:tcW w:w="1160" w:type="dxa"/>
            <w:vAlign w:val="bottom"/>
            <w:gridSpan w:val="2"/>
          </w:tcPr>
          <w:p>
            <w:pPr>
              <w:ind w:left="220"/>
              <w:spacing w:after="0" w:line="206" w:lineRule="exact"/>
              <w:rPr>
                <w:sz w:val="20"/>
                <w:szCs w:val="20"/>
                <w:color w:val="auto"/>
              </w:rPr>
            </w:pPr>
            <w:r>
              <w:rPr>
                <w:rFonts w:ascii="Arial" w:cs="Arial" w:eastAsia="Arial" w:hAnsi="Arial"/>
                <w:sz w:val="18"/>
                <w:szCs w:val="18"/>
                <w:color w:val="auto"/>
              </w:rPr>
              <w:t>Cost of</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tcPr>
          <w:p>
            <w:pPr>
              <w:ind w:left="60"/>
              <w:spacing w:after="0" w:line="206" w:lineRule="exact"/>
              <w:rPr>
                <w:sz w:val="20"/>
                <w:szCs w:val="20"/>
                <w:color w:val="auto"/>
              </w:rPr>
            </w:pPr>
            <w:r>
              <w:rPr>
                <w:rFonts w:ascii="Arial" w:cs="Arial" w:eastAsia="Arial" w:hAnsi="Arial"/>
                <w:sz w:val="18"/>
                <w:szCs w:val="18"/>
                <w:color w:val="auto"/>
              </w:rPr>
              <w:t>Firm</w:t>
            </w:r>
          </w:p>
        </w:tc>
        <w:tc>
          <w:tcPr>
            <w:tcW w:w="112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Cost of</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240" w:type="dxa"/>
            <w:vAlign w:val="bottom"/>
          </w:tcPr>
          <w:p>
            <w:pPr>
              <w:spacing w:after="0" w:line="200" w:lineRule="exact"/>
              <w:rPr>
                <w:sz w:val="20"/>
                <w:szCs w:val="20"/>
                <w:color w:val="auto"/>
              </w:rPr>
            </w:pPr>
            <w:r>
              <w:rPr>
                <w:rFonts w:ascii="Arial" w:cs="Arial" w:eastAsia="Arial" w:hAnsi="Arial"/>
                <w:sz w:val="18"/>
                <w:szCs w:val="18"/>
                <w:color w:val="auto"/>
              </w:rPr>
              <w:t>contracts</w:t>
            </w:r>
          </w:p>
        </w:tc>
        <w:tc>
          <w:tcPr>
            <w:tcW w:w="116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revenue</w:t>
            </w:r>
          </w:p>
        </w:tc>
        <w:tc>
          <w:tcPr>
            <w:tcW w:w="64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(1,417)</w:t>
            </w:r>
          </w:p>
        </w:tc>
        <w:tc>
          <w:tcPr>
            <w:tcW w:w="14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(6,926)</w:t>
            </w:r>
          </w:p>
        </w:tc>
        <w:tc>
          <w:tcPr>
            <w:tcW w:w="60" w:type="dxa"/>
            <w:vAlign w:val="bottom"/>
          </w:tcPr>
          <w:p>
            <w:pPr>
              <w:spacing w:after="0"/>
              <w:rPr>
                <w:sz w:val="17"/>
                <w:szCs w:val="17"/>
                <w:color w:val="auto"/>
              </w:rPr>
            </w:pPr>
          </w:p>
        </w:tc>
        <w:tc>
          <w:tcPr>
            <w:tcW w:w="136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commitments</w:t>
            </w:r>
          </w:p>
        </w:tc>
        <w:tc>
          <w:tcPr>
            <w:tcW w:w="112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revenue</w:t>
            </w: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739</w:t>
            </w:r>
          </w:p>
        </w:tc>
        <w:tc>
          <w:tcPr>
            <w:tcW w:w="1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7,771</w:t>
            </w:r>
          </w:p>
        </w:tc>
        <w:tc>
          <w:tcPr>
            <w:tcW w:w="80" w:type="dxa"/>
            <w:vAlign w:val="bottom"/>
          </w:tcPr>
          <w:p>
            <w:pPr>
              <w:spacing w:after="0"/>
              <w:rPr>
                <w:sz w:val="17"/>
                <w:szCs w:val="17"/>
                <w:color w:val="auto"/>
              </w:rPr>
            </w:pPr>
          </w:p>
        </w:tc>
      </w:tr>
      <w:tr>
        <w:trPr>
          <w:trHeight w:val="206"/>
        </w:trPr>
        <w:tc>
          <w:tcPr>
            <w:tcW w:w="1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Commodity</w:t>
            </w:r>
          </w:p>
        </w:tc>
        <w:tc>
          <w:tcPr>
            <w:tcW w:w="116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Cost of</w:t>
            </w: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60"/>
              <w:spacing w:after="0" w:line="206" w:lineRule="exact"/>
              <w:rPr>
                <w:sz w:val="20"/>
                <w:szCs w:val="20"/>
                <w:color w:val="auto"/>
              </w:rPr>
            </w:pPr>
            <w:r>
              <w:rPr>
                <w:rFonts w:ascii="Arial" w:cs="Arial" w:eastAsia="Arial" w:hAnsi="Arial"/>
                <w:sz w:val="18"/>
                <w:szCs w:val="18"/>
                <w:color w:val="auto"/>
              </w:rPr>
              <w:t>Cost of</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1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contracts</w:t>
            </w:r>
          </w:p>
        </w:tc>
        <w:tc>
          <w:tcPr>
            <w:tcW w:w="11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w w:val="93"/>
              </w:rPr>
              <w:t>2,685</w:t>
            </w: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(19,717)</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(26,039)</w:t>
            </w:r>
          </w:p>
        </w:tc>
        <w:tc>
          <w:tcPr>
            <w:tcW w:w="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
              <w:spacing w:after="0" w:line="200" w:lineRule="exact"/>
              <w:rPr>
                <w:sz w:val="20"/>
                <w:szCs w:val="20"/>
                <w:color w:val="auto"/>
              </w:rPr>
            </w:pPr>
            <w:r>
              <w:rPr>
                <w:rFonts w:ascii="Arial" w:cs="Arial" w:eastAsia="Arial" w:hAnsi="Arial"/>
                <w:sz w:val="18"/>
                <w:szCs w:val="18"/>
                <w:color w:val="auto"/>
              </w:rPr>
              <w:t>Inventories</w:t>
            </w:r>
          </w:p>
        </w:tc>
        <w:tc>
          <w:tcPr>
            <w:tcW w:w="112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3,059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4"/>
              </w:rPr>
              <w:t>23,972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38,377</w:t>
            </w:r>
          </w:p>
        </w:tc>
      </w:tr>
      <w:tr>
        <w:trPr>
          <w:trHeight w:val="27"/>
        </w:trPr>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1240" w:type="dxa"/>
            <w:vAlign w:val="bottom"/>
          </w:tcPr>
          <w:p>
            <w:pPr>
              <w:spacing w:after="0"/>
              <w:rPr>
                <w:sz w:val="18"/>
                <w:szCs w:val="18"/>
                <w:color w:val="auto"/>
              </w:rPr>
            </w:pP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2,685 $</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(20,869)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(21,357)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3,059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24,510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33,175</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were no gains or losses for the year ended December 31, 2013, 2012 and 2011 that were excluded from the assessment of the effectiveness of our fair value hedges.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Amount of Gain</w:t>
            </w:r>
          </w:p>
        </w:tc>
      </w:tr>
      <w:tr>
        <w:trPr>
          <w:trHeight w:val="203"/>
        </w:trPr>
        <w:tc>
          <w:tcPr>
            <w:tcW w:w="308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Amount of Gain</w:t>
            </w: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Reclassified</w:t>
            </w:r>
          </w:p>
        </w:tc>
      </w:tr>
      <w:tr>
        <w:trPr>
          <w:trHeight w:val="203"/>
        </w:trPr>
        <w:tc>
          <w:tcPr>
            <w:tcW w:w="308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Recognized in</w:t>
            </w: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from</w:t>
            </w:r>
          </w:p>
        </w:tc>
      </w:tr>
      <w:tr>
        <w:trPr>
          <w:trHeight w:val="203"/>
        </w:trPr>
        <w:tc>
          <w:tcPr>
            <w:tcW w:w="308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Accumulated</w:t>
            </w:r>
          </w:p>
        </w:tc>
      </w:tr>
      <w:tr>
        <w:trPr>
          <w:trHeight w:val="203"/>
        </w:trPr>
        <w:tc>
          <w:tcPr>
            <w:tcW w:w="3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Other</w:t>
            </w: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Other</w:t>
            </w:r>
          </w:p>
        </w:tc>
      </w:tr>
      <w:tr>
        <w:trPr>
          <w:trHeight w:val="203"/>
        </w:trPr>
        <w:tc>
          <w:tcPr>
            <w:tcW w:w="308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Comprehensive</w:t>
            </w: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03"/>
        </w:trPr>
        <w:tc>
          <w:tcPr>
            <w:tcW w:w="3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Income</w:t>
            </w:r>
          </w:p>
        </w:tc>
        <w:tc>
          <w:tcPr>
            <w:tcW w:w="31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Location of</w:t>
            </w:r>
          </w:p>
        </w:tc>
        <w:tc>
          <w:tcPr>
            <w:tcW w:w="5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Income</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b w:val="1"/>
                <w:bCs w:val="1"/>
                <w:color w:val="auto"/>
              </w:rPr>
              <w:t>Derivative</w:t>
            </w:r>
          </w:p>
        </w:tc>
        <w:tc>
          <w:tcPr>
            <w:tcW w:w="5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(Effective</w:t>
            </w:r>
          </w:p>
        </w:tc>
        <w:tc>
          <w:tcPr>
            <w:tcW w:w="31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Realized Gain</w:t>
            </w:r>
          </w:p>
        </w:tc>
        <w:tc>
          <w:tcPr>
            <w:tcW w:w="5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(Effective</w:t>
            </w:r>
          </w:p>
        </w:tc>
      </w:tr>
      <w:tr>
        <w:trPr>
          <w:trHeight w:val="242"/>
        </w:trPr>
        <w:tc>
          <w:tcPr>
            <w:tcW w:w="308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5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Portion)</w:t>
            </w:r>
          </w:p>
        </w:tc>
        <w:tc>
          <w:tcPr>
            <w:tcW w:w="3120" w:type="dxa"/>
            <w:vAlign w:val="bottom"/>
            <w:gridSpan w:val="2"/>
          </w:tcPr>
          <w:p>
            <w:pPr>
              <w:ind w:left="40"/>
              <w:spacing w:after="0"/>
              <w:rPr>
                <w:sz w:val="20"/>
                <w:szCs w:val="20"/>
                <w:color w:val="auto"/>
              </w:rPr>
            </w:pPr>
            <w:r>
              <w:rPr>
                <w:rFonts w:ascii="Arial" w:cs="Arial" w:eastAsia="Arial" w:hAnsi="Arial"/>
                <w:sz w:val="18"/>
                <w:szCs w:val="18"/>
                <w:b w:val="1"/>
                <w:bCs w:val="1"/>
                <w:color w:val="auto"/>
              </w:rPr>
              <w:t>(Effective Portion)</w:t>
            </w:r>
          </w:p>
        </w:tc>
        <w:tc>
          <w:tcPr>
            <w:tcW w:w="5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Portion)</w:t>
            </w:r>
          </w:p>
        </w:tc>
      </w:tr>
      <w:tr>
        <w:trPr>
          <w:trHeight w:val="184"/>
        </w:trPr>
        <w:tc>
          <w:tcPr>
            <w:tcW w:w="4460" w:type="dxa"/>
            <w:vAlign w:val="bottom"/>
            <w:tcBorders>
              <w:top w:val="single" w:sz="8" w:color="auto"/>
            </w:tcBorders>
            <w:gridSpan w:val="3"/>
          </w:tcPr>
          <w:p>
            <w:pPr>
              <w:jc w:val="right"/>
              <w:spacing w:after="0" w:line="184" w:lineRule="exact"/>
              <w:rPr>
                <w:sz w:val="20"/>
                <w:szCs w:val="20"/>
                <w:color w:val="auto"/>
              </w:rPr>
            </w:pPr>
            <w:r>
              <w:rPr>
                <w:rFonts w:ascii="Arial" w:cs="Arial" w:eastAsia="Arial" w:hAnsi="Arial"/>
                <w:sz w:val="18"/>
                <w:szCs w:val="18"/>
                <w:b w:val="1"/>
                <w:bCs w:val="1"/>
                <w:color w:val="auto"/>
              </w:rPr>
              <w:t>For the year ended December 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Borders>
              <w:top w:val="single" w:sz="8" w:color="auto"/>
            </w:tcBorders>
            <w:gridSpan w:val="3"/>
          </w:tcPr>
          <w:p>
            <w:pPr>
              <w:jc w:val="right"/>
              <w:spacing w:after="0" w:line="184" w:lineRule="exact"/>
              <w:rPr>
                <w:sz w:val="20"/>
                <w:szCs w:val="20"/>
                <w:color w:val="auto"/>
              </w:rPr>
            </w:pPr>
            <w:r>
              <w:rPr>
                <w:rFonts w:ascii="Arial" w:cs="Arial" w:eastAsia="Arial" w:hAnsi="Arial"/>
                <w:sz w:val="18"/>
                <w:szCs w:val="18"/>
                <w:b w:val="1"/>
                <w:bCs w:val="1"/>
                <w:color w:val="auto"/>
              </w:rPr>
              <w:t>For the year ended December 31,</w:t>
            </w:r>
          </w:p>
        </w:tc>
        <w:tc>
          <w:tcPr>
            <w:tcW w:w="80" w:type="dxa"/>
            <w:vAlign w:val="bottom"/>
          </w:tcPr>
          <w:p>
            <w:pPr>
              <w:spacing w:after="0"/>
              <w:rPr>
                <w:sz w:val="15"/>
                <w:szCs w:val="15"/>
                <w:color w:val="auto"/>
              </w:rPr>
            </w:pPr>
          </w:p>
        </w:tc>
      </w:tr>
      <w:tr>
        <w:trPr>
          <w:trHeight w:val="242"/>
        </w:trPr>
        <w:tc>
          <w:tcPr>
            <w:tcW w:w="308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1"/>
                <w:szCs w:val="21"/>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$196</w:t>
            </w:r>
          </w:p>
        </w:tc>
        <w:tc>
          <w:tcPr>
            <w:tcW w:w="31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Other (expense) income, net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7"/>
                <w:szCs w:val="17"/>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event forecasted foreign currency cash outflows are less than the hedged amounts, a portion or all of the gains or losses recorded in accumulated other comprehensive income would be reclassified to the consolidated statement of income and comprehensive income. As of December 31, 2013, the maximum amount that could be reclassified to the consolidated statements of income and comprehensive income for the next twelve months is not significant.</w:t>
      </w:r>
    </w:p>
    <w:p>
      <w:pPr>
        <w:spacing w:after="0" w:line="20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the years ended 2013, 2012 and 2011, there were no amounts recognized in the consolidated statements of income and comprehensive income related to the ineffective portion of our cash flow hedges or amounts excluded from the assessment of our cash flow hedge effectiveness.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0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Realized and Unrealized Gain</w:t>
            </w:r>
          </w:p>
        </w:tc>
      </w:tr>
      <w:tr>
        <w:trPr>
          <w:trHeight w:val="242"/>
        </w:trPr>
        <w:tc>
          <w:tcPr>
            <w:tcW w:w="252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3600" w:type="dxa"/>
            <w:vAlign w:val="bottom"/>
          </w:tcPr>
          <w:p>
            <w:pPr>
              <w:ind w:left="440"/>
              <w:spacing w:after="0"/>
              <w:rPr>
                <w:sz w:val="20"/>
                <w:szCs w:val="20"/>
                <w:color w:val="auto"/>
              </w:rPr>
            </w:pPr>
            <w:r>
              <w:rPr>
                <w:rFonts w:ascii="Arial" w:cs="Arial" w:eastAsia="Arial" w:hAnsi="Arial"/>
                <w:sz w:val="18"/>
                <w:szCs w:val="18"/>
                <w:b w:val="1"/>
                <w:bCs w:val="1"/>
                <w:color w:val="auto"/>
              </w:rPr>
              <w:t>Location</w:t>
            </w:r>
          </w:p>
        </w:tc>
        <w:tc>
          <w:tcPr>
            <w:tcW w:w="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w:t>
            </w:r>
          </w:p>
        </w:tc>
      </w:tr>
      <w:tr>
        <w:trPr>
          <w:trHeight w:val="184"/>
        </w:trPr>
        <w:tc>
          <w:tcPr>
            <w:tcW w:w="252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2"/>
          </w:tcPr>
          <w:p>
            <w:pPr>
              <w:jc w:val="right"/>
              <w:spacing w:after="0" w:line="184" w:lineRule="exact"/>
              <w:rPr>
                <w:sz w:val="20"/>
                <w:szCs w:val="20"/>
                <w:color w:val="auto"/>
              </w:rPr>
            </w:pPr>
            <w:r>
              <w:rPr>
                <w:rFonts w:ascii="Arial" w:cs="Arial" w:eastAsia="Arial" w:hAnsi="Arial"/>
                <w:sz w:val="18"/>
                <w:szCs w:val="18"/>
                <w:b w:val="1"/>
                <w:bCs w:val="1"/>
                <w:color w:val="auto"/>
              </w:rPr>
              <w:t>For the Year ended</w:t>
            </w:r>
          </w:p>
        </w:tc>
        <w:tc>
          <w:tcPr>
            <w:tcW w:w="160" w:type="dxa"/>
            <w:vAlign w:val="bottom"/>
          </w:tcPr>
          <w:p>
            <w:pPr>
              <w:spacing w:after="0"/>
              <w:rPr>
                <w:sz w:val="15"/>
                <w:szCs w:val="15"/>
                <w:color w:val="auto"/>
              </w:rPr>
            </w:pPr>
          </w:p>
        </w:tc>
      </w:tr>
      <w:tr>
        <w:trPr>
          <w:trHeight w:val="203"/>
        </w:trPr>
        <w:tc>
          <w:tcPr>
            <w:tcW w:w="25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42"/>
        </w:trPr>
        <w:tc>
          <w:tcPr>
            <w:tcW w:w="25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6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$ 25,420</w:t>
            </w:r>
          </w:p>
        </w:tc>
        <w:tc>
          <w:tcPr>
            <w:tcW w:w="10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$ 14,967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$ 14,283</w:t>
            </w:r>
          </w:p>
        </w:tc>
        <w:tc>
          <w:tcPr>
            <w:tcW w:w="160" w:type="dxa"/>
            <w:vAlign w:val="bottom"/>
            <w:shd w:val="clear" w:color="auto" w:fill="CCEEFF"/>
          </w:tcPr>
          <w:p>
            <w:pPr>
              <w:spacing w:after="0"/>
              <w:rPr>
                <w:sz w:val="17"/>
                <w:szCs w:val="17"/>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600" w:type="dxa"/>
            <w:vAlign w:val="bottom"/>
          </w:tcPr>
          <w:p>
            <w:pPr>
              <w:ind w:left="440"/>
              <w:spacing w:after="0" w:line="202" w:lineRule="exact"/>
              <w:rPr>
                <w:sz w:val="20"/>
                <w:szCs w:val="20"/>
                <w:color w:val="auto"/>
              </w:rPr>
            </w:pPr>
            <w:r>
              <w:rPr>
                <w:rFonts w:ascii="Arial" w:cs="Arial" w:eastAsia="Arial" w:hAnsi="Arial"/>
                <w:sz w:val="18"/>
                <w:szCs w:val="18"/>
                <w:color w:val="auto"/>
              </w:rPr>
              <w:t>Cost of revenue</w:t>
            </w:r>
          </w:p>
        </w:tc>
        <w:tc>
          <w:tcPr>
            <w:tcW w:w="9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(5,391)</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3,333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3,137</w:t>
            </w:r>
          </w:p>
        </w:tc>
        <w:tc>
          <w:tcPr>
            <w:tcW w:w="16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6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(55)</w:t>
            </w:r>
          </w:p>
        </w:tc>
        <w:tc>
          <w:tcPr>
            <w:tcW w:w="10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(2,384)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17"/>
                <w:szCs w:val="17"/>
                <w:color w:val="auto"/>
              </w:rPr>
            </w:pPr>
          </w:p>
        </w:tc>
      </w:tr>
      <w:tr>
        <w:trPr>
          <w:trHeight w:val="223"/>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contracts</w:t>
            </w:r>
          </w:p>
        </w:tc>
        <w:tc>
          <w:tcPr>
            <w:tcW w:w="3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(expense) income, net</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(3,998)</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(2,271)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r>
      <w:tr>
        <w:trPr>
          <w:trHeight w:val="203"/>
        </w:trPr>
        <w:tc>
          <w:tcPr>
            <w:tcW w:w="25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$ 15,976</w:t>
            </w:r>
          </w:p>
        </w:tc>
        <w:tc>
          <w:tcPr>
            <w:tcW w:w="10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$ 13,645</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$ 18,687</w:t>
            </w:r>
          </w:p>
        </w:tc>
        <w:tc>
          <w:tcPr>
            <w:tcW w:w="160" w:type="dxa"/>
            <w:vAlign w:val="bottom"/>
            <w:shd w:val="clear" w:color="auto" w:fill="CCEEFF"/>
          </w:tcPr>
          <w:p>
            <w:pPr>
              <w:spacing w:after="0"/>
              <w:rPr>
                <w:sz w:val="17"/>
                <w:szCs w:val="17"/>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The net liability position for such contracts, the collateral posted and the amount of assets required to be posted and or to settle the positions should a contingent feature be triggered is not significant as of December 31,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thousands, except estimated useful lives):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As of December 31,</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r>
      <w:tr>
        <w:trPr>
          <w:trHeight w:val="223"/>
        </w:trPr>
        <w:tc>
          <w:tcPr>
            <w:tcW w:w="516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Useful Lives</w:t>
            </w: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4,653</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4,653</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Indefinite</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20,299</w:t>
            </w:r>
          </w:p>
        </w:tc>
        <w:tc>
          <w:tcPr>
            <w:tcW w:w="32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21,081</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3 - 15 years</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equipment, furniture and fixtures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8,629</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8,415</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3 - 7 years</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 costs</w:t>
            </w:r>
          </w:p>
        </w:tc>
        <w:tc>
          <w:tcPr>
            <w:tcW w:w="1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88,077</w:t>
            </w:r>
          </w:p>
        </w:tc>
        <w:tc>
          <w:tcPr>
            <w:tcW w:w="32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80,233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3 - 9 years</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equipment and vehicles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92,364</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66,122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3 - 30 years</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214,022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180,504</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84,337</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67,979</w:t>
            </w:r>
          </w:p>
        </w:tc>
        <w:tc>
          <w:tcPr>
            <w:tcW w:w="1480" w:type="dxa"/>
            <w:vAlign w:val="bottom"/>
            <w:shd w:val="clear" w:color="auto" w:fill="CCEEFF"/>
          </w:tcPr>
          <w:p>
            <w:pPr>
              <w:spacing w:after="0"/>
              <w:rPr>
                <w:sz w:val="17"/>
                <w:szCs w:val="17"/>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129,685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112,525</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2013, 2012 and 2011, we recorded depreciation expense of $22.0 million, $18.6 million and $15.5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4440" w:type="dxa"/>
            <w:vAlign w:val="bottom"/>
            <w:gridSpan w:val="3"/>
          </w:tcPr>
          <w:p>
            <w:pPr>
              <w:ind w:left="264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47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1"/>
                <w:szCs w:val="2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costs</w:t>
            </w:r>
          </w:p>
        </w:tc>
        <w:tc>
          <w:tcPr>
            <w:tcW w:w="33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$ 67,366</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$ 60,465</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amortization</w:t>
            </w:r>
          </w:p>
        </w:tc>
        <w:tc>
          <w:tcPr>
            <w:tcW w:w="3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35,499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27,710</w:t>
            </w:r>
          </w:p>
        </w:tc>
        <w:tc>
          <w:tcPr>
            <w:tcW w:w="160" w:type="dxa"/>
            <w:vAlign w:val="bottom"/>
          </w:tcPr>
          <w:p>
            <w:pPr>
              <w:spacing w:after="0"/>
              <w:rPr>
                <w:sz w:val="19"/>
                <w:szCs w:val="19"/>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costs, net</w:t>
            </w:r>
          </w:p>
        </w:tc>
        <w:tc>
          <w:tcPr>
            <w:tcW w:w="33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$ 31,867</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$ 32,755</w:t>
            </w:r>
          </w:p>
        </w:tc>
      </w:tr>
      <w:tr>
        <w:trPr>
          <w:trHeight w:val="27"/>
        </w:trPr>
        <w:tc>
          <w:tcPr>
            <w:tcW w:w="47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$6.0 million and $3.0 million as of December 31, 2013 and 2012, respectively. For 2013, 2012 and 2011, we recorded amortization expense related to computer software costs of $7.8 million, $7.2 million and $6.1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capital leases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46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46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2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5,268</w:t>
            </w: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4,489</w:t>
            </w:r>
          </w:p>
        </w:tc>
        <w:tc>
          <w:tcPr>
            <w:tcW w:w="160" w:type="dxa"/>
            <w:vAlign w:val="bottom"/>
            <w:shd w:val="clear" w:color="auto" w:fill="CCEEFF"/>
          </w:tcPr>
          <w:p>
            <w:pPr>
              <w:spacing w:after="0"/>
              <w:rPr>
                <w:sz w:val="17"/>
                <w:szCs w:val="17"/>
                <w:color w:val="auto"/>
              </w:rPr>
            </w:pPr>
          </w:p>
        </w:tc>
      </w:tr>
      <w:tr>
        <w:trPr>
          <w:trHeight w:val="22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amortization</w:t>
            </w:r>
          </w:p>
        </w:tc>
        <w:tc>
          <w:tcPr>
            <w:tcW w:w="2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1,869</w:t>
            </w: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9"/>
                <w:szCs w:val="19"/>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 net</w:t>
            </w:r>
          </w:p>
        </w:tc>
        <w:tc>
          <w:tcPr>
            <w:tcW w:w="2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3,399</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3,673</w:t>
            </w:r>
          </w:p>
        </w:tc>
        <w:tc>
          <w:tcPr>
            <w:tcW w:w="160" w:type="dxa"/>
            <w:vAlign w:val="bottom"/>
            <w:shd w:val="clear" w:color="auto" w:fill="CCEEFF"/>
          </w:tcPr>
          <w:p>
            <w:pPr>
              <w:spacing w:after="0"/>
              <w:rPr>
                <w:sz w:val="17"/>
                <w:szCs w:val="17"/>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Identifiable Intangible Assets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performed the first step of quantitative testing for goodwill impairment for one reporting unit in our land segment. For all other reporting units, we used qualitative factors to review goodwill for impairment. As a result of performing the reviews for impairment of goodwill and identifiable intangible assets not subject to amortization, we determined that no impairment existed as of December 31, 2013 or 2012, and, therefore, there were no write-downs to any of our goodwill or identifiable intangible assets not subject to amortization.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Aviation</w:t>
            </w:r>
          </w:p>
        </w:tc>
        <w:tc>
          <w:tcPr>
            <w:tcW w:w="30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Marine</w:t>
            </w:r>
          </w:p>
        </w:tc>
        <w:tc>
          <w:tcPr>
            <w:tcW w:w="28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Land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2"/>
        </w:trPr>
        <w:tc>
          <w:tcPr>
            <w:tcW w:w="4820" w:type="dxa"/>
            <w:vAlign w:val="bottom"/>
          </w:tcPr>
          <w:p>
            <w:pPr>
              <w:spacing w:after="0"/>
              <w:rPr>
                <w:sz w:val="21"/>
                <w:szCs w:val="21"/>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Segment</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Segment</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Segment</w:t>
            </w:r>
          </w:p>
        </w:tc>
        <w:tc>
          <w:tcPr>
            <w:tcW w:w="108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r>
      <w:tr>
        <w:trPr>
          <w:trHeight w:val="203"/>
        </w:trPr>
        <w:tc>
          <w:tcPr>
            <w:tcW w:w="4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2011</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102,509</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70,522</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173,215</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$ 346,246</w:t>
            </w:r>
          </w:p>
        </w:tc>
        <w:tc>
          <w:tcPr>
            <w:tcW w:w="16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2012 acquisitions</w:t>
            </w:r>
          </w:p>
        </w:tc>
        <w:tc>
          <w:tcPr>
            <w:tcW w:w="2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8,028</w:t>
            </w:r>
          </w:p>
        </w:tc>
        <w:tc>
          <w:tcPr>
            <w:tcW w:w="30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115,165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123,193</w:t>
            </w:r>
          </w:p>
        </w:tc>
        <w:tc>
          <w:tcPr>
            <w:tcW w:w="16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Adjustment of purchase price allocations – 2011 acquisitions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2,863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1,757</w:t>
            </w:r>
          </w:p>
        </w:tc>
        <w:tc>
          <w:tcPr>
            <w:tcW w:w="160" w:type="dxa"/>
            <w:vAlign w:val="bottom"/>
            <w:shd w:val="clear" w:color="auto" w:fill="CCEEFF"/>
          </w:tcPr>
          <w:p>
            <w:pPr>
              <w:spacing w:after="0"/>
              <w:rPr>
                <w:sz w:val="17"/>
                <w:szCs w:val="17"/>
                <w:color w:val="auto"/>
              </w:rPr>
            </w:pPr>
          </w:p>
        </w:tc>
      </w:tr>
      <w:tr>
        <w:trPr>
          <w:trHeight w:val="206"/>
        </w:trPr>
        <w:tc>
          <w:tcPr>
            <w:tcW w:w="4820" w:type="dxa"/>
            <w:vAlign w:val="bottom"/>
          </w:tcPr>
          <w:p>
            <w:pPr>
              <w:spacing w:after="0" w:line="206" w:lineRule="exact"/>
              <w:rPr>
                <w:sz w:val="20"/>
                <w:szCs w:val="20"/>
                <w:color w:val="auto"/>
              </w:rPr>
            </w:pPr>
            <w:r>
              <w:rPr>
                <w:rFonts w:ascii="Arial" w:cs="Arial" w:eastAsia="Arial" w:hAnsi="Arial"/>
                <w:sz w:val="18"/>
                <w:szCs w:val="18"/>
                <w:color w:val="auto"/>
              </w:rPr>
              <w:t>Foreign currency translation of non-USD functional currency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subsidiary goodwill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9"/>
                <w:szCs w:val="19"/>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109,332</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69,931</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291,243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470,506</w:t>
            </w:r>
          </w:p>
        </w:tc>
        <w:tc>
          <w:tcPr>
            <w:tcW w:w="16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2013 acquisitions</w:t>
            </w:r>
          </w:p>
        </w:tc>
        <w:tc>
          <w:tcPr>
            <w:tcW w:w="2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16,077</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16,077</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Adjustment of purchase price allocations – 2012 acquisitions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6,500</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(8,506)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7"/>
                <w:szCs w:val="17"/>
                <w:color w:val="auto"/>
              </w:rPr>
            </w:pPr>
          </w:p>
        </w:tc>
      </w:tr>
      <w:tr>
        <w:trPr>
          <w:trHeight w:val="206"/>
        </w:trPr>
        <w:tc>
          <w:tcPr>
            <w:tcW w:w="4820" w:type="dxa"/>
            <w:vAlign w:val="bottom"/>
          </w:tcPr>
          <w:p>
            <w:pPr>
              <w:spacing w:after="0" w:line="206" w:lineRule="exact"/>
              <w:rPr>
                <w:sz w:val="20"/>
                <w:szCs w:val="20"/>
                <w:color w:val="auto"/>
              </w:rPr>
            </w:pPr>
            <w:r>
              <w:rPr>
                <w:rFonts w:ascii="Arial" w:cs="Arial" w:eastAsia="Arial" w:hAnsi="Arial"/>
                <w:sz w:val="18"/>
                <w:szCs w:val="18"/>
                <w:color w:val="auto"/>
              </w:rPr>
              <w:t>Foreign currency translation of non-USD functional currency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subsidiary goodwill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(325)</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19"/>
                <w:szCs w:val="19"/>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115,507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69,088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298,996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$ 483,591</w:t>
            </w:r>
          </w:p>
        </w:tc>
        <w:tc>
          <w:tcPr>
            <w:tcW w:w="160" w:type="dxa"/>
            <w:vAlign w:val="bottom"/>
            <w:shd w:val="clear" w:color="auto" w:fill="CCEEFF"/>
          </w:tcPr>
          <w:p>
            <w:pPr>
              <w:spacing w:after="0"/>
              <w:rPr>
                <w:sz w:val="17"/>
                <w:szCs w:val="17"/>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b w:val="1"/>
                <w:bCs w:val="1"/>
                <w:color w:val="auto"/>
              </w:rPr>
              <w:t>As of December 31, 2013</w:t>
            </w:r>
          </w:p>
        </w:tc>
        <w:tc>
          <w:tcPr>
            <w:tcW w:w="900" w:type="dxa"/>
            <w:vAlign w:val="bottom"/>
          </w:tcPr>
          <w:p>
            <w:pPr>
              <w:spacing w:after="0"/>
              <w:rPr>
                <w:sz w:val="20"/>
                <w:szCs w:val="20"/>
                <w:color w:val="auto"/>
              </w:rPr>
            </w:pPr>
          </w:p>
        </w:tc>
        <w:tc>
          <w:tcPr>
            <w:tcW w:w="2320" w:type="dxa"/>
            <w:vAlign w:val="bottom"/>
            <w:gridSpan w:val="5"/>
          </w:tcPr>
          <w:p>
            <w:pPr>
              <w:ind w:left="100"/>
              <w:spacing w:after="0"/>
              <w:rPr>
                <w:sz w:val="20"/>
                <w:szCs w:val="20"/>
                <w:color w:val="auto"/>
              </w:rPr>
            </w:pPr>
            <w:r>
              <w:rPr>
                <w:rFonts w:ascii="Arial" w:cs="Arial" w:eastAsia="Arial" w:hAnsi="Arial"/>
                <w:sz w:val="18"/>
                <w:szCs w:val="18"/>
                <w:b w:val="1"/>
                <w:bCs w:val="1"/>
                <w:color w:val="auto"/>
              </w:rPr>
              <w:t>As of December 31, 2012</w:t>
            </w:r>
          </w:p>
        </w:tc>
      </w:tr>
      <w:tr>
        <w:trPr>
          <w:trHeight w:val="83"/>
        </w:trPr>
        <w:tc>
          <w:tcPr>
            <w:tcW w:w="26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461"/>
        </w:trPr>
        <w:tc>
          <w:tcPr>
            <w:tcW w:w="2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6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8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9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3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2"/>
        </w:trPr>
        <w:tc>
          <w:tcPr>
            <w:tcW w:w="2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Amortization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Net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Amortization</w:t>
            </w:r>
          </w:p>
        </w:tc>
        <w:tc>
          <w:tcPr>
            <w:tcW w:w="1020" w:type="dxa"/>
            <w:vAlign w:val="bottom"/>
            <w:gridSpan w:val="3"/>
          </w:tcPr>
          <w:p>
            <w:pPr>
              <w:ind w:left="580"/>
              <w:spacing w:after="0"/>
              <w:rPr>
                <w:sz w:val="20"/>
                <w:szCs w:val="20"/>
                <w:color w:val="auto"/>
              </w:rPr>
            </w:pPr>
            <w:r>
              <w:rPr>
                <w:rFonts w:ascii="Arial" w:cs="Arial" w:eastAsia="Arial" w:hAnsi="Arial"/>
                <w:sz w:val="18"/>
                <w:szCs w:val="18"/>
                <w:b w:val="1"/>
                <w:bCs w:val="1"/>
                <w:color w:val="auto"/>
              </w:rPr>
              <w:t>Net</w:t>
            </w:r>
          </w:p>
        </w:tc>
      </w:tr>
      <w:tr>
        <w:trPr>
          <w:trHeight w:val="206"/>
        </w:trPr>
        <w:tc>
          <w:tcPr>
            <w:tcW w:w="26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Intangible assets subject to</w:t>
            </w:r>
          </w:p>
        </w:tc>
        <w:tc>
          <w:tcPr>
            <w:tcW w:w="1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6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amortization:</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66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$ 188,276</w:t>
            </w:r>
          </w:p>
        </w:tc>
        <w:tc>
          <w:tcPr>
            <w:tcW w:w="4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79,688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$ 108,588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$173,376</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61,562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$ 111,814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Supplier agreements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33,648</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26,338</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33,248</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5,531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27,717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19,738</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6,143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241,662</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73,236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6"/>
        </w:trPr>
        <w:tc>
          <w:tcPr>
            <w:tcW w:w="2660" w:type="dxa"/>
            <w:vAlign w:val="bottom"/>
          </w:tcPr>
          <w:p>
            <w:pPr>
              <w:spacing w:after="0" w:line="206" w:lineRule="exact"/>
              <w:rPr>
                <w:sz w:val="20"/>
                <w:szCs w:val="20"/>
                <w:color w:val="auto"/>
              </w:rPr>
            </w:pPr>
            <w:r>
              <w:rPr>
                <w:rFonts w:ascii="Arial" w:cs="Arial" w:eastAsia="Arial" w:hAnsi="Arial"/>
                <w:sz w:val="18"/>
                <w:szCs w:val="18"/>
                <w:color w:val="auto"/>
              </w:rPr>
              <w:t>Intangible assets not subject to</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660" w:type="dxa"/>
            <w:vAlign w:val="bottom"/>
          </w:tcPr>
          <w:p>
            <w:pPr>
              <w:ind w:left="180"/>
              <w:spacing w:after="0" w:line="200" w:lineRule="exact"/>
              <w:rPr>
                <w:sz w:val="20"/>
                <w:szCs w:val="20"/>
                <w:color w:val="auto"/>
              </w:rPr>
            </w:pPr>
            <w:r>
              <w:rPr>
                <w:rFonts w:ascii="Arial" w:cs="Arial" w:eastAsia="Arial" w:hAnsi="Arial"/>
                <w:sz w:val="18"/>
                <w:szCs w:val="18"/>
                <w:color w:val="auto"/>
              </w:rPr>
              <w:t>amortization:</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Trademark/trade name rights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21,172</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21,172</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19,007</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7"/>
        </w:trPr>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2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$ 262,834</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$ 167,202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$245,509</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73,236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$ 172,273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2013, 2012 and 2011 was $22.4 million, $18.1 million and $25.0 million, respectively.</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adjustment of purchase price allocations for 2012 acquisitions made in 2013 resulted in a $2.0 million reduction in goodwill within our land segment principally due to a $3.3 million increase in identifiable intangible assets, primarily customer relationships and trademark/trade name rights, partially offset by a $0.9 million decrease in other acquired assets and a $0.4 million increase in assumed liabilities. Additionally, we reclassified $6.5 million in goodwill from our land segment to our aviation segment.</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adjustment of purchase price allocations for 2011 acquisitions made in 2012 resulted in a reclassification of $2.9 million in goodwill from our aviation segment to our land segment, an increase in aviation segment goodwill of $1.8 million and a decrease in identifiable intangible assets of $1.1 million, primarily customer relationships and developed technology.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thousands):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18,823</w:t>
            </w:r>
          </w:p>
        </w:tc>
        <w:tc>
          <w:tcPr>
            <w:tcW w:w="228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16,512</w:t>
            </w:r>
          </w:p>
        </w:tc>
        <w:tc>
          <w:tcPr>
            <w:tcW w:w="228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14,443</w:t>
            </w:r>
          </w:p>
        </w:tc>
        <w:tc>
          <w:tcPr>
            <w:tcW w:w="228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13,041</w:t>
            </w:r>
          </w:p>
        </w:tc>
        <w:tc>
          <w:tcPr>
            <w:tcW w:w="2280" w:type="dxa"/>
            <w:vAlign w:val="bottom"/>
          </w:tcPr>
          <w:p>
            <w:pPr>
              <w:spacing w:after="0"/>
              <w:rPr>
                <w:sz w:val="17"/>
                <w:szCs w:val="17"/>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38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61,785</w:t>
            </w:r>
          </w:p>
        </w:tc>
        <w:tc>
          <w:tcPr>
            <w:tcW w:w="2280" w:type="dxa"/>
            <w:vAlign w:val="bottom"/>
          </w:tcPr>
          <w:p>
            <w:pPr>
              <w:spacing w:after="0"/>
              <w:rPr>
                <w:sz w:val="19"/>
                <w:szCs w:val="19"/>
                <w:color w:val="auto"/>
              </w:rPr>
            </w:pP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146,030</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4500" w:type="dxa"/>
            <w:vAlign w:val="bottom"/>
          </w:tcPr>
          <w:p>
            <w:pPr>
              <w:spacing w:after="0"/>
              <w:rPr>
                <w:sz w:val="20"/>
                <w:szCs w:val="20"/>
                <w:color w:val="auto"/>
              </w:rPr>
            </w:pPr>
            <w:r>
              <w:rPr>
                <w:rFonts w:ascii="Arial" w:cs="Arial" w:eastAsia="Arial" w:hAnsi="Arial"/>
                <w:sz w:val="18"/>
                <w:szCs w:val="18"/>
                <w:color w:val="auto"/>
              </w:rPr>
              <w:t>62</w:t>
            </w:r>
          </w:p>
        </w:tc>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4500" w:type="dxa"/>
            <w:vAlign w:val="bottom"/>
            <w:tcBorders>
              <w:bottom w:val="single" w:sz="8" w:color="808080"/>
            </w:tcBorders>
          </w:tcPr>
          <w:p>
            <w:pPr>
              <w:spacing w:after="0"/>
              <w:rPr>
                <w:sz w:val="18"/>
                <w:szCs w:val="18"/>
                <w:color w:val="auto"/>
              </w:rPr>
            </w:pPr>
          </w:p>
        </w:tc>
        <w:tc>
          <w:tcPr>
            <w:tcW w:w="38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 senior revolving credit facility ("Credit Facility") which permits borrowings of up to $1.1 billion with a sublimit of $400.0 million for the issuance of letters of credit and bankers' acceptances. Under the Credit Facility, we have the right to request increases in available borrowings up to an additional $150.0 million, subject to the satisfaction of certain conditions. The Credit Facility matures in October 2018. We also had $242.5 million and $247.5 million in senior term loans ("Term Loans") outstanding as of December 31, 2013 and 2012, respectively.</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2013, the applicable margins for base rate loans and eurodollar rate loans were 1.0% and 2.0%, respectively. We had outstanding borrowings under our Credit Facility totaling $200.0 million and $100.5 million as of December 31, 2013 and 2012, respectively. Letters of credit issued under our Credit Facility are subject to letter of credit fees of 2.25% as of December 31, 2013, and the unused portion of our Credit Facility is subject to commitment fees of 0.25% as of December 31, 2013. Our issued letters of credit under the Credit Facility totaled $7.4 million and $47.4 million as of December 31, 2013 and 2012, respectively.</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obtain working capital advances and letters of credit, which would have a material adverse effect on our business, financial condition, results of operations and cash flows. As of December 31, 2013, we were in compliance with all financial covenants contained in our Credit Facility and our Term Loans.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2013 and 2012, our outstanding letters of credit and bank guarantees under these credit lines totaled $150.6 million and $184.2 million, respectively.</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tcPr>
          <w:p>
            <w:pPr>
              <w:spacing w:after="0"/>
              <w:rPr>
                <w:sz w:val="20"/>
                <w:szCs w:val="20"/>
                <w:color w:val="auto"/>
              </w:rPr>
            </w:pPr>
            <w:r>
              <w:rPr>
                <w:rFonts w:ascii="Arial" w:cs="Arial" w:eastAsia="Arial" w:hAnsi="Arial"/>
                <w:sz w:val="18"/>
                <w:szCs w:val="18"/>
                <w:color w:val="auto"/>
              </w:rPr>
              <w:t>Our debt consisted of the following (in thousands):</w:t>
            </w: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8"/>
        </w:trPr>
        <w:tc>
          <w:tcPr>
            <w:tcW w:w="5440" w:type="dxa"/>
            <w:vAlign w:val="bottom"/>
          </w:tcPr>
          <w:p>
            <w:pPr>
              <w:spacing w:after="0"/>
              <w:rPr>
                <w:sz w:val="24"/>
                <w:szCs w:val="24"/>
                <w:color w:val="auto"/>
              </w:rPr>
            </w:pPr>
          </w:p>
        </w:tc>
        <w:tc>
          <w:tcPr>
            <w:tcW w:w="3700" w:type="dxa"/>
            <w:vAlign w:val="bottom"/>
            <w:gridSpan w:val="3"/>
          </w:tcPr>
          <w:p>
            <w:pPr>
              <w:ind w:left="190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5440" w:type="dxa"/>
            <w:vAlign w:val="bottom"/>
          </w:tcPr>
          <w:p>
            <w:pPr>
              <w:spacing w:after="0"/>
              <w:rPr>
                <w:sz w:val="21"/>
                <w:szCs w:val="21"/>
                <w:color w:val="auto"/>
              </w:rPr>
            </w:pPr>
          </w:p>
        </w:tc>
        <w:tc>
          <w:tcPr>
            <w:tcW w:w="25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54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54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$ 200,000</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$ 100,500</w:t>
            </w:r>
          </w:p>
        </w:tc>
        <w:tc>
          <w:tcPr>
            <w:tcW w:w="160" w:type="dxa"/>
            <w:vAlign w:val="bottom"/>
            <w:shd w:val="clear" w:color="auto" w:fill="CCEEFF"/>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Term Loans</w:t>
            </w:r>
          </w:p>
        </w:tc>
        <w:tc>
          <w:tcPr>
            <w:tcW w:w="2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242,500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247,500</w:t>
            </w:r>
          </w:p>
        </w:tc>
        <w:tc>
          <w:tcPr>
            <w:tcW w:w="160" w:type="dxa"/>
            <w:vAlign w:val="bottom"/>
          </w:tcPr>
          <w:p>
            <w:pPr>
              <w:spacing w:after="0"/>
              <w:rPr>
                <w:sz w:val="17"/>
                <w:szCs w:val="17"/>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promissory notes</w:t>
            </w:r>
          </w:p>
        </w:tc>
        <w:tc>
          <w:tcPr>
            <w:tcW w:w="25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13,403</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25,878</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7,808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60" w:type="dxa"/>
            <w:vAlign w:val="bottom"/>
          </w:tcPr>
          <w:p>
            <w:pPr>
              <w:spacing w:after="0"/>
              <w:rPr>
                <w:sz w:val="19"/>
                <w:szCs w:val="19"/>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25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463,711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380,318</w:t>
            </w:r>
          </w:p>
        </w:tc>
        <w:tc>
          <w:tcPr>
            <w:tcW w:w="160" w:type="dxa"/>
            <w:vAlign w:val="bottom"/>
            <w:shd w:val="clear" w:color="auto" w:fill="CCEEFF"/>
          </w:tcPr>
          <w:p>
            <w:pPr>
              <w:spacing w:after="0"/>
              <w:rPr>
                <w:sz w:val="17"/>
                <w:szCs w:val="17"/>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14,647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26,065</w:t>
            </w:r>
          </w:p>
        </w:tc>
      </w:tr>
      <w:tr>
        <w:trPr>
          <w:trHeight w:val="203"/>
        </w:trPr>
        <w:tc>
          <w:tcPr>
            <w:tcW w:w="54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$ 449,064</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$ 354,253</w:t>
            </w:r>
          </w:p>
        </w:tc>
        <w:tc>
          <w:tcPr>
            <w:tcW w:w="160" w:type="dxa"/>
            <w:vAlign w:val="bottom"/>
            <w:shd w:val="clear" w:color="auto" w:fill="CCEEFF"/>
          </w:tcPr>
          <w:p>
            <w:pPr>
              <w:spacing w:after="0"/>
              <w:rPr>
                <w:sz w:val="17"/>
                <w:szCs w:val="17"/>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acquisition promissory notes are payable in varying amounts from January 2014 to August 2016 and bear interest at annual rates ranging from 1.2% to 6.0% as of December 31, 2013. The other debt primarily relates to capital leases and loans payable to noncontrolling shareholders of a consolidated subsidiary which are payable in varying amounts through May 2018 and bear interest at annual rates ranging from 2.0% to 6.3% as of December 31, 2013. The weighted average interest rate on our short-term debt was 2.1% and 2.4% as of December 31, 2013 and 2012, respectively.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 aggregate annual maturities of debt are as follows (in thousands):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Borders>
              <w:top w:val="single" w:sz="8" w:color="auto"/>
            </w:tcBorders>
            <w:shd w:val="clear" w:color="auto" w:fill="CCEEFF"/>
          </w:tcPr>
          <w:p>
            <w:pPr>
              <w:jc w:val="right"/>
              <w:ind w:right="3812"/>
              <w:spacing w:after="0"/>
              <w:rPr>
                <w:sz w:val="20"/>
                <w:szCs w:val="20"/>
                <w:color w:val="auto"/>
              </w:rPr>
            </w:pPr>
            <w:r>
              <w:rPr>
                <w:rFonts w:ascii="Arial" w:cs="Arial" w:eastAsia="Arial" w:hAnsi="Arial"/>
                <w:sz w:val="18"/>
                <w:szCs w:val="18"/>
                <w:color w:val="auto"/>
                <w:w w:val="94"/>
              </w:rPr>
              <w:t>2014</w:t>
            </w:r>
          </w:p>
        </w:tc>
        <w:tc>
          <w:tcPr>
            <w:tcW w:w="4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60" w:type="dxa"/>
            <w:vAlign w:val="bottom"/>
            <w:shd w:val="clear" w:color="auto" w:fill="CCEEFF"/>
          </w:tcPr>
          <w:p>
            <w:pPr>
              <w:spacing w:after="0"/>
              <w:rPr>
                <w:sz w:val="18"/>
                <w:szCs w:val="18"/>
                <w:color w:val="auto"/>
              </w:rPr>
            </w:pPr>
          </w:p>
        </w:tc>
      </w:tr>
      <w:tr>
        <w:trPr>
          <w:trHeight w:val="203"/>
        </w:trPr>
        <w:tc>
          <w:tcPr>
            <w:tcW w:w="4300" w:type="dxa"/>
            <w:vAlign w:val="bottom"/>
          </w:tcPr>
          <w:p>
            <w:pPr>
              <w:jc w:val="right"/>
              <w:ind w:right="3812"/>
              <w:spacing w:after="0" w:line="202" w:lineRule="exact"/>
              <w:rPr>
                <w:sz w:val="20"/>
                <w:szCs w:val="20"/>
                <w:color w:val="auto"/>
              </w:rPr>
            </w:pPr>
            <w:r>
              <w:rPr>
                <w:rFonts w:ascii="Arial" w:cs="Arial" w:eastAsia="Arial" w:hAnsi="Arial"/>
                <w:sz w:val="18"/>
                <w:szCs w:val="18"/>
                <w:color w:val="auto"/>
                <w:w w:val="94"/>
              </w:rPr>
              <w:t>2015</w:t>
            </w:r>
          </w:p>
        </w:tc>
        <w:tc>
          <w:tcPr>
            <w:tcW w:w="40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9,733</w:t>
            </w:r>
          </w:p>
        </w:tc>
        <w:tc>
          <w:tcPr>
            <w:tcW w:w="160" w:type="dxa"/>
            <w:vAlign w:val="bottom"/>
          </w:tcPr>
          <w:p>
            <w:pPr>
              <w:spacing w:after="0"/>
              <w:rPr>
                <w:sz w:val="17"/>
                <w:szCs w:val="17"/>
                <w:color w:val="auto"/>
              </w:rPr>
            </w:pPr>
          </w:p>
        </w:tc>
      </w:tr>
      <w:tr>
        <w:trPr>
          <w:trHeight w:val="203"/>
        </w:trPr>
        <w:tc>
          <w:tcPr>
            <w:tcW w:w="4300" w:type="dxa"/>
            <w:vAlign w:val="bottom"/>
            <w:shd w:val="clear" w:color="auto" w:fill="CCEEFF"/>
          </w:tcPr>
          <w:p>
            <w:pPr>
              <w:jc w:val="right"/>
              <w:ind w:right="3812"/>
              <w:spacing w:after="0" w:line="202" w:lineRule="exact"/>
              <w:rPr>
                <w:sz w:val="20"/>
                <w:szCs w:val="20"/>
                <w:color w:val="auto"/>
              </w:rPr>
            </w:pPr>
            <w:r>
              <w:rPr>
                <w:rFonts w:ascii="Arial" w:cs="Arial" w:eastAsia="Arial" w:hAnsi="Arial"/>
                <w:sz w:val="18"/>
                <w:szCs w:val="18"/>
                <w:color w:val="auto"/>
                <w:w w:val="94"/>
              </w:rPr>
              <w:t>2016</w:t>
            </w:r>
          </w:p>
        </w:tc>
        <w:tc>
          <w:tcPr>
            <w:tcW w:w="4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12,508</w:t>
            </w:r>
          </w:p>
        </w:tc>
      </w:tr>
      <w:tr>
        <w:trPr>
          <w:trHeight w:val="203"/>
        </w:trPr>
        <w:tc>
          <w:tcPr>
            <w:tcW w:w="4300" w:type="dxa"/>
            <w:vAlign w:val="bottom"/>
          </w:tcPr>
          <w:p>
            <w:pPr>
              <w:jc w:val="right"/>
              <w:ind w:right="3812"/>
              <w:spacing w:after="0" w:line="202" w:lineRule="exact"/>
              <w:rPr>
                <w:sz w:val="20"/>
                <w:szCs w:val="20"/>
                <w:color w:val="auto"/>
              </w:rPr>
            </w:pPr>
            <w:r>
              <w:rPr>
                <w:rFonts w:ascii="Arial" w:cs="Arial" w:eastAsia="Arial" w:hAnsi="Arial"/>
                <w:sz w:val="18"/>
                <w:szCs w:val="18"/>
                <w:color w:val="auto"/>
                <w:w w:val="94"/>
              </w:rPr>
              <w:t>2017</w:t>
            </w:r>
          </w:p>
        </w:tc>
        <w:tc>
          <w:tcPr>
            <w:tcW w:w="40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16,016</w:t>
            </w:r>
          </w:p>
        </w:tc>
      </w:tr>
      <w:tr>
        <w:trPr>
          <w:trHeight w:val="203"/>
        </w:trPr>
        <w:tc>
          <w:tcPr>
            <w:tcW w:w="4300" w:type="dxa"/>
            <w:vAlign w:val="bottom"/>
            <w:shd w:val="clear" w:color="auto" w:fill="CCEEFF"/>
          </w:tcPr>
          <w:p>
            <w:pPr>
              <w:jc w:val="right"/>
              <w:ind w:right="3812"/>
              <w:spacing w:after="0" w:line="202" w:lineRule="exact"/>
              <w:rPr>
                <w:sz w:val="20"/>
                <w:szCs w:val="20"/>
                <w:color w:val="auto"/>
              </w:rPr>
            </w:pPr>
            <w:r>
              <w:rPr>
                <w:rFonts w:ascii="Arial" w:cs="Arial" w:eastAsia="Arial" w:hAnsi="Arial"/>
                <w:sz w:val="18"/>
                <w:szCs w:val="18"/>
                <w:color w:val="auto"/>
                <w:w w:val="94"/>
              </w:rPr>
              <w:t>2018</w:t>
            </w:r>
          </w:p>
        </w:tc>
        <w:tc>
          <w:tcPr>
            <w:tcW w:w="4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410,807</w:t>
            </w:r>
          </w:p>
        </w:tc>
        <w:tc>
          <w:tcPr>
            <w:tcW w:w="160" w:type="dxa"/>
            <w:vAlign w:val="bottom"/>
            <w:shd w:val="clear" w:color="auto" w:fill="CCEEFF"/>
          </w:tcPr>
          <w:p>
            <w:pPr>
              <w:spacing w:after="0"/>
              <w:rPr>
                <w:sz w:val="17"/>
                <w:szCs w:val="17"/>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30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463,711</w:t>
            </w:r>
          </w:p>
        </w:tc>
        <w:tc>
          <w:tcPr>
            <w:tcW w:w="160" w:type="dxa"/>
            <w:vAlign w:val="bottom"/>
          </w:tcPr>
          <w:p>
            <w:pPr>
              <w:spacing w:after="0"/>
              <w:rPr>
                <w:sz w:val="20"/>
                <w:szCs w:val="20"/>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and expense and other financing costs, net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46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3,882</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908</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7"/>
                <w:szCs w:val="17"/>
                <w:color w:val="auto"/>
              </w:rPr>
            </w:pPr>
          </w:p>
        </w:tc>
      </w:tr>
      <w:tr>
        <w:trPr>
          <w:trHeight w:val="22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 and other financing costs</w:t>
            </w:r>
          </w:p>
        </w:tc>
        <w:tc>
          <w:tcPr>
            <w:tcW w:w="1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(21,169)</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(20,005)</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(16,613)</w:t>
            </w:r>
          </w:p>
        </w:tc>
        <w:tc>
          <w:tcPr>
            <w:tcW w:w="16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(17,287)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(19,097)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(15,825)</w:t>
            </w:r>
          </w:p>
        </w:tc>
      </w:tr>
      <w:tr>
        <w:trPr>
          <w:trHeight w:val="27"/>
        </w:trPr>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and land segments. As of December 31, 2013 and 2012, we had outstanding bonds that were arranged in order to satisfy various security requirements of $34.1 million and $34.3 million, respectively. Most of these bonds provide financial security for obligations which have already been recorded as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our future minimum lease payments under non-cancelable operating leases were as follows (in thousands):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31,649</w:t>
            </w:r>
          </w:p>
        </w:tc>
        <w:tc>
          <w:tcPr>
            <w:tcW w:w="160" w:type="dxa"/>
            <w:vAlign w:val="bottom"/>
            <w:shd w:val="clear" w:color="auto" w:fill="CCEEFF"/>
          </w:tcPr>
          <w:p>
            <w:pPr>
              <w:spacing w:after="0"/>
              <w:rPr>
                <w:sz w:val="18"/>
                <w:szCs w:val="18"/>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30,406</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24,156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18,874</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15,385</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38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40,402</w:t>
            </w: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160,872</w:t>
            </w:r>
          </w:p>
        </w:tc>
        <w:tc>
          <w:tcPr>
            <w:tcW w:w="160" w:type="dxa"/>
            <w:vAlign w:val="bottom"/>
            <w:shd w:val="clear" w:color="auto" w:fill="CCEEFF"/>
          </w:tcPr>
          <w:p>
            <w:pPr>
              <w:spacing w:after="0"/>
              <w:rPr>
                <w:sz w:val="18"/>
                <w:szCs w:val="18"/>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incurred rental expense for all properties and equipment of $24.7 million, $27.3 million and $21.8 million for 2013, 2012 and 2011,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fixed sales and purchase commitments under our derivative programs amounted to $265.0 million and $13.9 million, respectively.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as of December 31, 2013, we had entered into certain other fixed price sales commitments with corresponding fixed price purchase commitments, the majority of which were satisfied within a two-week period. These sales and purchase commitments were made in the normal course of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March 2008, we entered into agreements with Paul H. Stebbins and Michael J. Kasbar for their continued employment with the Company. In August 2011, each of the agreements was amended to reflect the transition of Mr. Kasbar from President and Chief Operating Officer to President and Chief Executive Officer and Mr. Stebbins from Chairman and Chief Executive Officer to Executive Chairman, effective January 1, 2012. The Kasbar agreement was further amended in April 2012 to eliminate the reference to a specific annual base salary amount. The Kasbar agreement, as amended, provides for an annual base salary as determined by our Compensation Committee in its sole discretion (currently $575,000), termination severance benefits, and such incentives and other compensation and amounts as our Compensation Committee may determine from time to time in its sole discretion. The Kasbar agreement, as amended, expires on December 31, 2016, unless terminated earlier, and will automatically extend for successive one-year terms unless either party provides written notice to the other at least one year prior to the expiration of the term that such party does not want to extend the term. The Stebbins agreement, as amended, provides for an annual base salary of $750,000, which is subject to change from time to time as determined by the Compensation Committee in its sole discretion, termination severance benefits, and such incentives and other compensation and amounts as our Compensation Committee may determine from time to time in its sole discretion. In addition, subject to approval of the Compensation Committee, Mr. Stebbins is eligible to receive annual equity-based awards with a grant-date value targeted at $500,000, 50% in the form of service-based RSUs and 50% in the form of performance-based RSUs. The Stebbins agreement, as amended, provides for an initial term of two years from the effective date, unless terminated earlier, and automatically extends for successive one-year terms unless either party provides written notice to the other at least 6 months prior to the expiration of the term that such party does not want to extend the term.</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their amended agreements, Messrs. Kasbar and Stebbins are each entitled to receive cash severance payments if: (a) we terminate the executive's employment without cause following a change of control or for any reason other than death, disability or cause; (b) the executive resigns for good reason (generally a reduction in his responsibilities or compensation, or a breach by us), or resigns following a change of control; or (c) either the executive elects or we elect not to extend the term of the agreement, as amended. The severance payments are equal to $5.0 million for a termination following a change of control and $3.0 million in the other scenarios described above, a portion of which will be payable two years after the termination of the executive's employment. Upon any such termination, we will continue to provide coverage to the executive under our group insurance plans until he is no longer eligible for coverage under COBRA. Thereafter, we will reimburse the executive for the cost of obtaining private health insurance coverage for a certain period of time.</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vest over a two-year period following termination of his employment, with any remaining unvested awards vesting on the last day of such two-year period. For each scenario described above, awards with multiple annual performance conditions must satisfy certain other requirements in order to have their vesting terms accelerated.</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All of Mr. Stebbins' outstanding equity awards (except for RSUs having performance-based vesting criteria issued to him commencing in 2012 (the "New Performance RSUs") will vest in accordance with the same terms and conditions as described above for Mr. Kasbar's outstanding equity awards. In the case of the New Performance RSUs where a change of control has occurred: (i) if the New Performance RSUs were not assumed or substituted, then all such RSUs shall immediately vest, or (ii) if the New Performance RSUs were assumed or substituted, then all such RSUs will no longer be subject to performance-based vesting criteria but will remain subject to service-based vesting criteria. If certain termination events occur prior to a change of control and the New Performance RSUs remain outstanding, the number of RSUs that Mr. Stebbins will receive will be determined following the last day of the applicable performance period based on the Company's actual performance during such period.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Kasbar and Stebbins agreements, as amended, also provide that in the event that any amount or benefit payable under the agreements, taken together with any amounts or benefits otherwise payable to the executive by us or any affiliated company, are subject to excise tax payments or parachute payments under Section 4999 of the Internal Revenue Code, such amounts or benefits will be reduced but only if and to the extent that the after-tax present value of such amounts or benefits as so reduced would exceed the after-tax present value received by the executive before such reduction.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also entered into employment agreements or separation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the approximate future minimum commitments under these agreements, excluding discretionary and performance bonuses, are as follows (in thousands):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Borders>
              <w:top w:val="single" w:sz="8" w:color="auto"/>
            </w:tcBorders>
            <w:shd w:val="clear" w:color="auto" w:fill="CCEEFF"/>
          </w:tcPr>
          <w:p>
            <w:pPr>
              <w:jc w:val="right"/>
              <w:ind w:right="3852"/>
              <w:spacing w:after="0"/>
              <w:rPr>
                <w:sz w:val="20"/>
                <w:szCs w:val="20"/>
                <w:color w:val="auto"/>
              </w:rPr>
            </w:pPr>
            <w:r>
              <w:rPr>
                <w:rFonts w:ascii="Arial" w:cs="Arial" w:eastAsia="Arial" w:hAnsi="Arial"/>
                <w:sz w:val="18"/>
                <w:szCs w:val="18"/>
                <w:color w:val="auto"/>
                <w:w w:val="94"/>
              </w:rPr>
              <w:t>2014</w:t>
            </w:r>
          </w:p>
        </w:tc>
        <w:tc>
          <w:tcPr>
            <w:tcW w:w="4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60" w:type="dxa"/>
            <w:vAlign w:val="bottom"/>
            <w:shd w:val="clear" w:color="auto" w:fill="CCEEFF"/>
          </w:tcPr>
          <w:p>
            <w:pPr>
              <w:spacing w:after="0"/>
              <w:rPr>
                <w:sz w:val="18"/>
                <w:szCs w:val="18"/>
                <w:color w:val="auto"/>
              </w:rPr>
            </w:pPr>
          </w:p>
        </w:tc>
      </w:tr>
      <w:tr>
        <w:trPr>
          <w:trHeight w:val="203"/>
        </w:trPr>
        <w:tc>
          <w:tcPr>
            <w:tcW w:w="4340" w:type="dxa"/>
            <w:vAlign w:val="bottom"/>
          </w:tcPr>
          <w:p>
            <w:pPr>
              <w:jc w:val="right"/>
              <w:ind w:right="3852"/>
              <w:spacing w:after="0" w:line="202" w:lineRule="exact"/>
              <w:rPr>
                <w:sz w:val="20"/>
                <w:szCs w:val="20"/>
                <w:color w:val="auto"/>
              </w:rPr>
            </w:pPr>
            <w:r>
              <w:rPr>
                <w:rFonts w:ascii="Arial" w:cs="Arial" w:eastAsia="Arial" w:hAnsi="Arial"/>
                <w:sz w:val="18"/>
                <w:szCs w:val="18"/>
                <w:color w:val="auto"/>
                <w:w w:val="94"/>
              </w:rPr>
              <w:t>2015</w:t>
            </w:r>
          </w:p>
        </w:tc>
        <w:tc>
          <w:tcPr>
            <w:tcW w:w="40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6,090</w:t>
            </w:r>
          </w:p>
        </w:tc>
        <w:tc>
          <w:tcPr>
            <w:tcW w:w="160" w:type="dxa"/>
            <w:vAlign w:val="bottom"/>
          </w:tcPr>
          <w:p>
            <w:pPr>
              <w:spacing w:after="0"/>
              <w:rPr>
                <w:sz w:val="17"/>
                <w:szCs w:val="17"/>
                <w:color w:val="auto"/>
              </w:rPr>
            </w:pPr>
          </w:p>
        </w:tc>
      </w:tr>
      <w:tr>
        <w:trPr>
          <w:trHeight w:val="203"/>
        </w:trPr>
        <w:tc>
          <w:tcPr>
            <w:tcW w:w="4340" w:type="dxa"/>
            <w:vAlign w:val="bottom"/>
            <w:shd w:val="clear" w:color="auto" w:fill="CCEEFF"/>
          </w:tcPr>
          <w:p>
            <w:pPr>
              <w:jc w:val="right"/>
              <w:ind w:right="3852"/>
              <w:spacing w:after="0" w:line="202" w:lineRule="exact"/>
              <w:rPr>
                <w:sz w:val="20"/>
                <w:szCs w:val="20"/>
                <w:color w:val="auto"/>
              </w:rPr>
            </w:pPr>
            <w:r>
              <w:rPr>
                <w:rFonts w:ascii="Arial" w:cs="Arial" w:eastAsia="Arial" w:hAnsi="Arial"/>
                <w:sz w:val="18"/>
                <w:szCs w:val="18"/>
                <w:color w:val="auto"/>
                <w:w w:val="94"/>
              </w:rPr>
              <w:t>2016</w:t>
            </w:r>
          </w:p>
        </w:tc>
        <w:tc>
          <w:tcPr>
            <w:tcW w:w="4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1,365</w:t>
            </w:r>
          </w:p>
        </w:tc>
        <w:tc>
          <w:tcPr>
            <w:tcW w:w="160" w:type="dxa"/>
            <w:vAlign w:val="bottom"/>
            <w:shd w:val="clear" w:color="auto" w:fill="CCEEFF"/>
          </w:tcPr>
          <w:p>
            <w:pPr>
              <w:spacing w:after="0"/>
              <w:rPr>
                <w:sz w:val="17"/>
                <w:szCs w:val="17"/>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3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15,643</w:t>
            </w:r>
          </w:p>
        </w:tc>
        <w:tc>
          <w:tcPr>
            <w:tcW w:w="160" w:type="dxa"/>
            <w:vAlign w:val="bottom"/>
          </w:tcPr>
          <w:p>
            <w:pPr>
              <w:spacing w:after="0"/>
              <w:rPr>
                <w:sz w:val="20"/>
                <w:szCs w:val="20"/>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Annual Incentive Awards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2013, Paul H. Stebbins, Michael J. Kasbar, Ira M. Birns and Michael S. Clementi, referred to collectively in this 2013 10-K Report as the Named Executive Officers (or "NEOs"), were eligible to receive annual share-based incentive awards (the "share-based awards"), which are specified as dollar amounts, and, in the case of Messrs. Kasbar, Birns and Clementi, annual cash incentive awards (the "cash awards"), each upon the achievement of certain annual performance targets. The performance targets for the NEOs were generally based on the growth of our net income except that the performance targets for Mr. Clementi were generally based on achieving certain levels of aviation net operating income.</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Earned cash awards are generally paid in the year immediately following the performance year, and we would record the earned cash awards as compensation expense during the performance year. Earned share-based awards will be converted to the appropriate number of equity shares (in the form of RSUs) at the prevailing fair value amount on the grant date, which will occur in the year following the performance year. The equity shares will be granted under our 2006 Plan and will fully vest between 3-5 years. For accounting purposes, the share-based awards are accounted for as liability awards during the performance year until granted, when the share-based payment awards will be accounted for as equity awards. We would record compensation expense for the share-based awards proportionately at the start of the performance period until the end of the equity grant's service vesting period, and we would record a corresponding liability amount until the equity shares are granted. When the equity shares are granted, we will reclassify the outstanding liability amount to capital in excess of par value and record the amortization of the equity shares to capital in excess of par value.</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cash and share-based awards earned by our NEOs, subject to future vesting terms, and the compensation expense recorded for these awards for the periods presented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awards earned</w:t>
            </w:r>
          </w:p>
        </w:tc>
        <w:tc>
          <w:tcPr>
            <w:tcW w:w="2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2,249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9,275</w:t>
            </w:r>
          </w:p>
        </w:tc>
        <w:tc>
          <w:tcPr>
            <w:tcW w:w="160" w:type="dxa"/>
            <w:vAlign w:val="bottom"/>
            <w:shd w:val="clear" w:color="auto" w:fill="CCEEFF"/>
          </w:tcPr>
          <w:p>
            <w:pPr>
              <w:spacing w:after="0"/>
              <w:rPr>
                <w:sz w:val="17"/>
                <w:szCs w:val="17"/>
                <w:color w:val="auto"/>
              </w:rPr>
            </w:pPr>
          </w:p>
        </w:tc>
      </w:tr>
      <w:tr>
        <w:trPr>
          <w:trHeight w:val="223"/>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Share-based awards earned</w:t>
            </w:r>
          </w:p>
        </w:tc>
        <w:tc>
          <w:tcPr>
            <w:tcW w:w="2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1,646</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w:t>
            </w:r>
          </w:p>
        </w:tc>
        <w:tc>
          <w:tcPr>
            <w:tcW w:w="160" w:type="dxa"/>
            <w:vAlign w:val="bottom"/>
          </w:tcPr>
          <w:p>
            <w:pPr>
              <w:spacing w:after="0"/>
              <w:rPr>
                <w:sz w:val="19"/>
                <w:szCs w:val="19"/>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earned</w:t>
            </w:r>
          </w:p>
        </w:tc>
        <w:tc>
          <w:tcPr>
            <w:tcW w:w="2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3,895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18,879</w:t>
            </w:r>
          </w:p>
        </w:tc>
        <w:tc>
          <w:tcPr>
            <w:tcW w:w="160" w:type="dxa"/>
            <w:vAlign w:val="bottom"/>
            <w:shd w:val="clear" w:color="auto" w:fill="CCEEFF"/>
          </w:tcPr>
          <w:p>
            <w:pPr>
              <w:spacing w:after="0"/>
              <w:rPr>
                <w:sz w:val="17"/>
                <w:szCs w:val="17"/>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Compensation expense recorded*</w:t>
            </w:r>
          </w:p>
        </w:tc>
        <w:tc>
          <w:tcPr>
            <w:tcW w:w="2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2,636</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11,535</w:t>
            </w:r>
          </w:p>
        </w:tc>
        <w:tc>
          <w:tcPr>
            <w:tcW w:w="160" w:type="dxa"/>
            <w:vAlign w:val="bottom"/>
          </w:tcPr>
          <w:p>
            <w:pPr>
              <w:spacing w:after="0"/>
              <w:rPr>
                <w:sz w:val="17"/>
                <w:szCs w:val="17"/>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remaining compensation expense will be recorded in future periods corresponding with the share-based awards' vesting terms.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were no cash or share-based awards earned by our NEOs in 2012. Cash and share-based awards earned by our former Chief Risk and Administration Officer, an NEO during 2011, are included in the above table.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Additionally, certain of our foreign subsidiaries have defined contribution plans, which allow for voluntary contributions by the employees. The expenses for our contributions under these plans were not significant during each of the years presented on the consolidated statements of income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various services to customers, including into-plane fueling at airports, fueling of vessels in-port and at-sea, and transloading, transportation and storage of fuel and fuel products. We are therefore subject to possible claims by customers, regulators and others who may be injured by a fuel spill or other accident. In addition, we may be held liable for damages to the environment arising out of such events. Although we generally maintain liability insurance for these types of events, such insurance may be inadequate. If we are held liable for any damages, and the liability is not adequately covered by insurance and is of sufficient magnitude, our financial position and results of operations will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be required to clean up facilities previously operated by us, pursuant to current U.S. federal and state laws and regulation. In addition, compliance with existing and future environmental laws regulating underground storage tanks located at the retail gasoline stations that we operate may require significant capital expenditures and increased operating and maintenance costs. The remediation costs and other costs required to clean up or treat contaminated sites could be substantial. We pay tank registration fees and other taxes to state trust funds established in our operating areas and maintain private insurance coverage in support of future remediation obligations. These state trust funds or other responsible third parties including insurers are expected to pay or reimburse us for remediation expenses less a deductible. To the extent third parties do not pay for remediation as we anticipate, we will be obligated to make these payments. These payments could materially adversely affect our financial condition, results of operations and cash flows. Reimbursements from state trust funds will be dependent on the maintenance and continued solvency of the various funds.</w:t>
      </w:r>
    </w:p>
    <w:p>
      <w:pPr>
        <w:spacing w:after="0" w:line="3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we continuously review the adequacy of our insurance coverage, we may lack adequate coverage for various risks, including environmental claims. Furthermore, our ability to obtain and maintain adequate insurance and the cost of such insurance may be affected by significant claims, such as the Lac-Mégantic derailment described below, and conditions in the insurance market over which we have no control. An uninsured or under-insured claim arising out of our activities, if successful and of sufficient magnitude, will have a material adverse effect on our financial position,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Lac-Mégantic, Quebec</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on behalf of DPTS Marketing LLC ("DPM"), a crude oil marketing joint venture in which we own a 50% membership interest, purchased crude oil from various producers in the Bakken region of North Dakota. Dakota Petroleum Transport Solutions, LLC ("DPTS"), a crude oil transloading joint venture in which we also own a 50% membership interest, arranged for the transloading of the crude oil for DPM into tank cars at the joint venture's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the crude oil derailed in Lac-Mégantic, Quebec. The derailment resulted in significant loss of life, damage to the environment from spilled crude oil and extensive property damage.</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we, certain of our subsidiaries, DPM and DPTS, along with a number of third parties, including MMA and certain of its affiliates, as well as several manufacturers and lessors of tank cars, were named as defendants in twenty complaints filed in Illinois. The complaints generally allege wrongful death and negligence in the failure to provide for the proper and safe transportation of crude oil and seek economic and compensatory damages, as well as costs. In addition, 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motion generally alleges wrongful death and negligence in the failure to provide for the proper and safe transportation of crude oil.</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in 2013, an order was issued by the government of Quebec against MMA and us, which was subsequently modified and added CPR as a party. The orders require MMA, CPR and us to recover the spilled crude oil caused by the incident and to otherwise fully remediate the impact of the incident on the environment. We have filed a contestation of these orders before the Tribunal administratif du Québec, an administrative body responsible for hearing such proceedings, challenging the legality and validity of the orders on various grounds.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these proceedings, we have received demands for indemnification from certain tank car lessors pursuant to our lease agreements with such parties. We are currently assessing the merits of these demands as well as of the underlying claims for which such indemnification is sought. 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we and our joint ventures, DPM and DPTS, maintain insurance to mitigate the costs of environmental releases as well as other results of unexpected events, including loss of life, property damage and defense costs, there can be no guarantee that our insurance will be adequate to cover all liabilities that may be incurred as a result of this incident.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separately evaluating potential claims that we, DPM or DPTS may assert against third parties to recover costs and other liabilities that may be incurred as a result of this incident. We can provide no guarantee that any such claims, if brought by us, will be successful or, if successful, that the responsible parties will have the financial resources to address any such claims.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unable to determine the probability of loss, or reasonably estimate a range of potential losses related to the above proceedings.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have not made any provision for these potential losses in our consolidated financial statements.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recorded total liabilities of $21.0 million based on estimated losses related to the value of the tank cars involved in the incident, as well as legal costs incurred in connection with the incident, which we believe are probable and for which a reasonable estimate can be made. We believe that a substantial portion of these liabilities are covered by insurance and have recorded total receivables of $20.9 million. As of December 31, 2013, the remaining unpaid liabilities of $9.9 million are included in accrued expenses and other current liabilities and the remaining uncollected receivable of $14.7 million is included in other current assets in the accompanying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Cathay Pacific Litigation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April 2012, one of our subsidiaries, World Fuel Services (Singapore) Pte Ltd. ("WFSS") was involved in litigation with Cathay Pacific Airways Limited ("Cathay") arising out of the emergency landing of a Cathay aircraft in Hong Kong in 2010, which Cathay alleged was caused by contaminated fuel supplied by WFSS. Cathay claimed damages relating to the incident of approximately $34.0 million. Effective December 24, 2013, Cathay, WFSS and the party that supplied the subject fuel to WFSS, PT Pertamina (Persero) ("Pertamina"), entered into a settlement agreement whereby Cathay, in consideration of payments from each of WFSS and Pertamina, agreed to release and forever discharge any and all claims Cathay may have against WFSS and Pertamina arising out of the incident without any admission of liability by WFSS or Pertamina. The amount paid to Cathay by WFSS under the settlement agreement was not significant and fully covered by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We have established loss provisions for these ordinary course claims as well as other matters in which losses are probable and can be reasonably estimated. As of December 31, 2013,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declared cash dividends of $0.15 per share of common stock for each of 2013, 2012 and 2011. Our Credit Facility and Term Loans restrict the payment of cash dividends to a maximum of the sum of (i) $50.0 million plus (ii) 50% of the cumulative consolidated net income for each fiscal quarter beginning with the fiscal quarter ended March 31, 2010, plus (iii) 100% of the net proceeds of all equity issuances made after October 2013. The payment of the above-referenced dividends was in compliance with the Credit Facility and Term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from time to time, has authorized stock repurchase programs under the terms of which we may repurchase our common stock, subject to certain restrictions contained in our Credit Facility and Term Loans. In October 2008, our Board of Directors authorized a $50.0 million common stock repurchase program (the "Repurchase Program"). The Repurchase Program does not require a minimum number of shares of common stock to be purchased and has no expiration date but may be suspended or discontinued at any time. In 2013, we repurchased 926,000 shares of our common stock for an aggregate value of $35.0 million pursuant to the Repurchase Program. We did not repurchase any shares of common stock under any stock repurchase program in 2012 or 2011. As of December 31, 2013, $15.0 million remains available for purchase under the Repurchase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Summary and Description</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2006, our shareholders approved the 2006 Omnibus Plan (the "2006 Plan"). The 2006 Plan is administered by the Compensation Committee of the Board of Directors (the "Compensation Committee"). The purpose of the 2006 Plan is to (i) attract and retain persons eligible to participate in the 2006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Fuel and its subsidiaries, including the growth in value of our equity and enhancement of long-term shareholder return. The persons eligible to receive awards under the 2006 Plan are our employees, officers, and members of the Board of Directors, or any consultant or other person who performs services for us.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provisions of the 2006 Plan authorize the grant of stock options which can be "qualified" or "nonqualified" under the Internal Revenue Code of 1986, as amended, restricted stock, RSUs, SSAR Awards, performance shares and performance units and other share- based awards. The 2006 Plan is unlimited in duration and, in the event of its termination, the 2006 Plan will remain in effect as long as any of the above awards are outstanding. No awards may be granted under the 2006 Plan after June 2016. The term and vesting period of awards granted under the 2006 Plan are established on a per grant basis, but options and SSAR Awards may not remain exercisable after the seven-year anniversary of the date of grant.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2006 Plan, 4,900,000 shares of common stock are authorized for issuance. Additional shares of common stock that are authorized for issuance under the 2006 Plan include any shares that were available for future grant under any of our prior stock plans, and any stock or stock options granted under the 2006 Plan or any prior plans that expire or are forfeited or canceled.</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any employee's shares used to satisfy the withholding taxes due upon vesting of restricted stock or RSUs or exercise of SSAR Awards are added to the maximum number of shares authorized for issuance under the 2006 Plan.</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the outstanding awards issued pursuant to the 2006 Plan described above as of December 31, 2013 and the remaining shares of common stock available for future issuance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03"/>
        </w:trPr>
        <w:tc>
          <w:tcPr>
            <w:tcW w:w="1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 of</w:t>
            </w:r>
          </w:p>
        </w:tc>
      </w:tr>
      <w:tr>
        <w:trPr>
          <w:trHeight w:val="203"/>
        </w:trPr>
        <w:tc>
          <w:tcPr>
            <w:tcW w:w="1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common stock</w:t>
            </w:r>
          </w:p>
        </w:tc>
      </w:tr>
      <w:tr>
        <w:trPr>
          <w:trHeight w:val="203"/>
        </w:trPr>
        <w:tc>
          <w:tcPr>
            <w:tcW w:w="1980" w:type="dxa"/>
            <w:vAlign w:val="bottom"/>
          </w:tcPr>
          <w:p>
            <w:pPr>
              <w:spacing w:after="0"/>
              <w:rPr>
                <w:sz w:val="17"/>
                <w:szCs w:val="17"/>
                <w:color w:val="auto"/>
              </w:rPr>
            </w:pPr>
          </w:p>
        </w:tc>
        <w:tc>
          <w:tcPr>
            <w:tcW w:w="19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Restricted</w:t>
            </w:r>
          </w:p>
        </w:tc>
        <w:tc>
          <w:tcPr>
            <w:tcW w:w="860" w:type="dxa"/>
            <w:vAlign w:val="bottom"/>
          </w:tcPr>
          <w:p>
            <w:pPr>
              <w:spacing w:after="0"/>
              <w:rPr>
                <w:sz w:val="17"/>
                <w:szCs w:val="17"/>
                <w:color w:val="auto"/>
              </w:rPr>
            </w:pPr>
          </w:p>
        </w:tc>
        <w:tc>
          <w:tcPr>
            <w:tcW w:w="1940" w:type="dxa"/>
            <w:vAlign w:val="bottom"/>
          </w:tcPr>
          <w:p>
            <w:pPr>
              <w:jc w:val="right"/>
              <w:ind w:right="1012"/>
              <w:spacing w:after="0" w:line="202" w:lineRule="exact"/>
              <w:rPr>
                <w:sz w:val="20"/>
                <w:szCs w:val="20"/>
                <w:color w:val="auto"/>
              </w:rPr>
            </w:pPr>
            <w:r>
              <w:rPr>
                <w:rFonts w:ascii="Arial" w:cs="Arial" w:eastAsia="Arial" w:hAnsi="Arial"/>
                <w:sz w:val="18"/>
                <w:szCs w:val="18"/>
                <w:b w:val="1"/>
                <w:bCs w:val="1"/>
                <w:color w:val="auto"/>
              </w:rPr>
              <w:t>SSAR</w:t>
            </w: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available for</w:t>
            </w:r>
          </w:p>
        </w:tc>
      </w:tr>
      <w:tr>
        <w:trPr>
          <w:trHeight w:val="242"/>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name</w:t>
            </w:r>
          </w:p>
        </w:tc>
        <w:tc>
          <w:tcPr>
            <w:tcW w:w="1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Stock</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RSUs</w:t>
            </w:r>
          </w:p>
        </w:tc>
        <w:tc>
          <w:tcPr>
            <w:tcW w:w="194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rPr>
              <w:t>Awards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future issuance</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 Plan (1)</w:t>
            </w:r>
          </w:p>
        </w:tc>
        <w:tc>
          <w:tcPr>
            <w:tcW w:w="19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1,374</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747</w:t>
            </w:r>
          </w:p>
        </w:tc>
        <w:tc>
          <w:tcPr>
            <w:tcW w:w="1940" w:type="dxa"/>
            <w:vAlign w:val="bottom"/>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272</w:t>
            </w:r>
          </w:p>
        </w:tc>
        <w:tc>
          <w:tcPr>
            <w:tcW w:w="2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3,495</w:t>
            </w:r>
          </w:p>
        </w:tc>
      </w:tr>
      <w:tr>
        <w:trPr>
          <w:trHeight w:val="27"/>
        </w:trPr>
        <w:tc>
          <w:tcPr>
            <w:tcW w:w="1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left="540" w:hanging="532"/>
        <w:spacing w:after="0" w:line="23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2013, unvested restricted stock will vest between November 2014 and August 2018, unvested RSUs will vest between December 2014 and May 2019 and the outstanding SSAR Awards will expire between May 2014 and August 2018. RSUs granted to non-employee directors under the 2006 Plan prior to 2011 remain outstanding until the date the non-employee director ceases, for any reason, to be a member of the Board of Directors.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thousands, except weighted average grant-date fair value price and weighted average remaining vesting term data):</w:t>
      </w:r>
    </w:p>
    <w:p>
      <w:pPr>
        <w:spacing w:after="0" w:line="18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Unvested Restricted Stock Outstanding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4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8"/>
                <w:szCs w:val="18"/>
                <w:b w:val="1"/>
                <w:bCs w:val="1"/>
                <w:color w:val="auto"/>
              </w:rPr>
              <w:t>Weighted</w:t>
            </w:r>
          </w:p>
        </w:tc>
      </w:tr>
      <w:tr>
        <w:trPr>
          <w:trHeight w:val="203"/>
        </w:trPr>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Weighted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Average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Remaining</w:t>
            </w:r>
          </w:p>
        </w:tc>
      </w:tr>
      <w:tr>
        <w:trPr>
          <w:trHeight w:val="203"/>
        </w:trPr>
        <w:tc>
          <w:tcPr>
            <w:tcW w:w="41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Unvested</w:t>
            </w:r>
          </w:p>
        </w:tc>
        <w:tc>
          <w:tcPr>
            <w:tcW w:w="132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Grant-date</w:t>
            </w:r>
          </w:p>
        </w:tc>
        <w:tc>
          <w:tcPr>
            <w:tcW w:w="1240" w:type="dxa"/>
            <w:vAlign w:val="bottom"/>
            <w:gridSpan w:val="2"/>
          </w:tcPr>
          <w:p>
            <w:pPr>
              <w:jc w:val="right"/>
              <w:ind w:right="52"/>
              <w:spacing w:after="0" w:line="202" w:lineRule="exact"/>
              <w:rPr>
                <w:sz w:val="20"/>
                <w:szCs w:val="20"/>
                <w:color w:val="auto"/>
              </w:rPr>
            </w:pPr>
            <w:r>
              <w:rPr>
                <w:rFonts w:ascii="Arial" w:cs="Arial" w:eastAsia="Arial" w:hAnsi="Arial"/>
                <w:sz w:val="18"/>
                <w:szCs w:val="18"/>
                <w:b w:val="1"/>
                <w:bCs w:val="1"/>
                <w:color w:val="auto"/>
              </w:rPr>
              <w:t>Aggregate</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Vesting</w:t>
            </w:r>
          </w:p>
        </w:tc>
      </w:tr>
      <w:tr>
        <w:trPr>
          <w:trHeight w:val="203"/>
        </w:trPr>
        <w:tc>
          <w:tcPr>
            <w:tcW w:w="41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Restricted</w:t>
            </w: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w w:val="95"/>
              </w:rPr>
              <w:t>Fair Value</w:t>
            </w:r>
          </w:p>
        </w:tc>
        <w:tc>
          <w:tcPr>
            <w:tcW w:w="34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Intrinsic</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Term</w:t>
            </w:r>
          </w:p>
        </w:tc>
      </w:tr>
      <w:tr>
        <w:trPr>
          <w:trHeight w:val="242"/>
        </w:trPr>
        <w:tc>
          <w:tcPr>
            <w:tcW w:w="4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Stock</w:t>
            </w: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 Years)</w:t>
            </w:r>
          </w:p>
        </w:tc>
      </w:tr>
      <w:tr>
        <w:trPr>
          <w:trHeight w:val="203"/>
        </w:trPr>
        <w:tc>
          <w:tcPr>
            <w:tcW w:w="4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2010</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20.84</w:t>
            </w: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13,991</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37.40</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20.49</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26.45</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2011</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34.07</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18,707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40.19</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26.26</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37.24</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2012</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39.38</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45,295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41.83</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37.00</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38.89</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2013</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40.07</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59,307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7"/>
                <w:szCs w:val="17"/>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aggregate value of restricted stock which vested during 2013, 2012 and 2011 was $1.7 million, $5.3 million and $10.6 million, respectively, based on the average high and low market price of our common stock at the vesting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Awards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thousands, except for weighted average grant-date fair value data and weighted average remaining contractual life):</w:t>
      </w:r>
    </w:p>
    <w:p>
      <w:pPr>
        <w:spacing w:after="0" w:line="18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RSUs Outstanding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4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ind w:right="160"/>
              <w:spacing w:after="0" w:line="157" w:lineRule="exact"/>
              <w:rPr>
                <w:sz w:val="20"/>
                <w:szCs w:val="20"/>
                <w:color w:val="auto"/>
              </w:rPr>
            </w:pPr>
            <w:r>
              <w:rPr>
                <w:rFonts w:ascii="Arial" w:cs="Arial" w:eastAsia="Arial" w:hAnsi="Arial"/>
                <w:sz w:val="18"/>
                <w:szCs w:val="18"/>
                <w:b w:val="1"/>
                <w:bCs w:val="1"/>
                <w:color w:val="auto"/>
              </w:rPr>
              <w:t>Weighted</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w w:val="98"/>
              </w:rPr>
              <w:t>Weighted</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Remaining</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Grant-date</w:t>
            </w:r>
          </w:p>
        </w:tc>
        <w:tc>
          <w:tcPr>
            <w:tcW w:w="1240" w:type="dxa"/>
            <w:vAlign w:val="bottom"/>
            <w:gridSpan w:val="2"/>
          </w:tcPr>
          <w:p>
            <w:pPr>
              <w:jc w:val="right"/>
              <w:ind w:right="52"/>
              <w:spacing w:after="0" w:line="202" w:lineRule="exact"/>
              <w:rPr>
                <w:sz w:val="20"/>
                <w:szCs w:val="20"/>
                <w:color w:val="auto"/>
              </w:rPr>
            </w:pPr>
            <w:r>
              <w:rPr>
                <w:rFonts w:ascii="Arial" w:cs="Arial" w:eastAsia="Arial" w:hAnsi="Arial"/>
                <w:sz w:val="18"/>
                <w:szCs w:val="18"/>
                <w:b w:val="1"/>
                <w:bCs w:val="1"/>
                <w:color w:val="auto"/>
              </w:rPr>
              <w:t>Aggregate</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Contractual</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Fair</w:t>
            </w:r>
          </w:p>
        </w:tc>
        <w:tc>
          <w:tcPr>
            <w:tcW w:w="36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Intrinsic</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Life</w:t>
            </w:r>
          </w:p>
        </w:tc>
      </w:tr>
      <w:tr>
        <w:trPr>
          <w:trHeight w:val="242"/>
        </w:trPr>
        <w:tc>
          <w:tcPr>
            <w:tcW w:w="4100" w:type="dxa"/>
            <w:vAlign w:val="bottom"/>
          </w:tcPr>
          <w:p>
            <w:pPr>
              <w:spacing w:after="0"/>
              <w:rPr>
                <w:sz w:val="21"/>
                <w:szCs w:val="21"/>
                <w:color w:val="auto"/>
              </w:rPr>
            </w:pPr>
          </w:p>
        </w:tc>
        <w:tc>
          <w:tcPr>
            <w:tcW w:w="1260" w:type="dxa"/>
            <w:vAlign w:val="bottom"/>
            <w:gridSpan w:val="2"/>
          </w:tcPr>
          <w:p>
            <w:pPr>
              <w:ind w:left="620"/>
              <w:spacing w:after="0"/>
              <w:rPr>
                <w:sz w:val="20"/>
                <w:szCs w:val="20"/>
                <w:color w:val="auto"/>
              </w:rPr>
            </w:pPr>
            <w:r>
              <w:rPr>
                <w:rFonts w:ascii="Arial" w:cs="Arial" w:eastAsia="Arial" w:hAnsi="Arial"/>
                <w:sz w:val="18"/>
                <w:szCs w:val="18"/>
                <w:b w:val="1"/>
                <w:bCs w:val="1"/>
                <w:color w:val="auto"/>
              </w:rPr>
              <w:t>RSUs</w:t>
            </w:r>
          </w:p>
        </w:tc>
        <w:tc>
          <w:tcPr>
            <w:tcW w:w="2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Value</w:t>
            </w:r>
          </w:p>
        </w:tc>
        <w:tc>
          <w:tcPr>
            <w:tcW w:w="3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Value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 Years)</w:t>
            </w:r>
          </w:p>
        </w:tc>
      </w:tr>
      <w:tr>
        <w:trPr>
          <w:trHeight w:val="203"/>
        </w:trPr>
        <w:tc>
          <w:tcPr>
            <w:tcW w:w="4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2010</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1,218</w:t>
            </w: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18.34</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44,038</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38.01</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14.03</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16.19</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2011</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25.59</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37,373</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40.98</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16.12</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30.74</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2012</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34.06</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39,888</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40.59</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32.00</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35.92</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2013</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35.61</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31,775</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7"/>
                <w:szCs w:val="17"/>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issued during 2013, 2012 and 2011 was $11.3 million, $11.6 million and $19.5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SSAR Awards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thousands, except weighted average exercise price and weighted average remaining contractual life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4"/>
          </w:tcPr>
          <w:p>
            <w:pPr>
              <w:jc w:val="right"/>
              <w:spacing w:after="0"/>
              <w:rPr>
                <w:sz w:val="20"/>
                <w:szCs w:val="20"/>
                <w:color w:val="auto"/>
              </w:rPr>
            </w:pPr>
            <w:r>
              <w:rPr>
                <w:rFonts w:ascii="Arial" w:cs="Arial" w:eastAsia="Arial" w:hAnsi="Arial"/>
                <w:sz w:val="18"/>
                <w:szCs w:val="18"/>
                <w:b w:val="1"/>
                <w:bCs w:val="1"/>
                <w:color w:val="auto"/>
              </w:rPr>
              <w:t>SSAR Awards Outstanding</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6"/>
              </w:rPr>
              <w:t>SSAR Awards Exercisable</w:t>
            </w:r>
          </w:p>
        </w:tc>
        <w:tc>
          <w:tcPr>
            <w:tcW w:w="0" w:type="dxa"/>
            <w:vAlign w:val="bottom"/>
          </w:tcPr>
          <w:p>
            <w:pPr>
              <w:spacing w:after="0"/>
              <w:rPr>
                <w:sz w:val="1"/>
                <w:szCs w:val="1"/>
                <w:color w:val="auto"/>
              </w:rPr>
            </w:pPr>
          </w:p>
        </w:tc>
      </w:tr>
      <w:tr>
        <w:trPr>
          <w:trHeight w:val="83"/>
        </w:trPr>
        <w:tc>
          <w:tcPr>
            <w:tcW w:w="1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1"/>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Remaining</w:t>
            </w:r>
          </w:p>
        </w:tc>
        <w:tc>
          <w:tcPr>
            <w:tcW w:w="7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Aggregate</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Contractual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Aggregate</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SSAR</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Exercise</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Intrinsic</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Life</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SSAR</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Exercise</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Intrinsic</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Awards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(in Years)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Awards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3"/>
          </w:tcPr>
          <w:p>
            <w:pPr>
              <w:ind w:left="24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06"/>
        </w:trPr>
        <w:tc>
          <w:tcPr>
            <w:tcW w:w="12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As of</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2010</w:t>
            </w: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20,346</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w:t>
            </w: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18.29</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8,619</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16.56</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As of</w:t>
            </w: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line="200" w:lineRule="exact"/>
              <w:rPr>
                <w:sz w:val="20"/>
                <w:szCs w:val="20"/>
                <w:color w:val="auto"/>
              </w:rPr>
            </w:pPr>
            <w:r>
              <w:rPr>
                <w:rFonts w:ascii="Arial" w:cs="Arial" w:eastAsia="Arial" w:hAnsi="Arial"/>
                <w:sz w:val="18"/>
                <w:szCs w:val="18"/>
                <w:color w:val="auto"/>
              </w:rPr>
              <w:t>2011</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517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15.06</w:t>
            </w:r>
          </w:p>
        </w:tc>
        <w:tc>
          <w:tcPr>
            <w:tcW w:w="22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13,921</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1.4</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410</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15.39</w:t>
            </w:r>
          </w:p>
        </w:tc>
        <w:tc>
          <w:tcPr>
            <w:tcW w:w="28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10,895</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As of</w:t>
            </w: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line="200" w:lineRule="exact"/>
              <w:rPr>
                <w:sz w:val="20"/>
                <w:szCs w:val="20"/>
                <w:color w:val="auto"/>
              </w:rPr>
            </w:pPr>
            <w:r>
              <w:rPr>
                <w:rFonts w:ascii="Arial" w:cs="Arial" w:eastAsia="Arial" w:hAnsi="Arial"/>
                <w:sz w:val="18"/>
                <w:szCs w:val="18"/>
                <w:color w:val="auto"/>
              </w:rPr>
              <w:t>2012</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422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15.30</w:t>
            </w:r>
          </w:p>
        </w:tc>
        <w:tc>
          <w:tcPr>
            <w:tcW w:w="22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10,927</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0.6</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16.02</w:t>
            </w:r>
          </w:p>
        </w:tc>
        <w:tc>
          <w:tcPr>
            <w:tcW w:w="28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8,108</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14.07</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As of</w:t>
            </w: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aggregate intrinsic value of SSAR Awards exercised during 2013, 2012 and 2011 was $9.1 million, $2.1 million and $10.2 million, respectively, based on the difference between the average of the high and low market price of our common stock at the exercise date and the SSAR Award exercise price.</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discussed in Note 1, we currently use the Black Scholes option pricing model to estimate the fair value of SSAR Awards granted to employees and non-employee directors. The weighted average fair value of the SSAR Awards for 2013 was $11.65 and the assumptions used to determine such fair value were as follows: expected term of 4.1 years, volatility of 38.0%, dividend yields of 0.4% and risk-free interest rates of 0.6%. There were no SSAR Awards issued in 2012 and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Compensation Cost</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2013, there was $32.7 million of total unrecognized compensation cost related to unvested share-based payment awards, which is included as capital in excess of par value in the accompanying consolidated balance sheets. The unrecognized compensation cost as of December 31, 2013 is expected to be recognized as compensation expense over a weighted average period of 1.4 years as follows (in thousands):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Borders>
              <w:top w:val="single" w:sz="8" w:color="auto"/>
            </w:tcBorders>
            <w:shd w:val="clear" w:color="auto" w:fill="CCEEFF"/>
          </w:tcPr>
          <w:p>
            <w:pPr>
              <w:jc w:val="right"/>
              <w:ind w:right="3852"/>
              <w:spacing w:after="0"/>
              <w:rPr>
                <w:sz w:val="20"/>
                <w:szCs w:val="20"/>
                <w:color w:val="auto"/>
              </w:rPr>
            </w:pPr>
            <w:r>
              <w:rPr>
                <w:rFonts w:ascii="Arial" w:cs="Arial" w:eastAsia="Arial" w:hAnsi="Arial"/>
                <w:sz w:val="18"/>
                <w:szCs w:val="18"/>
                <w:color w:val="auto"/>
                <w:w w:val="94"/>
              </w:rPr>
              <w:t>2014</w:t>
            </w:r>
          </w:p>
        </w:tc>
        <w:tc>
          <w:tcPr>
            <w:tcW w:w="4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$ 14,829</w:t>
            </w:r>
          </w:p>
        </w:tc>
        <w:tc>
          <w:tcPr>
            <w:tcW w:w="160" w:type="dxa"/>
            <w:vAlign w:val="bottom"/>
            <w:shd w:val="clear" w:color="auto" w:fill="CCEEFF"/>
          </w:tcPr>
          <w:p>
            <w:pPr>
              <w:spacing w:after="0"/>
              <w:rPr>
                <w:sz w:val="18"/>
                <w:szCs w:val="18"/>
                <w:color w:val="auto"/>
              </w:rPr>
            </w:pPr>
          </w:p>
        </w:tc>
      </w:tr>
      <w:tr>
        <w:trPr>
          <w:trHeight w:val="203"/>
        </w:trPr>
        <w:tc>
          <w:tcPr>
            <w:tcW w:w="4340" w:type="dxa"/>
            <w:vAlign w:val="bottom"/>
          </w:tcPr>
          <w:p>
            <w:pPr>
              <w:jc w:val="right"/>
              <w:ind w:right="3852"/>
              <w:spacing w:after="0" w:line="202" w:lineRule="exact"/>
              <w:rPr>
                <w:sz w:val="20"/>
                <w:szCs w:val="20"/>
                <w:color w:val="auto"/>
              </w:rPr>
            </w:pPr>
            <w:r>
              <w:rPr>
                <w:rFonts w:ascii="Arial" w:cs="Arial" w:eastAsia="Arial" w:hAnsi="Arial"/>
                <w:sz w:val="18"/>
                <w:szCs w:val="18"/>
                <w:color w:val="auto"/>
                <w:w w:val="94"/>
              </w:rPr>
              <w:t>2015</w:t>
            </w:r>
          </w:p>
        </w:tc>
        <w:tc>
          <w:tcPr>
            <w:tcW w:w="4640" w:type="dxa"/>
            <w:vAlign w:val="bottom"/>
          </w:tcPr>
          <w:p>
            <w:pPr>
              <w:jc w:val="right"/>
              <w:spacing w:after="0" w:line="202" w:lineRule="exact"/>
              <w:rPr>
                <w:sz w:val="20"/>
                <w:szCs w:val="20"/>
                <w:color w:val="auto"/>
              </w:rPr>
            </w:pPr>
            <w:r>
              <w:rPr>
                <w:rFonts w:ascii="Arial" w:cs="Arial" w:eastAsia="Arial" w:hAnsi="Arial"/>
                <w:sz w:val="18"/>
                <w:szCs w:val="18"/>
                <w:color w:val="auto"/>
              </w:rPr>
              <w:t>9,595</w:t>
            </w:r>
          </w:p>
        </w:tc>
        <w:tc>
          <w:tcPr>
            <w:tcW w:w="160" w:type="dxa"/>
            <w:vAlign w:val="bottom"/>
          </w:tcPr>
          <w:p>
            <w:pPr>
              <w:spacing w:after="0"/>
              <w:rPr>
                <w:sz w:val="17"/>
                <w:szCs w:val="17"/>
                <w:color w:val="auto"/>
              </w:rPr>
            </w:pPr>
          </w:p>
        </w:tc>
      </w:tr>
      <w:tr>
        <w:trPr>
          <w:trHeight w:val="203"/>
        </w:trPr>
        <w:tc>
          <w:tcPr>
            <w:tcW w:w="4340" w:type="dxa"/>
            <w:vAlign w:val="bottom"/>
            <w:shd w:val="clear" w:color="auto" w:fill="CCEEFF"/>
          </w:tcPr>
          <w:p>
            <w:pPr>
              <w:jc w:val="right"/>
              <w:ind w:right="3852"/>
              <w:spacing w:after="0" w:line="202" w:lineRule="exact"/>
              <w:rPr>
                <w:sz w:val="20"/>
                <w:szCs w:val="20"/>
                <w:color w:val="auto"/>
              </w:rPr>
            </w:pPr>
            <w:r>
              <w:rPr>
                <w:rFonts w:ascii="Arial" w:cs="Arial" w:eastAsia="Arial" w:hAnsi="Arial"/>
                <w:sz w:val="18"/>
                <w:szCs w:val="18"/>
                <w:color w:val="auto"/>
                <w:w w:val="94"/>
              </w:rPr>
              <w:t>2016</w:t>
            </w:r>
          </w:p>
        </w:tc>
        <w:tc>
          <w:tcPr>
            <w:tcW w:w="4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5,637</w:t>
            </w:r>
          </w:p>
        </w:tc>
        <w:tc>
          <w:tcPr>
            <w:tcW w:w="160" w:type="dxa"/>
            <w:vAlign w:val="bottom"/>
            <w:shd w:val="clear" w:color="auto" w:fill="CCEEFF"/>
          </w:tcPr>
          <w:p>
            <w:pPr>
              <w:spacing w:after="0"/>
              <w:rPr>
                <w:sz w:val="17"/>
                <w:szCs w:val="17"/>
                <w:color w:val="auto"/>
              </w:rPr>
            </w:pPr>
          </w:p>
        </w:tc>
      </w:tr>
      <w:tr>
        <w:trPr>
          <w:trHeight w:val="203"/>
        </w:trPr>
        <w:tc>
          <w:tcPr>
            <w:tcW w:w="4340" w:type="dxa"/>
            <w:vAlign w:val="bottom"/>
          </w:tcPr>
          <w:p>
            <w:pPr>
              <w:jc w:val="right"/>
              <w:ind w:right="3852"/>
              <w:spacing w:after="0" w:line="202" w:lineRule="exact"/>
              <w:rPr>
                <w:sz w:val="20"/>
                <w:szCs w:val="20"/>
                <w:color w:val="auto"/>
              </w:rPr>
            </w:pPr>
            <w:r>
              <w:rPr>
                <w:rFonts w:ascii="Arial" w:cs="Arial" w:eastAsia="Arial" w:hAnsi="Arial"/>
                <w:sz w:val="18"/>
                <w:szCs w:val="18"/>
                <w:color w:val="auto"/>
                <w:w w:val="94"/>
              </w:rPr>
              <w:t>2017</w:t>
            </w:r>
          </w:p>
        </w:tc>
        <w:tc>
          <w:tcPr>
            <w:tcW w:w="4640" w:type="dxa"/>
            <w:vAlign w:val="bottom"/>
          </w:tcPr>
          <w:p>
            <w:pPr>
              <w:jc w:val="right"/>
              <w:spacing w:after="0" w:line="202" w:lineRule="exact"/>
              <w:rPr>
                <w:sz w:val="20"/>
                <w:szCs w:val="20"/>
                <w:color w:val="auto"/>
              </w:rPr>
            </w:pPr>
            <w:r>
              <w:rPr>
                <w:rFonts w:ascii="Arial" w:cs="Arial" w:eastAsia="Arial" w:hAnsi="Arial"/>
                <w:sz w:val="18"/>
                <w:szCs w:val="18"/>
                <w:color w:val="auto"/>
              </w:rPr>
              <w:t>2,223</w:t>
            </w:r>
          </w:p>
        </w:tc>
        <w:tc>
          <w:tcPr>
            <w:tcW w:w="160" w:type="dxa"/>
            <w:vAlign w:val="bottom"/>
          </w:tcPr>
          <w:p>
            <w:pPr>
              <w:spacing w:after="0"/>
              <w:rPr>
                <w:sz w:val="17"/>
                <w:szCs w:val="17"/>
                <w:color w:val="auto"/>
              </w:rPr>
            </w:pPr>
          </w:p>
        </w:tc>
      </w:tr>
      <w:tr>
        <w:trPr>
          <w:trHeight w:val="203"/>
        </w:trPr>
        <w:tc>
          <w:tcPr>
            <w:tcW w:w="4340" w:type="dxa"/>
            <w:vAlign w:val="bottom"/>
            <w:shd w:val="clear" w:color="auto" w:fill="CCEEFF"/>
          </w:tcPr>
          <w:p>
            <w:pPr>
              <w:jc w:val="right"/>
              <w:ind w:right="3852"/>
              <w:spacing w:after="0" w:line="202" w:lineRule="exact"/>
              <w:rPr>
                <w:sz w:val="20"/>
                <w:szCs w:val="20"/>
                <w:color w:val="auto"/>
              </w:rPr>
            </w:pPr>
            <w:r>
              <w:rPr>
                <w:rFonts w:ascii="Arial" w:cs="Arial" w:eastAsia="Arial" w:hAnsi="Arial"/>
                <w:sz w:val="18"/>
                <w:szCs w:val="18"/>
                <w:color w:val="auto"/>
                <w:w w:val="94"/>
              </w:rPr>
              <w:t>2018</w:t>
            </w:r>
          </w:p>
        </w:tc>
        <w:tc>
          <w:tcPr>
            <w:tcW w:w="4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7"/>
                <w:szCs w:val="17"/>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3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$ 32,676</w:t>
            </w:r>
          </w:p>
        </w:tc>
        <w:tc>
          <w:tcPr>
            <w:tcW w:w="160" w:type="dxa"/>
            <w:vAlign w:val="bottom"/>
          </w:tcPr>
          <w:p>
            <w:pPr>
              <w:spacing w:after="0"/>
              <w:rPr>
                <w:sz w:val="20"/>
                <w:szCs w:val="20"/>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and Accumulated Other Comprehensive Loss</w:t>
      </w:r>
    </w:p>
    <w:p>
      <w:pPr>
        <w:spacing w:after="0" w:line="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Foreign</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Accumulated</w:t>
            </w:r>
          </w:p>
        </w:tc>
      </w:tr>
      <w:tr>
        <w:trPr>
          <w:trHeight w:val="203"/>
        </w:trPr>
        <w:tc>
          <w:tcPr>
            <w:tcW w:w="3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Currency</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Other</w:t>
            </w:r>
          </w:p>
        </w:tc>
      </w:tr>
      <w:tr>
        <w:trPr>
          <w:trHeight w:val="203"/>
        </w:trPr>
        <w:tc>
          <w:tcPr>
            <w:tcW w:w="3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w w:val="96"/>
              </w:rPr>
              <w:t>Translation</w:t>
            </w:r>
          </w:p>
        </w:tc>
        <w:tc>
          <w:tcPr>
            <w:tcW w:w="5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Cash</w:t>
            </w:r>
          </w:p>
        </w:tc>
        <w:tc>
          <w:tcPr>
            <w:tcW w:w="160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42"/>
        </w:trPr>
        <w:tc>
          <w:tcPr>
            <w:tcW w:w="38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Adjustments</w:t>
            </w:r>
          </w:p>
        </w:tc>
        <w:tc>
          <w:tcPr>
            <w:tcW w:w="13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Flow Hedges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21"/>
                <w:szCs w:val="2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2012</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(16,130)</w:t>
            </w:r>
          </w:p>
        </w:tc>
        <w:tc>
          <w:tcPr>
            <w:tcW w:w="5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(16,018)</w:t>
            </w:r>
          </w:p>
        </w:tc>
      </w:tr>
      <w:tr>
        <w:trPr>
          <w:trHeight w:val="22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(13,189)</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w:t>
            </w:r>
          </w:p>
        </w:tc>
        <w:tc>
          <w:tcPr>
            <w:tcW w:w="160" w:type="dxa"/>
            <w:vAlign w:val="bottom"/>
          </w:tcPr>
          <w:p>
            <w:pPr>
              <w:spacing w:after="0"/>
              <w:rPr>
                <w:sz w:val="19"/>
                <w:szCs w:val="19"/>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2013</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(29,319)</w:t>
            </w:r>
          </w:p>
        </w:tc>
        <w:tc>
          <w:tcPr>
            <w:tcW w:w="5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(29,319)</w:t>
            </w:r>
          </w:p>
        </w:tc>
      </w:tr>
      <w:tr>
        <w:trPr>
          <w:trHeight w:val="27"/>
        </w:trPr>
        <w:tc>
          <w:tcPr>
            <w:tcW w:w="3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foreign currency translation adjustment losses for 2013, 2012 and 2011 were primarily due to the strengthening of the U.S. dollar as compared to the Brazilian Real.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31,823</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49,021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56,836</w:t>
            </w:r>
          </w:p>
        </w:tc>
      </w:tr>
      <w:tr>
        <w:trPr>
          <w:trHeight w:val="223"/>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w:t>
            </w:r>
          </w:p>
        </w:tc>
        <w:tc>
          <w:tcPr>
            <w:tcW w:w="2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8"/>
              </w:rPr>
              <w:t>214,842</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8"/>
              </w:rPr>
              <w:t>190,574</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181,367</w:t>
            </w:r>
          </w:p>
        </w:tc>
        <w:tc>
          <w:tcPr>
            <w:tcW w:w="160" w:type="dxa"/>
            <w:vAlign w:val="bottom"/>
          </w:tcPr>
          <w:p>
            <w:pPr>
              <w:spacing w:after="0"/>
              <w:rPr>
                <w:sz w:val="19"/>
                <w:szCs w:val="19"/>
                <w:color w:val="auto"/>
              </w:rPr>
            </w:pPr>
          </w:p>
        </w:tc>
      </w:tr>
      <w:tr>
        <w:trPr>
          <w:trHeight w:val="216"/>
        </w:trPr>
        <w:tc>
          <w:tcPr>
            <w:tcW w:w="3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246,665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239,595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238,203</w:t>
            </w:r>
          </w:p>
        </w:tc>
        <w:tc>
          <w:tcPr>
            <w:tcW w:w="160" w:type="dxa"/>
            <w:vAlign w:val="bottom"/>
            <w:shd w:val="clear" w:color="auto" w:fill="CCEEFF"/>
          </w:tcPr>
          <w:p>
            <w:pPr>
              <w:spacing w:after="0"/>
              <w:rPr>
                <w:sz w:val="18"/>
                <w:szCs w:val="18"/>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U.S. federal statutory tax</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8,167</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6,858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7,685</w:t>
            </w:r>
          </w:p>
        </w:tc>
        <w:tc>
          <w:tcPr>
            <w:tcW w:w="160" w:type="dxa"/>
            <w:vAlign w:val="bottom"/>
          </w:tcPr>
          <w:p>
            <w:pPr>
              <w:spacing w:after="0"/>
              <w:rPr>
                <w:sz w:val="17"/>
                <w:szCs w:val="17"/>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17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1,822</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938</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7"/>
                <w:szCs w:val="17"/>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w:t>
            </w:r>
          </w:p>
        </w:tc>
        <w:tc>
          <w:tcPr>
            <w:tcW w:w="1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36,254</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24,649</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27,514</w:t>
            </w:r>
          </w:p>
        </w:tc>
        <w:tc>
          <w:tcPr>
            <w:tcW w:w="16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46,243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32,445</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37,966</w:t>
            </w:r>
          </w:p>
        </w:tc>
        <w:tc>
          <w:tcPr>
            <w:tcW w:w="160" w:type="dxa"/>
            <w:vAlign w:val="bottom"/>
            <w:shd w:val="clear" w:color="auto" w:fill="CCEEFF"/>
          </w:tcPr>
          <w:p>
            <w:pPr>
              <w:spacing w:after="0"/>
              <w:rPr>
                <w:sz w:val="18"/>
                <w:szCs w:val="18"/>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tax</w:t>
            </w:r>
          </w:p>
        </w:tc>
        <w:tc>
          <w:tcPr>
            <w:tcW w:w="17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2,171</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7,642</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6,218</w:t>
            </w:r>
          </w:p>
        </w:tc>
        <w:tc>
          <w:tcPr>
            <w:tcW w:w="160" w:type="dxa"/>
            <w:vAlign w:val="bottom"/>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72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566</w:t>
            </w:r>
          </w:p>
        </w:tc>
        <w:tc>
          <w:tcPr>
            <w:tcW w:w="36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1,380</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2,194</w:t>
            </w:r>
          </w:p>
        </w:tc>
        <w:tc>
          <w:tcPr>
            <w:tcW w:w="160" w:type="dxa"/>
            <w:vAlign w:val="bottom"/>
          </w:tcPr>
          <w:p>
            <w:pPr>
              <w:spacing w:after="0"/>
              <w:rPr>
                <w:sz w:val="17"/>
                <w:szCs w:val="17"/>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7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5"/>
              </w:rPr>
              <w:t>(10,980)</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643</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(6,771)</w:t>
            </w:r>
          </w:p>
        </w:tc>
        <w:tc>
          <w:tcPr>
            <w:tcW w:w="160" w:type="dxa"/>
            <w:vAlign w:val="bottom"/>
            <w:shd w:val="clear" w:color="auto" w:fill="CCEEFF"/>
          </w:tcPr>
          <w:p>
            <w:pPr>
              <w:spacing w:after="0"/>
              <w:rPr>
                <w:sz w:val="17"/>
                <w:szCs w:val="17"/>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(8,243)</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9,665</w:t>
            </w: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60" w:type="dxa"/>
            <w:vAlign w:val="bottom"/>
          </w:tcPr>
          <w:p>
            <w:pPr>
              <w:spacing w:after="0"/>
              <w:rPr>
                <w:sz w:val="20"/>
                <w:szCs w:val="20"/>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tax expense (income)</w:t>
            </w:r>
          </w:p>
        </w:tc>
        <w:tc>
          <w:tcPr>
            <w:tcW w:w="17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1,505</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(3,866)</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17"/>
                <w:szCs w:val="17"/>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39,505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38,244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160" w:type="dxa"/>
            <w:vAlign w:val="bottom"/>
          </w:tcPr>
          <w:p>
            <w:pPr>
              <w:spacing w:after="0"/>
              <w:rPr>
                <w:sz w:val="20"/>
                <w:szCs w:val="20"/>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tax rate</w:t>
            </w:r>
          </w:p>
        </w:tc>
        <w:tc>
          <w:tcPr>
            <w:tcW w:w="1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Foreign earnings, net of foreign taxes</w:t>
            </w:r>
          </w:p>
        </w:tc>
        <w:tc>
          <w:tcPr>
            <w:tcW w:w="1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(18.7)</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U.S. federal income tax benefit</w:t>
            </w:r>
          </w:p>
        </w:tc>
        <w:tc>
          <w:tcPr>
            <w:tcW w:w="1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0.6</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permanent differences</w:t>
            </w: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r>
      <w:tr>
        <w:trPr>
          <w:trHeight w:val="27"/>
        </w:trPr>
        <w:tc>
          <w:tcPr>
            <w:tcW w:w="5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2013, our effective income tax rate was 16.0%, for an income tax provision of $39.5 million, as compared to an effective income tax rate of 16.0% and an income tax provision of $38.2 million for 2012. The effective income tax rate for 2013 remained flat compared to 2012. However, there were underlying differences in the actual results of our subsidiaries in tax jurisdictions with different income tax rates as compared to 2012 and differences in outstanding uncertain tax positions net of certain nonrecurring discrete tax items including statute lapses, audit settlements, and a change in estimate.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2012, our effective income tax rate was 16.0%, for an income tax provision of $38.2 million, as compared to an effective income tax rate of 16.4% and an income tax provision of $39.0 million for 2011. The lower effective income tax rate for 2012 resulted primarily from differences in the actual results of our subsidiaries in tax jurisdictions with different income tax rates as compared to 2011, the reduction of certain income tax reserves for uncertain tax positions due to a discrete item related to a change in estimate, statute of limitation lapses, and the settlement of an income tax audit.</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U.S. income taxes have not been provided on undistributed earnings of foreign subsidiaries. As of December 31, 2013 and 2012, we had $1.1 billion and $934.5 million, respectively, of earnings attributable to foreign subsidiaries. Our intention is to reinvest these earnings permanently in active non-U.S.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6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6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Gross Deferred Tax Assets:</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Bad debt reserve</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6,426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4,573</w:t>
            </w:r>
          </w:p>
        </w:tc>
        <w:tc>
          <w:tcPr>
            <w:tcW w:w="16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Accrued and other shared-based compensation</w:t>
            </w:r>
          </w:p>
        </w:tc>
        <w:tc>
          <w:tcPr>
            <w:tcW w:w="3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21,393</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14,909</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10,032</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w:t>
            </w:r>
          </w:p>
        </w:tc>
        <w:tc>
          <w:tcPr>
            <w:tcW w:w="16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Unrealized derivative losses</w:t>
            </w:r>
          </w:p>
        </w:tc>
        <w:tc>
          <w:tcPr>
            <w:tcW w:w="3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558</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316</w:t>
            </w:r>
          </w:p>
        </w:tc>
        <w:tc>
          <w:tcPr>
            <w:tcW w:w="16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deposits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5,149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7,545</w:t>
            </w:r>
          </w:p>
        </w:tc>
        <w:tc>
          <w:tcPr>
            <w:tcW w:w="160" w:type="dxa"/>
            <w:vAlign w:val="bottom"/>
            <w:shd w:val="clear" w:color="auto" w:fill="CCEEFF"/>
          </w:tcPr>
          <w:p>
            <w:pPr>
              <w:spacing w:after="0"/>
              <w:rPr>
                <w:sz w:val="17"/>
                <w:szCs w:val="17"/>
                <w:color w:val="auto"/>
              </w:rPr>
            </w:pP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foreign exchange</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6,082</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9"/>
                <w:szCs w:val="19"/>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deferred tax assets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50,414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31,001</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deferred tax assets, net of valuation allowance</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50,414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31,001</w:t>
            </w:r>
          </w:p>
        </w:tc>
      </w:tr>
      <w:tr>
        <w:trPr>
          <w:trHeight w:val="27"/>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94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(19,199)</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(11,999)</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Goodwill and intangible assets</w:t>
            </w:r>
          </w:p>
        </w:tc>
        <w:tc>
          <w:tcPr>
            <w:tcW w:w="3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5"/>
              </w:rPr>
              <w:t>(28,099)</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(23,108)</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deductible for tax purposes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(3,452)</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(1,719)</w:t>
            </w:r>
          </w:p>
        </w:tc>
        <w:tc>
          <w:tcPr>
            <w:tcW w:w="160" w:type="dxa"/>
            <w:vAlign w:val="bottom"/>
            <w:shd w:val="clear" w:color="auto" w:fill="CCEEFF"/>
          </w:tcPr>
          <w:p>
            <w:pPr>
              <w:spacing w:after="0"/>
              <w:rPr>
                <w:sz w:val="17"/>
                <w:szCs w:val="17"/>
                <w:color w:val="auto"/>
              </w:rPr>
            </w:pP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9"/>
                <w:szCs w:val="19"/>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deferred tax liabilities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(51,490)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(38,156)</w:t>
            </w:r>
          </w:p>
        </w:tc>
      </w:tr>
      <w:tr>
        <w:trPr>
          <w:trHeight w:val="27"/>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w:t>
            </w:r>
          </w:p>
        </w:tc>
        <w:tc>
          <w:tcPr>
            <w:tcW w:w="160" w:type="dxa"/>
            <w:vAlign w:val="bottom"/>
          </w:tcPr>
          <w:p>
            <w:pPr>
              <w:spacing w:after="0"/>
              <w:rPr>
                <w:sz w:val="18"/>
                <w:szCs w:val="18"/>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Reported on the consolidated balance sheets as:</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Other current assets for deferred tax assets, current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32,118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15,282</w:t>
            </w:r>
          </w:p>
        </w:tc>
      </w:tr>
      <w:tr>
        <w:trPr>
          <w:trHeight w:val="20"/>
        </w:trPr>
        <w:tc>
          <w:tcPr>
            <w:tcW w:w="6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16,342</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5,406</w:t>
            </w:r>
          </w:p>
        </w:tc>
        <w:tc>
          <w:tcPr>
            <w:tcW w:w="160" w:type="dxa"/>
            <w:vAlign w:val="bottom"/>
            <w:shd w:val="clear" w:color="auto" w:fill="CCEEFF"/>
          </w:tcPr>
          <w:p>
            <w:pPr>
              <w:spacing w:after="0"/>
              <w:rPr>
                <w:sz w:val="16"/>
                <w:szCs w:val="16"/>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6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Accrued expenses and other current liabilities for deferred tax liabilities, current</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3,229</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6,084</w:t>
            </w:r>
          </w:p>
        </w:tc>
        <w:tc>
          <w:tcPr>
            <w:tcW w:w="160" w:type="dxa"/>
            <w:vAlign w:val="bottom"/>
          </w:tcPr>
          <w:p>
            <w:pPr>
              <w:spacing w:after="0"/>
              <w:rPr>
                <w:sz w:val="17"/>
                <w:szCs w:val="17"/>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Non-current income tax liabilities, net for deferred tax liabilities, non-current</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46,307</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21,759</w:t>
            </w:r>
          </w:p>
        </w:tc>
      </w:tr>
      <w:tr>
        <w:trPr>
          <w:trHeight w:val="27"/>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2013 and 2012, we had foreign net operating losses ("NOLs") of approximately $2.6 million and $2.8 million, respectively. The NOLs as of December 31, 2013 originated in various foreign countries including India, Brazil, and The Netherlands. We have recorded a deferred tax asset of $0.8 million reflecting the benefit of the NOL carryforward as of December 31, 2013. This deferred tax asset expires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7"/>
              </w:rPr>
              <w:t>Deferred</w:t>
            </w:r>
          </w:p>
        </w:tc>
      </w:tr>
      <w:tr>
        <w:trPr>
          <w:trHeight w:val="24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Expiration Date</w:t>
            </w:r>
          </w:p>
        </w:tc>
        <w:tc>
          <w:tcPr>
            <w:tcW w:w="4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Tax Asset</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2014</w:t>
            </w:r>
          </w:p>
        </w:tc>
        <w:tc>
          <w:tcPr>
            <w:tcW w:w="3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December 31, 2021</w:t>
            </w:r>
          </w:p>
        </w:tc>
        <w:tc>
          <w:tcPr>
            <w:tcW w:w="34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2022</w:t>
            </w:r>
          </w:p>
        </w:tc>
        <w:tc>
          <w:tcPr>
            <w:tcW w:w="3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r>
      <w:tr>
        <w:trPr>
          <w:trHeight w:val="2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Indefinite</w:t>
            </w:r>
          </w:p>
        </w:tc>
        <w:tc>
          <w:tcPr>
            <w:tcW w:w="3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as a result of certain realization requirements of accounting guidance on stock compensation, the table of deferred tax assets and liabilities shown above does not include certain deferred tax assets as of December 31, 2013 and 2012 that arose directly from income tax deductions related to equity compensation in excess of compensation recognized for financial reporting. As of December 31, 2013 and 2012, we had no foreign tax credits related to the excess stock compensation deductions that resulted in an income tax deduction or credit before the realization of the income tax benefit from the deduction or credit. We use the "with and without" method for purposes of determining when excess income tax benefits have been realized.</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2012 and 2011, our annual capital in excess of par value pool of windfall income tax benefits related to employee compensation was estimated to be $3.3 million, $3.7 million and $6.0 million, respectively.</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operated under a special income tax concession in Singapore which was effective from January 1, 2008 through December 31, 2012. In March 2013, we received final approval that we were awarded an additional five year special income tax concession in Singapore beginning January 1, 2013. The special income tax concession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$6.2 million, $5.5 million and $8.4 million for 2013, 2012 and 2011, respectively. The impact of the income tax concession on diluted earnings per common share was $0.09 for 2013, $0.08 for 2012 and $0.12 for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recorded an increase of $4.1 million of liabilities related to unrecognized income tax benefits ("Unrecognized Tax Liabilities") and an increase of $1.8 million of assets related to unrecognized income tax benefits ("Unrecognized Tax Assets") during 2013. In addition, during 2013, we recorded a decrease of $0.1 million to our Unrecognized Tax Liabilities related to a foreign currency translation gain, which is included in other (expense) income, net, in the accompanying consolidated statements of income and comprehensive income. As of December 31, 2013, our Unrecognized Tax Liabilities were $36.2 million and our Unrecognized Tax Assets were $6.9 million.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recorded a decrease of $5.6 million of liabilities related to Unrecognized Tax Liabilities and a decrease of $1.7 million of assets related to Unrecognized Tax Assets during 2012. In addition, during 2012, we recorded a decrease of $0.1 million to our Unrecognized Tax Liabilities related to a foreign currency translation loss, which is included in other (expense) income, net, in the accompanying consolidated statements of income and comprehensive income. As of December 31, 2012, our Unrecognized Tax Liabilities were $33.0 million and our Unrecognized Tax Assets were $5.1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income tax benefits for the year: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 – opening balance</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$ 22,394</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$ 25,574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$ 26,293</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Gross increases – tax positions in prior period</w:t>
            </w:r>
          </w:p>
        </w:tc>
        <w:tc>
          <w:tcPr>
            <w:tcW w:w="2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2,559</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decreases – tax positions in prior period</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(7,659)</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Gross increases – tax positions in current period</w:t>
            </w:r>
          </w:p>
        </w:tc>
        <w:tc>
          <w:tcPr>
            <w:tcW w:w="2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4,999</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5,730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5,890</w:t>
            </w:r>
          </w:p>
        </w:tc>
        <w:tc>
          <w:tcPr>
            <w:tcW w:w="16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decreases – tax positions in current period</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Settlements</w:t>
            </w:r>
          </w:p>
        </w:tc>
        <w:tc>
          <w:tcPr>
            <w:tcW w:w="2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6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(3,426)</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(1,251)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(6,483)</w:t>
            </w:r>
          </w:p>
        </w:tc>
        <w:tc>
          <w:tcPr>
            <w:tcW w:w="160" w:type="dxa"/>
            <w:vAlign w:val="bottom"/>
            <w:shd w:val="clear" w:color="auto" w:fill="CCEEFF"/>
          </w:tcPr>
          <w:p>
            <w:pPr>
              <w:spacing w:after="0"/>
              <w:rPr>
                <w:sz w:val="17"/>
                <w:szCs w:val="17"/>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Unrecognized tax benefit – ending balance</w:t>
            </w:r>
          </w:p>
        </w:tc>
        <w:tc>
          <w:tcPr>
            <w:tcW w:w="2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$ 26,487</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$ 22,394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$ 25,574</w:t>
            </w:r>
          </w:p>
        </w:tc>
        <w:tc>
          <w:tcPr>
            <w:tcW w:w="160" w:type="dxa"/>
            <w:vAlign w:val="bottom"/>
          </w:tcPr>
          <w:p>
            <w:pPr>
              <w:spacing w:after="0"/>
              <w:rPr>
                <w:sz w:val="18"/>
                <w:szCs w:val="18"/>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our uncertain tax positions as of December 31, 2013 are settled by the taxing authorities in our favor, our income tax expense would be reduced by $20.1 million (exclusive of interest and penalties) in the period the matter is considered settled in accordance with Accounting Standards Codification 740. This would have the impact of reducing our 2013 effective income tax rate by 8.2%. As of December 31, 2013, it does not appear that the total amount of our unrecognized income tax benefits will significantly increase or decrease within the next twelve months.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income of $0.6 million, $0.7 million and $0.6 million during 2013, 2012 and 2011, respectively. For penalties, we recorded income of $0.3 million and $1.5 million and expense of $0.2 million during 2013, 2012 and 2011, respectively. As of December 31, 2013 and 2012, we had recognized liabilities of $4.9 million and $5.5 million for interest and $4.8 million and $5.1 million for penalties,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19"/>
                <w:szCs w:val="19"/>
                <w:color w:val="auto"/>
              </w:rPr>
            </w:pPr>
          </w:p>
        </w:tc>
        <w:tc>
          <w:tcPr>
            <w:tcW w:w="4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Open Tax Year</w:t>
            </w:r>
          </w:p>
        </w:tc>
        <w:tc>
          <w:tcPr>
            <w:tcW w:w="1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3140" w:type="dxa"/>
            <w:vAlign w:val="bottom"/>
          </w:tcPr>
          <w:p>
            <w:pPr>
              <w:spacing w:after="0"/>
              <w:rPr>
                <w:sz w:val="15"/>
                <w:szCs w:val="15"/>
                <w:color w:val="auto"/>
              </w:rPr>
            </w:pPr>
          </w:p>
        </w:tc>
        <w:tc>
          <w:tcPr>
            <w:tcW w:w="4120" w:type="dxa"/>
            <w:vAlign w:val="bottom"/>
          </w:tcPr>
          <w:p>
            <w:pPr>
              <w:jc w:val="right"/>
              <w:ind w:right="1552"/>
              <w:spacing w:after="0" w:line="177" w:lineRule="exact"/>
              <w:rPr>
                <w:sz w:val="20"/>
                <w:szCs w:val="20"/>
                <w:color w:val="auto"/>
              </w:rPr>
            </w:pPr>
            <w:r>
              <w:rPr>
                <w:rFonts w:ascii="Arial" w:cs="Arial" w:eastAsia="Arial" w:hAnsi="Arial"/>
                <w:sz w:val="18"/>
                <w:szCs w:val="18"/>
                <w:b w:val="1"/>
                <w:bCs w:val="1"/>
                <w:color w:val="auto"/>
              </w:rPr>
              <w:t>Examination</w:t>
            </w:r>
          </w:p>
        </w:tc>
        <w:tc>
          <w:tcPr>
            <w:tcW w:w="1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Examination not</w:t>
            </w:r>
          </w:p>
        </w:tc>
        <w:tc>
          <w:tcPr>
            <w:tcW w:w="20" w:type="dxa"/>
            <w:vAlign w:val="bottom"/>
          </w:tcPr>
          <w:p>
            <w:pPr>
              <w:spacing w:after="0"/>
              <w:rPr>
                <w:sz w:val="15"/>
                <w:szCs w:val="15"/>
                <w:color w:val="auto"/>
              </w:rPr>
            </w:pPr>
          </w:p>
        </w:tc>
      </w:tr>
      <w:tr>
        <w:trPr>
          <w:trHeight w:val="242"/>
        </w:trPr>
        <w:tc>
          <w:tcPr>
            <w:tcW w:w="3140" w:type="dxa"/>
            <w:vAlign w:val="bottom"/>
          </w:tcPr>
          <w:p>
            <w:pPr>
              <w:spacing w:after="0"/>
              <w:rPr>
                <w:sz w:val="20"/>
                <w:szCs w:val="20"/>
                <w:color w:val="auto"/>
              </w:rPr>
            </w:pPr>
            <w:r>
              <w:rPr>
                <w:rFonts w:ascii="Arial" w:cs="Arial" w:eastAsia="Arial" w:hAnsi="Arial"/>
                <w:sz w:val="18"/>
                <w:szCs w:val="18"/>
                <w:b w:val="1"/>
                <w:bCs w:val="1"/>
                <w:color w:val="auto"/>
              </w:rPr>
              <w:t>Jurisdiction</w:t>
            </w:r>
          </w:p>
        </w:tc>
        <w:tc>
          <w:tcPr>
            <w:tcW w:w="4120" w:type="dxa"/>
            <w:vAlign w:val="bottom"/>
          </w:tcPr>
          <w:p>
            <w:pPr>
              <w:jc w:val="right"/>
              <w:ind w:right="1552"/>
              <w:spacing w:after="0"/>
              <w:rPr>
                <w:sz w:val="20"/>
                <w:szCs w:val="20"/>
                <w:color w:val="auto"/>
              </w:rPr>
            </w:pPr>
            <w:r>
              <w:rPr>
                <w:rFonts w:ascii="Arial" w:cs="Arial" w:eastAsia="Arial" w:hAnsi="Arial"/>
                <w:sz w:val="18"/>
                <w:szCs w:val="18"/>
                <w:b w:val="1"/>
                <w:bCs w:val="1"/>
                <w:color w:val="auto"/>
              </w:rPr>
              <w:t>in progress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yet initiated</w:t>
            </w:r>
          </w:p>
        </w:tc>
      </w:tr>
      <w:tr>
        <w:trPr>
          <w:trHeight w:val="203"/>
        </w:trPr>
        <w:tc>
          <w:tcPr>
            <w:tcW w:w="3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120" w:type="dxa"/>
            <w:vAlign w:val="bottom"/>
            <w:tcBorders>
              <w:top w:val="single" w:sz="8" w:color="auto"/>
            </w:tcBorders>
            <w:shd w:val="clear" w:color="auto" w:fill="CCEEFF"/>
          </w:tcPr>
          <w:p>
            <w:pPr>
              <w:jc w:val="right"/>
              <w:ind w:right="1552"/>
              <w:spacing w:after="0" w:line="202" w:lineRule="exact"/>
              <w:rPr>
                <w:sz w:val="20"/>
                <w:szCs w:val="20"/>
                <w:color w:val="auto"/>
              </w:rPr>
            </w:pPr>
            <w:r>
              <w:rPr>
                <w:rFonts w:ascii="Arial" w:cs="Arial" w:eastAsia="Arial" w:hAnsi="Arial"/>
                <w:sz w:val="18"/>
                <w:szCs w:val="18"/>
                <w:color w:val="auto"/>
              </w:rPr>
              <w:t>2011</w:t>
            </w:r>
          </w:p>
        </w:tc>
        <w:tc>
          <w:tcPr>
            <w:tcW w:w="1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2010, 2012-2013</w:t>
            </w:r>
          </w:p>
        </w:tc>
        <w:tc>
          <w:tcPr>
            <w:tcW w:w="20" w:type="dxa"/>
            <w:vAlign w:val="bottom"/>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Singapore</w:t>
            </w:r>
          </w:p>
        </w:tc>
        <w:tc>
          <w:tcPr>
            <w:tcW w:w="4120" w:type="dxa"/>
            <w:vAlign w:val="bottom"/>
          </w:tcPr>
          <w:p>
            <w:pPr>
              <w:jc w:val="right"/>
              <w:ind w:right="1552"/>
              <w:spacing w:after="0" w:line="202" w:lineRule="exact"/>
              <w:rPr>
                <w:sz w:val="20"/>
                <w:szCs w:val="20"/>
                <w:color w:val="auto"/>
              </w:rPr>
            </w:pPr>
            <w:r>
              <w:rPr>
                <w:rFonts w:ascii="Arial" w:cs="Arial" w:eastAsia="Arial" w:hAnsi="Arial"/>
                <w:sz w:val="18"/>
                <w:szCs w:val="18"/>
                <w:color w:val="auto"/>
              </w:rPr>
              <w:t>None</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2010-2013</w:t>
            </w:r>
          </w:p>
        </w:tc>
        <w:tc>
          <w:tcPr>
            <w:tcW w:w="20" w:type="dxa"/>
            <w:vAlign w:val="bottom"/>
          </w:tcPr>
          <w:p>
            <w:pPr>
              <w:spacing w:after="0"/>
              <w:rPr>
                <w:sz w:val="17"/>
                <w:szCs w:val="17"/>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Kingdom</w:t>
            </w:r>
          </w:p>
        </w:tc>
        <w:tc>
          <w:tcPr>
            <w:tcW w:w="4120" w:type="dxa"/>
            <w:vAlign w:val="bottom"/>
            <w:shd w:val="clear" w:color="auto" w:fill="CCEEFF"/>
          </w:tcPr>
          <w:p>
            <w:pPr>
              <w:jc w:val="right"/>
              <w:ind w:right="1552"/>
              <w:spacing w:after="0" w:line="202" w:lineRule="exact"/>
              <w:rPr>
                <w:sz w:val="20"/>
                <w:szCs w:val="20"/>
                <w:color w:val="auto"/>
              </w:rPr>
            </w:pPr>
            <w:r>
              <w:rPr>
                <w:rFonts w:ascii="Arial" w:cs="Arial" w:eastAsia="Arial" w:hAnsi="Arial"/>
                <w:sz w:val="18"/>
                <w:szCs w:val="18"/>
                <w:color w:val="auto"/>
              </w:rPr>
              <w:t>None</w:t>
            </w: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2004-2013</w:t>
            </w:r>
          </w:p>
        </w:tc>
        <w:tc>
          <w:tcPr>
            <w:tcW w:w="20" w:type="dxa"/>
            <w:vAlign w:val="bottom"/>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4120" w:type="dxa"/>
            <w:vAlign w:val="bottom"/>
          </w:tcPr>
          <w:p>
            <w:pPr>
              <w:jc w:val="right"/>
              <w:ind w:right="1552"/>
              <w:spacing w:after="0" w:line="202" w:lineRule="exact"/>
              <w:rPr>
                <w:sz w:val="20"/>
                <w:szCs w:val="20"/>
                <w:color w:val="auto"/>
              </w:rPr>
            </w:pPr>
            <w:r>
              <w:rPr>
                <w:rFonts w:ascii="Arial" w:cs="Arial" w:eastAsia="Arial" w:hAnsi="Arial"/>
                <w:sz w:val="18"/>
                <w:szCs w:val="18"/>
                <w:color w:val="auto"/>
              </w:rPr>
              <w:t>2009</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2010-2013</w:t>
            </w:r>
          </w:p>
        </w:tc>
        <w:tc>
          <w:tcPr>
            <w:tcW w:w="20" w:type="dxa"/>
            <w:vAlign w:val="bottom"/>
          </w:tcPr>
          <w:p>
            <w:pPr>
              <w:spacing w:after="0"/>
              <w:rPr>
                <w:sz w:val="17"/>
                <w:szCs w:val="17"/>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Chile</w:t>
            </w:r>
          </w:p>
        </w:tc>
        <w:tc>
          <w:tcPr>
            <w:tcW w:w="4120" w:type="dxa"/>
            <w:vAlign w:val="bottom"/>
            <w:shd w:val="clear" w:color="auto" w:fill="CCEEFF"/>
          </w:tcPr>
          <w:p>
            <w:pPr>
              <w:jc w:val="right"/>
              <w:ind w:right="1552"/>
              <w:spacing w:after="0" w:line="202" w:lineRule="exact"/>
              <w:rPr>
                <w:sz w:val="20"/>
                <w:szCs w:val="20"/>
                <w:color w:val="auto"/>
              </w:rPr>
            </w:pPr>
            <w:r>
              <w:rPr>
                <w:rFonts w:ascii="Arial" w:cs="Arial" w:eastAsia="Arial" w:hAnsi="Arial"/>
                <w:sz w:val="18"/>
                <w:szCs w:val="18"/>
                <w:color w:val="auto"/>
              </w:rPr>
              <w:t>None</w:t>
            </w: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2008-2013</w:t>
            </w:r>
          </w:p>
        </w:tc>
        <w:tc>
          <w:tcPr>
            <w:tcW w:w="20" w:type="dxa"/>
            <w:vAlign w:val="bottom"/>
          </w:tcPr>
          <w:p>
            <w:pPr>
              <w:spacing w:after="0"/>
              <w:rPr>
                <w:sz w:val="17"/>
                <w:szCs w:val="17"/>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Denmark</w:t>
            </w:r>
          </w:p>
        </w:tc>
        <w:tc>
          <w:tcPr>
            <w:tcW w:w="4120" w:type="dxa"/>
            <w:vAlign w:val="bottom"/>
            <w:tcBorders>
              <w:bottom w:val="single" w:sz="8" w:color="auto"/>
            </w:tcBorders>
          </w:tcPr>
          <w:p>
            <w:pPr>
              <w:jc w:val="right"/>
              <w:ind w:right="1552"/>
              <w:spacing w:after="0"/>
              <w:rPr>
                <w:sz w:val="20"/>
                <w:szCs w:val="20"/>
                <w:color w:val="auto"/>
              </w:rPr>
            </w:pPr>
            <w:r>
              <w:rPr>
                <w:rFonts w:ascii="Arial" w:cs="Arial" w:eastAsia="Arial" w:hAnsi="Arial"/>
                <w:sz w:val="18"/>
                <w:szCs w:val="18"/>
                <w:color w:val="auto"/>
              </w:rPr>
              <w:t>None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2004-2013</w:t>
            </w:r>
          </w:p>
        </w:tc>
        <w:tc>
          <w:tcPr>
            <w:tcW w:w="20" w:type="dxa"/>
            <w:vAlign w:val="bottom"/>
            <w:tcBorders>
              <w:bottom w:val="single" w:sz="8" w:color="auto"/>
            </w:tcBorders>
          </w:tcPr>
          <w:p>
            <w:pPr>
              <w:spacing w:after="0"/>
              <w:rPr>
                <w:sz w:val="19"/>
                <w:szCs w:val="19"/>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$463.7 million as of December 31, 2013 and $380.3 million as of December 31, 2012 and our notes receivable of $20.9 million as of December 31, 2013 and $12.7 million as of December 31, 2012 are categorized in Level 3.</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as of December 31, 2013 and 2012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Netting</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and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2"/>
        </w:trPr>
        <w:tc>
          <w:tcPr>
            <w:tcW w:w="28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Level 1</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Level 2</w:t>
            </w:r>
          </w:p>
        </w:tc>
        <w:tc>
          <w:tcPr>
            <w:tcW w:w="9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Level 3</w:t>
            </w:r>
          </w:p>
        </w:tc>
        <w:tc>
          <w:tcPr>
            <w:tcW w:w="11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Sub-Total</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Collateral</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w:t>
            </w:r>
          </w:p>
        </w:tc>
      </w:tr>
      <w:tr>
        <w:trPr>
          <w:trHeight w:val="242"/>
        </w:trPr>
        <w:tc>
          <w:tcPr>
            <w:tcW w:w="2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197"/>
        </w:trPr>
        <w:tc>
          <w:tcPr>
            <w:tcW w:w="2800" w:type="dxa"/>
            <w:vAlign w:val="bottom"/>
          </w:tcPr>
          <w:p>
            <w:pPr>
              <w:spacing w:after="0" w:line="197" w:lineRule="exact"/>
              <w:rPr>
                <w:sz w:val="20"/>
                <w:szCs w:val="20"/>
                <w:color w:val="auto"/>
              </w:rPr>
            </w:pPr>
            <w:r>
              <w:rPr>
                <w:rFonts w:ascii="Arial" w:cs="Arial" w:eastAsia="Arial" w:hAnsi="Arial"/>
                <w:sz w:val="18"/>
                <w:szCs w:val="18"/>
                <w:color w:val="auto"/>
              </w:rPr>
              <w:t>Assets: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$ 11,574</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$ 39,880</w:t>
            </w:r>
          </w:p>
        </w:tc>
        <w:tc>
          <w:tcPr>
            <w:tcW w:w="4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51,454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(35,983)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$ 15,471</w:t>
            </w: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8,486</w:t>
            </w:r>
          </w:p>
        </w:tc>
        <w:tc>
          <w:tcPr>
            <w:tcW w:w="44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8,486</w:t>
            </w: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(6,350)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2,136</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1,690</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1,690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(207)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$ 11,574</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$ 50,056</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61,630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(42,540)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$ 19,090</w:t>
            </w:r>
          </w:p>
        </w:tc>
        <w:tc>
          <w:tcPr>
            <w:tcW w:w="180" w:type="dxa"/>
            <w:vAlign w:val="bottom"/>
          </w:tcPr>
          <w:p>
            <w:pPr>
              <w:spacing w:after="0"/>
              <w:rPr>
                <w:sz w:val="18"/>
                <w:szCs w:val="18"/>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2"/>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$ 14,032</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$ 31,983</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46,015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(31,329)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$ 14,686</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11,803</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11,803</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(6,350)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5,453</w:t>
            </w:r>
          </w:p>
        </w:tc>
        <w:tc>
          <w:tcPr>
            <w:tcW w:w="180" w:type="dxa"/>
            <w:vAlign w:val="bottom"/>
            <w:shd w:val="clear" w:color="auto" w:fill="CCEEFF"/>
          </w:tcPr>
          <w:p>
            <w:pPr>
              <w:spacing w:after="0"/>
              <w:rPr>
                <w:sz w:val="17"/>
                <w:szCs w:val="17"/>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Inventories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3"/>
        </w:trPr>
        <w:tc>
          <w:tcPr>
            <w:tcW w:w="2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$ 14,032</w:t>
            </w:r>
          </w:p>
        </w:tc>
        <w:tc>
          <w:tcPr>
            <w:tcW w:w="100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$ 43,993</w:t>
            </w:r>
          </w:p>
        </w:tc>
        <w:tc>
          <w:tcPr>
            <w:tcW w:w="44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58,025</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(37,886)</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$ 20,139</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5"/>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2012</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7"/>
        </w:trPr>
        <w:tc>
          <w:tcPr>
            <w:tcW w:w="28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$ 18,087</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$ 57,682</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75,769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(56,115)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$ 19,654</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2,434</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2,434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(2,289)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7"/>
                <w:szCs w:val="17"/>
                <w:color w:val="auto"/>
              </w:rPr>
            </w:pPr>
          </w:p>
        </w:tc>
      </w:tr>
      <w:tr>
        <w:trPr>
          <w:trHeight w:val="223"/>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818</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9"/>
                <w:szCs w:val="19"/>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$ 18,087</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$ 60,934</w:t>
            </w:r>
          </w:p>
        </w:tc>
        <w:tc>
          <w:tcPr>
            <w:tcW w:w="4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79,021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(58,929)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$ 20,092</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6"/>
        </w:trPr>
        <w:tc>
          <w:tcPr>
            <w:tcW w:w="280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$ 20,970</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$ 44,732</w:t>
            </w:r>
          </w:p>
        </w:tc>
        <w:tc>
          <w:tcPr>
            <w:tcW w:w="4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65,702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(49,562)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$ 16,140</w:t>
            </w: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3,845</w:t>
            </w:r>
          </w:p>
        </w:tc>
        <w:tc>
          <w:tcPr>
            <w:tcW w:w="44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3,845</w:t>
            </w: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(2,289)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525</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(525)</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$ 20,970</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$ 49,102</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70,072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(52,376)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$ 17,696</w:t>
            </w:r>
          </w:p>
        </w:tc>
        <w:tc>
          <w:tcPr>
            <w:tcW w:w="180" w:type="dxa"/>
            <w:vAlign w:val="bottom"/>
          </w:tcPr>
          <w:p>
            <w:pPr>
              <w:spacing w:after="0"/>
              <w:rPr>
                <w:sz w:val="18"/>
                <w:szCs w:val="18"/>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gridSpan w:val="4"/>
          </w:tcPr>
          <w:p>
            <w:pPr>
              <w:ind w:left="260"/>
              <w:spacing w:after="0"/>
              <w:rPr>
                <w:sz w:val="20"/>
                <w:szCs w:val="20"/>
                <w:color w:val="auto"/>
              </w:rPr>
            </w:pPr>
            <w:r>
              <w:rPr>
                <w:rFonts w:ascii="Arial" w:cs="Arial" w:eastAsia="Arial" w:hAnsi="Arial"/>
                <w:sz w:val="18"/>
                <w:szCs w:val="18"/>
                <w:b w:val="1"/>
                <w:bCs w:val="1"/>
                <w:color w:val="auto"/>
              </w:rPr>
              <w:t>As of December,</w:t>
            </w:r>
          </w:p>
        </w:tc>
      </w:tr>
      <w:tr>
        <w:trPr>
          <w:trHeight w:val="242"/>
        </w:trPr>
        <w:tc>
          <w:tcPr>
            <w:tcW w:w="5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42"/>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7"/>
        </w:trPr>
        <w:tc>
          <w:tcPr>
            <w:tcW w:w="55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Assets:</w:t>
            </w:r>
          </w:p>
        </w:tc>
        <w:tc>
          <w:tcPr>
            <w:tcW w:w="1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14,723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18,277</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17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748</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160" w:type="dxa"/>
            <w:vAlign w:val="bottom"/>
            <w:shd w:val="clear" w:color="auto" w:fill="CCEEFF"/>
          </w:tcPr>
          <w:p>
            <w:pPr>
              <w:spacing w:after="0"/>
              <w:rPr>
                <w:sz w:val="17"/>
                <w:szCs w:val="17"/>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auto"/>
              </w:rPr>
              <w:t>Total net assets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15,471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19,654</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7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14,332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15,152</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7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7"/>
                <w:szCs w:val="17"/>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auto"/>
              </w:rPr>
              <w:t>Total net liabilities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14,686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16,140</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2"/>
        </w:trPr>
        <w:tc>
          <w:tcPr>
            <w:tcW w:w="55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Foreign Currency Contracts</w:t>
            </w:r>
          </w:p>
        </w:tc>
        <w:tc>
          <w:tcPr>
            <w:tcW w:w="1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55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Assets:</w:t>
            </w:r>
          </w:p>
        </w:tc>
        <w:tc>
          <w:tcPr>
            <w:tcW w:w="1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assets</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2,136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7"/>
                <w:szCs w:val="17"/>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6"/>
        </w:trPr>
        <w:tc>
          <w:tcPr>
            <w:tcW w:w="5580" w:type="dxa"/>
            <w:vAlign w:val="bottom"/>
          </w:tcPr>
          <w:p>
            <w:pPr>
              <w:spacing w:after="0"/>
              <w:rPr>
                <w:sz w:val="20"/>
                <w:szCs w:val="20"/>
                <w:color w:val="auto"/>
              </w:rPr>
            </w:pPr>
            <w:r>
              <w:rPr>
                <w:rFonts w:ascii="Arial" w:cs="Arial" w:eastAsia="Arial" w:hAnsi="Arial"/>
                <w:sz w:val="18"/>
                <w:szCs w:val="18"/>
                <w:color w:val="auto"/>
              </w:rPr>
              <w:t>Liabilities:</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5,306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w:t>
            </w:r>
          </w:p>
        </w:tc>
        <w:tc>
          <w:tcPr>
            <w:tcW w:w="160" w:type="dxa"/>
            <w:vAlign w:val="bottom"/>
            <w:shd w:val="clear" w:color="auto" w:fill="CCEEFF"/>
          </w:tcPr>
          <w:p>
            <w:pPr>
              <w:spacing w:after="0"/>
              <w:rPr>
                <w:sz w:val="17"/>
                <w:szCs w:val="17"/>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7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03"/>
        </w:trPr>
        <w:tc>
          <w:tcPr>
            <w:tcW w:w="5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liabilities</w:t>
            </w:r>
          </w:p>
        </w:tc>
        <w:tc>
          <w:tcPr>
            <w:tcW w:w="1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5,453</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7"/>
                <w:szCs w:val="17"/>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2013, we had $13.0 million of cash collateral deposits held by financial counterparties included in other current assets in the accompanying consolidated balance sheets. In addition, as of December 31, 2013, we have offset $4.7 million of cash collateral received from customers against the total amount of commodity fair value assets in the above table. As of December 31, 2012, we had $22.9 million of cash collateral deposits held by financial counterparties included in other current assets in the accompanying consolidated balance sheets. Additionally, as of December 31, 2012, we had offset $6.6 million of cash collateral received from customers against the total amount of commodity fair value assets in the above table.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Location of</w:t>
            </w: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Total Gains</w:t>
            </w: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(Losses)</w:t>
            </w: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Beginning</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Included in</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End</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Included in</w:t>
            </w:r>
          </w:p>
        </w:tc>
      </w:tr>
      <w:tr>
        <w:trPr>
          <w:trHeight w:val="242"/>
        </w:trPr>
        <w:tc>
          <w:tcPr>
            <w:tcW w:w="1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Period</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Settlements</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of Period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r>
      <w:tr>
        <w:trPr>
          <w:trHeight w:val="242"/>
        </w:trPr>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197"/>
        </w:trPr>
        <w:tc>
          <w:tcPr>
            <w:tcW w:w="1660" w:type="dxa"/>
            <w:vAlign w:val="bottom"/>
          </w:tcPr>
          <w:p>
            <w:pPr>
              <w:spacing w:after="0" w:line="197" w:lineRule="exact"/>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Commodity contracts</w:t>
            </w:r>
          </w:p>
        </w:tc>
        <w:tc>
          <w:tcPr>
            <w:tcW w:w="4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Cost of revenue</w:t>
            </w:r>
          </w:p>
        </w:tc>
      </w:tr>
      <w:tr>
        <w:trPr>
          <w:trHeight w:val="27"/>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46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7"/>
        </w:trPr>
        <w:tc>
          <w:tcPr>
            <w:tcW w:w="1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23"/>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Commodity contracts</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Revenue</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90"/>
        </w:trPr>
        <w:tc>
          <w:tcPr>
            <w:tcW w:w="1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206"/>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tcPr>
          <w:p>
            <w:pPr>
              <w:jc w:val="right"/>
              <w:spacing w:after="0" w:line="206" w:lineRule="exact"/>
              <w:rPr>
                <w:sz w:val="20"/>
                <w:szCs w:val="20"/>
                <w:color w:val="auto"/>
              </w:rPr>
            </w:pPr>
            <w:r>
              <w:rPr>
                <w:rFonts w:ascii="Arial" w:cs="Arial" w:eastAsia="Arial" w:hAnsi="Arial"/>
                <w:sz w:val="18"/>
                <w:szCs w:val="18"/>
                <w:color w:val="auto"/>
              </w:rPr>
              <w:t>Other (expense) income,</w:t>
            </w:r>
          </w:p>
        </w:tc>
      </w:tr>
      <w:tr>
        <w:trPr>
          <w:trHeight w:val="220"/>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Earn-out</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net</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There were no transfers between Level 1, 2 or 3 during the periods presented. In addition, there were no significant Level 3 purchases, sales or issuances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 Geographic Information, and Major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the nature of operations and quantitative thresholds pursuant to the accounting guidance on segment reporting, we have three reportable operating business segments: aviation, marine and land. Corporate expenses are allocated to the segments based on usage, where possible, or on other factors according to the nature of the activity. Please refer to Note 1 for the dates that the results of operations and related assets and liabilities of our acquisitions have been included in our operating segments. The accounting policies of the reportable operating segments are the same as those described in the Summary of Significant Accounting Policies (see Note 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Information concerning our revenue, gross profit, income from operations, depreciation and amortization and capital expenditures by segment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60" w:type="dxa"/>
            <w:vAlign w:val="bottom"/>
            <w:gridSpan w:val="7"/>
          </w:tcPr>
          <w:p>
            <w:pPr>
              <w:ind w:left="6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4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c>
          <w:tcPr>
            <w:tcW w:w="2280" w:type="dxa"/>
            <w:vAlign w:val="bottom"/>
          </w:tcPr>
          <w:p>
            <w:pPr>
              <w:spacing w:after="0"/>
              <w:rPr>
                <w:sz w:val="21"/>
                <w:szCs w:val="21"/>
                <w:color w:val="auto"/>
              </w:rPr>
            </w:pPr>
          </w:p>
        </w:tc>
      </w:tr>
      <w:tr>
        <w:trPr>
          <w:trHeight w:val="203"/>
        </w:trPr>
        <w:tc>
          <w:tcPr>
            <w:tcW w:w="4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5"/>
              </w:rPr>
              <w:t>16,087,611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7"/>
              </w:rPr>
              <w:t>14,692,042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12,866,019</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14,790,342</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14,750,425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14,565,086</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 segment</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10,683,994</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9,502,871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7,191,749</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41,561,947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38,945,338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34,622,854</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327,178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294,601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306,112</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177,052</w:t>
            </w:r>
          </w:p>
        </w:tc>
        <w:tc>
          <w:tcPr>
            <w:tcW w:w="22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208,028</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195,109</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248,528</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170,818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133,782</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0"/>
        </w:trPr>
        <w:tc>
          <w:tcPr>
            <w:tcW w:w="4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752,758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673,447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635,003</w:t>
            </w: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0"/>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80" w:type="dxa"/>
            <w:vAlign w:val="bottom"/>
          </w:tcPr>
          <w:p>
            <w:pPr>
              <w:spacing w:after="0"/>
              <w:rPr>
                <w:sz w:val="16"/>
                <w:szCs w:val="16"/>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150,886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128,153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146,411</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73,770</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103,229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95,982</w:t>
            </w:r>
          </w:p>
        </w:tc>
        <w:tc>
          <w:tcPr>
            <w:tcW w:w="2280" w:type="dxa"/>
            <w:vAlign w:val="bottom"/>
          </w:tcPr>
          <w:p>
            <w:pPr>
              <w:spacing w:after="0"/>
              <w:rPr>
                <w:sz w:val="17"/>
                <w:szCs w:val="17"/>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Land segment</w:t>
            </w:r>
          </w:p>
        </w:tc>
        <w:tc>
          <w:tcPr>
            <w:tcW w:w="8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84,767</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75,291</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62,049</w:t>
            </w:r>
          </w:p>
        </w:tc>
        <w:tc>
          <w:tcPr>
            <w:tcW w:w="2280" w:type="dxa"/>
            <w:vAlign w:val="bottom"/>
          </w:tcPr>
          <w:p>
            <w:pPr>
              <w:spacing w:after="0"/>
              <w:rPr>
                <w:sz w:val="19"/>
                <w:szCs w:val="19"/>
                <w:color w:val="auto"/>
              </w:rPr>
            </w:pPr>
          </w:p>
        </w:tc>
      </w:tr>
      <w:tr>
        <w:trPr>
          <w:trHeight w:val="216"/>
        </w:trPr>
        <w:tc>
          <w:tcPr>
            <w:tcW w:w="4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309,423</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306,673</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304,442</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Corporate overhead – unallocated</w:t>
            </w:r>
          </w:p>
        </w:tc>
        <w:tc>
          <w:tcPr>
            <w:tcW w:w="8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45,065</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49,650</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47,470</w:t>
            </w:r>
          </w:p>
        </w:tc>
        <w:tc>
          <w:tcPr>
            <w:tcW w:w="2280" w:type="dxa"/>
            <w:vAlign w:val="bottom"/>
          </w:tcPr>
          <w:p>
            <w:pPr>
              <w:spacing w:after="0"/>
              <w:rPr>
                <w:sz w:val="19"/>
                <w:szCs w:val="19"/>
                <w:color w:val="auto"/>
              </w:rPr>
            </w:pPr>
          </w:p>
        </w:tc>
      </w:tr>
      <w:tr>
        <w:trPr>
          <w:trHeight w:val="216"/>
        </w:trPr>
        <w:tc>
          <w:tcPr>
            <w:tcW w:w="4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264,358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257,023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256,972</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 includes allocation from corporate</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15,854</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17,381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23,392</w:t>
            </w: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Marine segment, includes allocation from corporate</w:t>
            </w:r>
          </w:p>
        </w:tc>
        <w:tc>
          <w:tcPr>
            <w:tcW w:w="8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5,362</w:t>
            </w:r>
          </w:p>
        </w:tc>
        <w:tc>
          <w:tcPr>
            <w:tcW w:w="22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5,387</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3,942</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 includes allocation from corporate</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20,861</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10,406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9,825</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3,540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36,714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40,530</w:t>
            </w: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5,737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4,713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2,230</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17,326</w:t>
            </w:r>
          </w:p>
        </w:tc>
        <w:tc>
          <w:tcPr>
            <w:tcW w:w="22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8,981</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3,714</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54,360</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7,243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3,031</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5,293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10,517</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82,716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28,454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19,492</w:t>
            </w: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4760" w:type="dxa"/>
            <w:vAlign w:val="bottom"/>
          </w:tcPr>
          <w:p>
            <w:pPr>
              <w:spacing w:after="0"/>
              <w:rPr>
                <w:sz w:val="20"/>
                <w:szCs w:val="20"/>
                <w:color w:val="auto"/>
              </w:rPr>
            </w:pPr>
            <w:r>
              <w:rPr>
                <w:rFonts w:ascii="Arial" w:cs="Arial" w:eastAsia="Arial" w:hAnsi="Arial"/>
                <w:sz w:val="18"/>
                <w:szCs w:val="18"/>
                <w:color w:val="auto"/>
              </w:rPr>
              <w:t>78</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4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Information concerning our accounts receivable, net, goodwill, identifiable intangible assets, net and total assets by segment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00" w:type="dxa"/>
            <w:vAlign w:val="bottom"/>
            <w:gridSpan w:val="4"/>
          </w:tcPr>
          <w:p>
            <w:pPr>
              <w:ind w:left="30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6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6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line="206" w:lineRule="exact"/>
              <w:rPr>
                <w:sz w:val="20"/>
                <w:szCs w:val="20"/>
                <w:color w:val="auto"/>
              </w:rPr>
            </w:pPr>
            <w:r>
              <w:rPr>
                <w:rFonts w:ascii="Arial" w:cs="Arial" w:eastAsia="Arial" w:hAnsi="Arial"/>
                <w:sz w:val="18"/>
                <w:szCs w:val="18"/>
                <w:color w:val="auto"/>
              </w:rPr>
              <w:t>Aviation segment, net of allowance for bad debt of $9,351 and $8,997 as of</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380" w:type="dxa"/>
            <w:vAlign w:val="bottom"/>
          </w:tcPr>
          <w:p>
            <w:pPr>
              <w:ind w:left="180"/>
              <w:spacing w:after="0" w:line="200" w:lineRule="exact"/>
              <w:rPr>
                <w:sz w:val="20"/>
                <w:szCs w:val="20"/>
                <w:color w:val="auto"/>
              </w:rPr>
            </w:pPr>
            <w:r>
              <w:rPr>
                <w:rFonts w:ascii="Arial" w:cs="Arial" w:eastAsia="Arial" w:hAnsi="Arial"/>
                <w:sz w:val="18"/>
                <w:szCs w:val="18"/>
                <w:color w:val="auto"/>
              </w:rPr>
              <w:t>December 31, 2013 and 2012, respectively</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771,178</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674,973</w:t>
            </w:r>
          </w:p>
        </w:tc>
        <w:tc>
          <w:tcPr>
            <w:tcW w:w="160" w:type="dxa"/>
            <w:vAlign w:val="bottom"/>
          </w:tcPr>
          <w:p>
            <w:pPr>
              <w:spacing w:after="0"/>
              <w:rPr>
                <w:sz w:val="17"/>
                <w:szCs w:val="17"/>
                <w:color w:val="auto"/>
              </w:rPr>
            </w:pPr>
          </w:p>
        </w:tc>
      </w:tr>
      <w:tr>
        <w:trPr>
          <w:trHeight w:val="206"/>
        </w:trPr>
        <w:tc>
          <w:tcPr>
            <w:tcW w:w="6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Marine segment, net of allowance for bad debt of $9,845 and $7,742 as of</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38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December 31, 2013 and 2012, respectively</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w w:val="97"/>
              </w:rPr>
              <w:t>1,205,005</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1,069,833</w:t>
            </w:r>
          </w:p>
        </w:tc>
        <w:tc>
          <w:tcPr>
            <w:tcW w:w="16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line="206" w:lineRule="exact"/>
              <w:rPr>
                <w:sz w:val="20"/>
                <w:szCs w:val="20"/>
                <w:color w:val="auto"/>
              </w:rPr>
            </w:pPr>
            <w:r>
              <w:rPr>
                <w:rFonts w:ascii="Arial" w:cs="Arial" w:eastAsia="Arial" w:hAnsi="Arial"/>
                <w:sz w:val="18"/>
                <w:szCs w:val="18"/>
                <w:color w:val="auto"/>
              </w:rPr>
              <w:t>Land segment, net of allowance for bad debt of $9,992 and $6,980 as of</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6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December 31, 2013 and 2012, respectively</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562,459</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449,060</w:t>
            </w:r>
          </w:p>
        </w:tc>
        <w:tc>
          <w:tcPr>
            <w:tcW w:w="16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$ 2,538,642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2,193,866</w:t>
            </w:r>
          </w:p>
        </w:tc>
        <w:tc>
          <w:tcPr>
            <w:tcW w:w="160" w:type="dxa"/>
            <w:vAlign w:val="bottom"/>
            <w:shd w:val="clear" w:color="auto" w:fill="CCEEFF"/>
          </w:tcPr>
          <w:p>
            <w:pPr>
              <w:spacing w:after="0"/>
              <w:rPr>
                <w:sz w:val="18"/>
                <w:szCs w:val="18"/>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115,507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109,332</w:t>
            </w: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6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69,088</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69,931</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298,996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291,243</w:t>
            </w:r>
          </w:p>
        </w:tc>
        <w:tc>
          <w:tcPr>
            <w:tcW w:w="160" w:type="dxa"/>
            <w:vAlign w:val="bottom"/>
            <w:shd w:val="clear" w:color="auto" w:fill="CCEEFF"/>
          </w:tcPr>
          <w:p>
            <w:pPr>
              <w:spacing w:after="0"/>
              <w:rPr>
                <w:sz w:val="17"/>
                <w:szCs w:val="17"/>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6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483,591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470,506</w:t>
            </w:r>
          </w:p>
        </w:tc>
        <w:tc>
          <w:tcPr>
            <w:tcW w:w="160" w:type="dxa"/>
            <w:vAlign w:val="bottom"/>
          </w:tcPr>
          <w:p>
            <w:pPr>
              <w:spacing w:after="0"/>
              <w:rPr>
                <w:sz w:val="20"/>
                <w:szCs w:val="20"/>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Identifiable intangible assets, net:</w:t>
            </w: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31,632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38,874</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5,730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6,656</w:t>
            </w:r>
          </w:p>
        </w:tc>
        <w:tc>
          <w:tcPr>
            <w:tcW w:w="160" w:type="dxa"/>
            <w:vAlign w:val="bottom"/>
            <w:shd w:val="clear" w:color="auto" w:fill="CCEEFF"/>
          </w:tcPr>
          <w:p>
            <w:pPr>
              <w:spacing w:after="0"/>
              <w:rPr>
                <w:sz w:val="17"/>
                <w:szCs w:val="17"/>
                <w:color w:val="auto"/>
              </w:rPr>
            </w:pPr>
          </w:p>
        </w:tc>
      </w:tr>
      <w:tr>
        <w:trPr>
          <w:trHeight w:val="223"/>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 segment</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129,840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126,743</w:t>
            </w:r>
          </w:p>
        </w:tc>
        <w:tc>
          <w:tcPr>
            <w:tcW w:w="16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167,202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172,273</w:t>
            </w:r>
          </w:p>
        </w:tc>
        <w:tc>
          <w:tcPr>
            <w:tcW w:w="160" w:type="dxa"/>
            <w:vAlign w:val="bottom"/>
            <w:shd w:val="clear" w:color="auto" w:fill="CCEEFF"/>
          </w:tcPr>
          <w:p>
            <w:pPr>
              <w:spacing w:after="0"/>
              <w:rPr>
                <w:sz w:val="18"/>
                <w:szCs w:val="18"/>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15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$ 1,686,437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1,463,423</w:t>
            </w: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6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1,536,817</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1,330,796</w:t>
            </w:r>
          </w:p>
        </w:tc>
        <w:tc>
          <w:tcPr>
            <w:tcW w:w="1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1,304,436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1,145,756</w:t>
            </w:r>
          </w:p>
        </w:tc>
        <w:tc>
          <w:tcPr>
            <w:tcW w:w="160" w:type="dxa"/>
            <w:vAlign w:val="bottom"/>
            <w:shd w:val="clear" w:color="auto" w:fill="CCEEFF"/>
          </w:tcPr>
          <w:p>
            <w:pPr>
              <w:spacing w:after="0"/>
              <w:rPr>
                <w:sz w:val="17"/>
                <w:szCs w:val="17"/>
                <w:color w:val="auto"/>
              </w:rPr>
            </w:pPr>
          </w:p>
        </w:tc>
      </w:tr>
      <w:tr>
        <w:trPr>
          <w:trHeight w:val="223"/>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211,587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167,776</w:t>
            </w:r>
          </w:p>
        </w:tc>
        <w:tc>
          <w:tcPr>
            <w:tcW w:w="16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$ 4,739,277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4,107,751</w:t>
            </w:r>
          </w:p>
        </w:tc>
        <w:tc>
          <w:tcPr>
            <w:tcW w:w="160" w:type="dxa"/>
            <w:vAlign w:val="bottom"/>
            <w:shd w:val="clear" w:color="auto" w:fill="CCEEFF"/>
          </w:tcPr>
          <w:p>
            <w:pPr>
              <w:spacing w:after="0"/>
              <w:rPr>
                <w:sz w:val="18"/>
                <w:szCs w:val="18"/>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concerning our revenue, income from operations, non-current assets and total assets, as segregated between the Americas, EMEA (Europe, Middle East and Africa) and the Asia/Pacific regions, is presented as follows, based on the country of incorporation of the relevant subsidiary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3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35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Americas (1)</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7"/>
              </w:rPr>
              <w:t>24,329,056</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23,293,260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19,965,339</w:t>
            </w: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(2)</w:t>
            </w: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7,017,479</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7,247,754</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6,695,315</w:t>
            </w:r>
          </w:p>
        </w:tc>
        <w:tc>
          <w:tcPr>
            <w:tcW w:w="160" w:type="dxa"/>
            <w:vAlign w:val="bottom"/>
            <w:shd w:val="clear" w:color="auto" w:fill="CCEEFF"/>
          </w:tcPr>
          <w:p>
            <w:pPr>
              <w:spacing w:after="0"/>
              <w:rPr>
                <w:sz w:val="17"/>
                <w:szCs w:val="17"/>
                <w:color w:val="auto"/>
              </w:rPr>
            </w:pPr>
          </w:p>
        </w:tc>
      </w:tr>
      <w:tr>
        <w:trPr>
          <w:trHeight w:val="223"/>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Asia/Pacific (3)</w:t>
            </w:r>
          </w:p>
        </w:tc>
        <w:tc>
          <w:tcPr>
            <w:tcW w:w="1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10,215,412</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8,404,324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7,962,200</w:t>
            </w:r>
          </w:p>
        </w:tc>
        <w:tc>
          <w:tcPr>
            <w:tcW w:w="160" w:type="dxa"/>
            <w:vAlign w:val="bottom"/>
          </w:tcPr>
          <w:p>
            <w:pPr>
              <w:spacing w:after="0"/>
              <w:rPr>
                <w:sz w:val="19"/>
                <w:szCs w:val="19"/>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41,561,947</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38,945,338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34,622,854</w:t>
            </w:r>
          </w:p>
        </w:tc>
        <w:tc>
          <w:tcPr>
            <w:tcW w:w="160" w:type="dxa"/>
            <w:vAlign w:val="bottom"/>
            <w:shd w:val="clear" w:color="auto" w:fill="CCEEFF"/>
          </w:tcPr>
          <w:p>
            <w:pPr>
              <w:spacing w:after="0"/>
              <w:rPr>
                <w:sz w:val="17"/>
                <w:szCs w:val="17"/>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3500" w:type="dxa"/>
            <w:vAlign w:val="bottom"/>
          </w:tcPr>
          <w:p>
            <w:pPr>
              <w:spacing w:after="0" w:line="183" w:lineRule="exact"/>
              <w:rPr>
                <w:sz w:val="20"/>
                <w:szCs w:val="20"/>
                <w:color w:val="auto"/>
              </w:rPr>
            </w:pPr>
            <w:r>
              <w:rPr>
                <w:rFonts w:ascii="Arial" w:cs="Arial" w:eastAsia="Arial" w:hAnsi="Arial"/>
                <w:sz w:val="18"/>
                <w:szCs w:val="18"/>
                <w:color w:val="auto"/>
              </w:rPr>
              <w:t>Income from operations:</w:t>
            </w: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(4)</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84,161</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103,005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92,083</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17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109,650</w:t>
            </w:r>
          </w:p>
        </w:tc>
        <w:tc>
          <w:tcPr>
            <w:tcW w:w="48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82,964</w:t>
            </w:r>
          </w:p>
        </w:tc>
        <w:tc>
          <w:tcPr>
            <w:tcW w:w="3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76,881</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Asia/Pacific</w:t>
            </w: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70,547</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71,054</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88,008</w:t>
            </w:r>
          </w:p>
        </w:tc>
      </w:tr>
      <w:tr>
        <w:trPr>
          <w:trHeight w:val="27"/>
        </w:trPr>
        <w:tc>
          <w:tcPr>
            <w:tcW w:w="3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264,358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257,023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256,972</w:t>
            </w:r>
          </w:p>
        </w:tc>
        <w:tc>
          <w:tcPr>
            <w:tcW w:w="160" w:type="dxa"/>
            <w:vAlign w:val="bottom"/>
          </w:tcPr>
          <w:p>
            <w:pPr>
              <w:spacing w:after="0"/>
              <w:rPr>
                <w:sz w:val="18"/>
                <w:szCs w:val="18"/>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60" w:type="dxa"/>
            <w:vAlign w:val="bottom"/>
            <w:gridSpan w:val="4"/>
          </w:tcPr>
          <w:p>
            <w:pPr>
              <w:ind w:left="66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4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r>
      <w:tr>
        <w:trPr>
          <w:trHeight w:val="203"/>
        </w:trPr>
        <w:tc>
          <w:tcPr>
            <w:tcW w:w="4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Non-current assets:</w:t>
            </w:r>
          </w:p>
        </w:tc>
        <w:tc>
          <w:tcPr>
            <w:tcW w:w="26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Americas (5)</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602,387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610,434</w:t>
            </w:r>
          </w:p>
        </w:tc>
        <w:tc>
          <w:tcPr>
            <w:tcW w:w="16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w:t>
            </w:r>
          </w:p>
        </w:tc>
        <w:tc>
          <w:tcPr>
            <w:tcW w:w="26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319,339</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214,607</w:t>
            </w:r>
          </w:p>
        </w:tc>
        <w:tc>
          <w:tcPr>
            <w:tcW w:w="160" w:type="dxa"/>
            <w:vAlign w:val="bottom"/>
            <w:shd w:val="clear" w:color="auto" w:fill="CCEEFF"/>
          </w:tcPr>
          <w:p>
            <w:pPr>
              <w:spacing w:after="0"/>
              <w:rPr>
                <w:sz w:val="17"/>
                <w:szCs w:val="17"/>
                <w:color w:val="auto"/>
              </w:rPr>
            </w:pPr>
          </w:p>
        </w:tc>
      </w:tr>
      <w:tr>
        <w:trPr>
          <w:trHeight w:val="223"/>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Asia/Pacific</w:t>
            </w:r>
          </w:p>
        </w:tc>
        <w:tc>
          <w:tcPr>
            <w:tcW w:w="2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2,050</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9"/>
                <w:szCs w:val="19"/>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923,776</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826,374</w:t>
            </w:r>
          </w:p>
        </w:tc>
        <w:tc>
          <w:tcPr>
            <w:tcW w:w="160" w:type="dxa"/>
            <w:vAlign w:val="bottom"/>
            <w:shd w:val="clear" w:color="auto" w:fill="CCEEFF"/>
          </w:tcPr>
          <w:p>
            <w:pPr>
              <w:spacing w:after="0"/>
              <w:rPr>
                <w:sz w:val="17"/>
                <w:szCs w:val="17"/>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4040" w:type="dxa"/>
            <w:vAlign w:val="bottom"/>
          </w:tcPr>
          <w:p>
            <w:pPr>
              <w:spacing w:after="0" w:line="183" w:lineRule="exact"/>
              <w:rPr>
                <w:sz w:val="20"/>
                <w:szCs w:val="20"/>
                <w:color w:val="auto"/>
              </w:rPr>
            </w:pPr>
            <w:r>
              <w:rPr>
                <w:rFonts w:ascii="Arial" w:cs="Arial" w:eastAsia="Arial" w:hAnsi="Arial"/>
                <w:sz w:val="18"/>
                <w:szCs w:val="18"/>
                <w:color w:val="auto"/>
              </w:rPr>
              <w:t>Total assets:</w:t>
            </w:r>
          </w:p>
        </w:tc>
        <w:tc>
          <w:tcPr>
            <w:tcW w:w="2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(6)</w:t>
            </w:r>
          </w:p>
        </w:tc>
        <w:tc>
          <w:tcPr>
            <w:tcW w:w="2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7"/>
              </w:rPr>
              <w:t>2,574,370</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2,273,945</w:t>
            </w:r>
          </w:p>
        </w:tc>
        <w:tc>
          <w:tcPr>
            <w:tcW w:w="16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264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7"/>
              </w:rPr>
              <w:t>1,347,020</w:t>
            </w:r>
          </w:p>
        </w:tc>
        <w:tc>
          <w:tcPr>
            <w:tcW w:w="4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1,122,007</w:t>
            </w:r>
          </w:p>
        </w:tc>
        <w:tc>
          <w:tcPr>
            <w:tcW w:w="16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Asia/Pacific</w:t>
            </w:r>
          </w:p>
        </w:tc>
        <w:tc>
          <w:tcPr>
            <w:tcW w:w="26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817,887</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711,799</w:t>
            </w:r>
          </w:p>
        </w:tc>
        <w:tc>
          <w:tcPr>
            <w:tcW w:w="160" w:type="dxa"/>
            <w:vAlign w:val="bottom"/>
            <w:shd w:val="clear" w:color="auto" w:fill="CCEEFF"/>
          </w:tcPr>
          <w:p>
            <w:pPr>
              <w:spacing w:after="0"/>
              <w:rPr>
                <w:sz w:val="17"/>
                <w:szCs w:val="17"/>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7"/>
              </w:rPr>
              <w:t>4,739,277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4,107,751</w:t>
            </w:r>
          </w:p>
        </w:tc>
        <w:tc>
          <w:tcPr>
            <w:tcW w:w="160" w:type="dxa"/>
            <w:vAlign w:val="bottom"/>
          </w:tcPr>
          <w:p>
            <w:pPr>
              <w:spacing w:after="0"/>
              <w:rPr>
                <w:sz w:val="18"/>
                <w:szCs w:val="18"/>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 related to the United States of $21.1 billion, $20.2 billion and $17.5 billion for 2013, 2012 and 2011, respectively.</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 related to the United Kingdom of $5.0 billion, $5.2 billion and $5.0 billion for 2013, 2012 and 2011, respectively.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 related to Singapore of $10.1 billion, $8.4 billion and $8.0 billion for 2013, 2012 and 2011, respectively.</w:t>
      </w:r>
    </w:p>
    <w:p>
      <w:pPr>
        <w:spacing w:after="0" w:line="198"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income from operations related to the United States of $49.9 million, $67.0 million and $59.8 million for 2013, 2012 and 2011, respectively.</w:t>
      </w:r>
    </w:p>
    <w:p>
      <w:pPr>
        <w:spacing w:after="0" w:line="208"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non-current assets related to the United States of $560.6 million and $596.7 million as of December 31, 2013 and 2012, respectively.</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total assets related to the United States of $2.2 billion and $2.0 billion as of December 31, 2013 and 2012,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Summary Quarterly Information (Unaudited)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2013 and 2012 (in thousands, except earnings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June 30,</w:t>
            </w:r>
          </w:p>
        </w:tc>
        <w:tc>
          <w:tcPr>
            <w:tcW w:w="15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42"/>
        </w:trPr>
        <w:tc>
          <w:tcPr>
            <w:tcW w:w="3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2013</w:t>
            </w:r>
          </w:p>
        </w:tc>
      </w:tr>
      <w:tr>
        <w:trPr>
          <w:trHeight w:val="203"/>
        </w:trPr>
        <w:tc>
          <w:tcPr>
            <w:tcW w:w="36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10,184,029</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10,479,604</w:t>
            </w:r>
          </w:p>
        </w:tc>
        <w:tc>
          <w:tcPr>
            <w:tcW w:w="36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10,493,661</w:t>
            </w:r>
          </w:p>
        </w:tc>
        <w:tc>
          <w:tcPr>
            <w:tcW w:w="320" w:type="dxa"/>
            <w:vAlign w:val="bottom"/>
            <w:tcBorders>
              <w:top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10,404,653</w:t>
            </w:r>
          </w:p>
        </w:tc>
        <w:tc>
          <w:tcPr>
            <w:tcW w:w="160" w:type="dxa"/>
            <w:vAlign w:val="bottom"/>
            <w:shd w:val="clear" w:color="auto" w:fill="CCEEFF"/>
          </w:tcPr>
          <w:p>
            <w:pPr>
              <w:spacing w:after="0"/>
              <w:rPr>
                <w:sz w:val="17"/>
                <w:szCs w:val="17"/>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182,379</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188,458</w:t>
            </w:r>
          </w:p>
        </w:tc>
        <w:tc>
          <w:tcPr>
            <w:tcW w:w="3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186,341</w:t>
            </w: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195,580</w:t>
            </w:r>
          </w:p>
        </w:tc>
        <w:tc>
          <w:tcPr>
            <w:tcW w:w="160" w:type="dxa"/>
            <w:vAlign w:val="bottom"/>
          </w:tcPr>
          <w:p>
            <w:pPr>
              <w:spacing w:after="0"/>
              <w:rPr>
                <w:sz w:val="17"/>
                <w:szCs w:val="17"/>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including noncontrolling interest</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51,111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52,357</w:t>
            </w:r>
          </w:p>
        </w:tc>
        <w:tc>
          <w:tcPr>
            <w:tcW w:w="36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50,297</w:t>
            </w:r>
          </w:p>
        </w:tc>
        <w:tc>
          <w:tcPr>
            <w:tcW w:w="3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53,395</w:t>
            </w:r>
          </w:p>
        </w:tc>
        <w:tc>
          <w:tcPr>
            <w:tcW w:w="160" w:type="dxa"/>
            <w:vAlign w:val="bottom"/>
            <w:shd w:val="clear" w:color="auto" w:fill="CCEEFF"/>
          </w:tcPr>
          <w:p>
            <w:pPr>
              <w:spacing w:after="0"/>
              <w:rPr>
                <w:sz w:val="16"/>
                <w:szCs w:val="16"/>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48,725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51,016</w:t>
            </w:r>
          </w:p>
        </w:tc>
        <w:tc>
          <w:tcPr>
            <w:tcW w:w="3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51,472</w:t>
            </w: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51,862</w:t>
            </w:r>
          </w:p>
        </w:tc>
        <w:tc>
          <w:tcPr>
            <w:tcW w:w="160" w:type="dxa"/>
            <w:vAlign w:val="bottom"/>
          </w:tcPr>
          <w:p>
            <w:pPr>
              <w:spacing w:after="0"/>
              <w:rPr>
                <w:sz w:val="17"/>
                <w:szCs w:val="17"/>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common share (2)</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0.71</w:t>
            </w:r>
          </w:p>
        </w:tc>
        <w:tc>
          <w:tcPr>
            <w:tcW w:w="36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0.72</w:t>
            </w:r>
          </w:p>
        </w:tc>
        <w:tc>
          <w:tcPr>
            <w:tcW w:w="3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16"/>
                <w:szCs w:val="16"/>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earnings per common share (2)</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0.68</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0.71</w:t>
            </w:r>
          </w:p>
        </w:tc>
        <w:tc>
          <w:tcPr>
            <w:tcW w:w="3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0.72</w:t>
            </w: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7"/>
                <w:szCs w:val="17"/>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June 30,</w:t>
            </w:r>
          </w:p>
        </w:tc>
        <w:tc>
          <w:tcPr>
            <w:tcW w:w="15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42"/>
        </w:trPr>
        <w:tc>
          <w:tcPr>
            <w:tcW w:w="3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2012 (1)</w:t>
            </w:r>
          </w:p>
        </w:tc>
        <w:tc>
          <w:tcPr>
            <w:tcW w:w="3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 (1)</w:t>
            </w:r>
          </w:p>
        </w:tc>
      </w:tr>
      <w:tr>
        <w:trPr>
          <w:trHeight w:val="203"/>
        </w:trPr>
        <w:tc>
          <w:tcPr>
            <w:tcW w:w="36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9,479,055</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9,618,797</w:t>
            </w:r>
          </w:p>
        </w:tc>
        <w:tc>
          <w:tcPr>
            <w:tcW w:w="40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9,911,673</w:t>
            </w:r>
          </w:p>
        </w:tc>
        <w:tc>
          <w:tcPr>
            <w:tcW w:w="380" w:type="dxa"/>
            <w:vAlign w:val="bottom"/>
            <w:tcBorders>
              <w:top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9,935,813</w:t>
            </w:r>
          </w:p>
        </w:tc>
        <w:tc>
          <w:tcPr>
            <w:tcW w:w="160" w:type="dxa"/>
            <w:vAlign w:val="bottom"/>
            <w:shd w:val="clear" w:color="auto" w:fill="CCEEFF"/>
          </w:tcPr>
          <w:p>
            <w:pPr>
              <w:spacing w:after="0"/>
              <w:rPr>
                <w:sz w:val="17"/>
                <w:szCs w:val="17"/>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157,235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172,123</w:t>
            </w:r>
          </w:p>
        </w:tc>
        <w:tc>
          <w:tcPr>
            <w:tcW w:w="4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180,752</w:t>
            </w:r>
          </w:p>
        </w:tc>
        <w:tc>
          <w:tcPr>
            <w:tcW w:w="3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163,337</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including noncontrolling interest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48,546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54,882</w:t>
            </w:r>
          </w:p>
        </w:tc>
        <w:tc>
          <w:tcPr>
            <w:tcW w:w="40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52,898</w:t>
            </w:r>
          </w:p>
        </w:tc>
        <w:tc>
          <w:tcPr>
            <w:tcW w:w="3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45,025</w:t>
            </w:r>
          </w:p>
        </w:tc>
        <w:tc>
          <w:tcPr>
            <w:tcW w:w="160" w:type="dxa"/>
            <w:vAlign w:val="bottom"/>
            <w:shd w:val="clear" w:color="auto" w:fill="CCEEFF"/>
          </w:tcPr>
          <w:p>
            <w:pPr>
              <w:spacing w:after="0"/>
              <w:rPr>
                <w:sz w:val="16"/>
                <w:szCs w:val="16"/>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46,415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48,600</w:t>
            </w:r>
          </w:p>
        </w:tc>
        <w:tc>
          <w:tcPr>
            <w:tcW w:w="4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51,494</w:t>
            </w:r>
          </w:p>
        </w:tc>
        <w:tc>
          <w:tcPr>
            <w:tcW w:w="3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42,836</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common share (2)</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0.68</w:t>
            </w:r>
          </w:p>
        </w:tc>
        <w:tc>
          <w:tcPr>
            <w:tcW w:w="40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0.72</w:t>
            </w:r>
          </w:p>
        </w:tc>
        <w:tc>
          <w:tcPr>
            <w:tcW w:w="3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spacing w:after="0"/>
              <w:rPr>
                <w:sz w:val="16"/>
                <w:szCs w:val="16"/>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earnings per common share (2)</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0.65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0.68</w:t>
            </w:r>
          </w:p>
        </w:tc>
        <w:tc>
          <w:tcPr>
            <w:tcW w:w="4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0.72</w:t>
            </w:r>
          </w:p>
        </w:tc>
        <w:tc>
          <w:tcPr>
            <w:tcW w:w="3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0.60</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CarterEnergy business operations since September 1, 2012 as a result of the acquisition.</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2014, we signed a definitive agreement to acquire Watson Petroleum Limited ("Watson Petroleum"), a leading distributor of gasoline, diesel, heating oil, lubricants and other products and related services. Watson Petroleum is headquartered in Brinkworth, England and is one of the largest fuel distributors in the United Kingdom. The transaction is subject to customary regulatory consents and closing conditions and therefore there can be no assurance that we will be successful in closing the acquisition.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4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the 14th day of February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787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Michael J. Kasbar</w:t>
      </w: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787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Ira M. Birns</w:t>
      </w:r>
    </w:p>
    <w:p>
      <w:pPr>
        <w:ind w:left="300"/>
        <w:spacing w:after="0"/>
        <w:rPr>
          <w:sz w:val="20"/>
          <w:szCs w:val="20"/>
          <w:color w:val="auto"/>
        </w:rPr>
      </w:pPr>
      <w:r>
        <w:rPr>
          <w:rFonts w:ascii="Arial" w:cs="Arial" w:eastAsia="Arial" w:hAnsi="Arial"/>
          <w:sz w:val="18"/>
          <w:szCs w:val="18"/>
          <w:color w:val="auto"/>
        </w:rPr>
        <w:t>Executive Vice President and Chief Financial Officer</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indicated on the 14th day of February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0"/>
                <w:szCs w:val="20"/>
                <w:color w:val="auto"/>
              </w:rPr>
            </w:pPr>
            <w:r>
              <w:rPr>
                <w:rFonts w:ascii="Arial" w:cs="Arial" w:eastAsia="Arial" w:hAnsi="Arial"/>
                <w:sz w:val="18"/>
                <w:szCs w:val="18"/>
                <w:color w:val="auto"/>
              </w:rPr>
              <w:t>/s/ MICHAEL J. KASBAR</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91"/>
        </w:trPr>
        <w:tc>
          <w:tcPr>
            <w:tcW w:w="3180" w:type="dxa"/>
            <w:vAlign w:val="bottom"/>
            <w:tcBorders>
              <w:bottom w:val="single" w:sz="8" w:color="auto"/>
            </w:tcBorders>
          </w:tcPr>
          <w:p>
            <w:pPr>
              <w:spacing w:after="0"/>
              <w:rPr>
                <w:sz w:val="7"/>
                <w:szCs w:val="7"/>
                <w:color w:val="auto"/>
              </w:rPr>
            </w:pPr>
          </w:p>
        </w:tc>
        <w:tc>
          <w:tcPr>
            <w:tcW w:w="824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300"/>
              <w:spacing w:after="0"/>
              <w:rPr>
                <w:sz w:val="20"/>
                <w:szCs w:val="20"/>
                <w:color w:val="auto"/>
              </w:rPr>
            </w:pPr>
            <w:r>
              <w:rPr>
                <w:rFonts w:ascii="Arial" w:cs="Arial" w:eastAsia="Arial" w:hAnsi="Arial"/>
                <w:sz w:val="18"/>
                <w:szCs w:val="18"/>
                <w:color w:val="auto"/>
              </w:rPr>
              <w:t>Michael J. Kasbar</w:t>
            </w: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0"/>
                <w:szCs w:val="20"/>
                <w:color w:val="auto"/>
              </w:rPr>
            </w:pPr>
            <w:r>
              <w:rPr>
                <w:rFonts w:ascii="Arial" w:cs="Arial" w:eastAsia="Arial" w:hAnsi="Arial"/>
                <w:sz w:val="18"/>
                <w:szCs w:val="18"/>
                <w:color w:val="auto"/>
              </w:rPr>
              <w:t>/s/ IRA M. BIRNS</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91"/>
        </w:trPr>
        <w:tc>
          <w:tcPr>
            <w:tcW w:w="3180" w:type="dxa"/>
            <w:vAlign w:val="bottom"/>
            <w:tcBorders>
              <w:bottom w:val="single" w:sz="8" w:color="auto"/>
            </w:tcBorders>
          </w:tcPr>
          <w:p>
            <w:pPr>
              <w:spacing w:after="0"/>
              <w:rPr>
                <w:sz w:val="7"/>
                <w:szCs w:val="7"/>
                <w:color w:val="auto"/>
              </w:rPr>
            </w:pPr>
          </w:p>
        </w:tc>
        <w:tc>
          <w:tcPr>
            <w:tcW w:w="824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300"/>
              <w:spacing w:after="0"/>
              <w:rPr>
                <w:sz w:val="20"/>
                <w:szCs w:val="20"/>
                <w:color w:val="auto"/>
              </w:rPr>
            </w:pPr>
            <w:r>
              <w:rPr>
                <w:rFonts w:ascii="Arial" w:cs="Arial" w:eastAsia="Arial" w:hAnsi="Arial"/>
                <w:sz w:val="18"/>
                <w:szCs w:val="18"/>
                <w:color w:val="auto"/>
              </w:rPr>
              <w:t>Ira M. Birns</w:t>
            </w: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0"/>
                <w:szCs w:val="20"/>
                <w:color w:val="auto"/>
              </w:rPr>
            </w:pPr>
            <w:r>
              <w:rPr>
                <w:rFonts w:ascii="Arial" w:cs="Arial" w:eastAsia="Arial" w:hAnsi="Arial"/>
                <w:sz w:val="18"/>
                <w:szCs w:val="18"/>
                <w:color w:val="auto"/>
              </w:rPr>
              <w:t>/s/ CARLOS M. VELAZQUEZ</w:t>
            </w:r>
          </w:p>
        </w:tc>
        <w:tc>
          <w:tcPr>
            <w:tcW w:w="8240" w:type="dxa"/>
            <w:vAlign w:val="bottom"/>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r>
        <w:trPr>
          <w:trHeight w:val="91"/>
        </w:trPr>
        <w:tc>
          <w:tcPr>
            <w:tcW w:w="3180" w:type="dxa"/>
            <w:vAlign w:val="bottom"/>
            <w:tcBorders>
              <w:bottom w:val="single" w:sz="8" w:color="auto"/>
            </w:tcBorders>
          </w:tcPr>
          <w:p>
            <w:pPr>
              <w:spacing w:after="0"/>
              <w:rPr>
                <w:sz w:val="7"/>
                <w:szCs w:val="7"/>
                <w:color w:val="auto"/>
              </w:rPr>
            </w:pPr>
          </w:p>
        </w:tc>
        <w:tc>
          <w:tcPr>
            <w:tcW w:w="8240" w:type="dxa"/>
            <w:vAlign w:val="bottom"/>
            <w:vMerge w:val="restart"/>
          </w:tcPr>
          <w:p>
            <w:pPr>
              <w:ind w:left="14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300"/>
              <w:spacing w:after="0"/>
              <w:rPr>
                <w:sz w:val="20"/>
                <w:szCs w:val="20"/>
                <w:color w:val="auto"/>
              </w:rPr>
            </w:pPr>
            <w:r>
              <w:rPr>
                <w:rFonts w:ascii="Arial" w:cs="Arial" w:eastAsia="Arial" w:hAnsi="Arial"/>
                <w:sz w:val="18"/>
                <w:szCs w:val="18"/>
                <w:color w:val="auto"/>
              </w:rPr>
              <w:t>Carlos M. Velazquez</w:t>
            </w: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PAUL H. STEBBINS</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Paul H. Stebbins</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KEN BAKSHI</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Ken Bakshi</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RICHARD A. KASSAR</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Richard A. Kassar</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MYLES KLEIN</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Myles Klein</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JOHN L. MANLEY</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John L. Manley</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J. THOMAS PRESBY</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J. Thomas Presby</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STEPHEN K. RODDENBERRY</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Stephen K. Roddenberry</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180" w:type="dxa"/>
            <w:vAlign w:val="bottom"/>
            <w:tcBorders>
              <w:bottom w:val="single" w:sz="8" w:color="808080"/>
            </w:tcBorders>
          </w:tcPr>
          <w:p>
            <w:pPr>
              <w:spacing w:after="0"/>
              <w:rPr>
                <w:sz w:val="9"/>
                <w:szCs w:val="9"/>
                <w:color w:val="auto"/>
              </w:rPr>
            </w:pPr>
          </w:p>
        </w:tc>
        <w:tc>
          <w:tcPr>
            <w:tcW w:w="8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GRANT AGREEMENT</w:t>
      </w:r>
    </w:p>
    <w:p>
      <w:pPr>
        <w:spacing w:after="0" w:line="229" w:lineRule="exact"/>
        <w:rPr>
          <w:sz w:val="20"/>
          <w:szCs w:val="20"/>
          <w:color w:val="auto"/>
        </w:rPr>
      </w:pPr>
    </w:p>
    <w:p>
      <w:pPr>
        <w:ind w:right="120" w:firstLine="656"/>
        <w:spacing w:after="0" w:line="290" w:lineRule="auto"/>
        <w:tabs>
          <w:tab w:leader="none" w:pos="129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xml:space="preserve">. The Compensation Committee (the “Committee”) of the Board of Directors (the “Board”) of World Fuel Services Corporation, a Florida corporation (the “Company”) has awarded to </w:t>
      </w:r>
      <w:r>
        <w:rPr>
          <w:rFonts w:ascii="Arial" w:cs="Arial" w:eastAsia="Arial" w:hAnsi="Arial"/>
          <w:sz w:val="16"/>
          <w:szCs w:val="16"/>
          <w:u w:val="single" w:color="auto"/>
          <w:color w:val="auto"/>
        </w:rPr>
        <w:t>Name</w:t>
      </w:r>
      <w:r>
        <w:rPr>
          <w:rFonts w:ascii="Arial" w:cs="Arial" w:eastAsia="Arial" w:hAnsi="Arial"/>
          <w:sz w:val="16"/>
          <w:szCs w:val="16"/>
          <w:color w:val="auto"/>
        </w:rPr>
        <w:t xml:space="preserve"> (the “Participant”), effective as of </w:t>
      </w:r>
      <w:r>
        <w:rPr>
          <w:rFonts w:ascii="Arial" w:cs="Arial" w:eastAsia="Arial" w:hAnsi="Arial"/>
          <w:sz w:val="16"/>
          <w:szCs w:val="16"/>
          <w:u w:val="single" w:color="auto"/>
          <w:color w:val="auto"/>
        </w:rPr>
        <w:t>grant date</w:t>
      </w:r>
      <w:r>
        <w:rPr>
          <w:rFonts w:ascii="Arial" w:cs="Arial" w:eastAsia="Arial" w:hAnsi="Arial"/>
          <w:sz w:val="16"/>
          <w:szCs w:val="16"/>
          <w:color w:val="auto"/>
        </w:rPr>
        <w:t xml:space="preserve"> (the “Grant Date”), </w:t>
      </w:r>
      <w:r>
        <w:rPr>
          <w:rFonts w:ascii="Arial" w:cs="Arial" w:eastAsia="Arial" w:hAnsi="Arial"/>
          <w:sz w:val="16"/>
          <w:szCs w:val="16"/>
          <w:u w:val="single" w:color="auto"/>
          <w:color w:val="auto"/>
        </w:rPr>
        <w:t># of shares</w:t>
      </w:r>
      <w:r>
        <w:rPr>
          <w:rFonts w:ascii="Arial" w:cs="Arial" w:eastAsia="Arial" w:hAnsi="Arial"/>
          <w:sz w:val="16"/>
          <w:szCs w:val="16"/>
          <w:color w:val="auto"/>
        </w:rPr>
        <w:t xml:space="preserve"> restricted stock units (the “Restricted Stock Units”) corresponding to that same number of shares (the “Shares”) of common stock of the Company, par value $0.01 per share (the “Common Stock”). The Restricted Stock Units have been granted under the World Fuel Services Corporation 2006 Omnibus Plan, as amended and restated (the “Plan”), which is incorporated herein for all purposes, and the grant of Restricted Stock Units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 Capitalized terms used herein and not defined in this Agreement shall have the meaning set forth in the Plan.</w:t>
      </w:r>
    </w:p>
    <w:p>
      <w:pPr>
        <w:spacing w:after="0" w:line="166" w:lineRule="exact"/>
        <w:rPr>
          <w:rFonts w:ascii="Arial" w:cs="Arial" w:eastAsia="Arial" w:hAnsi="Arial"/>
          <w:sz w:val="16"/>
          <w:szCs w:val="16"/>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p>
    <w:p>
      <w:pPr>
        <w:spacing w:after="0" w:line="225" w:lineRule="exact"/>
        <w:rPr>
          <w:rFonts w:ascii="Arial" w:cs="Arial" w:eastAsia="Arial" w:hAnsi="Arial"/>
          <w:sz w:val="18"/>
          <w:szCs w:val="18"/>
          <w:color w:val="auto"/>
        </w:rPr>
      </w:pPr>
    </w:p>
    <w:p>
      <w:pPr>
        <w:ind w:firstLine="1305"/>
        <w:spacing w:after="0" w:line="302" w:lineRule="auto"/>
        <w:tabs>
          <w:tab w:leader="none" w:pos="19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Except as otherwise provided herein, the Restricted Stock Units shall vest on the earlier of: (i) the day prior to the annual meeting of shareholders of the Company that next follows the Grant Date or (ii) the one-year anniversary of the Grant Date (the “Vesting Date”), provided in each case that the Participant continues to serve as a member of the Board through and until the Vesting Date. Except as otherwise provided herein, there shall be no proportionate or partial vesting of Restricted Stock Units in or during the months, days or periods prior to the Vesting Date.</w:t>
      </w:r>
    </w:p>
    <w:p>
      <w:pPr>
        <w:spacing w:after="0" w:line="154" w:lineRule="exact"/>
        <w:rPr>
          <w:rFonts w:ascii="Arial" w:cs="Arial" w:eastAsia="Arial" w:hAnsi="Arial"/>
          <w:sz w:val="16"/>
          <w:szCs w:val="16"/>
          <w:color w:val="auto"/>
        </w:rPr>
      </w:pPr>
    </w:p>
    <w:p>
      <w:pPr>
        <w:ind w:right="220" w:firstLine="1305"/>
        <w:spacing w:after="0" w:line="277" w:lineRule="auto"/>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the Restricted Stock Units shall become fully vested and nonforfeitable in the event that a Change of Control occurs while the Participant is serving as a member of the Board.</w:t>
      </w:r>
    </w:p>
    <w:p>
      <w:pPr>
        <w:spacing w:after="0" w:line="170" w:lineRule="exact"/>
        <w:rPr>
          <w:rFonts w:ascii="Arial" w:cs="Arial" w:eastAsia="Arial" w:hAnsi="Arial"/>
          <w:sz w:val="18"/>
          <w:szCs w:val="18"/>
          <w:color w:val="auto"/>
        </w:rPr>
      </w:pPr>
    </w:p>
    <w:p>
      <w:pPr>
        <w:ind w:right="40" w:firstLine="1305"/>
        <w:spacing w:after="0" w:line="276" w:lineRule="auto"/>
        <w:tabs>
          <w:tab w:leader="none" w:pos="1955"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Participant ceases to be a member of the Board due to the Participant’s death or Disability prior to the Vesting Date, then any unvested Restricted Stock Units shall immediately vest upon the Participant’s ceasing to be a member of the Board. For purposes herein, the term “Disability” means the Participant’s inability to perform, with or without reasonable accommodation, his services as a member of the Board by reason of any medically determined physical or mental impairment that can be expected to result in death or which has lasted or can be expected to last for a continuous period of not less than 12 months, as determined by a medical doctor satisfactory to the Committee.</w:t>
      </w:r>
    </w:p>
    <w:p>
      <w:pPr>
        <w:spacing w:after="0" w:line="172" w:lineRule="exact"/>
        <w:rPr>
          <w:rFonts w:ascii="Arial" w:cs="Arial" w:eastAsia="Arial" w:hAnsi="Arial"/>
          <w:sz w:val="17"/>
          <w:szCs w:val="17"/>
          <w:color w:val="auto"/>
        </w:rPr>
      </w:pPr>
    </w:p>
    <w:p>
      <w:pPr>
        <w:ind w:right="40" w:firstLine="1305"/>
        <w:spacing w:after="0" w:line="272" w:lineRule="auto"/>
        <w:tabs>
          <w:tab w:leader="none" w:pos="19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Participant ceases to be a member of the Board for any reason (other than death or Disability) prior to the Vesting Date, then the Participant shall immediately vest in a pro-rated portion of the Restricted Stock Units and the balance of the Restricted Stock Units shall be immediately forfeited. For this purpose, the pro-rated portion shall be calculated by (i) multiplying (x) the total number of Restricted Stock Units awarded under this Agreement by (y) a fraction, the numerator of which shall be the number of days that the Participant served as a member of the Board after the Grant Date, and the denominator of which shall be 365 and (ii) rounding the number from the foregoing calculation to the nearest whole number. The Committee shall have the power and authority to enforce on behalf of the Company any rights of the Company under this Agreement in the event of the Participant’s forfeiture of any Restricted Stock Units pursuant to this provision.</w:t>
      </w:r>
    </w:p>
    <w:p>
      <w:pPr>
        <w:spacing w:after="0" w:line="177" w:lineRule="exact"/>
        <w:rPr>
          <w:rFonts w:ascii="Arial" w:cs="Arial" w:eastAsia="Arial" w:hAnsi="Arial"/>
          <w:sz w:val="17"/>
          <w:szCs w:val="17"/>
          <w:color w:val="auto"/>
        </w:rPr>
      </w:pPr>
    </w:p>
    <w:p>
      <w:pPr>
        <w:ind w:right="220" w:firstLine="656"/>
        <w:spacing w:after="0" w:line="277" w:lineRule="auto"/>
        <w:tabs>
          <w:tab w:leader="none" w:pos="129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xml:space="preserve"> The number of Restricted Stock Units are subject to adjustment by the Committee in the event of any increase or decrease in the number of issued shares of Common Stock resulting from a subdivision or consolidation of the Common Stock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payment of a stock dividend on Common Stock, or any other increase or decrease in the number of shares of Common Stock effected without receipt or payment of consideration by the Company.</w:t>
      </w:r>
    </w:p>
    <w:p>
      <w:pPr>
        <w:spacing w:after="0" w:line="17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0" w:lineRule="auto"/>
        <w:tabs>
          <w:tab w:leader="none" w:pos="1942"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Delivery of Stock</w:t>
      </w:r>
      <w:r>
        <w:rPr>
          <w:rFonts w:ascii="Arial" w:cs="Arial" w:eastAsia="Arial" w:hAnsi="Arial"/>
          <w:sz w:val="17"/>
          <w:szCs w:val="17"/>
          <w:color w:val="auto"/>
        </w:rPr>
        <w:t xml:space="preserve">. Subject to Section 8 of this Agreement, the Company shall deliver the Shares corresponding to the vested Restricted Stock Units which are the subject of this Agreement to the Participant as follows: (i) Shares with respect to 50% of such vested Restricted Stock Units shall be delivered within 30 days after the Vesting Date and (ii) Shares with respect to the remaining 50% of such vested Restricted Stock Units shall be delivered within 30 days following the earlier of (A) the third anniversary of the Grant Date and (B) the date on which the Participant ceases for any reason to be a member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Restricted Stock Units (or a pro-rated portion thereof) shall vest prior to the Vesting Date as provided in either Section 2(b), (c) or (d), the Company shall deliver the Shares with respect to such vested Restricted Stock Units within 30 days following the date on which the vesting occurs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notwithstanding the foregoing and for the avoidance of doubt, the settlement of any Restricted Stock Units that constitute “nonqualified deferred compensation” under Section 409A of the Code and the Treasury Regulations thereunder (“Section 409A”) shall be subject to the requirements of Section 16 of this Agreement.</w:t>
      </w:r>
    </w:p>
    <w:p>
      <w:pPr>
        <w:spacing w:after="0" w:line="181" w:lineRule="exact"/>
        <w:rPr>
          <w:rFonts w:ascii="Arial" w:cs="Arial" w:eastAsia="Arial" w:hAnsi="Arial"/>
          <w:sz w:val="17"/>
          <w:szCs w:val="17"/>
          <w:color w:val="auto"/>
        </w:rPr>
      </w:pPr>
    </w:p>
    <w:p>
      <w:pPr>
        <w:ind w:right="40" w:firstLine="1305"/>
        <w:spacing w:after="0" w:line="271" w:lineRule="auto"/>
        <w:tabs>
          <w:tab w:leader="none" w:pos="1952"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By written notice to the Company’s Secretary, the Participant may designate a beneficiary or beneficiaries to whom any vested Restricted Stock Units shall be transferred upon the death of the Participant. In the absence of such designation, or if no designated beneficiary survives Participant, such vested Restricted Stock Units shall be transferred to the legal representative of the Participant’s estate. No such transfer of the Restricted Stock Units or the right to the Shares corresponding to such Restricted Stock Units or any portion thereof into Common Stock, shall be effective to bind the Company unless the Committee shall have been furnished with written notice thereof and with a copy of the will and/or such evidence as the Committee deems necessary to establish the validity of such transfer or right to convert, and an agreement by the transferee, administrator, or executor (as applicable) to comply with all the terms of this Agreement that are or would have been applicable to the Participant and to be bound by the acknowledgements made by the Participant in connection with this grant.</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 Represented by Restricted Stock Units.</w:t>
      </w:r>
    </w:p>
    <w:p>
      <w:pPr>
        <w:spacing w:after="0" w:line="225" w:lineRule="exact"/>
        <w:rPr>
          <w:rFonts w:ascii="Arial" w:cs="Arial" w:eastAsia="Arial" w:hAnsi="Arial"/>
          <w:sz w:val="18"/>
          <w:szCs w:val="18"/>
          <w:color w:val="auto"/>
        </w:rPr>
      </w:pPr>
    </w:p>
    <w:p>
      <w:pPr>
        <w:ind w:right="100" w:firstLine="1305"/>
        <w:spacing w:after="0" w:line="259" w:lineRule="auto"/>
        <w:tabs>
          <w:tab w:leader="none" w:pos="194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 Rights as Shareholder until Delivery</w:t>
      </w:r>
      <w:r>
        <w:rPr>
          <w:rFonts w:ascii="Arial" w:cs="Arial" w:eastAsia="Arial" w:hAnsi="Arial"/>
          <w:sz w:val="18"/>
          <w:szCs w:val="18"/>
          <w:color w:val="auto"/>
        </w:rPr>
        <w:t>. Except as otherwise provided in this Section 5,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ectPr>
          <w:pgSz w:w="11900" w:h="16838" w:orient="portrait"/>
          <w:cols w:equalWidth="0" w:num="1">
            <w:col w:w="11420"/>
          </w:cols>
          <w:pgMar w:left="240" w:top="364" w:right="239" w:bottom="0" w:gutter="0" w:footer="0" w:header="0"/>
        </w:sectPr>
      </w:pPr>
    </w:p>
    <w:bookmarkStart w:id="88" w:name="page89"/>
    <w:bookmarkEnd w:id="88"/>
    <w:p>
      <w:pPr>
        <w:spacing w:after="0" w:line="35" w:lineRule="exact"/>
        <w:rPr>
          <w:sz w:val="20"/>
          <w:szCs w:val="20"/>
          <w:color w:val="auto"/>
        </w:rPr>
      </w:pPr>
    </w:p>
    <w:p>
      <w:pPr>
        <w:jc w:val="both"/>
        <w:ind w:right="120" w:firstLine="1953"/>
        <w:spacing w:after="0" w:line="259" w:lineRule="auto"/>
        <w:tabs>
          <w:tab w:leader="none" w:pos="261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Cash Dividends</w:t>
      </w:r>
      <w:r>
        <w:rPr>
          <w:rFonts w:ascii="Arial" w:cs="Arial" w:eastAsia="Arial" w:hAnsi="Arial"/>
          <w:sz w:val="18"/>
          <w:szCs w:val="18"/>
          <w:color w:val="auto"/>
        </w:rPr>
        <w:t>. As of each date on which the Company pays a cash dividend with respect to its Shares, the Participant shall be entitled to receive the cash dividends payable on such Shares corresponding to the Restricted Stock Units which are the subject of this Agreement as if those Shares had been issued and outstanding as of the dividend payment date, so long as the Participant has not forfeited such Restricted Stock Units as provided herein. Cash dividends payable with respect to such Shares shall be distributed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at the same time as such dividends are paid to regular holders of the Common Stock.</w:t>
      </w:r>
    </w:p>
    <w:p>
      <w:pPr>
        <w:spacing w:after="0" w:line="225" w:lineRule="exact"/>
        <w:rPr>
          <w:sz w:val="20"/>
          <w:szCs w:val="20"/>
          <w:color w:val="auto"/>
        </w:rPr>
      </w:pPr>
    </w:p>
    <w:p>
      <w:pPr>
        <w:ind w:right="60" w:firstLine="1953"/>
        <w:spacing w:after="0" w:line="302" w:lineRule="auto"/>
        <w:tabs>
          <w:tab w:leader="none" w:pos="2624"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Stock Dividends</w:t>
      </w:r>
      <w:r>
        <w:rPr>
          <w:rFonts w:ascii="Arial" w:cs="Arial" w:eastAsia="Arial" w:hAnsi="Arial"/>
          <w:sz w:val="16"/>
          <w:szCs w:val="16"/>
          <w:color w:val="auto"/>
        </w:rPr>
        <w:t>. As of each date on which the Company pays a stock dividend with respect to its shares of Common Stock, then the Shares corresponding to the Restricted Stock Units shall be increased by the stock dividend that would have been payable with respect to the Shares that correspond to the Restricted Stock Units, and shall be subject to the same vesting requirements as the Restricted Stock Units, to which they relate, and to the extent vested, shall be distributed at the same time as Shares corresponding to vested Restricted Stock Units are distributed.</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The Participant may not, directly or indirectly, sell, pledge or otherwise transfer any Restricted Stock Units.</w:t>
      </w:r>
    </w:p>
    <w:p>
      <w:pPr>
        <w:spacing w:after="0" w:line="225" w:lineRule="exact"/>
        <w:rPr>
          <w:rFonts w:ascii="Arial" w:cs="Arial" w:eastAsia="Arial" w:hAnsi="Arial"/>
          <w:sz w:val="18"/>
          <w:szCs w:val="18"/>
          <w:color w:val="auto"/>
        </w:rPr>
      </w:pPr>
    </w:p>
    <w:p>
      <w:pPr>
        <w:ind w:right="100" w:firstLine="656"/>
        <w:spacing w:after="0" w:line="276" w:lineRule="auto"/>
        <w:tabs>
          <w:tab w:leader="none" w:pos="129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Compliance with Laws and Regulations</w:t>
      </w:r>
      <w:r>
        <w:rPr>
          <w:rFonts w:ascii="Arial" w:cs="Arial" w:eastAsia="Arial" w:hAnsi="Arial"/>
          <w:sz w:val="17"/>
          <w:szCs w:val="17"/>
          <w:color w:val="auto"/>
        </w:rPr>
        <w:t>. The Participant acknowledges and agrees that the Company has filed a Registration Statement on Form S-8 (the “Registration Statement”) under the Securities Act of 1933, as amended (the “1933 Act”), to register the Shares under the 1933 Act. The Participant acknowledges receipt of the Prospectus prepared by the Company in connection with the Registration Statement. Prior to conversion of the Restricted Stock Units into Shares, the Participant shall execute and deliver to the Company such representations in writing as may be requested by the Company in order for it to comply with the applicable requirements of Federal and state securities law.</w:t>
      </w:r>
    </w:p>
    <w:p>
      <w:pPr>
        <w:spacing w:after="0" w:line="172" w:lineRule="exact"/>
        <w:rPr>
          <w:rFonts w:ascii="Arial" w:cs="Arial" w:eastAsia="Arial" w:hAnsi="Arial"/>
          <w:sz w:val="17"/>
          <w:szCs w:val="17"/>
          <w:color w:val="auto"/>
        </w:rPr>
      </w:pPr>
    </w:p>
    <w:p>
      <w:pPr>
        <w:ind w:firstLine="656"/>
        <w:spacing w:after="0" w:line="288" w:lineRule="auto"/>
        <w:tabs>
          <w:tab w:leader="none" w:pos="129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expressly permits the Participant (or the Participant’s estate, if applicable), at his or her option (or at the option of the Participant’s estate, if applicable), to elect to have the Company retain Shares that would otherwise be delivered to the Participant hereunder that have an aggregate Fair Market Value (determined by using the Fair Market Value as of the day immediately following the date of settlement) equal to the estimated Federal, state, local and foreign or other taxes that the Participant would incur in connection with the settlement of such Restricted Stock Units, provided that, and to the extent that, the Participant holds, at the time of such settlement, and has held, for a period of no less than six months and one day preceding the date of such settlement, a number of Shares equal to the number of Shares to be so retained. In exchange for the Shares retained by the Company pursuant to this Section 8, the Company will make a cash payment to the Participant (or the Participant’s estate, if applicable) in an amount equal to the Fair Market Value of the Shares so retained. The Participant shall communicate his or her election by delivery to the Company of a form to be provided by the Company, which shall be received no less than two business days prior to the date of such settlement. Any acquisition of Shares corresponding to Restricted Stock Units by the Company as contemplated hereby is expressly approved by the Committee as part of the approval of this Agreement.</w:t>
      </w:r>
    </w:p>
    <w:p>
      <w:pPr>
        <w:spacing w:after="0" w:line="169" w:lineRule="exact"/>
        <w:rPr>
          <w:rFonts w:ascii="Arial" w:cs="Arial" w:eastAsia="Arial" w:hAnsi="Arial"/>
          <w:sz w:val="16"/>
          <w:szCs w:val="16"/>
          <w:color w:val="auto"/>
        </w:rPr>
      </w:pPr>
    </w:p>
    <w:p>
      <w:pPr>
        <w:ind w:right="140" w:firstLine="656"/>
        <w:spacing w:after="0" w:line="277" w:lineRule="auto"/>
        <w:tabs>
          <w:tab w:leader="none" w:pos="129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ind w:right="480" w:firstLine="656"/>
        <w:spacing w:after="0" w:line="277" w:lineRule="auto"/>
        <w:tabs>
          <w:tab w:leader="none" w:pos="12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xml:space="preserve"> This Agreement is subject to all of the terms and provisions of the Plan. In the event of a conflict between one or more provisions of this Agreement and one or more provisions of the Plan, the provisions of the Plan shall govern.</w:t>
      </w:r>
    </w:p>
    <w:p>
      <w:pPr>
        <w:spacing w:after="0" w:line="170" w:lineRule="exact"/>
        <w:rPr>
          <w:rFonts w:ascii="Arial" w:cs="Arial" w:eastAsia="Arial" w:hAnsi="Arial"/>
          <w:sz w:val="18"/>
          <w:szCs w:val="18"/>
          <w:color w:val="auto"/>
        </w:rPr>
      </w:pPr>
    </w:p>
    <w:p>
      <w:pPr>
        <w:ind w:right="20" w:firstLine="656"/>
        <w:spacing w:after="0" w:line="312" w:lineRule="auto"/>
        <w:tabs>
          <w:tab w:leader="none" w:pos="128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Governing Law/Jurisdiction.</w:t>
      </w:r>
      <w:r>
        <w:rPr>
          <w:rFonts w:ascii="Arial" w:cs="Arial" w:eastAsia="Arial" w:hAnsi="Arial"/>
          <w:sz w:val="16"/>
          <w:szCs w:val="16"/>
          <w:color w:val="auto"/>
        </w:rPr>
        <w:t xml:space="preserve">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87" w:lineRule="exact"/>
        <w:rPr>
          <w:sz w:val="20"/>
          <w:szCs w:val="20"/>
          <w:color w:val="auto"/>
        </w:rPr>
      </w:pPr>
    </w:p>
    <w:p>
      <w:pPr>
        <w:ind w:right="120" w:firstLine="656"/>
        <w:spacing w:after="0" w:line="257" w:lineRule="auto"/>
        <w:tabs>
          <w:tab w:leader="none" w:pos="129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Committee Authority</w:t>
      </w:r>
      <w:r>
        <w:rPr>
          <w:rFonts w:ascii="Arial" w:cs="Arial" w:eastAsia="Arial" w:hAnsi="Arial"/>
          <w:sz w:val="18"/>
          <w:szCs w:val="18"/>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The captions provided herein are for convenience only and are not to serve as a basis for the interpretation or construction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400" w:firstLine="656"/>
        <w:spacing w:after="0" w:line="342" w:lineRule="auto"/>
        <w:tabs>
          <w:tab w:leader="none" w:pos="129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xml:space="preserve">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23" w:lineRule="exact"/>
        <w:rPr>
          <w:rFonts w:ascii="Arial" w:cs="Arial" w:eastAsia="Arial" w:hAnsi="Arial"/>
          <w:sz w:val="16"/>
          <w:szCs w:val="16"/>
          <w:color w:val="auto"/>
        </w:rPr>
      </w:pPr>
    </w:p>
    <w:p>
      <w:pPr>
        <w:ind w:firstLine="656"/>
        <w:spacing w:after="0" w:line="272" w:lineRule="auto"/>
        <w:tabs>
          <w:tab w:leader="none" w:pos="129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w:t>
      </w:r>
    </w:p>
    <w:p>
      <w:pPr>
        <w:sectPr>
          <w:pgSz w:w="11900" w:h="16874" w:orient="portrait"/>
          <w:cols w:equalWidth="0" w:num="1">
            <w:col w:w="11420"/>
          </w:cols>
          <w:pgMar w:left="240" w:top="341" w:right="239" w:bottom="0" w:gutter="0" w:footer="0" w:header="0"/>
        </w:sectPr>
      </w:pPr>
    </w:p>
    <w:bookmarkStart w:id="89" w:name="page90"/>
    <w:bookmarkEnd w:id="89"/>
    <w:p>
      <w:pPr>
        <w:ind w:firstLine="1305"/>
        <w:spacing w:after="0" w:line="257" w:lineRule="auto"/>
        <w:tabs>
          <w:tab w:leader="none" w:pos="15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and to the extent that the Committee believes that the Restricted Stock Units may constitute a “nonqualified deferred compensation plan” under Section 409A, the terms and conditions set forth in this Agreement (and /or the provisions of the Plan applicable thereto) shall be interpreted in a manner consistent with the applicable requirements of Section 409A, and the Committee, in its sole discretion and without the consent of the Participant, may amend this Agreement (and the provisions of the Plan applicable thereto) if and to the extent that the Committee determines necessary or appropriate to comply with the applicable requirements of Section 409A.</w:t>
      </w:r>
    </w:p>
    <w:p>
      <w:pPr>
        <w:spacing w:after="0" w:line="188" w:lineRule="exact"/>
        <w:rPr>
          <w:rFonts w:ascii="Arial" w:cs="Arial" w:eastAsia="Arial" w:hAnsi="Arial"/>
          <w:sz w:val="18"/>
          <w:szCs w:val="18"/>
          <w:color w:val="auto"/>
        </w:rPr>
      </w:pPr>
    </w:p>
    <w:p>
      <w:pPr>
        <w:ind w:left="1600" w:hanging="295"/>
        <w:spacing w:after="0"/>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and to the extent required to comply with Section 409A:</w:t>
      </w:r>
    </w:p>
    <w:p>
      <w:pPr>
        <w:spacing w:after="0" w:line="225" w:lineRule="exact"/>
        <w:rPr>
          <w:rFonts w:ascii="Arial" w:cs="Arial" w:eastAsia="Arial" w:hAnsi="Arial"/>
          <w:sz w:val="18"/>
          <w:szCs w:val="18"/>
          <w:color w:val="auto"/>
        </w:rPr>
      </w:pPr>
    </w:p>
    <w:p>
      <w:pPr>
        <w:ind w:left="1820" w:hanging="256"/>
        <w:spacing w:after="0"/>
        <w:tabs>
          <w:tab w:leader="none" w:pos="18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Payments or delivery of Shares under this Agreement may not be made earlier than (u) the Participant’s “separation from service”,</w:t>
      </w:r>
    </w:p>
    <w:p>
      <w:pPr>
        <w:spacing w:after="0" w:line="46" w:lineRule="exact"/>
        <w:rPr>
          <w:rFonts w:ascii="Arial" w:cs="Arial" w:eastAsia="Arial" w:hAnsi="Arial"/>
          <w:sz w:val="16"/>
          <w:szCs w:val="16"/>
          <w:color w:val="auto"/>
        </w:rPr>
      </w:pPr>
    </w:p>
    <w:p>
      <w:pPr>
        <w:ind w:left="260" w:right="200" w:firstLine="7"/>
        <w:spacing w:after="0" w:line="261" w:lineRule="auto"/>
        <w:tabs>
          <w:tab w:leader="none" w:pos="5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of a “change in the ownership”, “change in the effective control” or “change in the ownership of a substantial portion of the assets”, in each case, of the Company, (w) the date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color w:val="auto"/>
        </w:rPr>
        <w:t>Participant incurs a “disability”, (x) the Participant’s death or (y) a “specified time (or pursuant to a fixed schedule)” specified in this Agreement at the date of the deferral of such compensation;</w:t>
      </w:r>
    </w:p>
    <w:p>
      <w:pPr>
        <w:spacing w:after="0" w:line="170" w:lineRule="exact"/>
        <w:rPr>
          <w:sz w:val="20"/>
          <w:szCs w:val="20"/>
          <w:color w:val="auto"/>
        </w:rPr>
      </w:pPr>
    </w:p>
    <w:p>
      <w:pPr>
        <w:ind w:left="260" w:right="560" w:firstLine="1304"/>
        <w:spacing w:after="0" w:line="277" w:lineRule="auto"/>
        <w:tabs>
          <w:tab w:leader="none" w:pos="18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70" w:lineRule="exact"/>
        <w:rPr>
          <w:rFonts w:ascii="Arial" w:cs="Arial" w:eastAsia="Arial" w:hAnsi="Arial"/>
          <w:sz w:val="18"/>
          <w:szCs w:val="18"/>
          <w:color w:val="auto"/>
        </w:rPr>
      </w:pPr>
    </w:p>
    <w:p>
      <w:pPr>
        <w:ind w:left="260" w:right="220" w:firstLine="1304"/>
        <w:spacing w:after="0" w:line="308" w:lineRule="auto"/>
        <w:tabs>
          <w:tab w:leader="none" w:pos="1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181" w:lineRule="exact"/>
        <w:rPr>
          <w:sz w:val="20"/>
          <w:szCs w:val="20"/>
          <w:color w:val="auto"/>
        </w:rPr>
      </w:pPr>
    </w:p>
    <w:p>
      <w:pPr>
        <w:ind w:right="20" w:firstLine="1305"/>
        <w:spacing w:after="0" w:line="255" w:lineRule="auto"/>
        <w:tabs>
          <w:tab w:leader="none" w:pos="1586"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93" w:lineRule="exact"/>
        <w:rPr>
          <w:rFonts w:ascii="Arial" w:cs="Arial" w:eastAsia="Arial" w:hAnsi="Arial"/>
          <w:sz w:val="18"/>
          <w:szCs w:val="18"/>
          <w:color w:val="auto"/>
        </w:rPr>
      </w:pPr>
    </w:p>
    <w:p>
      <w:pPr>
        <w:jc w:val="both"/>
        <w:ind w:right="260" w:firstLine="656"/>
        <w:spacing w:after="0" w:line="342" w:lineRule="auto"/>
        <w:tabs>
          <w:tab w:leader="none" w:pos="129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Unfunded Agreement</w:t>
      </w:r>
      <w:r>
        <w:rPr>
          <w:rFonts w:ascii="Arial" w:cs="Arial" w:eastAsia="Arial" w:hAnsi="Arial"/>
          <w:sz w:val="16"/>
          <w:szCs w:val="16"/>
          <w:color w:val="auto"/>
        </w:rPr>
        <w:t>. The rights of the Participant under this Agreement with respect to the Company’s obligation to distribute Shares corresponding to vested Restricted Stock Units shall be unfunded and shall not be greater than the rights of an unsecured general creditor of the Company.</w:t>
      </w:r>
    </w:p>
    <w:p>
      <w:pPr>
        <w:spacing w:after="0" w:line="123" w:lineRule="exact"/>
        <w:rPr>
          <w:rFonts w:ascii="Arial" w:cs="Arial" w:eastAsia="Arial" w:hAnsi="Arial"/>
          <w:sz w:val="16"/>
          <w:szCs w:val="16"/>
          <w:color w:val="auto"/>
        </w:rPr>
      </w:pPr>
    </w:p>
    <w:p>
      <w:pPr>
        <w:ind w:right="40" w:firstLine="656"/>
        <w:spacing w:after="0" w:line="259" w:lineRule="auto"/>
        <w:tabs>
          <w:tab w:leader="none" w:pos="129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Stock Ownership Policy</w:t>
      </w:r>
      <w:r>
        <w:rPr>
          <w:rFonts w:ascii="Arial" w:cs="Arial" w:eastAsia="Arial" w:hAnsi="Arial"/>
          <w:sz w:val="18"/>
          <w:szCs w:val="18"/>
          <w:color w:val="auto"/>
        </w:rPr>
        <w:t>. The Participant understands that the Committee has adopted a policy that requires the Participant to own a multiple of the Participant’s cash retainer in Common Stock. The Shares corresponding to any vested Restricted Stock Units that have not yet been delivered to the Participant shall be deemed to be Shares owned by the Participant for purposes of such policy. The Participant agrees to comply with such policy and any modifications thereof that may be adopted by the Committee from time to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Grant 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17145</wp:posOffset>
            </wp:positionV>
            <wp:extent cx="31299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17145</wp:posOffset>
            </wp:positionV>
            <wp:extent cx="31299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17145</wp:posOffset>
            </wp:positionV>
            <wp:extent cx="31299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5715</wp:posOffset>
            </wp:positionV>
            <wp:extent cx="28130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-130810</wp:posOffset>
            </wp:positionV>
            <wp:extent cx="28130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40" w:type="dxa"/>
            <w:vAlign w:val="bottom"/>
          </w:tcPr>
          <w:p>
            <w:pPr>
              <w:spacing w:after="0"/>
              <w:rPr>
                <w:sz w:val="20"/>
                <w:szCs w:val="20"/>
                <w:color w:val="auto"/>
              </w:rPr>
            </w:pPr>
            <w:r>
              <w:rPr>
                <w:rFonts w:ascii="Arial" w:cs="Arial" w:eastAsia="Arial" w:hAnsi="Arial"/>
                <w:sz w:val="18"/>
                <w:szCs w:val="18"/>
                <w:b w:val="1"/>
                <w:bCs w:val="1"/>
                <w:color w:val="auto"/>
              </w:rPr>
              <w:t>SUBSIDIARIES OF THE REGISTRANT</w:t>
            </w:r>
          </w:p>
        </w:tc>
        <w:tc>
          <w:tcPr>
            <w:tcW w:w="44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8"/>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 Name</w:t>
            </w:r>
          </w:p>
        </w:tc>
        <w:tc>
          <w:tcPr>
            <w:tcW w:w="44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Jurisdiction</w:t>
            </w:r>
          </w:p>
        </w:tc>
        <w:tc>
          <w:tcPr>
            <w:tcW w:w="2180" w:type="dxa"/>
            <w:vAlign w:val="bottom"/>
          </w:tcPr>
          <w:p>
            <w:pPr>
              <w:spacing w:after="0"/>
              <w:rPr>
                <w:sz w:val="24"/>
                <w:szCs w:val="24"/>
                <w:color w:val="auto"/>
              </w:rPr>
            </w:pPr>
          </w:p>
        </w:tc>
      </w:tr>
      <w:tr>
        <w:trPr>
          <w:trHeight w:val="206"/>
        </w:trPr>
        <w:tc>
          <w:tcPr>
            <w:tcW w:w="4840" w:type="dxa"/>
            <w:vAlign w:val="bottom"/>
          </w:tcPr>
          <w:p>
            <w:pPr>
              <w:spacing w:after="0" w:line="206" w:lineRule="exact"/>
              <w:rPr>
                <w:sz w:val="20"/>
                <w:szCs w:val="20"/>
                <w:color w:val="auto"/>
              </w:rPr>
            </w:pPr>
            <w:r>
              <w:rPr>
                <w:rFonts w:ascii="Arial" w:cs="Arial" w:eastAsia="Arial" w:hAnsi="Arial"/>
                <w:sz w:val="18"/>
                <w:szCs w:val="18"/>
                <w:color w:val="auto"/>
              </w:rPr>
              <w:t>Advance Petroleum, Inc.</w:t>
            </w:r>
          </w:p>
        </w:tc>
        <w:tc>
          <w:tcPr>
            <w:tcW w:w="6580" w:type="dxa"/>
            <w:vAlign w:val="bottom"/>
            <w:gridSpan w:val="2"/>
          </w:tcPr>
          <w:p>
            <w:pPr>
              <w:ind w:left="1440"/>
              <w:spacing w:after="0" w:line="206" w:lineRule="exact"/>
              <w:rPr>
                <w:sz w:val="20"/>
                <w:szCs w:val="20"/>
                <w:color w:val="auto"/>
              </w:rPr>
            </w:pPr>
            <w:r>
              <w:rPr>
                <w:rFonts w:ascii="Arial" w:cs="Arial" w:eastAsia="Arial" w:hAnsi="Arial"/>
                <w:sz w:val="18"/>
                <w:szCs w:val="18"/>
                <w:color w:val="auto"/>
              </w:rPr>
              <w:t>Florida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AHT Services, LLC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Nevada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Air Petro Corp.</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ANY-G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ANY-G Services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Ascent Aviation Group,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Atlantic Fuel Services, S.R.L.*</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AVCARD Services (BVI), Ltd.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British Virgin Islands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AVCARD Services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Baseops International,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Casa Petro, S.R.L.</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Dakota Petroleum Transport Solutions, LLC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DPTS Marketing LLC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Ecuacentair S.A.</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Ecuador</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Falmouth Oil Services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Falmouth Petroleum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Gib Oil (UK)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Gib Oil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Gibraltar</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Henty Oil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Henty Shipping Services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HG Equipment, LLC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Intoplane Services (Gibraltar)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Gibraltar</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IRC Oil Technics,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Isthmian Petroleum Suppy &amp; Services S.A.</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Kropp Holdings,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Maryland</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LFO Holdings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Linton Fuel Oils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MH Aviation Services (Pty) Ltd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MS Europe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Aero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Comercio, S. de R.L. de C.V.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Holding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Pre Paid Solutions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Private Label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PTY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Multi Service Technology Solutions,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NCS US,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Virginia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Nordic Camp Supply ApS</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Nordic Camp Supply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Norse Bunkers AS</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Oil Shipping (Bunkering) B.V.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Page Avjet Fuel Co., L.L.C.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Petro Air, Corp.</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Puerto Rico</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Petroleum Transport Solutions, LLC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PetroServicios de Costa Rica, S.R.L.</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PetroServicios de México S.A. de C.V.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PT Oil Shipping Trans Indonesia</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Resource Recovery of America, Inc.*</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Servicios Auxiliares de México S.A. de C.V.</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Servicios WFSE Ecuador C.L.</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Ecuador</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Spire Flight Solutions (Ireland)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Tamlyn Shipping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Tank and Marine Engineering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The Hiller Group Incorporated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The Lubricant Company Limited</w:t>
            </w:r>
          </w:p>
        </w:tc>
        <w:tc>
          <w:tcPr>
            <w:tcW w:w="65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United Kingdom</w:t>
            </w: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Tobras Distribuidora de Combustíveis Ltda.</w:t>
            </w:r>
          </w:p>
        </w:tc>
        <w:tc>
          <w:tcPr>
            <w:tcW w:w="6580" w:type="dxa"/>
            <w:vAlign w:val="bottom"/>
            <w:gridSpan w:val="2"/>
          </w:tcPr>
          <w:p>
            <w:pPr>
              <w:ind w:left="1440"/>
              <w:spacing w:after="0"/>
              <w:rPr>
                <w:sz w:val="20"/>
                <w:szCs w:val="20"/>
                <w:color w:val="auto"/>
              </w:rPr>
            </w:pPr>
            <w:r>
              <w:rPr>
                <w:rFonts w:ascii="Arial" w:cs="Arial" w:eastAsia="Arial" w:hAnsi="Arial"/>
                <w:sz w:val="18"/>
                <w:szCs w:val="18"/>
                <w:color w:val="auto"/>
              </w:rPr>
              <w:t>Brazil</w:t>
            </w:r>
          </w:p>
        </w:tc>
      </w:tr>
      <w:tr>
        <w:trPr>
          <w:trHeight w:val="107"/>
        </w:trPr>
        <w:tc>
          <w:tcPr>
            <w:tcW w:w="484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42"/>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 Name</w:t>
            </w:r>
          </w:p>
        </w:tc>
        <w:tc>
          <w:tcPr>
            <w:tcW w:w="36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Jurisdiction</w:t>
            </w:r>
          </w:p>
        </w:tc>
        <w:tc>
          <w:tcPr>
            <w:tcW w:w="2180" w:type="dxa"/>
            <w:vAlign w:val="bottom"/>
          </w:tcPr>
          <w:p>
            <w:pPr>
              <w:spacing w:after="0"/>
              <w:rPr>
                <w:sz w:val="21"/>
                <w:szCs w:val="21"/>
                <w:color w:val="auto"/>
              </w:rPr>
            </w:pPr>
          </w:p>
        </w:tc>
      </w:tr>
      <w:tr>
        <w:trPr>
          <w:trHeight w:val="206"/>
        </w:trPr>
        <w:tc>
          <w:tcPr>
            <w:tcW w:w="5560" w:type="dxa"/>
            <w:vAlign w:val="bottom"/>
          </w:tcPr>
          <w:p>
            <w:pPr>
              <w:spacing w:after="0" w:line="206" w:lineRule="exact"/>
              <w:rPr>
                <w:sz w:val="20"/>
                <w:szCs w:val="20"/>
                <w:color w:val="auto"/>
              </w:rPr>
            </w:pPr>
            <w:r>
              <w:rPr>
                <w:rFonts w:ascii="Arial" w:cs="Arial" w:eastAsia="Arial" w:hAnsi="Arial"/>
                <w:sz w:val="18"/>
                <w:szCs w:val="18"/>
                <w:color w:val="auto"/>
              </w:rPr>
              <w:t>Tramp Group Limited*</w:t>
            </w:r>
          </w:p>
        </w:tc>
        <w:tc>
          <w:tcPr>
            <w:tcW w:w="5860" w:type="dxa"/>
            <w:vAlign w:val="bottom"/>
            <w:gridSpan w:val="2"/>
          </w:tcPr>
          <w:p>
            <w:pPr>
              <w:ind w:left="720"/>
              <w:spacing w:after="0" w:line="206"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Holdings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&amp; Marine (Romania) SRL</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Romania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(Brasil) Ltda.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Distribuidora Ltda.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Germany GmbH &amp; Co KG</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Schiffahrts-und Handelsgesellschaft mbH &amp; Co.</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&amp; Marine (Argentina) S.A.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&amp; Marine (Chile) S.A.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Tramp Oil &amp; Marine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Trans-Tec International S.R.L.</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U.S. Energy Engineering,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U.S. Energy Services,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U.S. Energy Trust,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Western Aviation Products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Western Petroleum Company</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&amp; J Company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Agencia de Naves S.A.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Danish Holding Company I ApS*</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Danish Holding Partnership K/S</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Shared Services (UK)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UK Holding Company II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UK Holding Partnership II LP</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UK Holding Partnership LP</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US Holding Company I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US Holding Company II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US Holding Company III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US Holding Company IV,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US Holding Company V,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 US Holding Company VI,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WFS/MFA Oil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Kansas</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Capital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I</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III</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IV*</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V*</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International S.R.L.</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(Australia) Pty Ltd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(Bahamas)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Bahamas</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(Costa Rica) Limitada*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(Denmark) ApS</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(Japan) Co., Ltd.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(KG) Limited Liability Company</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Kyrgyzstan</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(Panama) LLC*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(Singapore) Pte Ltd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Argentina S.A.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Aviation Limited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Belgium BVBA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Canada,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Canada,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Chile, S.A.</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CIS Limited Liability Company</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Russia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Company,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Corporate Aviation Support Services, Inc.</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CZ s.r.o.</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Czech Republic</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Europe, Ltd.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European Holding Company I, Ltd.</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Finance Company II S.à.r.L.</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World Fuel Services Finance Company S.à.r.L.</w:t>
            </w:r>
          </w:p>
        </w:tc>
        <w:tc>
          <w:tcPr>
            <w:tcW w:w="5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Luxembourg</w:t>
            </w:r>
          </w:p>
        </w:tc>
      </w:tr>
      <w:tr>
        <w:trPr>
          <w:trHeight w:val="211"/>
        </w:trPr>
        <w:tc>
          <w:tcPr>
            <w:tcW w:w="5560" w:type="dxa"/>
            <w:vAlign w:val="bottom"/>
          </w:tcPr>
          <w:p>
            <w:pPr>
              <w:spacing w:after="0"/>
              <w:rPr>
                <w:sz w:val="20"/>
                <w:szCs w:val="20"/>
                <w:color w:val="auto"/>
              </w:rPr>
            </w:pPr>
            <w:r>
              <w:rPr>
                <w:rFonts w:ascii="Arial" w:cs="Arial" w:eastAsia="Arial" w:hAnsi="Arial"/>
                <w:sz w:val="18"/>
                <w:szCs w:val="18"/>
                <w:color w:val="auto"/>
              </w:rPr>
              <w:t>World Fuel Services International (Panama) LLC*</w:t>
            </w:r>
          </w:p>
        </w:tc>
        <w:tc>
          <w:tcPr>
            <w:tcW w:w="5860" w:type="dxa"/>
            <w:vAlign w:val="bottom"/>
            <w:gridSpan w:val="2"/>
          </w:tcPr>
          <w:p>
            <w:pPr>
              <w:ind w:left="720"/>
              <w:spacing w:after="0"/>
              <w:rPr>
                <w:sz w:val="20"/>
                <w:szCs w:val="20"/>
                <w:color w:val="auto"/>
              </w:rPr>
            </w:pPr>
            <w:r>
              <w:rPr>
                <w:rFonts w:ascii="Arial" w:cs="Arial" w:eastAsia="Arial" w:hAnsi="Arial"/>
                <w:sz w:val="18"/>
                <w:szCs w:val="18"/>
                <w:color w:val="auto"/>
              </w:rPr>
              <w:t>Panama</w:t>
            </w:r>
          </w:p>
        </w:tc>
      </w:tr>
      <w:tr>
        <w:trPr>
          <w:trHeight w:val="107"/>
        </w:trPr>
        <w:tc>
          <w:tcPr>
            <w:tcW w:w="556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2"/>
        </w:trPr>
        <w:tc>
          <w:tcPr>
            <w:tcW w:w="6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Entity Name</w:t>
            </w:r>
          </w:p>
        </w:tc>
        <w:tc>
          <w:tcPr>
            <w:tcW w:w="29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Jurisdiction</w:t>
            </w:r>
          </w:p>
        </w:tc>
        <w:tc>
          <w:tcPr>
            <w:tcW w:w="2180" w:type="dxa"/>
            <w:vAlign w:val="bottom"/>
          </w:tcPr>
          <w:p>
            <w:pPr>
              <w:spacing w:after="0"/>
              <w:rPr>
                <w:sz w:val="21"/>
                <w:szCs w:val="21"/>
                <w:color w:val="auto"/>
              </w:rPr>
            </w:pPr>
          </w:p>
        </w:tc>
      </w:tr>
      <w:tr>
        <w:trPr>
          <w:trHeight w:val="206"/>
        </w:trPr>
        <w:tc>
          <w:tcPr>
            <w:tcW w:w="6280" w:type="dxa"/>
            <w:vAlign w:val="bottom"/>
            <w:gridSpan w:val="3"/>
          </w:tcPr>
          <w:p>
            <w:pPr>
              <w:spacing w:after="0" w:line="206" w:lineRule="exact"/>
              <w:rPr>
                <w:sz w:val="20"/>
                <w:szCs w:val="20"/>
                <w:color w:val="auto"/>
              </w:rPr>
            </w:pPr>
            <w:r>
              <w:rPr>
                <w:rFonts w:ascii="Arial" w:cs="Arial" w:eastAsia="Arial" w:hAnsi="Arial"/>
                <w:sz w:val="18"/>
                <w:szCs w:val="18"/>
                <w:color w:val="auto"/>
              </w:rPr>
              <w:t>World Fuel Services Pakistan (Pvt.) Limited</w:t>
            </w:r>
          </w:p>
        </w:tc>
        <w:tc>
          <w:tcPr>
            <w:tcW w:w="5140" w:type="dxa"/>
            <w:vAlign w:val="bottom"/>
            <w:gridSpan w:val="2"/>
          </w:tcPr>
          <w:p>
            <w:pPr>
              <w:ind w:left="440"/>
              <w:spacing w:after="0" w:line="206" w:lineRule="exact"/>
              <w:rPr>
                <w:sz w:val="20"/>
                <w:szCs w:val="20"/>
                <w:color w:val="auto"/>
              </w:rPr>
            </w:pPr>
            <w:r>
              <w:rPr>
                <w:rFonts w:ascii="Arial" w:cs="Arial" w:eastAsia="Arial" w:hAnsi="Arial"/>
                <w:sz w:val="18"/>
                <w:szCs w:val="18"/>
                <w:color w:val="auto"/>
              </w:rPr>
              <w:t>Pakistan</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Peru S.R.L.</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Peru</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Private Limited</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Trading DMCC</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Turky Petrol Urunleri Dagitim Ve Ticaret Limited Sirketi</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Inc.</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Singapore Holding Company I Pte Ltd</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Singapore Holding Company II Pte Ltd</w:t>
            </w:r>
          </w:p>
        </w:tc>
        <w:tc>
          <w:tcPr>
            <w:tcW w:w="51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Singapore</w:t>
            </w:r>
          </w:p>
        </w:tc>
      </w:tr>
      <w:tr>
        <w:trPr>
          <w:trHeight w:val="211"/>
        </w:trPr>
        <w:tc>
          <w:tcPr>
            <w:tcW w:w="6280" w:type="dxa"/>
            <w:vAlign w:val="bottom"/>
            <w:gridSpan w:val="3"/>
          </w:tcPr>
          <w:p>
            <w:pPr>
              <w:spacing w:after="0"/>
              <w:rPr>
                <w:sz w:val="20"/>
                <w:szCs w:val="20"/>
                <w:color w:val="auto"/>
              </w:rPr>
            </w:pPr>
            <w:r>
              <w:rPr>
                <w:rFonts w:ascii="Arial" w:cs="Arial" w:eastAsia="Arial" w:hAnsi="Arial"/>
                <w:sz w:val="18"/>
                <w:szCs w:val="18"/>
                <w:color w:val="auto"/>
              </w:rPr>
              <w:t>Yacht Fuel Services Limited</w:t>
            </w:r>
          </w:p>
        </w:tc>
        <w:tc>
          <w:tcPr>
            <w:tcW w:w="5140" w:type="dxa"/>
            <w:vAlign w:val="bottom"/>
            <w:gridSpan w:val="2"/>
          </w:tcPr>
          <w:p>
            <w:pPr>
              <w:ind w:left="440"/>
              <w:spacing w:after="0"/>
              <w:rPr>
                <w:sz w:val="20"/>
                <w:szCs w:val="20"/>
                <w:color w:val="auto"/>
              </w:rPr>
            </w:pPr>
            <w:r>
              <w:rPr>
                <w:rFonts w:ascii="Arial" w:cs="Arial" w:eastAsia="Arial" w:hAnsi="Arial"/>
                <w:sz w:val="18"/>
                <w:szCs w:val="18"/>
                <w:color w:val="auto"/>
              </w:rPr>
              <w:t>United Kingdom</w:t>
            </w:r>
          </w:p>
        </w:tc>
      </w:tr>
      <w:tr>
        <w:trPr>
          <w:trHeight w:val="97"/>
        </w:trPr>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42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These entities are inactive.</w:t>
            </w:r>
          </w:p>
        </w:tc>
        <w:tc>
          <w:tcPr>
            <w:tcW w:w="2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5"/>
        </w:trPr>
        <w:tc>
          <w:tcPr>
            <w:tcW w:w="3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490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333-161099, No. 333-144379, No. 333-130528 and No. 333-68276) of World Fuel Services Corporation of our report dated February 14, 2014 relating to the consolidated financial statements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rPr>
          <w:sz w:val="20"/>
          <w:szCs w:val="20"/>
          <w:color w:val="auto"/>
        </w:rPr>
      </w:pPr>
      <w:r>
        <w:rPr>
          <w:rFonts w:ascii="Arial" w:cs="Arial" w:eastAsia="Arial" w:hAnsi="Arial"/>
          <w:sz w:val="18"/>
          <w:szCs w:val="18"/>
          <w:color w:val="auto"/>
        </w:rPr>
        <w:t>February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Exhibit 31.1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Rule 15d-14(a)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1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80" w:hanging="532"/>
        <w:spacing w:after="0" w:line="234"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080" w:right="20" w:hanging="532"/>
        <w:spacing w:after="0" w:line="234"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40" w:hanging="532"/>
        <w:spacing w:after="0" w:line="299"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1080" w:hanging="532"/>
        <w:spacing w:after="0" w:line="239"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080" w:hanging="532"/>
        <w:spacing w:after="0" w:line="239"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58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Michael J. Kasbar</w:t>
      </w: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Exhibit 31.2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Rule 15d-14(a)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1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80" w:hanging="532"/>
        <w:spacing w:after="0" w:line="234"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080" w:right="20" w:hanging="532"/>
        <w:spacing w:after="0" w:line="234"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40" w:hanging="532"/>
        <w:spacing w:after="0" w:line="299"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1080" w:hanging="532"/>
        <w:spacing w:after="0" w:line="239"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080" w:hanging="532"/>
        <w:spacing w:after="0" w:line="239"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154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Ira M. Birns</w:t>
      </w:r>
    </w:p>
    <w:p>
      <w:pPr>
        <w:ind w:left="3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Exhibit 32.1</w:t>
      </w:r>
    </w:p>
    <w:p>
      <w:pPr>
        <w:spacing w:after="0" w:line="194" w:lineRule="exact"/>
        <w:rPr>
          <w:sz w:val="20"/>
          <w:szCs w:val="20"/>
          <w:color w:val="auto"/>
        </w:rPr>
      </w:pPr>
    </w:p>
    <w:p>
      <w:pPr>
        <w:ind w:right="4820"/>
        <w:spacing w:after="0" w:line="249" w:lineRule="auto"/>
        <w:rPr>
          <w:sz w:val="20"/>
          <w:szCs w:val="20"/>
          <w:color w:val="auto"/>
        </w:rPr>
      </w:pPr>
      <w:r>
        <w:rPr>
          <w:rFonts w:ascii="Arial" w:cs="Arial" w:eastAsia="Arial" w:hAnsi="Arial"/>
          <w:sz w:val="18"/>
          <w:szCs w:val="18"/>
          <w:b w:val="1"/>
          <w:bCs w:val="1"/>
          <w:color w:val="auto"/>
        </w:rPr>
        <w:t xml:space="preserve">STATEMENT OF CHIEF EXECUTIVE OFFICER AND CHIEF FINANCIAL OFFICER </w:t>
      </w:r>
      <w:r>
        <w:rPr>
          <w:rFonts w:ascii="Arial" w:cs="Arial" w:eastAsia="Arial" w:hAnsi="Arial"/>
          <w:sz w:val="18"/>
          <w:szCs w:val="18"/>
          <w:color w:val="auto"/>
        </w:rPr>
        <w:t>under Section 906 of the Sarbanes-Oxley Act of 2002 (18 U.S.C. Section 1350)</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Michael J. Kasbar, the President and Chief Executive Officer of World Fuel Services Corporation (the "Company"), and Ira M. Birns, Executive Vice President and Chief Financial Officer of the Company, certify for the purposes of Section 1350 of Chapter 63 of Title 18 of the United States Code that, to the best of our knowledge,</w:t>
      </w:r>
    </w:p>
    <w:p>
      <w:pPr>
        <w:spacing w:after="0" w:line="208" w:lineRule="exact"/>
        <w:rPr>
          <w:sz w:val="20"/>
          <w:szCs w:val="20"/>
          <w:color w:val="auto"/>
        </w:rPr>
      </w:pPr>
    </w:p>
    <w:p>
      <w:pPr>
        <w:ind w:left="1080" w:hanging="532"/>
        <w:spacing w:after="0" w:line="23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2013 (the "Report"), fully complies with the requirements of Section 13(a) or Section 15(d) of the Securities Exchange Act of 1934, and</w:t>
      </w:r>
    </w:p>
    <w:p>
      <w:pPr>
        <w:spacing w:after="0" w:line="20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58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Michael J. Kasbar</w:t>
      </w: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58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Ira M. Birns</w:t>
      </w:r>
    </w:p>
    <w:p>
      <w:pPr>
        <w:ind w:left="3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Chief Financial Officer</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4"/>
    </w:lvl>
    <w:lvl w:ilvl="1">
      <w:lvlJc w:val="left"/>
      <w:lvlText w:val="%2)"/>
      <w:numFmt w:val="lowerRoman"/>
      <w:start w:val="3"/>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Roman"/>
      <w:start w:val="3"/>
    </w:lvl>
  </w:abstractNum>
  <w:abstractNum w:abstractNumId="15">
    <w:nsid w:val="54E49EB4"/>
    <w:multiLevelType w:val="hybridMultilevel"/>
    <w:lvl w:ilvl="0">
      <w:lvlJc w:val="left"/>
      <w:lvlText w:val="(%1)"/>
      <w:numFmt w:val="lowerLetter"/>
      <w:start w:val="2"/>
    </w:lvl>
  </w:abstractNum>
  <w:abstractNum w:abstractNumId="16">
    <w:nsid w:val="71F32454"/>
    <w:multiLevelType w:val="hybridMultilevel"/>
    <w:lvl w:ilvl="0">
      <w:lvlJc w:val="left"/>
      <w:lvlText w:val="%1"/>
      <w:numFmt w:val="decimal"/>
      <w:start w:val="10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lvl w:ilvl="1">
      <w:lvlJc w:val="left"/>
      <w:lvlText w:val="(%2)"/>
      <w:numFmt w:val="lowerLetter"/>
      <w:start w:val="1"/>
    </w:lvl>
  </w:abstractNum>
  <w:abstractNum w:abstractNumId="25">
    <w:nsid w:val="6CEAF087"/>
    <w:multiLevelType w:val="hybridMultilevel"/>
    <w:lvl w:ilvl="0">
      <w:lvlJc w:val="left"/>
      <w:lvlText w:val="%1."/>
      <w:numFmt w:val="decimal"/>
      <w:start w:val="4"/>
    </w:lvl>
    <w:lvl w:ilvl="1">
      <w:lvlJc w:val="left"/>
      <w:lvlText w:val="(%2)"/>
      <w:numFmt w:val="lowerLetter"/>
      <w:start w:val="1"/>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1"/>
      <w:numFmt w:val="decimal"/>
      <w:start w:val="1"/>
    </w:lvl>
    <w:lvl w:ilvl="1">
      <w:lvlJc w:val="left"/>
      <w:lvlText w:val="(%2)"/>
      <w:numFmt w:val="lowerRoman"/>
      <w:start w:val="2"/>
    </w:lvl>
  </w:abstractNum>
  <w:abstractNum w:abstractNumId="28">
    <w:nsid w:val="3006C83E"/>
    <w:multiLevelType w:val="hybridMultilevel"/>
    <w:lvl w:ilvl="0">
      <w:lvlJc w:val="left"/>
      <w:lvlText w:val="%1."/>
      <w:numFmt w:val="decimal"/>
      <w:start w:val="6"/>
    </w:lvl>
    <w:lvl w:ilvl="1">
      <w:lvlJc w:val="left"/>
      <w:lvlText w:val="%2"/>
      <w:numFmt w:val="lowerRoman"/>
      <w:start w:val="1"/>
    </w:lvl>
  </w:abstractNum>
  <w:abstractNum w:abstractNumId="29">
    <w:nsid w:val="614FD4A1"/>
    <w:multiLevelType w:val="hybridMultilevel"/>
    <w:lvl w:ilvl="0">
      <w:lvlJc w:val="left"/>
      <w:lvlText w:val="%1."/>
      <w:numFmt w:val="decimal"/>
      <w:start w:val="12"/>
    </w:lvl>
  </w:abstractNum>
  <w:abstractNum w:abstractNumId="30">
    <w:nsid w:val="419AC24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1">
    <w:nsid w:val="5577F8E1"/>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decimal"/>
      <w:start w:val="1"/>
    </w:lvl>
    <w:lvl w:ilvl="1">
      <w:lvlJc w:val="left"/>
      <w:lvlText w:val="(%2)"/>
      <w:numFmt w:val="lowerLetter"/>
      <w:start w:val="3"/>
    </w:lvl>
  </w:abstractNum>
  <w:abstractNum w:abstractNumId="34">
    <w:nsid w:val="3804823E"/>
    <w:multiLevelType w:val="hybridMultilevel"/>
    <w:lvl w:ilvl="0">
      <w:lvlJc w:val="left"/>
      <w:lvlText w:val="%1."/>
      <w:numFmt w:val="decimal"/>
      <w:start w:val="17"/>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2019-12-05T22:17:23Z</dcterms:created>
  <dcterms:modified xsi:type="dcterms:W3CDTF">2019-12-05T22:17:23Z</dcterms:modified>
</cp:coreProperties>
</file>