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5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1" w:lineRule="exact"/>
        <w:rPr>
          <w:sz w:val="24"/>
          <w:szCs w:val="24"/>
          <w:color w:val="auto"/>
        </w:rPr>
      </w:pPr>
    </w:p>
    <w:p>
      <w:pPr>
        <w:ind w:left="481" w:right="2459" w:hanging="481"/>
        <w:spacing w:after="0" w:line="248"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FOR THE QUARTERLY PERIOD ENDED SEPTEMBER 30, 2000</w:t>
      </w:r>
    </w:p>
    <w:p>
      <w:pPr>
        <w:spacing w:after="0" w:line="191" w:lineRule="exact"/>
        <w:rPr>
          <w:sz w:val="24"/>
          <w:szCs w:val="24"/>
          <w:color w:val="auto"/>
        </w:rPr>
      </w:pPr>
    </w:p>
    <w:p>
      <w:pPr>
        <w:ind w:left="481" w:right="3239" w:hanging="483"/>
        <w:spacing w:after="0" w:line="248" w:lineRule="auto"/>
        <w:tabs>
          <w:tab w:leader="none" w:pos="460" w:val="left"/>
        </w:tabs>
        <w:rPr>
          <w:sz w:val="20"/>
          <w:szCs w:val="20"/>
          <w:color w:val="auto"/>
        </w:rPr>
      </w:pPr>
      <w:r>
        <w:rPr>
          <w:rFonts w:ascii="Courier New" w:cs="Courier New" w:eastAsia="Courier New" w:hAnsi="Courier New"/>
          <w:sz w:val="16"/>
          <w:szCs w:val="16"/>
          <w:color w:val="auto"/>
        </w:rPr>
        <w:t>[_]</w:t>
        <w:tab/>
        <w:t>TRANSITION REPORT PURSUANT TO SECTION 13 OR 15(d) OF THE SECURITIES EXCHANGE ACT OF 1934</w:t>
      </w:r>
    </w:p>
    <w:p>
      <w:pPr>
        <w:spacing w:after="0" w:line="184"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FOR THE TRANSITION PERIOD FROM___________TO__________</w:t>
      </w:r>
    </w:p>
    <w:p>
      <w:pPr>
        <w:sectPr>
          <w:pgSz w:w="11900" w:h="16838" w:orient="portrait"/>
          <w:cols w:equalWidth="0" w:num="1">
            <w:col w:w="10220"/>
          </w:cols>
          <w:pgMar w:left="239" w:top="614" w:right="1440" w:bottom="1440" w:gutter="0" w:footer="0" w:header="0"/>
        </w:sectPr>
      </w:pPr>
    </w:p>
    <w:p>
      <w:pPr>
        <w:spacing w:after="0" w:line="19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1-9533</w:t>
      </w:r>
    </w:p>
    <w:p>
      <w:pPr>
        <w:spacing w:after="0" w:line="191" w:lineRule="exact"/>
        <w:rPr>
          <w:sz w:val="24"/>
          <w:szCs w:val="24"/>
          <w:color w:val="auto"/>
        </w:rPr>
      </w:pPr>
    </w:p>
    <w:p>
      <w:pPr>
        <w:sectPr>
          <w:pgSz w:w="11900" w:h="16838" w:orient="portrait"/>
          <w:cols w:equalWidth="0" w:num="2">
            <w:col w:w="4461" w:space="200"/>
            <w:col w:w="5559"/>
          </w:cols>
          <w:pgMar w:left="239" w:top="614" w:right="1440" w:bottom="1440" w:gutter="0" w:footer="0" w:header="0"/>
          <w:type w:val="continuous"/>
        </w:sectPr>
      </w:pPr>
    </w:p>
    <w:p>
      <w:pPr>
        <w:jc w:val="center"/>
        <w:ind w:right="2559"/>
        <w:spacing w:after="0"/>
        <w:rPr>
          <w:sz w:val="20"/>
          <w:szCs w:val="20"/>
          <w:color w:val="auto"/>
        </w:rPr>
      </w:pPr>
      <w:r>
        <w:rPr>
          <w:rFonts w:ascii="Courier New" w:cs="Courier New" w:eastAsia="Courier New" w:hAnsi="Courier New"/>
          <w:sz w:val="16"/>
          <w:szCs w:val="16"/>
          <w:color w:val="auto"/>
        </w:rPr>
        <w:t>WORLD FUEL SERVICES CORPORATION</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614" w:right="1440" w:bottom="1440" w:gutter="0" w:footer="0" w:header="0"/>
          <w:type w:val="continuous"/>
        </w:sectPr>
      </w:pPr>
    </w:p>
    <w:p>
      <w:pPr>
        <w:spacing w:after="0" w:line="191" w:lineRule="exact"/>
        <w:rPr>
          <w:sz w:val="24"/>
          <w:szCs w:val="24"/>
          <w:color w:val="auto"/>
        </w:rPr>
      </w:pPr>
    </w:p>
    <w:p>
      <w:pPr>
        <w:ind w:left="1361"/>
        <w:spacing w:after="0"/>
        <w:rPr>
          <w:sz w:val="20"/>
          <w:szCs w:val="20"/>
          <w:color w:val="auto"/>
        </w:rPr>
      </w:pPr>
      <w:r>
        <w:rPr>
          <w:rFonts w:ascii="Courier New" w:cs="Courier New" w:eastAsia="Courier New" w:hAnsi="Courier New"/>
          <w:sz w:val="16"/>
          <w:szCs w:val="16"/>
          <w:color w:val="auto"/>
        </w:rPr>
        <w:t>Florida</w:t>
      </w:r>
    </w:p>
    <w:p>
      <w:pPr>
        <w:spacing w:after="0" w:line="5"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59-2459427</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4421" w:space="720"/>
            <w:col w:w="5079"/>
          </w:cols>
          <w:pgMar w:left="239" w:top="614" w:right="1440" w:bottom="144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700 South Royal Poinciana Blvd., Suite 800</w:t>
      </w:r>
    </w:p>
    <w:p>
      <w:pPr>
        <w:spacing w:after="0" w:line="5"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Miami Springs, Florida</w:t>
      </w:r>
    </w:p>
    <w:p>
      <w:pPr>
        <w:spacing w:after="0" w:line="5" w:lineRule="exact"/>
        <w:rPr>
          <w:sz w:val="24"/>
          <w:szCs w:val="24"/>
          <w:color w:val="auto"/>
        </w:rPr>
      </w:pPr>
    </w:p>
    <w:p>
      <w:pPr>
        <w:ind w:left="581"/>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33166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2" w:lineRule="exact"/>
        <w:rPr>
          <w:sz w:val="24"/>
          <w:szCs w:val="24"/>
          <w:color w:val="auto"/>
        </w:rPr>
      </w:pPr>
    </w:p>
    <w:p>
      <w:pPr>
        <w:sectPr>
          <w:pgSz w:w="11900" w:h="16838" w:orient="portrait"/>
          <w:cols w:equalWidth="0" w:num="2">
            <w:col w:w="5001" w:space="720"/>
            <w:col w:w="4499"/>
          </w:cols>
          <w:pgMar w:left="239" w:top="614"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Registrant's Telephone Number, including area code: (305) 884-2001</w:t>
      </w:r>
    </w:p>
    <w:p>
      <w:pPr>
        <w:spacing w:after="0" w:line="191" w:lineRule="exact"/>
        <w:rPr>
          <w:sz w:val="24"/>
          <w:szCs w:val="24"/>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No_____. ----</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APPLICABLE ONLY TO CORPORATE ISSUERS:</w:t>
      </w:r>
    </w:p>
    <w:p>
      <w:pPr>
        <w:spacing w:after="0" w:line="191" w:lineRule="exact"/>
        <w:rPr>
          <w:sz w:val="24"/>
          <w:szCs w:val="24"/>
          <w:color w:val="auto"/>
        </w:rPr>
      </w:pPr>
    </w:p>
    <w:p>
      <w:pPr>
        <w:ind w:left="1" w:right="2559" w:firstLine="484"/>
        <w:spacing w:after="0" w:line="248" w:lineRule="auto"/>
        <w:rPr>
          <w:sz w:val="20"/>
          <w:szCs w:val="20"/>
          <w:color w:val="auto"/>
        </w:rPr>
      </w:pPr>
      <w:r>
        <w:rPr>
          <w:rFonts w:ascii="Courier New" w:cs="Courier New" w:eastAsia="Courier New" w:hAnsi="Courier New"/>
          <w:sz w:val="16"/>
          <w:szCs w:val="16"/>
          <w:color w:val="auto"/>
        </w:rPr>
        <w:t>As of October 25, 2000, the registrant had a total of 10,617,000 shares of common stock, par value $0.01 per share, issued and outstanding.</w:t>
      </w:r>
    </w:p>
    <w:p>
      <w:pPr>
        <w:spacing w:after="0" w:line="184"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Page 1 of 19</w:t>
      </w:r>
    </w:p>
    <w:p>
      <w:pPr>
        <w:sectPr>
          <w:pgSz w:w="11900" w:h="16838" w:orient="portrait"/>
          <w:cols w:equalWidth="0" w:num="1">
            <w:col w:w="10220"/>
          </w:cols>
          <w:pgMar w:left="239" w:top="614" w:right="1440" w:bottom="1440" w:gutter="0" w:footer="0" w:header="0"/>
          <w:type w:val="continuous"/>
        </w:sectPr>
      </w:pPr>
    </w:p>
    <w:bookmarkStart w:id="1" w:name="page2"/>
    <w:bookmarkEnd w:id="1"/>
    <w:p>
      <w:pPr>
        <w:ind w:left="2320"/>
        <w:spacing w:after="0"/>
        <w:tabs>
          <w:tab w:leader="none" w:pos="318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 ------</w:t>
        <w:tab/>
        <w: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six months ended September 30, 2000, will not be necessarily indicative of the results for the entire fiscal year ending March 31, 2001.</w:t>
      </w:r>
    </w:p>
    <w:p>
      <w:pPr>
        <w:spacing w:after="0" w:line="192"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2 of 19</w:t>
      </w:r>
    </w:p>
    <w:p>
      <w:pPr>
        <w:sectPr>
          <w:pgSz w:w="11900" w:h="16838" w:orient="portrait"/>
          <w:cols w:equalWidth="0" w:num="1">
            <w:col w:w="10219"/>
          </w:cols>
          <w:pgMar w:left="240" w:top="676" w:right="1440" w:bottom="1440" w:gutter="0" w:footer="0" w:header="0"/>
        </w:sectPr>
      </w:pPr>
    </w:p>
    <w:bookmarkStart w:id="2" w:name="page3"/>
    <w:bookmarkEnd w:id="2"/>
    <w:p>
      <w:pPr>
        <w:ind w:left="1460"/>
        <w:spacing w:after="0"/>
        <w:rPr>
          <w:sz w:val="20"/>
          <w:szCs w:val="20"/>
          <w:color w:val="auto"/>
        </w:rPr>
      </w:pPr>
      <w:r>
        <w:rPr>
          <w:rFonts w:ascii="Courier New" w:cs="Courier New" w:eastAsia="Courier New" w:hAnsi="Courier New"/>
          <w:sz w:val="16"/>
          <w:szCs w:val="16"/>
          <w:color w:val="auto"/>
        </w:rPr>
        <w:t>WORLD FUEL SERVICES CORPORATION AND SUBSIDIARIES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ASSETS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27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September 30, 2000</w:t>
            </w:r>
          </w:p>
        </w:tc>
        <w:tc>
          <w:tcPr>
            <w:tcW w:w="1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March 31, 2000</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19,114,000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32,773,000</w:t>
            </w: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Accounts and notes receivable, net of allowance</w:t>
            </w: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for bad debts of $12,386,000 and $15,202,000</w:t>
            </w: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at September 30 and March 31, 2000, respectively</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8"/>
              </w:rPr>
              <w:t>148,751,000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142,250,000</w:t>
            </w: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Inventories</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6,451,000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10,418,000</w:t>
            </w: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15,614,000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9,829,000</w:t>
            </w: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Current net assets of discontinued operations</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2,996,000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Total current assets</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8"/>
              </w:rPr>
              <w:t>192,926,000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195,270,000</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PROPERTY AND EQUIPMENT, at cost:</w:t>
            </w: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Leasehold and improvements</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353,000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335,000</w:t>
            </w: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Office equipment, computer equipment and software</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9,906,000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9,074,000</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10,259,000</w:t>
            </w:r>
          </w:p>
        </w:tc>
        <w:tc>
          <w:tcPr>
            <w:tcW w:w="7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9,409,000</w:t>
            </w: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Less accumulated depreciation</w:t>
            </w: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and amortization</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4,994,000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4,289,000</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5,265,000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5,120,000</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8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Unamortized cost in excess of net</w:t>
            </w: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assets of acquired companies, net</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22,616,000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23,040,000</w:t>
            </w:r>
          </w:p>
        </w:tc>
      </w:tr>
      <w:tr>
        <w:trPr>
          <w:trHeight w:val="186"/>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106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472,000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3,346,000</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82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8"/>
              </w:rPr>
              <w:t>221,279,000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226,776,000</w:t>
            </w:r>
          </w:p>
        </w:tc>
      </w:tr>
      <w:tr>
        <w:trPr>
          <w:trHeight w:val="186"/>
        </w:trPr>
        <w:tc>
          <w:tcPr>
            <w:tcW w:w="5820" w:type="dxa"/>
            <w:vAlign w:val="bottom"/>
          </w:tcPr>
          <w:p>
            <w:pPr>
              <w:spacing w:after="0"/>
              <w:rPr>
                <w:sz w:val="16"/>
                <w:szCs w:val="16"/>
                <w:color w:val="auto"/>
              </w:rPr>
            </w:pPr>
          </w:p>
        </w:tc>
        <w:tc>
          <w:tcPr>
            <w:tcW w:w="276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3 of 19</w:t>
      </w:r>
    </w:p>
    <w:p>
      <w:pPr>
        <w:sectPr>
          <w:pgSz w:w="11900" w:h="16838" w:orient="portrait"/>
          <w:cols w:equalWidth="0" w:num="1">
            <w:col w:w="10460"/>
          </w:cols>
          <w:pgMar w:left="240" w:top="676" w:right="1199" w:bottom="1440" w:gutter="0" w:footer="0" w:header="0"/>
        </w:sectPr>
      </w:pPr>
    </w:p>
    <w:bookmarkStart w:id="3" w:name="page4"/>
    <w:bookmarkEnd w:id="3"/>
    <w:p>
      <w:pPr>
        <w:ind w:left="1460"/>
        <w:spacing w:after="0"/>
        <w:rPr>
          <w:sz w:val="20"/>
          <w:szCs w:val="20"/>
          <w:color w:val="auto"/>
        </w:rPr>
      </w:pPr>
      <w:r>
        <w:rPr>
          <w:rFonts w:ascii="Courier New" w:cs="Courier New" w:eastAsia="Courier New" w:hAnsi="Courier New"/>
          <w:sz w:val="16"/>
          <w:szCs w:val="16"/>
          <w:color w:val="auto"/>
        </w:rPr>
        <w:t>WORLD FUEL SERVICES CORPORATION AND SUBSIDIARIES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CONSOLIDATED BALANCE SHEETS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LIABILITIES AND STOCKHOLDERS' EQUITY</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27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September 30, 2000</w:t>
            </w:r>
          </w:p>
        </w:tc>
        <w:tc>
          <w:tcPr>
            <w:tcW w:w="1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March 31, 2000</w:t>
            </w:r>
          </w:p>
        </w:tc>
      </w:tr>
      <w:tr>
        <w:trPr>
          <w:trHeight w:val="186"/>
        </w:trPr>
        <w:tc>
          <w:tcPr>
            <w:tcW w:w="5720" w:type="dxa"/>
            <w:vAlign w:val="bottom"/>
          </w:tcPr>
          <w:p>
            <w:pPr>
              <w:spacing w:after="0"/>
              <w:rPr>
                <w:sz w:val="16"/>
                <w:szCs w:val="16"/>
                <w:color w:val="auto"/>
              </w:rPr>
            </w:pPr>
          </w:p>
        </w:tc>
        <w:tc>
          <w:tcPr>
            <w:tcW w:w="27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Current maturities of long-term debt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1,422,000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83,004,000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80,404,000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Accrued expenses</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26,692,000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26,316,000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Customer deposits</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3,881,000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3,017,000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Accrued salaries and wages</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3,227,000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3,558,000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1,419,000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Current net liabilities of discontinued operations</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6,498,000</w:t>
            </w:r>
          </w:p>
        </w:tc>
      </w:tr>
      <w:tr>
        <w:trPr>
          <w:trHeight w:val="186"/>
        </w:trPr>
        <w:tc>
          <w:tcPr>
            <w:tcW w:w="5720" w:type="dxa"/>
            <w:vAlign w:val="bottom"/>
          </w:tcPr>
          <w:p>
            <w:pPr>
              <w:spacing w:after="0"/>
              <w:rPr>
                <w:sz w:val="16"/>
                <w:szCs w:val="16"/>
                <w:color w:val="auto"/>
              </w:rPr>
            </w:pPr>
          </w:p>
        </w:tc>
        <w:tc>
          <w:tcPr>
            <w:tcW w:w="27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ind w:left="680"/>
              <w:spacing w:after="0"/>
              <w:rPr>
                <w:sz w:val="20"/>
                <w:szCs w:val="20"/>
                <w:color w:val="auto"/>
              </w:rPr>
            </w:pPr>
            <w:r>
              <w:rPr>
                <w:rFonts w:ascii="Courier New" w:cs="Courier New" w:eastAsia="Courier New" w:hAnsi="Courier New"/>
                <w:sz w:val="16"/>
                <w:szCs w:val="16"/>
                <w:color w:val="auto"/>
              </w:rPr>
              <w:t>Total current liabilities</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118,226,000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121,229,000</w:t>
            </w:r>
          </w:p>
        </w:tc>
      </w:tr>
      <w:tr>
        <w:trPr>
          <w:trHeight w:val="186"/>
        </w:trPr>
        <w:tc>
          <w:tcPr>
            <w:tcW w:w="5720" w:type="dxa"/>
            <w:vAlign w:val="bottom"/>
          </w:tcPr>
          <w:p>
            <w:pPr>
              <w:spacing w:after="0"/>
              <w:rPr>
                <w:sz w:val="16"/>
                <w:szCs w:val="16"/>
                <w:color w:val="auto"/>
              </w:rPr>
            </w:pPr>
          </w:p>
        </w:tc>
        <w:tc>
          <w:tcPr>
            <w:tcW w:w="27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LONG-TERM LIABILITIES</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3,516,000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5,886,000</w:t>
            </w:r>
          </w:p>
        </w:tc>
      </w:tr>
      <w:tr>
        <w:trPr>
          <w:trHeight w:val="186"/>
        </w:trPr>
        <w:tc>
          <w:tcPr>
            <w:tcW w:w="5720" w:type="dxa"/>
            <w:vAlign w:val="bottom"/>
          </w:tcPr>
          <w:p>
            <w:pPr>
              <w:spacing w:after="0"/>
              <w:rPr>
                <w:sz w:val="16"/>
                <w:szCs w:val="16"/>
                <w:color w:val="auto"/>
              </w:rPr>
            </w:pPr>
          </w:p>
        </w:tc>
        <w:tc>
          <w:tcPr>
            <w:tcW w:w="27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Preferred stock, $1.00 par value;</w:t>
            </w: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100,000 shares authorized, none issued</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Common stock, $0.01 par value;</w:t>
            </w: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25,000,000 shares authorized; 12,540,000 and</w:t>
            </w: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12,537,000 shares issued and outstanding at</w:t>
            </w: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September 30 and March 31, 2000, respectively</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125,000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125,000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26,882,000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26,800,000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87,638,000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85,256,000</w:t>
            </w:r>
          </w:p>
        </w:tc>
      </w:tr>
      <w:tr>
        <w:trPr>
          <w:trHeight w:val="186"/>
        </w:trPr>
        <w:tc>
          <w:tcPr>
            <w:tcW w:w="5720" w:type="dxa"/>
            <w:vAlign w:val="bottom"/>
          </w:tcPr>
          <w:p>
            <w:pPr>
              <w:ind w:left="280"/>
              <w:spacing w:after="0"/>
              <w:rPr>
                <w:sz w:val="20"/>
                <w:szCs w:val="20"/>
                <w:color w:val="auto"/>
              </w:rPr>
            </w:pPr>
            <w:r>
              <w:rPr>
                <w:rFonts w:ascii="Courier New" w:cs="Courier New" w:eastAsia="Courier New" w:hAnsi="Courier New"/>
                <w:sz w:val="16"/>
                <w:szCs w:val="16"/>
                <w:color w:val="auto"/>
              </w:rPr>
              <w:t>Less treasury stock, at cost; 1,876,000 and</w:t>
            </w: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1,540,000 shares at September 30 and</w:t>
            </w: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720" w:type="dxa"/>
            <w:vAlign w:val="bottom"/>
          </w:tcPr>
          <w:p>
            <w:pPr>
              <w:ind w:left="480"/>
              <w:spacing w:after="0"/>
              <w:rPr>
                <w:sz w:val="20"/>
                <w:szCs w:val="20"/>
                <w:color w:val="auto"/>
              </w:rPr>
            </w:pPr>
            <w:r>
              <w:rPr>
                <w:rFonts w:ascii="Courier New" w:cs="Courier New" w:eastAsia="Courier New" w:hAnsi="Courier New"/>
                <w:sz w:val="16"/>
                <w:szCs w:val="16"/>
                <w:color w:val="auto"/>
              </w:rPr>
              <w:t>March 31, 2000, respectively</w:t>
            </w: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15,108,000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12,520,000</w:t>
            </w:r>
          </w:p>
        </w:tc>
      </w:tr>
      <w:tr>
        <w:trPr>
          <w:trHeight w:val="186"/>
        </w:trPr>
        <w:tc>
          <w:tcPr>
            <w:tcW w:w="5720" w:type="dxa"/>
            <w:vAlign w:val="bottom"/>
          </w:tcPr>
          <w:p>
            <w:pPr>
              <w:spacing w:after="0"/>
              <w:rPr>
                <w:sz w:val="16"/>
                <w:szCs w:val="16"/>
                <w:color w:val="auto"/>
              </w:rPr>
            </w:pPr>
          </w:p>
        </w:tc>
        <w:tc>
          <w:tcPr>
            <w:tcW w:w="27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99,537,000</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99,661,000</w:t>
            </w:r>
          </w:p>
        </w:tc>
      </w:tr>
      <w:tr>
        <w:trPr>
          <w:trHeight w:val="186"/>
        </w:trPr>
        <w:tc>
          <w:tcPr>
            <w:tcW w:w="5720" w:type="dxa"/>
            <w:vAlign w:val="bottom"/>
          </w:tcPr>
          <w:p>
            <w:pPr>
              <w:spacing w:after="0"/>
              <w:rPr>
                <w:sz w:val="16"/>
                <w:szCs w:val="16"/>
                <w:color w:val="auto"/>
              </w:rPr>
            </w:pPr>
          </w:p>
        </w:tc>
        <w:tc>
          <w:tcPr>
            <w:tcW w:w="27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221,279,000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226,776,000</w:t>
            </w:r>
          </w:p>
        </w:tc>
      </w:tr>
      <w:tr>
        <w:trPr>
          <w:trHeight w:val="186"/>
        </w:trPr>
        <w:tc>
          <w:tcPr>
            <w:tcW w:w="5720" w:type="dxa"/>
            <w:vAlign w:val="bottom"/>
          </w:tcPr>
          <w:p>
            <w:pPr>
              <w:spacing w:after="0"/>
              <w:rPr>
                <w:sz w:val="16"/>
                <w:szCs w:val="16"/>
                <w:color w:val="auto"/>
              </w:rPr>
            </w:pPr>
          </w:p>
        </w:tc>
        <w:tc>
          <w:tcPr>
            <w:tcW w:w="27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The accompanying notes to the consolidated financial statements are an integral</w:t>
      </w:r>
    </w:p>
    <w:p>
      <w:pPr>
        <w:spacing w:after="0" w:line="5"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part of these consolidated balance sheets.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4 of 19</w:t>
      </w:r>
    </w:p>
    <w:p>
      <w:pPr>
        <w:sectPr>
          <w:pgSz w:w="11900" w:h="16838" w:orient="portrait"/>
          <w:cols w:equalWidth="0" w:num="1">
            <w:col w:w="10460"/>
          </w:cols>
          <w:pgMar w:left="240" w:top="676" w:right="1199" w:bottom="1440" w:gutter="0" w:footer="0" w:header="0"/>
        </w:sectPr>
      </w:pPr>
    </w:p>
    <w:bookmarkStart w:id="4" w:name="page5"/>
    <w:bookmarkEnd w:id="4"/>
    <w:p>
      <w:pPr>
        <w:ind w:left="1360"/>
        <w:spacing w:after="0"/>
        <w:rPr>
          <w:sz w:val="20"/>
          <w:szCs w:val="20"/>
          <w:color w:val="auto"/>
        </w:rPr>
      </w:pPr>
      <w:r>
        <w:rPr>
          <w:rFonts w:ascii="Courier New" w:cs="Courier New" w:eastAsia="Courier New" w:hAnsi="Courier New"/>
          <w:sz w:val="16"/>
          <w:szCs w:val="16"/>
          <w:color w:val="auto"/>
        </w:rPr>
        <w:t>WORLD FUEL SERVICES CORPORATION AND SUBSIDIARIES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8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w w:val="99"/>
              </w:rPr>
              <w:t>Six Months Ended September 30,</w:t>
            </w:r>
          </w:p>
        </w:tc>
      </w:tr>
      <w:tr>
        <w:trPr>
          <w:trHeight w:val="186"/>
        </w:trPr>
        <w:tc>
          <w:tcPr>
            <w:tcW w:w="6540" w:type="dxa"/>
            <w:vAlign w:val="bottom"/>
          </w:tcPr>
          <w:p>
            <w:pPr>
              <w:spacing w:after="0"/>
              <w:rPr>
                <w:sz w:val="16"/>
                <w:szCs w:val="16"/>
                <w:color w:val="auto"/>
              </w:rPr>
            </w:pPr>
          </w:p>
        </w:tc>
        <w:tc>
          <w:tcPr>
            <w:tcW w:w="44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2000</w:t>
            </w:r>
          </w:p>
        </w:tc>
        <w:tc>
          <w:tcPr>
            <w:tcW w:w="520" w:type="dxa"/>
            <w:vAlign w:val="bottom"/>
          </w:tcPr>
          <w:p>
            <w:pPr>
              <w:spacing w:after="0"/>
              <w:rPr>
                <w:sz w:val="16"/>
                <w:szCs w:val="16"/>
                <w:color w:val="auto"/>
              </w:rPr>
            </w:pPr>
          </w:p>
        </w:tc>
        <w:tc>
          <w:tcPr>
            <w:tcW w:w="126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5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12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752,613,000</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525,205,000</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718,893,000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493,410,000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Gross profit</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33,720,000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31,795,000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Salaries and wages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12,002,000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10,497,000</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Executive severance charge</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3,505,000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bad debts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6,427,000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4,806,000</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9,847,000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8,009,000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31,781,000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23,312,000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1,939,000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8,483,000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Special provision for bad debts in aviation joint venture</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(1,593,000)</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Non-recurring credit in aviation segment</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300,000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Non-recurring charge in marine segment</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(3,092,000)</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Other, net</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1,059,000</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(447,000)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1,359,000</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(5,132,000)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 taxes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3,298,000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3,351,000</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Income tax benefit (provision)</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164,000</w:t>
            </w: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(2,440,000)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3,462,000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911,000</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of</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oil recycling segment, net of tax</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1,089,000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2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3,462,000</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0.32</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Discontinued operations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12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0.32</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0.16</w:t>
            </w:r>
          </w:p>
        </w:tc>
      </w:tr>
      <w:tr>
        <w:trPr>
          <w:trHeight w:val="186"/>
        </w:trPr>
        <w:tc>
          <w:tcPr>
            <w:tcW w:w="6540" w:type="dxa"/>
            <w:vAlign w:val="bottom"/>
          </w:tcPr>
          <w:p>
            <w:pPr>
              <w:spacing w:after="0"/>
              <w:rPr>
                <w:sz w:val="16"/>
                <w:szCs w:val="16"/>
                <w:color w:val="auto"/>
              </w:rPr>
            </w:pPr>
          </w:p>
        </w:tc>
        <w:tc>
          <w:tcPr>
            <w:tcW w:w="262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Weighted average shares - basic</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10,826,000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12,189,000</w:t>
            </w:r>
          </w:p>
        </w:tc>
      </w:tr>
      <w:tr>
        <w:trPr>
          <w:trHeight w:val="186"/>
        </w:trPr>
        <w:tc>
          <w:tcPr>
            <w:tcW w:w="6540" w:type="dxa"/>
            <w:vAlign w:val="bottom"/>
          </w:tcPr>
          <w:p>
            <w:pPr>
              <w:spacing w:after="0"/>
              <w:rPr>
                <w:sz w:val="16"/>
                <w:szCs w:val="16"/>
                <w:color w:val="auto"/>
              </w:rPr>
            </w:pPr>
          </w:p>
        </w:tc>
        <w:tc>
          <w:tcPr>
            <w:tcW w:w="262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Continuing operations</w:t>
            </w:r>
          </w:p>
        </w:tc>
        <w:tc>
          <w:tcPr>
            <w:tcW w:w="112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0.32</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Discontinued operations</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0.08</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12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0.32</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0.16</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540" w:type="dxa"/>
            <w:vAlign w:val="bottom"/>
          </w:tcPr>
          <w:p>
            <w:pPr>
              <w:spacing w:after="0"/>
              <w:rPr>
                <w:sz w:val="20"/>
                <w:szCs w:val="20"/>
                <w:color w:val="auto"/>
              </w:rPr>
            </w:pPr>
            <w:r>
              <w:rPr>
                <w:rFonts w:ascii="Courier New" w:cs="Courier New" w:eastAsia="Courier New" w:hAnsi="Courier New"/>
                <w:sz w:val="16"/>
                <w:szCs w:val="16"/>
                <w:color w:val="auto"/>
              </w:rPr>
              <w:t>Weighted average shares - diluted</w:t>
            </w:r>
          </w:p>
        </w:tc>
        <w:tc>
          <w:tcPr>
            <w:tcW w:w="112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10,842,000</w:t>
            </w:r>
          </w:p>
        </w:tc>
        <w:tc>
          <w:tcPr>
            <w:tcW w:w="52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12,311,000</w:t>
            </w:r>
          </w:p>
        </w:tc>
      </w:tr>
      <w:tr>
        <w:trPr>
          <w:trHeight w:val="186"/>
        </w:trPr>
        <w:tc>
          <w:tcPr>
            <w:tcW w:w="6540" w:type="dxa"/>
            <w:vAlign w:val="bottom"/>
          </w:tcPr>
          <w:p>
            <w:pPr>
              <w:spacing w:after="0"/>
              <w:rPr>
                <w:sz w:val="16"/>
                <w:szCs w:val="16"/>
                <w:color w:val="auto"/>
              </w:rPr>
            </w:pPr>
          </w:p>
        </w:tc>
        <w:tc>
          <w:tcPr>
            <w:tcW w:w="26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740" w:right="3380" w:hanging="1840"/>
        <w:spacing w:after="0" w:line="248" w:lineRule="auto"/>
        <w:rPr>
          <w:sz w:val="20"/>
          <w:szCs w:val="20"/>
          <w:color w:val="auto"/>
        </w:rPr>
      </w:pPr>
      <w:r>
        <w:rPr>
          <w:rFonts w:ascii="Courier New" w:cs="Courier New" w:eastAsia="Courier New" w:hAnsi="Courier New"/>
          <w:sz w:val="16"/>
          <w:szCs w:val="16"/>
          <w:color w:val="auto"/>
        </w:rPr>
        <w:t>The accompanying notes to the consolidated financial statements are an integral part of these consolidated financial statements.</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Page 5 of 19</w:t>
      </w:r>
    </w:p>
    <w:p>
      <w:pPr>
        <w:sectPr>
          <w:pgSz w:w="11900" w:h="16838" w:orient="portrait"/>
          <w:cols w:equalWidth="0" w:num="1">
            <w:col w:w="10940"/>
          </w:cols>
          <w:pgMar w:left="340" w:top="676" w:right="619" w:bottom="1440" w:gutter="0" w:footer="0" w:header="0"/>
        </w:sectPr>
      </w:pPr>
    </w:p>
    <w:bookmarkStart w:id="5" w:name="page6"/>
    <w:bookmarkEnd w:id="5"/>
    <w:p>
      <w:pPr>
        <w:ind w:left="1460"/>
        <w:spacing w:after="0"/>
        <w:rPr>
          <w:sz w:val="20"/>
          <w:szCs w:val="20"/>
          <w:color w:val="auto"/>
        </w:rPr>
      </w:pPr>
      <w:r>
        <w:rPr>
          <w:rFonts w:ascii="Courier New" w:cs="Courier New" w:eastAsia="Courier New" w:hAnsi="Courier New"/>
          <w:sz w:val="16"/>
          <w:szCs w:val="16"/>
          <w:color w:val="auto"/>
        </w:rPr>
        <w:t>WORLD FUEL SERVICES CORPORATION AND SUBSIDIARIES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760" w:type="dxa"/>
            <w:vAlign w:val="bottom"/>
            <w:gridSpan w:val="3"/>
          </w:tcPr>
          <w:p>
            <w:pPr>
              <w:jc w:val="right"/>
              <w:ind w:right="579"/>
              <w:spacing w:after="0"/>
              <w:rPr>
                <w:sz w:val="20"/>
                <w:szCs w:val="20"/>
                <w:color w:val="auto"/>
              </w:rPr>
            </w:pPr>
            <w:r>
              <w:rPr>
                <w:rFonts w:ascii="Courier New" w:cs="Courier New" w:eastAsia="Courier New" w:hAnsi="Courier New"/>
                <w:sz w:val="16"/>
                <w:szCs w:val="16"/>
                <w:color w:val="auto"/>
              </w:rPr>
              <w:t>Three Months Ended September 30,</w:t>
            </w:r>
          </w:p>
        </w:tc>
      </w:tr>
      <w:tr>
        <w:trPr>
          <w:trHeight w:val="186"/>
        </w:trPr>
        <w:tc>
          <w:tcPr>
            <w:tcW w:w="6440" w:type="dxa"/>
            <w:vAlign w:val="bottom"/>
          </w:tcPr>
          <w:p>
            <w:pPr>
              <w:spacing w:after="0"/>
              <w:rPr>
                <w:sz w:val="16"/>
                <w:szCs w:val="16"/>
                <w:color w:val="auto"/>
              </w:rPr>
            </w:pPr>
          </w:p>
        </w:tc>
        <w:tc>
          <w:tcPr>
            <w:tcW w:w="4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2000</w:t>
            </w:r>
          </w:p>
        </w:tc>
        <w:tc>
          <w:tcPr>
            <w:tcW w:w="780" w:type="dxa"/>
            <w:vAlign w:val="bottom"/>
          </w:tcPr>
          <w:p>
            <w:pPr>
              <w:spacing w:after="0"/>
              <w:rPr>
                <w:sz w:val="16"/>
                <w:szCs w:val="16"/>
                <w:color w:val="auto"/>
              </w:rPr>
            </w:pPr>
          </w:p>
        </w:tc>
        <w:tc>
          <w:tcPr>
            <w:tcW w:w="154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4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378,083,000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299,759,000</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361,431,000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283,016,000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Gross profit</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16,652,000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16,743,000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Salaries and wages</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5,451,000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5,208,000</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Executive severance charge</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3,505,000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bad debts</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5,174,000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3,249,000</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4,162,000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4,128,000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18,292,000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12,585,000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(Loss) income from operations</w:t>
            </w:r>
          </w:p>
        </w:tc>
        <w:tc>
          <w:tcPr>
            <w:tcW w:w="1220" w:type="dxa"/>
            <w:vAlign w:val="bottom"/>
          </w:tcPr>
          <w:p>
            <w:pPr>
              <w:spacing w:after="0"/>
              <w:rPr>
                <w:sz w:val="16"/>
                <w:szCs w:val="16"/>
                <w:color w:val="auto"/>
              </w:rPr>
            </w:pPr>
          </w:p>
        </w:tc>
        <w:tc>
          <w:tcPr>
            <w:tcW w:w="14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(1,640,000)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4,158,000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Special provision for bad debts in aviation joint venture</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(400,000)</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Non-recurring credit in aviation segment</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300,000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Non-recurring charge in marine segment</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(3,092,000)</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Other, net</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317,000</w:t>
            </w:r>
          </w:p>
        </w:tc>
        <w:tc>
          <w:tcPr>
            <w:tcW w:w="7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(344,000)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617,000</w:t>
            </w:r>
          </w:p>
        </w:tc>
        <w:tc>
          <w:tcPr>
            <w:tcW w:w="7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(3,836,000)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(Loss) income from continuing operations before income taxes</w:t>
            </w:r>
          </w:p>
        </w:tc>
        <w:tc>
          <w:tcPr>
            <w:tcW w:w="1220" w:type="dxa"/>
            <w:vAlign w:val="bottom"/>
          </w:tcPr>
          <w:p>
            <w:pPr>
              <w:spacing w:after="0"/>
              <w:rPr>
                <w:sz w:val="16"/>
                <w:szCs w:val="16"/>
                <w:color w:val="auto"/>
              </w:rPr>
            </w:pPr>
          </w:p>
        </w:tc>
        <w:tc>
          <w:tcPr>
            <w:tcW w:w="14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(1,023,000)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322,000</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Income tax benefit (provision)</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1,238,000</w:t>
            </w:r>
          </w:p>
        </w:tc>
        <w:tc>
          <w:tcPr>
            <w:tcW w:w="7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(1,218,000)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215,000</w:t>
            </w:r>
          </w:p>
        </w:tc>
        <w:tc>
          <w:tcPr>
            <w:tcW w:w="7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(896,000)</w:t>
            </w:r>
          </w:p>
        </w:tc>
      </w:tr>
      <w:tr>
        <w:trPr>
          <w:trHeight w:val="373"/>
        </w:trPr>
        <w:tc>
          <w:tcPr>
            <w:tcW w:w="644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of</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oil recycling segment, net of tax</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654,000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215,000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(242,000)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Basic earnings (loss) per share:</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Continuing operations</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(0.07)</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Discontinued operations</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0.05</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(0.02)</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Weighted average shares - basic</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10,765,000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12,190,000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w:t>
            </w: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Continuing operations</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(0.07)</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Discontinued operations</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0.05</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0.02</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(0.02)</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Weighted average shares - diluted</w:t>
            </w:r>
          </w:p>
        </w:tc>
        <w:tc>
          <w:tcPr>
            <w:tcW w:w="12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10,787,000</w:t>
            </w:r>
          </w:p>
        </w:tc>
        <w:tc>
          <w:tcPr>
            <w:tcW w:w="78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12,190,000</w:t>
            </w:r>
          </w:p>
        </w:tc>
      </w:tr>
      <w:tr>
        <w:trPr>
          <w:trHeight w:val="186"/>
        </w:trPr>
        <w:tc>
          <w:tcPr>
            <w:tcW w:w="6440" w:type="dxa"/>
            <w:vAlign w:val="bottom"/>
          </w:tcPr>
          <w:p>
            <w:pPr>
              <w:spacing w:after="0"/>
              <w:rPr>
                <w:sz w:val="16"/>
                <w:szCs w:val="16"/>
                <w:color w:val="auto"/>
              </w:rPr>
            </w:pPr>
          </w:p>
        </w:tc>
        <w:tc>
          <w:tcPr>
            <w:tcW w:w="26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The accompanying notes to the consolidated financial statements are an integral</w:t>
      </w:r>
    </w:p>
    <w:p>
      <w:pPr>
        <w:spacing w:after="0" w:line="5"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part of these consolidated financial statements.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6 of 19</w:t>
      </w:r>
    </w:p>
    <w:p>
      <w:pPr>
        <w:sectPr>
          <w:pgSz w:w="11900" w:h="16838" w:orient="portrait"/>
          <w:cols w:equalWidth="0" w:num="1">
            <w:col w:w="11520"/>
          </w:cols>
          <w:pgMar w:left="240" w:top="676" w:right="139" w:bottom="1440" w:gutter="0" w:footer="0" w:header="0"/>
        </w:sectPr>
      </w:pPr>
    </w:p>
    <w:bookmarkStart w:id="6" w:name="page7"/>
    <w:bookmarkEnd w:id="6"/>
    <w:p>
      <w:pPr>
        <w:ind w:left="1360"/>
        <w:spacing w:after="0"/>
        <w:rPr>
          <w:sz w:val="20"/>
          <w:szCs w:val="20"/>
          <w:color w:val="auto"/>
        </w:rPr>
      </w:pPr>
      <w:r>
        <w:rPr>
          <w:rFonts w:ascii="Courier New" w:cs="Courier New" w:eastAsia="Courier New" w:hAnsi="Courier New"/>
          <w:sz w:val="16"/>
          <w:szCs w:val="16"/>
          <w:color w:val="auto"/>
        </w:rPr>
        <w:t>WORLD FUEL SERVICES CORPORATION AND SUBSIDIARIES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60" w:type="dxa"/>
            <w:vAlign w:val="bottom"/>
            <w:gridSpan w:val="3"/>
          </w:tcPr>
          <w:p>
            <w:pPr>
              <w:jc w:val="right"/>
              <w:ind w:right="779"/>
              <w:spacing w:after="0"/>
              <w:rPr>
                <w:sz w:val="20"/>
                <w:szCs w:val="20"/>
                <w:color w:val="auto"/>
              </w:rPr>
            </w:pPr>
            <w:r>
              <w:rPr>
                <w:rFonts w:ascii="Courier New" w:cs="Courier New" w:eastAsia="Courier New" w:hAnsi="Courier New"/>
                <w:sz w:val="16"/>
                <w:szCs w:val="16"/>
                <w:color w:val="auto"/>
                <w:w w:val="99"/>
              </w:rPr>
              <w:t>Six Months Ended September 30,</w:t>
            </w:r>
          </w:p>
        </w:tc>
      </w:tr>
      <w:tr>
        <w:trPr>
          <w:trHeight w:val="186"/>
        </w:trPr>
        <w:tc>
          <w:tcPr>
            <w:tcW w:w="6400" w:type="dxa"/>
            <w:vAlign w:val="bottom"/>
          </w:tcPr>
          <w:p>
            <w:pPr>
              <w:spacing w:after="0"/>
              <w:rPr>
                <w:sz w:val="16"/>
                <w:szCs w:val="16"/>
                <w:color w:val="auto"/>
              </w:rPr>
            </w:pPr>
          </w:p>
        </w:tc>
        <w:tc>
          <w:tcPr>
            <w:tcW w:w="44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2000</w:t>
            </w:r>
          </w:p>
        </w:tc>
        <w:tc>
          <w:tcPr>
            <w:tcW w:w="226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6400" w:type="dxa"/>
            <w:vAlign w:val="bottom"/>
          </w:tcPr>
          <w:p>
            <w:pPr>
              <w:spacing w:after="0"/>
              <w:rPr>
                <w:sz w:val="16"/>
                <w:szCs w:val="16"/>
                <w:color w:val="auto"/>
              </w:rPr>
            </w:pPr>
          </w:p>
        </w:tc>
        <w:tc>
          <w:tcPr>
            <w:tcW w:w="21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400" w:type="dxa"/>
            <w:vAlign w:val="bottom"/>
          </w:tcPr>
          <w:p>
            <w:pPr>
              <w:spacing w:after="0"/>
              <w:rPr>
                <w:sz w:val="20"/>
                <w:szCs w:val="20"/>
                <w:color w:val="auto"/>
              </w:rPr>
            </w:pPr>
            <w:r>
              <w:rPr>
                <w:rFonts w:ascii="Courier New" w:cs="Courier New" w:eastAsia="Courier New" w:hAnsi="Courier New"/>
                <w:sz w:val="16"/>
                <w:szCs w:val="16"/>
                <w:color w:val="auto"/>
              </w:rPr>
              <w:t>Cash flows from continuing operating activities:</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40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3,462,000</w:t>
            </w:r>
          </w:p>
        </w:tc>
        <w:tc>
          <w:tcPr>
            <w:tcW w:w="106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911,000</w:t>
            </w:r>
          </w:p>
        </w:tc>
      </w:tr>
      <w:tr>
        <w:trPr>
          <w:trHeight w:val="186"/>
        </w:trPr>
        <w:tc>
          <w:tcPr>
            <w:tcW w:w="6400" w:type="dxa"/>
            <w:vAlign w:val="bottom"/>
          </w:tcPr>
          <w:p>
            <w:pPr>
              <w:spacing w:after="0"/>
              <w:rPr>
                <w:sz w:val="16"/>
                <w:szCs w:val="16"/>
                <w:color w:val="auto"/>
              </w:rPr>
            </w:pPr>
          </w:p>
        </w:tc>
        <w:tc>
          <w:tcPr>
            <w:tcW w:w="21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w:t>
            </w: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400" w:type="dxa"/>
            <w:vAlign w:val="bottom"/>
          </w:tcPr>
          <w:p>
            <w:pPr>
              <w:ind w:left="480"/>
              <w:spacing w:after="0"/>
              <w:rPr>
                <w:sz w:val="20"/>
                <w:szCs w:val="20"/>
                <w:color w:val="auto"/>
              </w:rPr>
            </w:pPr>
            <w:r>
              <w:rPr>
                <w:rFonts w:ascii="Courier New" w:cs="Courier New" w:eastAsia="Courier New" w:hAnsi="Courier New"/>
                <w:sz w:val="16"/>
                <w:szCs w:val="16"/>
                <w:color w:val="auto"/>
              </w:rPr>
              <w:t>to net cash used in operating activities -</w:t>
            </w: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Depreciation and amortization</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1,139,000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1,202,000</w:t>
            </w: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Provision for bad debts</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6,427,000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4,806,000</w:t>
            </w: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Non-recurring charge in marine segment</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3,092,000</w:t>
            </w: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Deferred income tax provision (benefit)</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165,000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(286,000)</w:t>
            </w: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Equity in (earnings) losses of aviation joint venture, net</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(273,000)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1,728,000</w:t>
            </w: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Other non-cash operating charges</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21,000</w:t>
            </w:r>
          </w:p>
        </w:tc>
      </w:tr>
      <w:tr>
        <w:trPr>
          <w:trHeight w:val="373"/>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Changes in assets and liabilities, net of acquisition:</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400" w:type="dxa"/>
            <w:vAlign w:val="bottom"/>
          </w:tcPr>
          <w:p>
            <w:pPr>
              <w:jc w:val="center"/>
              <w:ind w:right="2439"/>
              <w:spacing w:after="0"/>
              <w:rPr>
                <w:sz w:val="20"/>
                <w:szCs w:val="20"/>
                <w:color w:val="auto"/>
              </w:rPr>
            </w:pPr>
            <w:r>
              <w:rPr>
                <w:rFonts w:ascii="Courier New" w:cs="Courier New" w:eastAsia="Courier New" w:hAnsi="Courier New"/>
                <w:sz w:val="16"/>
                <w:szCs w:val="16"/>
                <w:color w:val="auto"/>
              </w:rPr>
              <w:t>(Increase) decrease in -</w:t>
            </w: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Accounts and notes receivable</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(12,770,000)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(53,583,000)</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Inventories</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3,967,000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(1,794,000)</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(2,985,000)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(485,000)</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Other assets</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312,000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291,000</w:t>
            </w:r>
          </w:p>
        </w:tc>
      </w:tr>
      <w:tr>
        <w:trPr>
          <w:trHeight w:val="373"/>
        </w:trPr>
        <w:tc>
          <w:tcPr>
            <w:tcW w:w="6400" w:type="dxa"/>
            <w:vAlign w:val="bottom"/>
          </w:tcPr>
          <w:p>
            <w:pPr>
              <w:jc w:val="center"/>
              <w:ind w:right="2439"/>
              <w:spacing w:after="0"/>
              <w:rPr>
                <w:sz w:val="20"/>
                <w:szCs w:val="20"/>
                <w:color w:val="auto"/>
              </w:rPr>
            </w:pPr>
            <w:r>
              <w:rPr>
                <w:rFonts w:ascii="Courier New" w:cs="Courier New" w:eastAsia="Courier New" w:hAnsi="Courier New"/>
                <w:sz w:val="16"/>
                <w:szCs w:val="16"/>
                <w:color w:val="auto"/>
              </w:rPr>
              <w:t>Increase (decrease) in -</w:t>
            </w: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Accounts payable and accrued expenses</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2,992,000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37,487,000</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Customer deposits</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864,000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(1,577,000)</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Accrued salaries and wages</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(331,000)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(628,000)</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Income taxes payable</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(1,419,000)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1,149,000</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Deferred compensation</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(1,186,000)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(455,000)</w:t>
            </w:r>
          </w:p>
        </w:tc>
      </w:tr>
      <w:tr>
        <w:trPr>
          <w:trHeight w:val="186"/>
        </w:trPr>
        <w:tc>
          <w:tcPr>
            <w:tcW w:w="6400" w:type="dxa"/>
            <w:vAlign w:val="bottom"/>
          </w:tcPr>
          <w:p>
            <w:pPr>
              <w:spacing w:after="0"/>
              <w:rPr>
                <w:sz w:val="16"/>
                <w:szCs w:val="16"/>
                <w:color w:val="auto"/>
              </w:rPr>
            </w:pPr>
          </w:p>
        </w:tc>
        <w:tc>
          <w:tcPr>
            <w:tcW w:w="21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ind w:left="960"/>
              <w:spacing w:after="0"/>
              <w:rPr>
                <w:sz w:val="20"/>
                <w:szCs w:val="20"/>
                <w:color w:val="auto"/>
              </w:rPr>
            </w:pPr>
            <w:r>
              <w:rPr>
                <w:rFonts w:ascii="Courier New" w:cs="Courier New" w:eastAsia="Courier New" w:hAnsi="Courier New"/>
                <w:sz w:val="16"/>
                <w:szCs w:val="16"/>
                <w:color w:val="auto"/>
              </w:rPr>
              <w:t>Total adjustments</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(3,016,000)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(9,032,000)</w:t>
            </w:r>
          </w:p>
        </w:tc>
      </w:tr>
      <w:tr>
        <w:trPr>
          <w:trHeight w:val="186"/>
        </w:trPr>
        <w:tc>
          <w:tcPr>
            <w:tcW w:w="6400" w:type="dxa"/>
            <w:vAlign w:val="bottom"/>
          </w:tcPr>
          <w:p>
            <w:pPr>
              <w:spacing w:after="0"/>
              <w:rPr>
                <w:sz w:val="16"/>
                <w:szCs w:val="16"/>
                <w:color w:val="auto"/>
              </w:rPr>
            </w:pPr>
          </w:p>
        </w:tc>
        <w:tc>
          <w:tcPr>
            <w:tcW w:w="21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jc w:val="center"/>
              <w:ind w:right="2459"/>
              <w:spacing w:after="0"/>
              <w:rPr>
                <w:sz w:val="20"/>
                <w:szCs w:val="20"/>
                <w:color w:val="auto"/>
              </w:rPr>
            </w:pPr>
            <w:r>
              <w:rPr>
                <w:rFonts w:ascii="Courier New" w:cs="Courier New" w:eastAsia="Courier New" w:hAnsi="Courier New"/>
                <w:sz w:val="16"/>
                <w:szCs w:val="16"/>
                <w:color w:val="auto"/>
              </w:rPr>
              <w:t>Net cash provided by (used in)</w:t>
            </w: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continuing operating activities</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446,000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(8,121,000)</w:t>
            </w:r>
          </w:p>
        </w:tc>
      </w:tr>
      <w:tr>
        <w:trPr>
          <w:trHeight w:val="186"/>
        </w:trPr>
        <w:tc>
          <w:tcPr>
            <w:tcW w:w="6400" w:type="dxa"/>
            <w:vAlign w:val="bottom"/>
          </w:tcPr>
          <w:p>
            <w:pPr>
              <w:spacing w:after="0"/>
              <w:rPr>
                <w:sz w:val="16"/>
                <w:szCs w:val="16"/>
                <w:color w:val="auto"/>
              </w:rPr>
            </w:pPr>
          </w:p>
        </w:tc>
        <w:tc>
          <w:tcPr>
            <w:tcW w:w="21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400" w:type="dxa"/>
            <w:vAlign w:val="bottom"/>
          </w:tcPr>
          <w:p>
            <w:pPr>
              <w:ind w:left="280"/>
              <w:spacing w:after="0"/>
              <w:rPr>
                <w:sz w:val="20"/>
                <w:szCs w:val="20"/>
                <w:color w:val="auto"/>
              </w:rPr>
            </w:pPr>
            <w:r>
              <w:rPr>
                <w:rFonts w:ascii="Courier New" w:cs="Courier New" w:eastAsia="Courier New" w:hAnsi="Courier New"/>
                <w:sz w:val="16"/>
                <w:szCs w:val="16"/>
                <w:color w:val="auto"/>
              </w:rPr>
              <w:t>Capital expenditures</w:t>
            </w:r>
          </w:p>
        </w:tc>
        <w:tc>
          <w:tcPr>
            <w:tcW w:w="6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(916,000)</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(939,000)</w:t>
            </w:r>
          </w:p>
        </w:tc>
      </w:tr>
      <w:tr>
        <w:trPr>
          <w:trHeight w:val="186"/>
        </w:trPr>
        <w:tc>
          <w:tcPr>
            <w:tcW w:w="6400" w:type="dxa"/>
            <w:vAlign w:val="bottom"/>
          </w:tcPr>
          <w:p>
            <w:pPr>
              <w:ind w:left="280"/>
              <w:spacing w:after="0"/>
              <w:rPr>
                <w:sz w:val="20"/>
                <w:szCs w:val="20"/>
                <w:color w:val="auto"/>
              </w:rPr>
            </w:pPr>
            <w:r>
              <w:rPr>
                <w:rFonts w:ascii="Courier New" w:cs="Courier New" w:eastAsia="Courier New" w:hAnsi="Courier New"/>
                <w:sz w:val="16"/>
                <w:szCs w:val="16"/>
                <w:color w:val="auto"/>
              </w:rPr>
              <w:t>Advances to aviation joint venture</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(895,000)</w:t>
            </w:r>
          </w:p>
        </w:tc>
      </w:tr>
      <w:tr>
        <w:trPr>
          <w:trHeight w:val="186"/>
        </w:trPr>
        <w:tc>
          <w:tcPr>
            <w:tcW w:w="6400" w:type="dxa"/>
            <w:vAlign w:val="bottom"/>
          </w:tcPr>
          <w:p>
            <w:pPr>
              <w:ind w:left="280"/>
              <w:spacing w:after="0"/>
              <w:rPr>
                <w:sz w:val="20"/>
                <w:szCs w:val="20"/>
                <w:color w:val="auto"/>
              </w:rPr>
            </w:pPr>
            <w:r>
              <w:rPr>
                <w:rFonts w:ascii="Courier New" w:cs="Courier New" w:eastAsia="Courier New" w:hAnsi="Courier New"/>
                <w:sz w:val="16"/>
                <w:szCs w:val="16"/>
                <w:color w:val="auto"/>
              </w:rPr>
              <w:t>Payment for acquisition of business, net of cash acquired</w:t>
            </w:r>
          </w:p>
        </w:tc>
        <w:tc>
          <w:tcPr>
            <w:tcW w:w="68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(4,183,000)</w:t>
            </w:r>
          </w:p>
        </w:tc>
      </w:tr>
      <w:tr>
        <w:trPr>
          <w:trHeight w:val="186"/>
        </w:trPr>
        <w:tc>
          <w:tcPr>
            <w:tcW w:w="6400" w:type="dxa"/>
            <w:vAlign w:val="bottom"/>
          </w:tcPr>
          <w:p>
            <w:pPr>
              <w:spacing w:after="0"/>
              <w:rPr>
                <w:sz w:val="16"/>
                <w:szCs w:val="16"/>
                <w:color w:val="auto"/>
              </w:rPr>
            </w:pPr>
          </w:p>
        </w:tc>
        <w:tc>
          <w:tcPr>
            <w:tcW w:w="21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ind w:left="680"/>
              <w:spacing w:after="0"/>
              <w:rPr>
                <w:sz w:val="20"/>
                <w:szCs w:val="20"/>
                <w:color w:val="auto"/>
              </w:rPr>
            </w:pPr>
            <w:r>
              <w:rPr>
                <w:rFonts w:ascii="Courier New" w:cs="Courier New" w:eastAsia="Courier New" w:hAnsi="Courier New"/>
                <w:sz w:val="16"/>
                <w:szCs w:val="16"/>
                <w:color w:val="auto"/>
              </w:rPr>
              <w:t>Net cash used in investing activities</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(916,000)</w:t>
            </w:r>
          </w:p>
        </w:tc>
        <w:tc>
          <w:tcPr>
            <w:tcW w:w="106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(6,017,000)</w:t>
            </w:r>
          </w:p>
        </w:tc>
      </w:tr>
    </w:tbl>
    <w:p>
      <w:pPr>
        <w:spacing w:after="0" w:line="4" w:lineRule="exact"/>
        <w:rPr>
          <w:sz w:val="20"/>
          <w:szCs w:val="20"/>
          <w:color w:val="auto"/>
        </w:rPr>
      </w:pPr>
    </w:p>
    <w:p>
      <w:pPr>
        <w:ind w:left="6880"/>
        <w:spacing w:after="0"/>
        <w:tabs>
          <w:tab w:leader="none" w:pos="9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Page 7 of 19</w:t>
      </w:r>
    </w:p>
    <w:p>
      <w:pPr>
        <w:sectPr>
          <w:pgSz w:w="11900" w:h="16838" w:orient="portrait"/>
          <w:cols w:equalWidth="0" w:num="1">
            <w:col w:w="10840"/>
          </w:cols>
          <w:pgMar w:left="340" w:top="676" w:right="719" w:bottom="1440" w:gutter="0" w:footer="0" w:header="0"/>
        </w:sectPr>
      </w:pPr>
    </w:p>
    <w:bookmarkStart w:id="7" w:name="page8"/>
    <w:bookmarkEnd w:id="7"/>
    <w:p>
      <w:pPr>
        <w:ind w:left="1460"/>
        <w:spacing w:after="0"/>
        <w:rPr>
          <w:sz w:val="20"/>
          <w:szCs w:val="20"/>
          <w:color w:val="auto"/>
        </w:rPr>
      </w:pPr>
      <w:r>
        <w:rPr>
          <w:rFonts w:ascii="Courier New" w:cs="Courier New" w:eastAsia="Courier New" w:hAnsi="Courier New"/>
          <w:sz w:val="16"/>
          <w:szCs w:val="16"/>
          <w:color w:val="auto"/>
        </w:rPr>
        <w:t>WORLD FUEL SERVICES CORPORATION AND SUBSIDIARIES</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5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0" w:type="dxa"/>
            <w:vAlign w:val="bottom"/>
          </w:tcPr>
          <w:p>
            <w:pPr>
              <w:spacing w:after="0"/>
              <w:rPr>
                <w:sz w:val="20"/>
                <w:szCs w:val="20"/>
                <w:color w:val="auto"/>
              </w:rPr>
            </w:pPr>
            <w:r>
              <w:rPr>
                <w:rFonts w:ascii="Courier New" w:cs="Courier New" w:eastAsia="Courier New" w:hAnsi="Courier New"/>
                <w:sz w:val="16"/>
                <w:szCs w:val="16"/>
                <w:color w:val="auto"/>
              </w:rPr>
              <w:t>Six Months Ended</w:t>
            </w:r>
          </w:p>
        </w:tc>
        <w:tc>
          <w:tcPr>
            <w:tcW w:w="20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960" w:type="dxa"/>
            <w:vAlign w:val="bottom"/>
          </w:tcPr>
          <w:p>
            <w:pPr>
              <w:spacing w:after="0"/>
              <w:rPr>
                <w:sz w:val="16"/>
                <w:szCs w:val="16"/>
                <w:color w:val="auto"/>
              </w:rPr>
            </w:pPr>
          </w:p>
        </w:tc>
        <w:tc>
          <w:tcPr>
            <w:tcW w:w="48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spacing w:after="0"/>
              <w:rPr>
                <w:sz w:val="16"/>
                <w:szCs w:val="16"/>
                <w:color w:val="auto"/>
              </w:rPr>
            </w:pPr>
          </w:p>
        </w:tc>
        <w:tc>
          <w:tcPr>
            <w:tcW w:w="15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5960" w:type="dxa"/>
            <w:vAlign w:val="bottom"/>
          </w:tcPr>
          <w:p>
            <w:pPr>
              <w:spacing w:after="0"/>
              <w:rPr>
                <w:sz w:val="16"/>
                <w:szCs w:val="16"/>
                <w:color w:val="auto"/>
              </w:rPr>
            </w:pPr>
          </w:p>
        </w:tc>
        <w:tc>
          <w:tcPr>
            <w:tcW w:w="280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6"/>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Dividends paid on common stock</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(1,096,000)</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(1,218,000)</w:t>
            </w:r>
          </w:p>
        </w:tc>
      </w:tr>
      <w:tr>
        <w:trPr>
          <w:trHeight w:val="186"/>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Purchases of treasury stock</w:t>
            </w:r>
          </w:p>
        </w:tc>
        <w:tc>
          <w:tcPr>
            <w:tcW w:w="120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(2,588,000)</w:t>
            </w:r>
          </w:p>
        </w:tc>
        <w:tc>
          <w:tcPr>
            <w:tcW w:w="4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Borrowings under revolving credit facility, net</w:t>
            </w:r>
          </w:p>
        </w:tc>
        <w:tc>
          <w:tcPr>
            <w:tcW w:w="1200" w:type="dxa"/>
            <w:vAlign w:val="bottom"/>
          </w:tcPr>
          <w:p>
            <w:pPr>
              <w:spacing w:after="0"/>
              <w:rPr>
                <w:sz w:val="16"/>
                <w:szCs w:val="16"/>
                <w:color w:val="auto"/>
              </w:rPr>
            </w:pP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8,800,000</w:t>
            </w:r>
          </w:p>
        </w:tc>
      </w:tr>
      <w:tr>
        <w:trPr>
          <w:trHeight w:val="186"/>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20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(11,000)</w:t>
            </w:r>
          </w:p>
        </w:tc>
        <w:tc>
          <w:tcPr>
            <w:tcW w:w="4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(8,000)</w:t>
            </w:r>
          </w:p>
        </w:tc>
      </w:tr>
      <w:tr>
        <w:trPr>
          <w:trHeight w:val="186"/>
        </w:trPr>
        <w:tc>
          <w:tcPr>
            <w:tcW w:w="596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120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(3,695,000)</w:t>
            </w:r>
          </w:p>
        </w:tc>
        <w:tc>
          <w:tcPr>
            <w:tcW w:w="4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7,574,000</w:t>
            </w:r>
          </w:p>
        </w:tc>
      </w:tr>
      <w:tr>
        <w:trPr>
          <w:trHeight w:val="186"/>
        </w:trPr>
        <w:tc>
          <w:tcPr>
            <w:tcW w:w="596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120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(9,494,000)</w:t>
            </w:r>
          </w:p>
        </w:tc>
        <w:tc>
          <w:tcPr>
            <w:tcW w:w="4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901,000</w:t>
            </w:r>
          </w:p>
        </w:tc>
      </w:tr>
      <w:tr>
        <w:trPr>
          <w:trHeight w:val="186"/>
        </w:trPr>
        <w:tc>
          <w:tcPr>
            <w:tcW w:w="596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120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8"/>
              </w:rPr>
              <w:t>(13,659,000)</w:t>
            </w:r>
          </w:p>
        </w:tc>
        <w:tc>
          <w:tcPr>
            <w:tcW w:w="4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(5,663,000)</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6"/>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of period</w:t>
            </w:r>
          </w:p>
        </w:tc>
        <w:tc>
          <w:tcPr>
            <w:tcW w:w="1200" w:type="dxa"/>
            <w:vAlign w:val="bottom"/>
          </w:tcPr>
          <w:p>
            <w:pPr>
              <w:spacing w:after="0"/>
              <w:rPr>
                <w:sz w:val="16"/>
                <w:szCs w:val="16"/>
                <w:color w:val="auto"/>
              </w:rPr>
            </w:pP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32,773,000</w:t>
            </w:r>
          </w:p>
        </w:tc>
        <w:tc>
          <w:tcPr>
            <w:tcW w:w="4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16,527,000</w:t>
            </w:r>
          </w:p>
        </w:tc>
      </w:tr>
      <w:tr>
        <w:trPr>
          <w:trHeight w:val="186"/>
        </w:trPr>
        <w:tc>
          <w:tcPr>
            <w:tcW w:w="596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6"/>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of period</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19,114,000</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10,864,000</w:t>
            </w:r>
          </w:p>
        </w:tc>
      </w:tr>
      <w:tr>
        <w:trPr>
          <w:trHeight w:val="186"/>
        </w:trPr>
        <w:tc>
          <w:tcPr>
            <w:tcW w:w="596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96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Cash paid during the period for:</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Interest (including $14,000 in fiscal 2000 for</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6"/>
        </w:trPr>
        <w:tc>
          <w:tcPr>
            <w:tcW w:w="5960" w:type="dxa"/>
            <w:vAlign w:val="bottom"/>
          </w:tcPr>
          <w:p>
            <w:pPr>
              <w:ind w:left="680"/>
              <w:spacing w:after="0"/>
              <w:rPr>
                <w:sz w:val="20"/>
                <w:szCs w:val="20"/>
                <w:color w:val="auto"/>
              </w:rPr>
            </w:pPr>
            <w:r>
              <w:rPr>
                <w:rFonts w:ascii="Courier New" w:cs="Courier New" w:eastAsia="Courier New" w:hAnsi="Courier New"/>
                <w:sz w:val="16"/>
                <w:szCs w:val="16"/>
                <w:color w:val="auto"/>
              </w:rPr>
              <w:t>discontinued operations)</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181,000</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277,000</w:t>
            </w:r>
          </w:p>
        </w:tc>
      </w:tr>
      <w:tr>
        <w:trPr>
          <w:trHeight w:val="186"/>
        </w:trPr>
        <w:tc>
          <w:tcPr>
            <w:tcW w:w="596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Income taxes (including $9,168,000 and $411,000</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6"/>
        </w:trPr>
        <w:tc>
          <w:tcPr>
            <w:tcW w:w="5960" w:type="dxa"/>
            <w:vAlign w:val="bottom"/>
          </w:tcPr>
          <w:p>
            <w:pPr>
              <w:ind w:left="680"/>
              <w:spacing w:after="0"/>
              <w:rPr>
                <w:sz w:val="20"/>
                <w:szCs w:val="20"/>
                <w:color w:val="auto"/>
              </w:rPr>
            </w:pPr>
            <w:r>
              <w:rPr>
                <w:rFonts w:ascii="Courier New" w:cs="Courier New" w:eastAsia="Courier New" w:hAnsi="Courier New"/>
                <w:sz w:val="16"/>
                <w:szCs w:val="16"/>
                <w:color w:val="auto"/>
              </w:rPr>
              <w:t>in fiscal 2001 and 2000, respectively, for</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6"/>
        </w:trPr>
        <w:tc>
          <w:tcPr>
            <w:tcW w:w="5960" w:type="dxa"/>
            <w:vAlign w:val="bottom"/>
          </w:tcPr>
          <w:p>
            <w:pPr>
              <w:ind w:left="680"/>
              <w:spacing w:after="0"/>
              <w:rPr>
                <w:sz w:val="20"/>
                <w:szCs w:val="20"/>
                <w:color w:val="auto"/>
              </w:rPr>
            </w:pPr>
            <w:r>
              <w:rPr>
                <w:rFonts w:ascii="Courier New" w:cs="Courier New" w:eastAsia="Courier New" w:hAnsi="Courier New"/>
                <w:sz w:val="16"/>
                <w:szCs w:val="16"/>
                <w:color w:val="auto"/>
              </w:rPr>
              <w:t>discontinued operations)</w:t>
            </w:r>
          </w:p>
        </w:tc>
        <w:tc>
          <w:tcPr>
            <w:tcW w:w="12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11,418,000</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1,970,000</w:t>
            </w:r>
          </w:p>
        </w:tc>
      </w:tr>
      <w:tr>
        <w:trPr>
          <w:trHeight w:val="186"/>
        </w:trPr>
        <w:tc>
          <w:tcPr>
            <w:tcW w:w="596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SCHEDULE OF NONCASH ACTIVITIES:</w:t>
      </w:r>
    </w:p>
    <w:p>
      <w:pPr>
        <w:spacing w:after="0" w:line="191" w:lineRule="exact"/>
        <w:rPr>
          <w:sz w:val="20"/>
          <w:szCs w:val="20"/>
          <w:color w:val="auto"/>
        </w:rPr>
      </w:pPr>
    </w:p>
    <w:p>
      <w:pPr>
        <w:jc w:val="both"/>
        <w:ind w:left="100" w:right="3300"/>
        <w:spacing w:after="0" w:line="248" w:lineRule="auto"/>
        <w:rPr>
          <w:sz w:val="20"/>
          <w:szCs w:val="20"/>
          <w:color w:val="auto"/>
        </w:rPr>
      </w:pPr>
      <w:r>
        <w:rPr>
          <w:rFonts w:ascii="Courier New" w:cs="Courier New" w:eastAsia="Courier New" w:hAnsi="Courier New"/>
          <w:sz w:val="16"/>
          <w:szCs w:val="16"/>
          <w:color w:val="auto"/>
        </w:rPr>
        <w:t>Cash dividends declared, but not yet paid, totaling $538,000 and $610,000 are included in Accrued expenses as of September 30, 2000 and 1999, respectively.</w:t>
      </w:r>
    </w:p>
    <w:p>
      <w:pPr>
        <w:spacing w:after="0" w:line="184" w:lineRule="exact"/>
        <w:rPr>
          <w:sz w:val="20"/>
          <w:szCs w:val="20"/>
          <w:color w:val="auto"/>
        </w:rPr>
      </w:pPr>
    </w:p>
    <w:p>
      <w:pPr>
        <w:ind w:left="100" w:right="3200"/>
        <w:spacing w:after="0" w:line="247" w:lineRule="auto"/>
        <w:rPr>
          <w:sz w:val="20"/>
          <w:szCs w:val="20"/>
          <w:color w:val="auto"/>
        </w:rPr>
      </w:pPr>
      <w:r>
        <w:rPr>
          <w:rFonts w:ascii="Courier New" w:cs="Courier New" w:eastAsia="Courier New" w:hAnsi="Courier New"/>
          <w:sz w:val="16"/>
          <w:szCs w:val="16"/>
          <w:color w:val="auto"/>
        </w:rPr>
        <w:t>In connection with the April 1, 1999 acquisition of the Bunkerfuels group of companies, the Company issued $4,250,000 in notes payable. In March 2000, the Company paid $1,410,000 pursuant to the terms of the notes payable.</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During the six months ended September 30, 2000, the Company reclassified</w:t>
      </w:r>
    </w:p>
    <w:p>
      <w:pPr>
        <w:spacing w:after="0" w:line="5" w:lineRule="exact"/>
        <w:rPr>
          <w:sz w:val="20"/>
          <w:szCs w:val="20"/>
          <w:color w:val="auto"/>
        </w:rPr>
      </w:pPr>
    </w:p>
    <w:p>
      <w:pPr>
        <w:ind w:left="100" w:right="3100"/>
        <w:spacing w:after="0" w:line="247" w:lineRule="auto"/>
        <w:rPr>
          <w:sz w:val="20"/>
          <w:szCs w:val="20"/>
          <w:color w:val="auto"/>
        </w:rPr>
      </w:pPr>
      <w:r>
        <w:rPr>
          <w:rFonts w:ascii="Courier New" w:cs="Courier New" w:eastAsia="Courier New" w:hAnsi="Courier New"/>
          <w:sz w:val="16"/>
          <w:szCs w:val="16"/>
          <w:color w:val="auto"/>
        </w:rPr>
        <w:t>$2,500,000 of EarthCare Company common stock, received by the Company pursuant to the sale of the oil recycling segment, from Other assets to Prepaid expenses and other current assets.</w:t>
      </w:r>
    </w:p>
    <w:p>
      <w:pPr>
        <w:spacing w:after="0" w:line="186" w:lineRule="exact"/>
        <w:rPr>
          <w:sz w:val="20"/>
          <w:szCs w:val="20"/>
          <w:color w:val="auto"/>
        </w:rPr>
      </w:pPr>
    </w:p>
    <w:p>
      <w:pPr>
        <w:ind w:left="100" w:right="3200"/>
        <w:spacing w:after="0" w:line="247" w:lineRule="auto"/>
        <w:rPr>
          <w:sz w:val="20"/>
          <w:szCs w:val="20"/>
          <w:color w:val="auto"/>
        </w:rPr>
      </w:pPr>
      <w:r>
        <w:rPr>
          <w:rFonts w:ascii="Courier New" w:cs="Courier New" w:eastAsia="Courier New" w:hAnsi="Courier New"/>
          <w:sz w:val="16"/>
          <w:szCs w:val="16"/>
          <w:color w:val="auto"/>
        </w:rPr>
        <w:t>The Company reclassified approximately $1,723,000 from Prepaid expenses and other current assets to Other assets during the six months ended September 30, 1999.</w:t>
      </w:r>
    </w:p>
    <w:p>
      <w:pPr>
        <w:spacing w:after="0" w:line="186"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6"/>
          <w:szCs w:val="16"/>
          <w:color w:val="auto"/>
        </w:rPr>
        <w:t>The accompanying notes to the consolidated financial statements are an integral</w:t>
      </w:r>
    </w:p>
    <w:p>
      <w:pPr>
        <w:spacing w:after="0" w:line="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6"/>
          <w:szCs w:val="16"/>
          <w:color w:val="auto"/>
        </w:rPr>
        <w:t>part of these consolidated financial statements.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8 of 19</w:t>
      </w:r>
    </w:p>
    <w:p>
      <w:pPr>
        <w:sectPr>
          <w:pgSz w:w="11900" w:h="16838" w:orient="portrait"/>
          <w:cols w:equalWidth="0" w:num="1">
            <w:col w:w="10860"/>
          </w:cols>
          <w:pgMar w:left="240" w:top="676" w:right="799" w:bottom="1440" w:gutter="0" w:footer="0" w:header="0"/>
        </w:sectPr>
      </w:pPr>
    </w:p>
    <w:bookmarkStart w:id="8" w:name="page9"/>
    <w:bookmarkEnd w:id="8"/>
    <w:p>
      <w:pPr>
        <w:jc w:val="center"/>
        <w:ind w:right="2459"/>
        <w:spacing w:after="0"/>
        <w:rPr>
          <w:sz w:val="20"/>
          <w:szCs w:val="20"/>
          <w:color w:val="auto"/>
        </w:rPr>
      </w:pPr>
      <w:r>
        <w:rPr>
          <w:rFonts w:ascii="Courier New" w:cs="Courier New" w:eastAsia="Courier New" w:hAnsi="Courier New"/>
          <w:sz w:val="16"/>
          <w:szCs w:val="16"/>
          <w:color w:val="auto"/>
        </w:rPr>
        <w:t>WORLD FUEL SERVICES CORPORATION AND SUBSIDIARIES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THE CONSOLIDATED FINANCIAL STATEMENTS</w:t>
      </w:r>
    </w:p>
    <w:p>
      <w:pPr>
        <w:spacing w:after="0" w:line="5"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(UNAUDITED)</w:t>
      </w:r>
    </w:p>
    <w:p>
      <w:pPr>
        <w:spacing w:after="0" w:line="5"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481" w:hanging="481"/>
        <w:spacing w:after="0"/>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accounting polices followed for quarterly financial reporting are the same as those disclosed in Note 1 of the Notes to the Consolidated Financial Statements included in the Company's Annual Report on Form 10-K for the year ended March 31, 2000.</w:t>
      </w:r>
    </w:p>
    <w:p>
      <w:pPr>
        <w:spacing w:after="0" w:line="186"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DISCONTINUED OPERATIONS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In January 2000, the Company's Board of Directors authorized the sale of its oil recycling segment. Accordingly, as of December 31, 1999, the Company reported its oil recycling segment as a discontinued operation. The consolidated financial statements of the Company have been restated to report separately the operating results of the discontinued operation for all periods presented. Financial results for periods prior to the dates of discontinuance have been restated to reflect continuing operations.</w:t>
      </w:r>
    </w:p>
    <w:p>
      <w:pPr>
        <w:spacing w:after="0" w:line="185"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In February 2000, the Company sold all of the issued and outstanding stock of its oil recycling subsidiaries, the International Petroleum Corporation group ("IPC"), to EarthCare Company ("EarthCare"). For the three and six months ended September 30, 1999, the Company recognized net income from discontinued operations of $654,000 and $1,089,000, respectively. Potential costs which could not be reasonably estimated include expenses associated with the indemnifications provided by the Company as part of the purchase agreement.</w:t>
      </w:r>
    </w:p>
    <w:p>
      <w:pPr>
        <w:spacing w:after="0" w:line="18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Company reported current net assets of discontinued operations of</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$2,996,000 as of September 30, 2000 and net current liabilities of discontinued operations of $6,498,000 as of March 31, 2000. As of September 30, 2000, the current net assets of discontinued operations consisted primarily of amounts due from EarthCare. The net current liabilities of discontinued operations, as of March 31, 2000, consisted of $9,168,000 in income taxes payable related to the ten months of operations and the gain on sale, partially offset by $2,670,000 of current net assets of discontinued operations. As of September 30, 2000, income taxes related to the discontinued operations had been paid. For the three and six months ended September 30, 1999, revenues applicable to the discontinued operations were $6,870,000 and $12,974,000, respectively. Income from operations of the discontinued operations were $1,060,000 and $1,775,000, respectively, for the three and six months ended September 30, 1999.</w:t>
      </w:r>
    </w:p>
    <w:p>
      <w:pPr>
        <w:spacing w:after="0" w:line="193"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In April 2000, the Company filed a Demand for Arbitration with the American Arbitration Association, against EarthCare to collect approximately $3,827,000 in cash due pursuant to the Purchase Agreement. On May 23, 2000, EarthCare filed a response to the Company's action which asserts defenses and counterclaims against the Company as a result of alleged breaches by the Company of certain representations under the purchase agreement. In October 2000, the Company received notice that the arbitration hearing is set for March 2001. See Part II, Item 1, of this Form 10-Q.</w:t>
      </w:r>
    </w:p>
    <w:p>
      <w:pPr>
        <w:spacing w:after="0" w:line="191"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Page 9 of 19</w:t>
      </w:r>
    </w:p>
    <w:p>
      <w:pPr>
        <w:sectPr>
          <w:pgSz w:w="11900" w:h="16838" w:orient="portrait"/>
          <w:cols w:equalWidth="0" w:num="1">
            <w:col w:w="10220"/>
          </w:cols>
          <w:pgMar w:left="239" w:top="676" w:right="1440" w:bottom="1440" w:gutter="0" w:footer="0" w:header="0"/>
        </w:sectPr>
      </w:pPr>
    </w:p>
    <w:bookmarkStart w:id="9" w:name="page10"/>
    <w:bookmarkEnd w:id="9"/>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Company anticipates substantial completion of its plan of discontinuance by the end of fiscal 2001, and believes that the remaining net assets will be realized.</w:t>
      </w:r>
    </w:p>
    <w:p>
      <w:pPr>
        <w:spacing w:after="0" w:line="186" w:lineRule="exact"/>
        <w:rPr>
          <w:sz w:val="20"/>
          <w:szCs w:val="20"/>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Common Stock Activity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959" w:firstLine="484"/>
        <w:spacing w:after="0" w:line="247" w:lineRule="auto"/>
        <w:rPr>
          <w:sz w:val="20"/>
          <w:szCs w:val="20"/>
          <w:color w:val="auto"/>
        </w:rPr>
      </w:pPr>
      <w:r>
        <w:rPr>
          <w:rFonts w:ascii="Courier New" w:cs="Courier New" w:eastAsia="Courier New" w:hAnsi="Courier New"/>
          <w:sz w:val="16"/>
          <w:szCs w:val="16"/>
          <w:color w:val="auto"/>
        </w:rPr>
        <w:t>In September 2000, the Company's Board of Directors authorized a stock repurchase program whereby the Company could repurchase up to an additional $10,000,000 of the Company's common stock, subject to certain restrictions pursuant to the Company's credit facility, increasing the Company's stock repurchase programs to $26,000,000.</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Warrants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On July 1, 2000, the Company granted a warrant to an investment-banking firm in connection with the engagement of such firm to provide advisory services to the Company. The warrant entitles the holder to purchase up to 50,000 shares of the Company's common stock at an exercise price of $9.50 per share, for a period of three years. In accordance with Emerging Issue Task Force 96-18, "Accounting for Equity Instruments That Are Issued through Other Than Employees for Acquiring, or in Conjunction with Selling, Goods or Services," the Company determined the fair value of this warrant to be approximately $60,000 based on the Black-Scholes option-pricing model. The vesting period of the warrant is one year.</w:t>
      </w:r>
    </w:p>
    <w:p>
      <w:pPr>
        <w:spacing w:after="0" w:line="192"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In October 2000, the Company terminated its relationship with the investment-banking firm. Accordingly, the Company expensed $60,000 during the three and six months ended September 30, 2000.</w:t>
      </w:r>
    </w:p>
    <w:p>
      <w:pPr>
        <w:spacing w:after="0" w:line="186"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On July 31, 2000, the Company's Board of Directors terminated the employment of its Chairman. Pursuant to the terms of the Chairman's employment agreement, the Company was required to pay severance equal to three times the executive's average salary and bonus during the five-year period preceding termination, plus all deferred compensation. Accordingly, during the three months ended September 30, 2000, the Company recorded an executive severance charge of $3,505,000 and, in August 2000, paid the former Chairman $4,522,000, including deferred compensation of $1,017,000.</w:t>
      </w:r>
    </w:p>
    <w:p>
      <w:pPr>
        <w:spacing w:after="0" w:line="191"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Page 10 of 19</w:t>
      </w:r>
    </w:p>
    <w:p>
      <w:pPr>
        <w:sectPr>
          <w:pgSz w:w="11900" w:h="16838" w:orient="portrait"/>
          <w:cols w:equalWidth="0" w:num="1">
            <w:col w:w="10220"/>
          </w:cols>
          <w:pgMar w:left="239" w:top="676" w:right="1440" w:bottom="1440" w:gutter="0" w:footer="0" w:header="0"/>
        </w:sectPr>
      </w:pPr>
    </w:p>
    <w:bookmarkStart w:id="10" w:name="page11"/>
    <w:bookmarkEnd w:id="10"/>
    <w:p>
      <w:pPr>
        <w:ind w:left="1"/>
        <w:spacing w:after="0"/>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w:t>
      </w:r>
    </w:p>
    <w:p>
      <w:pPr>
        <w:spacing w:after="0" w:line="5"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 -------</w:t>
        <w:tab/>
        <w:t>-----------------------------------------------------------</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AND RESULTS OF OPERATIONS</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During the three and six months ended September 30, 2000, world oil prices continued to exhibit volatility and have remained high, in particular when compared to the same periods in the prior year. The rapid and sustained increase in fuel prices has to date, and will continue to adversely affect the Company's customers. The Company's profitability during the first half of fiscal 2001 was affected by a decline in overall volume, principally in the Company's aviation segment, higher provision for bad debts, and the severance expense related to the settlement of the employment agreement with the Company's former Chairman of the Board. The decline in aviation volume reflects consolidation within the aviation industry, as well as management's decision to refine its credit practices.</w:t>
      </w:r>
    </w:p>
    <w:p>
      <w:pPr>
        <w:spacing w:after="0" w:line="1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Six Months Ended September 30, 2000 Compared to the Six Months Ended</w:t>
      </w:r>
    </w:p>
    <w:p>
      <w:pPr>
        <w:spacing w:after="0" w:line="5" w:lineRule="exact"/>
        <w:rPr>
          <w:sz w:val="20"/>
          <w:szCs w:val="20"/>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 30, 1999</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Company's revenue for the six months ended September 30, 2000 was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$752,613,000, an increase of $227,408,000, or 43.3%, as compared to revenue of</w:t>
      </w:r>
    </w:p>
    <w:p>
      <w:pPr>
        <w:spacing w:after="0" w:line="5" w:lineRule="exact"/>
        <w:rPr>
          <w:sz w:val="20"/>
          <w:szCs w:val="20"/>
          <w:color w:val="auto"/>
        </w:rPr>
      </w:pPr>
    </w:p>
    <w:p>
      <w:pPr>
        <w:ind w:left="1"/>
        <w:spacing w:after="0"/>
        <w:tabs>
          <w:tab w:leader="none" w:pos="5980" w:val="left"/>
        </w:tabs>
        <w:rPr>
          <w:sz w:val="20"/>
          <w:szCs w:val="20"/>
          <w:color w:val="auto"/>
        </w:rPr>
      </w:pPr>
      <w:r>
        <w:rPr>
          <w:rFonts w:ascii="Courier New" w:cs="Courier New" w:eastAsia="Courier New" w:hAnsi="Courier New"/>
          <w:sz w:val="16"/>
          <w:szCs w:val="16"/>
          <w:color w:val="auto"/>
        </w:rPr>
        <w:t>$525,205,000 for the corresponding period of the prior year.</w:t>
        <w:tab/>
        <w:t>The revenue</w:t>
      </w:r>
    </w:p>
    <w:p>
      <w:pPr>
        <w:spacing w:after="0" w:line="5" w:lineRule="exact"/>
        <w:rPr>
          <w:sz w:val="20"/>
          <w:szCs w:val="20"/>
          <w:color w:val="auto"/>
        </w:rPr>
      </w:pPr>
    </w:p>
    <w:p>
      <w:pPr>
        <w:ind w:left="1"/>
        <w:spacing w:after="0"/>
        <w:tabs>
          <w:tab w:leader="none" w:pos="6180" w:val="left"/>
        </w:tabs>
        <w:rPr>
          <w:sz w:val="20"/>
          <w:szCs w:val="20"/>
          <w:color w:val="auto"/>
        </w:rPr>
      </w:pPr>
      <w:r>
        <w:rPr>
          <w:rFonts w:ascii="Courier New" w:cs="Courier New" w:eastAsia="Courier New" w:hAnsi="Courier New"/>
          <w:sz w:val="16"/>
          <w:szCs w:val="16"/>
          <w:color w:val="auto"/>
        </w:rPr>
        <w:t>increase is due to a substantial increase in world oil prices.</w:t>
        <w:tab/>
        <w:t>The Company's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revenue during these periods was attributable to the following segments:</w:t>
      </w:r>
    </w:p>
    <w:p>
      <w:pPr>
        <w:spacing w:after="0" w:line="378" w:lineRule="exact"/>
        <w:rPr>
          <w:sz w:val="20"/>
          <w:szCs w:val="20"/>
          <w:color w:val="auto"/>
        </w:rPr>
      </w:pPr>
    </w:p>
    <w:tbl>
      <w:tblPr>
        <w:tblLayout w:type="fixed"/>
        <w:tblInd w:w="681" w:type="dxa"/>
        <w:tblCellMar>
          <w:top w:w="0" w:type="dxa"/>
          <w:left w:w="0" w:type="dxa"/>
          <w:bottom w:w="0" w:type="dxa"/>
          <w:right w:w="0" w:type="dxa"/>
        </w:tblCellMar>
      </w:tblPr>
      <w:tr>
        <w:trPr>
          <w:trHeight w:val="183"/>
        </w:trPr>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0" w:type="dxa"/>
            <w:vAlign w:val="bottom"/>
            <w:gridSpan w:val="3"/>
          </w:tcPr>
          <w:p>
            <w:pPr>
              <w:jc w:val="right"/>
              <w:ind w:right="219"/>
              <w:spacing w:after="0"/>
              <w:rPr>
                <w:sz w:val="20"/>
                <w:szCs w:val="20"/>
                <w:color w:val="auto"/>
              </w:rPr>
            </w:pPr>
            <w:r>
              <w:rPr>
                <w:rFonts w:ascii="Courier New" w:cs="Courier New" w:eastAsia="Courier New" w:hAnsi="Courier New"/>
                <w:sz w:val="16"/>
                <w:szCs w:val="16"/>
                <w:color w:val="auto"/>
                <w:w w:val="99"/>
              </w:rPr>
              <w:t>Six Months Ended September 30,</w:t>
            </w:r>
          </w:p>
        </w:tc>
      </w:tr>
      <w:tr>
        <w:trPr>
          <w:trHeight w:val="186"/>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2000</w:t>
            </w:r>
          </w:p>
        </w:tc>
        <w:tc>
          <w:tcPr>
            <w:tcW w:w="52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1840" w:type="dxa"/>
            <w:vAlign w:val="bottom"/>
          </w:tcPr>
          <w:p>
            <w:pPr>
              <w:spacing w:after="0"/>
              <w:rPr>
                <w:sz w:val="16"/>
                <w:szCs w:val="16"/>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840" w:type="dxa"/>
            <w:vAlign w:val="bottom"/>
          </w:tcPr>
          <w:p>
            <w:pPr>
              <w:spacing w:after="0"/>
              <w:rPr>
                <w:sz w:val="20"/>
                <w:szCs w:val="20"/>
                <w:color w:val="auto"/>
              </w:rPr>
            </w:pPr>
            <w:r>
              <w:rPr>
                <w:rFonts w:ascii="Courier New" w:cs="Courier New" w:eastAsia="Courier New" w:hAnsi="Courier New"/>
                <w:sz w:val="16"/>
                <w:szCs w:val="16"/>
                <w:color w:val="auto"/>
              </w:rPr>
              <w:t>Aviation Fueling</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260,363,000</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199,889,000</w:t>
            </w:r>
          </w:p>
        </w:tc>
      </w:tr>
      <w:tr>
        <w:trPr>
          <w:trHeight w:val="186"/>
        </w:trPr>
        <w:tc>
          <w:tcPr>
            <w:tcW w:w="1840" w:type="dxa"/>
            <w:vAlign w:val="bottom"/>
          </w:tcPr>
          <w:p>
            <w:pPr>
              <w:spacing w:after="0"/>
              <w:rPr>
                <w:sz w:val="20"/>
                <w:szCs w:val="20"/>
                <w:color w:val="auto"/>
              </w:rPr>
            </w:pPr>
            <w:r>
              <w:rPr>
                <w:rFonts w:ascii="Courier New" w:cs="Courier New" w:eastAsia="Courier New" w:hAnsi="Courier New"/>
                <w:sz w:val="16"/>
                <w:szCs w:val="16"/>
                <w:color w:val="auto"/>
              </w:rPr>
              <w:t>Marine Fueling</w:t>
            </w:r>
          </w:p>
        </w:tc>
        <w:tc>
          <w:tcPr>
            <w:tcW w:w="580" w:type="dxa"/>
            <w:vAlign w:val="bottom"/>
          </w:tcPr>
          <w:p>
            <w:pPr>
              <w:spacing w:after="0"/>
              <w:rPr>
                <w:sz w:val="16"/>
                <w:szCs w:val="16"/>
                <w:color w:val="auto"/>
              </w:rPr>
            </w:pP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492,250,000</w:t>
            </w: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325,316,000</w:t>
            </w:r>
          </w:p>
        </w:tc>
      </w:tr>
      <w:tr>
        <w:trPr>
          <w:trHeight w:val="186"/>
        </w:trPr>
        <w:tc>
          <w:tcPr>
            <w:tcW w:w="1840" w:type="dxa"/>
            <w:vAlign w:val="bottom"/>
          </w:tcPr>
          <w:p>
            <w:pPr>
              <w:spacing w:after="0"/>
              <w:rPr>
                <w:sz w:val="16"/>
                <w:szCs w:val="16"/>
                <w:color w:val="auto"/>
              </w:rPr>
            </w:pPr>
          </w:p>
        </w:tc>
        <w:tc>
          <w:tcPr>
            <w:tcW w:w="20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840" w:type="dxa"/>
            <w:vAlign w:val="bottom"/>
          </w:tcPr>
          <w:p>
            <w:pPr>
              <w:spacing w:after="0"/>
              <w:rPr>
                <w:sz w:val="20"/>
                <w:szCs w:val="20"/>
                <w:color w:val="auto"/>
              </w:rPr>
            </w:pPr>
            <w:r>
              <w:rPr>
                <w:rFonts w:ascii="Courier New" w:cs="Courier New" w:eastAsia="Courier New" w:hAnsi="Courier New"/>
                <w:sz w:val="16"/>
                <w:szCs w:val="16"/>
                <w:color w:val="auto"/>
              </w:rPr>
              <w:t>Total Revenue</w:t>
            </w: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752,613,000</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525,205,000</w:t>
            </w:r>
          </w:p>
        </w:tc>
      </w:tr>
      <w:tr>
        <w:trPr>
          <w:trHeight w:val="186"/>
        </w:trPr>
        <w:tc>
          <w:tcPr>
            <w:tcW w:w="1840" w:type="dxa"/>
            <w:vAlign w:val="bottom"/>
          </w:tcPr>
          <w:p>
            <w:pPr>
              <w:spacing w:after="0"/>
              <w:rPr>
                <w:sz w:val="16"/>
                <w:szCs w:val="16"/>
                <w:color w:val="auto"/>
              </w:rPr>
            </w:pPr>
          </w:p>
        </w:tc>
        <w:tc>
          <w:tcPr>
            <w:tcW w:w="20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The aviation fueling segment contributed $260,363,000 in revenue for the six months ended September 30, 2000. This represented an increase in revenue of $60,474,000, or 30.3%, as compared to the same period of the prior year. The increase in revenue resulted from an increase in the average price per gallon sold, partially offset by a 14.5% decrease in gallons sold. The marine fueling segment contributed $492,250,000 in revenue for the six months ended September 30, 2000, an increase of $166,934,000, or 51.3%, over the corresponding period of the prior year. The increase in revenue was related to</w:t>
      </w:r>
    </w:p>
    <w:p>
      <w:pPr>
        <w:spacing w:after="0" w:line="5"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an increase in the average price per metric ton sold, partially offset by a 4.6% decrease in the volume of metric tons sold.</w:t>
      </w:r>
    </w:p>
    <w:p>
      <w:pPr>
        <w:spacing w:after="0" w:line="184"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Company's gross profit of $33,720,000 for the six months ended September 30, 2000 increased $1,925,000, or 6.1%, as compared to the same period of the prior year. The Company's gross margin decreased from 6.1% for the six months ended September 30, 1999, to 4.5% for the six months ended September 30, 2000. The Company's aviation fueling business achieved a 6.2% gross margin for the six months ended September 30, 2000, as compared to 9.8% achieved for the same period during the prior year. This decrease resulted from an increase in the average price of fuel sold, and a lower gross profit per gallon sold. The Company's marine fueling segment achieved a 3.6% gross margin for the six months ended September 30, 2000, as compared to a 3.7% gross margin for the same period of the prior year. The</w:t>
      </w:r>
    </w:p>
    <w:p>
      <w:pPr>
        <w:spacing w:after="0" w:line="193"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Page 11 of 19</w:t>
      </w:r>
    </w:p>
    <w:p>
      <w:pPr>
        <w:sectPr>
          <w:pgSz w:w="11900" w:h="16838" w:orient="portrait"/>
          <w:cols w:equalWidth="0" w:num="1">
            <w:col w:w="10220"/>
          </w:cols>
          <w:pgMar w:left="239" w:top="676" w:right="1440" w:bottom="1440" w:gutter="0" w:footer="0" w:header="0"/>
        </w:sectPr>
      </w:pPr>
    </w:p>
    <w:bookmarkStart w:id="11" w:name="page12"/>
    <w:bookmarkEnd w:id="11"/>
    <w:p>
      <w:pPr>
        <w:ind w:right="2459"/>
        <w:spacing w:after="0" w:line="248" w:lineRule="auto"/>
        <w:rPr>
          <w:sz w:val="20"/>
          <w:szCs w:val="20"/>
          <w:color w:val="auto"/>
        </w:rPr>
      </w:pPr>
      <w:r>
        <w:rPr>
          <w:rFonts w:ascii="Courier New" w:cs="Courier New" w:eastAsia="Courier New" w:hAnsi="Courier New"/>
          <w:sz w:val="16"/>
          <w:szCs w:val="16"/>
          <w:color w:val="auto"/>
        </w:rPr>
        <w:t>marine segment maintained its gross margin despite higher fuel prices, due to an increase in the average gross profit per metric ton sold and brokered.</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Total operating expenses for the six months ended September 30, 2000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$31,781,000, an increase of $8,469,000, or 36.3%, as compared to the same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prior year. The increase resulted from higher compensation, professional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provision for bad debts, and an executive severance charge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of the employment agreement with the Company's former Chairman of the</w:t>
      </w:r>
    </w:p>
    <w:p>
      <w:pPr>
        <w:spacing w:after="0" w:line="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Board.</w:t>
        <w:tab/>
        <w:t>Partially offsetting was the reduction of previously provisioned phase-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 costs related to the Company's exit of its offshore marine transportation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Company's income from operations for the six months ended September 30, 2000 was $1,939,000, a decrease of $6,544,000, or 77.1%, as compared to the same period of the prior year. Income from operations during these periods was attributable to the following segments:</w:t>
      </w:r>
    </w:p>
    <w:p>
      <w:pPr>
        <w:spacing w:after="0" w:line="200" w:lineRule="exact"/>
        <w:rPr>
          <w:sz w:val="20"/>
          <w:szCs w:val="20"/>
          <w:color w:val="auto"/>
        </w:rPr>
      </w:pPr>
    </w:p>
    <w:p>
      <w:pPr>
        <w:spacing w:after="0" w:line="358"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2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Six Months Ended September 30,</w:t>
            </w:r>
          </w:p>
        </w:tc>
      </w:tr>
      <w:tr>
        <w:trPr>
          <w:trHeight w:val="186"/>
        </w:trPr>
        <w:tc>
          <w:tcPr>
            <w:tcW w:w="2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2000</w:t>
            </w:r>
          </w:p>
        </w:tc>
        <w:tc>
          <w:tcPr>
            <w:tcW w:w="19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2960" w:type="dxa"/>
            <w:vAlign w:val="bottom"/>
          </w:tcPr>
          <w:p>
            <w:pPr>
              <w:spacing w:after="0"/>
              <w:rPr>
                <w:sz w:val="16"/>
                <w:szCs w:val="16"/>
                <w:color w:val="auto"/>
              </w:rPr>
            </w:pPr>
          </w:p>
        </w:tc>
        <w:tc>
          <w:tcPr>
            <w:tcW w:w="37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Aviation Fueling</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4,911,000</w:t>
            </w:r>
          </w:p>
        </w:tc>
        <w:tc>
          <w:tcPr>
            <w:tcW w:w="19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$ 7,754,000</w:t>
            </w:r>
          </w:p>
        </w:tc>
      </w:tr>
      <w:tr>
        <w:trPr>
          <w:trHeight w:val="186"/>
        </w:trPr>
        <w:tc>
          <w:tcPr>
            <w:tcW w:w="2960" w:type="dxa"/>
            <w:vAlign w:val="bottom"/>
          </w:tcPr>
          <w:p>
            <w:pPr>
              <w:spacing w:after="0"/>
              <w:rPr>
                <w:sz w:val="20"/>
                <w:szCs w:val="20"/>
                <w:color w:val="auto"/>
              </w:rPr>
            </w:pPr>
            <w:r>
              <w:rPr>
                <w:rFonts w:ascii="Courier New" w:cs="Courier New" w:eastAsia="Courier New" w:hAnsi="Courier New"/>
                <w:sz w:val="16"/>
                <w:szCs w:val="16"/>
                <w:color w:val="auto"/>
              </w:rPr>
              <w:t>Marine Fueling</w:t>
            </w:r>
          </w:p>
        </w:tc>
        <w:tc>
          <w:tcPr>
            <w:tcW w:w="44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3,705,000</w:t>
            </w:r>
          </w:p>
        </w:tc>
        <w:tc>
          <w:tcPr>
            <w:tcW w:w="19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3,208,000</w:t>
            </w:r>
          </w:p>
        </w:tc>
      </w:tr>
      <w:tr>
        <w:trPr>
          <w:trHeight w:val="186"/>
        </w:trPr>
        <w:tc>
          <w:tcPr>
            <w:tcW w:w="2960" w:type="dxa"/>
            <w:vAlign w:val="bottom"/>
          </w:tcPr>
          <w:p>
            <w:pPr>
              <w:spacing w:after="0"/>
              <w:rPr>
                <w:sz w:val="20"/>
                <w:szCs w:val="20"/>
                <w:color w:val="auto"/>
              </w:rPr>
            </w:pPr>
            <w:r>
              <w:rPr>
                <w:rFonts w:ascii="Courier New" w:cs="Courier New" w:eastAsia="Courier New" w:hAnsi="Courier New"/>
                <w:sz w:val="16"/>
                <w:szCs w:val="16"/>
                <w:color w:val="auto"/>
              </w:rPr>
              <w:t>Corporate Overhead</w:t>
            </w:r>
          </w:p>
        </w:tc>
        <w:tc>
          <w:tcPr>
            <w:tcW w:w="44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(6,677,000)</w:t>
            </w:r>
          </w:p>
        </w:tc>
        <w:tc>
          <w:tcPr>
            <w:tcW w:w="19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(2,479,000)</w:t>
            </w:r>
          </w:p>
        </w:tc>
      </w:tr>
      <w:tr>
        <w:trPr>
          <w:trHeight w:val="186"/>
        </w:trPr>
        <w:tc>
          <w:tcPr>
            <w:tcW w:w="29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Total Income from Operations</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1,939,000</w:t>
            </w:r>
          </w:p>
        </w:tc>
        <w:tc>
          <w:tcPr>
            <w:tcW w:w="19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$ 8,483,000</w:t>
            </w:r>
          </w:p>
        </w:tc>
      </w:tr>
      <w:tr>
        <w:trPr>
          <w:trHeight w:val="186"/>
        </w:trPr>
        <w:tc>
          <w:tcPr>
            <w:tcW w:w="2960" w:type="dxa"/>
            <w:vAlign w:val="bottom"/>
          </w:tcPr>
          <w:p>
            <w:pPr>
              <w:spacing w:after="0"/>
              <w:rPr>
                <w:sz w:val="16"/>
                <w:szCs w:val="16"/>
                <w:color w:val="auto"/>
              </w:rPr>
            </w:pPr>
          </w:p>
        </w:tc>
        <w:tc>
          <w:tcPr>
            <w:tcW w:w="18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The aviation fueling segment's income from operations was $4,911,000 for the six months ended September 30, 2000, a decrease of $2,843,000, or 36.7%, as compared to the six months ended September 30, 1999. This resulted from a decrease in volume and in the average gross profit per gallon sold, partially offset by a lower provision for bad debts. The marine fueling segment earned $3,705,000 in income from operations for the six months ended September 30, 2000, an increase of $497,000, or 15.5%, over the corresponding period of the prior year. This increase resulted from an improved gross profit per metric ton on trade and brokered transactions. Partially offsetting were a volume decrease in overall metric tons sold and increases in compensation and provision for bad debts.</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During the six months ended September 30, 2000, the Company reported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$1,359,000 in other income, net, compared to other expense, net, of $5,132,000,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same period a year ago. For the six months ended September 30, 1999,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recorded a non-recurring charge in the marine segment due to the theft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product in Nigeria and a special charge to the provision for bad debts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aviation joint venture in Ecuador related to certain customers based in Ecuador.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contributing to the variance in other income and expense, net,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in net interest income, foreign exchange gains, and a reduction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provisioned write-down in the Company's aviation joint venture.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Income taxes for the six months ended September 30, 2000, reflect the impact of the executive severance and the provision for bad debts, for which the Company received an income tax benefit. Income taxes for the six months ended September 30, 1999, reflect the impact of the provision for bad debts and the non-recurring loss in marine, for which the Company did not receive an income tax benefit.</w:t>
      </w:r>
    </w:p>
    <w:p>
      <w:pPr>
        <w:spacing w:after="0" w:line="18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12 of 19</w:t>
      </w:r>
    </w:p>
    <w:p>
      <w:pPr>
        <w:sectPr>
          <w:pgSz w:w="11900" w:h="16838" w:orient="portrait"/>
          <w:cols w:equalWidth="0" w:num="1">
            <w:col w:w="10219"/>
          </w:cols>
          <w:pgMar w:left="240" w:top="676" w:right="1440" w:bottom="1440" w:gutter="0" w:footer="0" w:header="0"/>
        </w:sectPr>
      </w:pPr>
    </w:p>
    <w:bookmarkStart w:id="12" w:name="page13"/>
    <w:bookmarkEnd w:id="12"/>
    <w:p>
      <w:pPr>
        <w:ind w:left="1" w:right="2559" w:firstLine="484"/>
        <w:spacing w:after="0" w:line="247" w:lineRule="auto"/>
        <w:rPr>
          <w:sz w:val="20"/>
          <w:szCs w:val="20"/>
          <w:color w:val="auto"/>
        </w:rPr>
      </w:pPr>
      <w:r>
        <w:rPr>
          <w:rFonts w:ascii="Courier New" w:cs="Courier New" w:eastAsia="Courier New" w:hAnsi="Courier New"/>
          <w:sz w:val="16"/>
          <w:szCs w:val="16"/>
          <w:color w:val="auto"/>
        </w:rPr>
        <w:t>Net income from continuing operations for the six months ended September 30, 2000 was $3,462,000, an increase of $2,551,000 from the same period of the prior year. Diluted earnings per share on income from continuing operations was $0.32, an increase of $0.24 from the same period of the prior year.</w:t>
      </w:r>
    </w:p>
    <w:p>
      <w:pPr>
        <w:spacing w:after="0" w:line="186"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Net income for the six months ended September 30, 2000 was $3,462,000, an increase of $1,462,000, or 73.1%, as compared to net income of $2,000,000 for the six months ended September 30, 1999. Diluted earnings per share of $0.32 for the six months ended September 30, 2000 exhibited a $0.16, or 100.0% increase over the $0.16 achieved during the same period of the prior year. The results for the first six months of fiscal 2000 included $1,089,000, or $0.08 per diluted share, in income from discontinued operations.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Three Months Ended September 30, 2000 Compared to the Three Months Ended</w:t>
      </w:r>
    </w:p>
    <w:p>
      <w:pPr>
        <w:spacing w:after="0" w:line="5"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September 30, 1999</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The Company's revenue for the three months ended September 30, 2000 was $378,083,000, an increase of $78,324,000, or 26.1%, as compared to revenue of $299,759,000 for the corresponding period of the prior year. The revenue increase is due to a substantial increase in world oil prices. The Company's revenue during these periods was attributable to the following segments:</w:t>
      </w:r>
    </w:p>
    <w:p>
      <w:pPr>
        <w:spacing w:after="0" w:line="185" w:lineRule="exact"/>
        <w:rPr>
          <w:sz w:val="20"/>
          <w:szCs w:val="20"/>
          <w:color w:val="auto"/>
        </w:rPr>
      </w:pPr>
    </w:p>
    <w:tbl>
      <w:tblPr>
        <w:tblLayout w:type="fixed"/>
        <w:tblInd w:w="681"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Three Months Ended September 30,</w:t>
            </w:r>
          </w:p>
        </w:tc>
      </w:tr>
      <w:tr>
        <w:trPr>
          <w:trHeight w:val="186"/>
        </w:trPr>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2040" w:type="dxa"/>
            <w:vAlign w:val="bottom"/>
          </w:tcPr>
          <w:p>
            <w:pPr>
              <w:spacing w:after="0"/>
              <w:rPr>
                <w:sz w:val="16"/>
                <w:szCs w:val="16"/>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40" w:type="dxa"/>
            <w:vAlign w:val="bottom"/>
          </w:tcPr>
          <w:p>
            <w:pPr>
              <w:spacing w:after="0"/>
              <w:rPr>
                <w:sz w:val="20"/>
                <w:szCs w:val="20"/>
                <w:color w:val="auto"/>
              </w:rPr>
            </w:pPr>
            <w:r>
              <w:rPr>
                <w:rFonts w:ascii="Courier New" w:cs="Courier New" w:eastAsia="Courier New" w:hAnsi="Courier New"/>
                <w:sz w:val="16"/>
                <w:szCs w:val="16"/>
                <w:color w:val="auto"/>
              </w:rPr>
              <w:t>Aviation Fueling</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127,562,000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107,673,000</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Marine Fueling</w:t>
            </w:r>
          </w:p>
        </w:tc>
        <w:tc>
          <w:tcPr>
            <w:tcW w:w="5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250,521,000</w:t>
            </w:r>
          </w:p>
        </w:tc>
        <w:tc>
          <w:tcPr>
            <w:tcW w:w="4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192,086,000</w:t>
            </w:r>
          </w:p>
        </w:tc>
      </w:tr>
      <w:tr>
        <w:trPr>
          <w:trHeight w:val="186"/>
        </w:trPr>
        <w:tc>
          <w:tcPr>
            <w:tcW w:w="2040" w:type="dxa"/>
            <w:vAlign w:val="bottom"/>
          </w:tcPr>
          <w:p>
            <w:pPr>
              <w:spacing w:after="0"/>
              <w:rPr>
                <w:sz w:val="16"/>
                <w:szCs w:val="16"/>
                <w:color w:val="auto"/>
              </w:rPr>
            </w:pPr>
          </w:p>
        </w:tc>
        <w:tc>
          <w:tcPr>
            <w:tcW w:w="21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040" w:type="dxa"/>
            <w:vAlign w:val="bottom"/>
          </w:tcPr>
          <w:p>
            <w:pPr>
              <w:spacing w:after="0"/>
              <w:rPr>
                <w:sz w:val="20"/>
                <w:szCs w:val="20"/>
                <w:color w:val="auto"/>
              </w:rPr>
            </w:pPr>
            <w:r>
              <w:rPr>
                <w:rFonts w:ascii="Courier New" w:cs="Courier New" w:eastAsia="Courier New" w:hAnsi="Courier New"/>
                <w:sz w:val="16"/>
                <w:szCs w:val="16"/>
                <w:color w:val="auto"/>
              </w:rPr>
              <w:t>Total Revenue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378,083,000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299,759,000</w:t>
            </w:r>
          </w:p>
        </w:tc>
      </w:tr>
      <w:tr>
        <w:trPr>
          <w:trHeight w:val="186"/>
        </w:trPr>
        <w:tc>
          <w:tcPr>
            <w:tcW w:w="2040" w:type="dxa"/>
            <w:vAlign w:val="bottom"/>
          </w:tcPr>
          <w:p>
            <w:pPr>
              <w:spacing w:after="0"/>
              <w:rPr>
                <w:sz w:val="16"/>
                <w:szCs w:val="16"/>
                <w:color w:val="auto"/>
              </w:rPr>
            </w:pPr>
          </w:p>
        </w:tc>
        <w:tc>
          <w:tcPr>
            <w:tcW w:w="21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aviation fueling segment contributed $127,562,000 in revenue for the three months ended September 30, 2000. This represented an increase in revenue of $19,889,000, or 18.5%, as compared to the same period of the prior year. The increase in revenue resulted from an increase in the average price per gallon sold, partially offset by a 20.7% decrease in gallons sold. The marine fueling segment contributed $250,521,000 in revenue for the three months ended September 30, 2000, an increase of $58,435,000, or 30.4%, over the corresponding period of the prior year. The increase in revenue was related to an increase in the average price per metric ton sold, partially offset by a 8.9% decrease in the volume of metric tons sold and brokered.</w:t>
      </w:r>
    </w:p>
    <w:p>
      <w:pPr>
        <w:spacing w:after="0" w:line="192"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Company's gross profit of $16,652,000 for the three months ended September 30, 2000 decreased $91,000, or 0.5%, as compared to the same period of the prior year. The Company's gross margin decreased from 5.6% for the three months ended September 30, 1999, to 4.4% for the three months ended September 30, 2000. The Company's aviation fueling business achieved a 6.2% gross margin for the three months ended September 30, 2000, as compared to 9.3% achieved for the same period during the prior year. This decrease resulted from an increase in the average price of fuel sold and a lower gross profit per gallon sold. The Company's marine fueling segment achieved a 3.5% gross margin for the three months ended September 30, 2000, consistent with the same period of the prior year. The marine segment maintained its gross margin despite higher fuel prices, due to an increase in the average gross profit per metric ton sold and brokered.</w:t>
      </w:r>
    </w:p>
    <w:p>
      <w:pPr>
        <w:spacing w:after="0" w:line="193"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Page 13 of 19</w:t>
      </w:r>
    </w:p>
    <w:p>
      <w:pPr>
        <w:sectPr>
          <w:pgSz w:w="11900" w:h="16838" w:orient="portrait"/>
          <w:cols w:equalWidth="0" w:num="1">
            <w:col w:w="10220"/>
          </w:cols>
          <w:pgMar w:left="239" w:top="676" w:right="1440" w:bottom="1440" w:gutter="0" w:footer="0" w:header="0"/>
        </w:sectPr>
      </w:pPr>
    </w:p>
    <w:bookmarkStart w:id="13" w:name="page14"/>
    <w:bookmarkEnd w:id="13"/>
    <w:p>
      <w:pPr>
        <w:ind w:right="2459" w:firstLine="484"/>
        <w:spacing w:after="0" w:line="246" w:lineRule="auto"/>
        <w:rPr>
          <w:sz w:val="20"/>
          <w:szCs w:val="20"/>
          <w:color w:val="auto"/>
        </w:rPr>
      </w:pPr>
      <w:r>
        <w:rPr>
          <w:rFonts w:ascii="Courier New" w:cs="Courier New" w:eastAsia="Courier New" w:hAnsi="Courier New"/>
          <w:sz w:val="16"/>
          <w:szCs w:val="16"/>
          <w:color w:val="auto"/>
        </w:rPr>
        <w:t>Total operating expenses for the three months ended September 30, 2000 were $18,292,000, an increase of $5,707,000, or 45.3%, as compared to the same period of the prior year. The increase resulted from higher compensation, professional fees, and provision for bad debts, and an executive severance charge in settlement of the employment agreement with the Company's former Chairman of the Board. Partially offsetting was the reduction of previously provisioned phase-out costs related to the Company's exit of its offshore marine transportation business.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Company's loss from operations for the three months ended September 30, 2000 was $1,640,000, as compared to income from operations of $4,158,000 for the same period of the prior year. Income from operations during these periods was attributable to the following segments:</w:t>
      </w:r>
    </w:p>
    <w:p>
      <w:pPr>
        <w:spacing w:after="0" w:line="200" w:lineRule="exact"/>
        <w:rPr>
          <w:sz w:val="20"/>
          <w:szCs w:val="20"/>
          <w:color w:val="auto"/>
        </w:rPr>
      </w:pPr>
    </w:p>
    <w:p>
      <w:pPr>
        <w:spacing w:after="0" w:line="358"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19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Three Months Ended</w:t>
            </w:r>
          </w:p>
        </w:tc>
        <w:tc>
          <w:tcPr>
            <w:tcW w:w="13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September 30,</w:t>
            </w:r>
          </w:p>
        </w:tc>
      </w:tr>
      <w:tr>
        <w:trPr>
          <w:trHeight w:val="186"/>
        </w:trPr>
        <w:tc>
          <w:tcPr>
            <w:tcW w:w="3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3580" w:type="dxa"/>
            <w:vAlign w:val="bottom"/>
          </w:tcPr>
          <w:p>
            <w:pPr>
              <w:spacing w:after="0"/>
              <w:rPr>
                <w:sz w:val="16"/>
                <w:szCs w:val="16"/>
                <w:color w:val="auto"/>
              </w:rPr>
            </w:pPr>
          </w:p>
        </w:tc>
        <w:tc>
          <w:tcPr>
            <w:tcW w:w="330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w:t>
            </w:r>
          </w:p>
        </w:tc>
      </w:tr>
      <w:tr>
        <w:trPr>
          <w:trHeight w:val="373"/>
        </w:trPr>
        <w:tc>
          <w:tcPr>
            <w:tcW w:w="3580" w:type="dxa"/>
            <w:vAlign w:val="bottom"/>
          </w:tcPr>
          <w:p>
            <w:pPr>
              <w:spacing w:after="0"/>
              <w:rPr>
                <w:sz w:val="20"/>
                <w:szCs w:val="20"/>
                <w:color w:val="auto"/>
              </w:rPr>
            </w:pPr>
            <w:r>
              <w:rPr>
                <w:rFonts w:ascii="Courier New" w:cs="Courier New" w:eastAsia="Courier New" w:hAnsi="Courier New"/>
                <w:sz w:val="16"/>
                <w:szCs w:val="16"/>
                <w:color w:val="auto"/>
              </w:rPr>
              <w:t>Aviation Fueling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1,705,000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3,415,000</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Marine Fueling</w:t>
            </w:r>
          </w:p>
        </w:tc>
        <w:tc>
          <w:tcPr>
            <w:tcW w:w="480" w:type="dxa"/>
            <w:vAlign w:val="bottom"/>
          </w:tcPr>
          <w:p>
            <w:pPr>
              <w:spacing w:after="0"/>
              <w:rPr>
                <w:sz w:val="16"/>
                <w:szCs w:val="16"/>
                <w:color w:val="auto"/>
              </w:rPr>
            </w:pP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1,258,000</w:t>
            </w:r>
          </w:p>
        </w:tc>
        <w:tc>
          <w:tcPr>
            <w:tcW w:w="2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2,084,000</w:t>
            </w:r>
          </w:p>
        </w:tc>
      </w:tr>
      <w:tr>
        <w:trPr>
          <w:trHeight w:val="186"/>
        </w:trPr>
        <w:tc>
          <w:tcPr>
            <w:tcW w:w="3580" w:type="dxa"/>
            <w:vAlign w:val="bottom"/>
          </w:tcPr>
          <w:p>
            <w:pPr>
              <w:spacing w:after="0"/>
              <w:rPr>
                <w:sz w:val="20"/>
                <w:szCs w:val="20"/>
                <w:color w:val="auto"/>
              </w:rPr>
            </w:pPr>
            <w:r>
              <w:rPr>
                <w:rFonts w:ascii="Courier New" w:cs="Courier New" w:eastAsia="Courier New" w:hAnsi="Courier New"/>
                <w:sz w:val="16"/>
                <w:szCs w:val="16"/>
                <w:color w:val="auto"/>
              </w:rPr>
              <w:t>Corporate Overhead</w:t>
            </w:r>
          </w:p>
        </w:tc>
        <w:tc>
          <w:tcPr>
            <w:tcW w:w="480" w:type="dxa"/>
            <w:vAlign w:val="bottom"/>
          </w:tcPr>
          <w:p>
            <w:pPr>
              <w:spacing w:after="0"/>
              <w:rPr>
                <w:sz w:val="16"/>
                <w:szCs w:val="16"/>
                <w:color w:val="auto"/>
              </w:rPr>
            </w:pPr>
          </w:p>
        </w:tc>
        <w:tc>
          <w:tcPr>
            <w:tcW w:w="15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(4,603,000)</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(1,341,000)</w:t>
            </w:r>
          </w:p>
        </w:tc>
      </w:tr>
      <w:tr>
        <w:trPr>
          <w:trHeight w:val="186"/>
        </w:trPr>
        <w:tc>
          <w:tcPr>
            <w:tcW w:w="3580" w:type="dxa"/>
            <w:vAlign w:val="bottom"/>
          </w:tcPr>
          <w:p>
            <w:pPr>
              <w:spacing w:after="0"/>
              <w:rPr>
                <w:sz w:val="16"/>
                <w:szCs w:val="16"/>
                <w:color w:val="auto"/>
              </w:rPr>
            </w:pPr>
          </w:p>
        </w:tc>
        <w:tc>
          <w:tcPr>
            <w:tcW w:w="19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580" w:type="dxa"/>
            <w:vAlign w:val="bottom"/>
          </w:tcPr>
          <w:p>
            <w:pPr>
              <w:spacing w:after="0"/>
              <w:rPr>
                <w:sz w:val="20"/>
                <w:szCs w:val="20"/>
                <w:color w:val="auto"/>
              </w:rPr>
            </w:pPr>
            <w:r>
              <w:rPr>
                <w:rFonts w:ascii="Courier New" w:cs="Courier New" w:eastAsia="Courier New" w:hAnsi="Courier New"/>
                <w:sz w:val="16"/>
                <w:szCs w:val="16"/>
                <w:color w:val="auto"/>
              </w:rPr>
              <w:t>Total (Loss) Income from Operations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(1,640,000)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4,158,000</w:t>
            </w:r>
          </w:p>
        </w:tc>
      </w:tr>
      <w:tr>
        <w:trPr>
          <w:trHeight w:val="186"/>
        </w:trPr>
        <w:tc>
          <w:tcPr>
            <w:tcW w:w="3580" w:type="dxa"/>
            <w:vAlign w:val="bottom"/>
          </w:tcPr>
          <w:p>
            <w:pPr>
              <w:spacing w:after="0"/>
              <w:rPr>
                <w:sz w:val="16"/>
                <w:szCs w:val="16"/>
                <w:color w:val="auto"/>
              </w:rPr>
            </w:pPr>
          </w:p>
        </w:tc>
        <w:tc>
          <w:tcPr>
            <w:tcW w:w="198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The aviation fueling segment's income from operations was $1,705,000 for the three months ended September 30, 2000, a decrease of $1,710,000, or 50.1%, as compared to the three months ended September 30, 1999. This resulted from a decrease in volume and in the average gross profit per gallon sold. Partially offsetting was a decrease in the provision for bad debts. The marine fueling segment earned $1,258,000 in income from operations for the three months ended September 30, 2000, a decrease of $826,000, or 39.6%, over the corresponding period of the prior year. This decrease resulted from a volume decline in overall metric tons sold and brokered and higher provision for bad debts. Partially offsetting was an improved gross profit per metric ton on trade and brokered transactions.</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During the quarter ended September 30, 2000, the Company reported $617,000 in other income, net, compared to other expense, net, of $3,836,000, for the same quarter a year ago. For the three months ended September 30, 1999, the Company recorded a non-recurring charge in the marine segment due to the theft of product in Nigeria and a special charge to the provision for bad debts in the aviation joint venture in Ecuador related to certain customers based in Ecuador. Also contributing to the variance in other income and expense, net, were increases in net interest income, foreign exchange gains and a reduction to the previously provisioned write-down in the Company's aviation joint venture.</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Income taxes for the three months ended September 30, 2000, reflect the impact of the executive severance and provision for bad debts, for which the Company received an income tax benefit. Income taxes for the three months ended September 30, 1999, reflect the impact of the provision for bad debts and the non-recurring loss in marine, for which the Company did not receive an income tax benefit.</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Net income from continuing operations for the three months ended September 30, 2000 was $215,000, as compared to a net loss from continuing operations of $896,000 for the same period of the prior year. Diluted earnings per share on income from continuing operations was $0.02 as compared to a loss per share from continuing operations of $0.07 for the same period of the prior year.</w:t>
      </w:r>
    </w:p>
    <w:p>
      <w:pPr>
        <w:spacing w:after="0" w:line="18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14 of 19</w:t>
      </w:r>
    </w:p>
    <w:p>
      <w:pPr>
        <w:sectPr>
          <w:pgSz w:w="11900" w:h="16838" w:orient="portrait"/>
          <w:cols w:equalWidth="0" w:num="1">
            <w:col w:w="10219"/>
          </w:cols>
          <w:pgMar w:left="240" w:top="676" w:right="1440" w:bottom="1440" w:gutter="0" w:footer="0" w:header="0"/>
        </w:sectPr>
      </w:pPr>
    </w:p>
    <w:bookmarkStart w:id="14" w:name="page15"/>
    <w:bookmarkEnd w:id="14"/>
    <w:p>
      <w:pPr>
        <w:ind w:right="2559" w:firstLine="484"/>
        <w:spacing w:after="0" w:line="247" w:lineRule="auto"/>
        <w:rPr>
          <w:sz w:val="20"/>
          <w:szCs w:val="20"/>
          <w:color w:val="auto"/>
        </w:rPr>
      </w:pPr>
      <w:r>
        <w:rPr>
          <w:rFonts w:ascii="Courier New" w:cs="Courier New" w:eastAsia="Courier New" w:hAnsi="Courier New"/>
          <w:sz w:val="16"/>
          <w:szCs w:val="16"/>
          <w:color w:val="auto"/>
        </w:rPr>
        <w:t>Net income for the three months ended September 30, 2000 was $215,000, as compared to a net loss of $242,000 for the three months ended September 30, 1999. Diluted earnings per share was $0.02 for the three months ended September 30, 2000, as compared to a loss per share of $0.02 achieved during the same period of the prior year. The results for the second quarter of fiscal 2000 included $654,000, or $0.05 per diluted share, in income from discontinued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Cash and cash equivalents amounted to $19,114,000 at September 30, 2000, as compared to $32,773,000 at March 31, 2000. The principal uses of cash and cash equivalents during the first six months of fiscal 2001 were $9,168,000 for the payment of income taxes related to the discontinued operations, $2,588,000 for the purchase of treasury stock, $916,000 for capital expenditures and $1,096,000 in dividends paid on common stock. Partially offsetting these uses of cash and cash equivalents was $446,000 in net cash provided by continuing operating activities, net of $4,522,000 for the payment of severance and deferred compensation to the Company's former Chairman of the Board. Other components of changes in cash and cash equivalents are detailed in the Consolidated Statements of Cash Flows.</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Working capital as of September 30, 2000 was $74,700,000, representing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$659,000 increase from working capital as of March 31, 2000. As of September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the Company's accounts and notes receivable, excluding the allowance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bad debts, amounted to $161,501,000, an increase of $3,527,000, as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balance at March 31, 2000. In the aggregate, accounts payable, accrued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and customer deposits increased $3,840,000. The allowance for bad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debts, as of September 30, 2000, amounted to $12,386,000, a decrease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$2,816,000 as compared to the balance at March 31, 2000. During the first six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of fiscal 2001, the Company charged $6,427,000 to the provision for bad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debts and had charge-offs in excess of recoveries of $9,243,000.</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Capital expenditures for the six months ended September 30, 2000 consisted primarily of $692,000 for the purchase of computer equipment and $201,000 in computer software development costs.</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Stockholders' equity amounted to $99,537,000, or $9.33 per share at September 30, 2000, compared to $99,661,000, or $9.06 per share at March 31, 2000. This decrease of $124,000 was primarily due to the declaration of dividends of $1,079,000 and purchases of treasury stock of $2,588,000, partially offset by $3,462,000 in earnings for the six months ended September 30, 2000.</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Company expects to meet its working capital requirements and capital expenditures for fiscal 2001 from existing cash, operations and borrowings, as necessary, under its existing line of credit.</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The Company's business has been, and will continue to be affected by the rapid, and sustained increase in fuel prices.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This document includes forward-looking statements. The words believes, intends, expects, anticipates, projects, estimates, predicts, and similar expressions are intended to identify forward-looking statements. Such statements, estimates, and projections reflect various assumptions by the Company's management concerning anticipated results, and are subject to significant business,</w:t>
      </w:r>
    </w:p>
    <w:p>
      <w:pPr>
        <w:spacing w:after="0" w:line="18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15 of 19</w:t>
      </w:r>
    </w:p>
    <w:p>
      <w:pPr>
        <w:sectPr>
          <w:pgSz w:w="11900" w:h="16838" w:orient="portrait"/>
          <w:cols w:equalWidth="0" w:num="1">
            <w:col w:w="10219"/>
          </w:cols>
          <w:pgMar w:left="240" w:top="676" w:right="1440" w:bottom="1440" w:gutter="0" w:footer="0" w:header="0"/>
        </w:sectPr>
      </w:pPr>
    </w:p>
    <w:bookmarkStart w:id="15" w:name="page16"/>
    <w:bookmarkEnd w:id="15"/>
    <w:p>
      <w:pPr>
        <w:ind w:right="2459"/>
        <w:spacing w:after="0" w:line="246" w:lineRule="auto"/>
        <w:rPr>
          <w:sz w:val="20"/>
          <w:szCs w:val="20"/>
          <w:color w:val="auto"/>
        </w:rPr>
      </w:pPr>
      <w:r>
        <w:rPr>
          <w:rFonts w:ascii="Courier New" w:cs="Courier New" w:eastAsia="Courier New" w:hAnsi="Courier New"/>
          <w:sz w:val="16"/>
          <w:szCs w:val="16"/>
          <w:color w:val="auto"/>
        </w:rPr>
        <w:t>economic and competitive risks and contingencies, many of which are beyond management's control. Factors that could cause results to differ include, but are not limited to, quarterly fluctuations in results; the management of growth; fluctuations in world oil prices or foreign currency; major changes in political, economic, regulatory or environmental conditions; the loss of key customers, suppliers or members of senior management; uninsured losses; competition; credit risk associated with accounts and notes receivable; and other risks detailed in this report and in the Company's other Securities and Exchange Commission filings. Actual results may differ materially from any forward-looking statements set forth herein.</w:t>
      </w:r>
    </w:p>
    <w:p>
      <w:pPr>
        <w:spacing w:after="0" w:line="1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3.</w:t>
        <w:tab/>
        <w:t>QUANTITATIVE AND QUALITATIVE DISCLOSURES ABOUT MARKET RISK</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 -------</w:t>
        <w:tab/>
        <w:t>----------------------------------------------------------</w:t>
      </w:r>
    </w:p>
    <w:p>
      <w:pPr>
        <w:spacing w:after="0" w:line="191" w:lineRule="exact"/>
        <w:rPr>
          <w:sz w:val="20"/>
          <w:szCs w:val="20"/>
          <w:color w:val="auto"/>
        </w:rPr>
      </w:pPr>
    </w:p>
    <w:p>
      <w:pPr>
        <w:jc w:val="both"/>
        <w:ind w:right="2659" w:firstLine="484"/>
        <w:spacing w:after="0" w:line="248" w:lineRule="auto"/>
        <w:rPr>
          <w:sz w:val="20"/>
          <w:szCs w:val="20"/>
          <w:color w:val="auto"/>
        </w:rPr>
      </w:pPr>
      <w:r>
        <w:rPr>
          <w:rFonts w:ascii="Courier New" w:cs="Courier New" w:eastAsia="Courier New" w:hAnsi="Courier New"/>
          <w:sz w:val="16"/>
          <w:szCs w:val="16"/>
          <w:color w:val="auto"/>
        </w:rPr>
        <w:t>The Company has no material changes to the disclosure made on this matter in the Company's annual report on Form 10-K for the year ended March 31, 2000.</w:t>
      </w:r>
    </w:p>
    <w:p>
      <w:pPr>
        <w:spacing w:after="0" w:line="184" w:lineRule="exact"/>
        <w:rPr>
          <w:sz w:val="20"/>
          <w:szCs w:val="20"/>
          <w:color w:val="auto"/>
        </w:rPr>
      </w:pPr>
    </w:p>
    <w:p>
      <w:pPr>
        <w:ind w:left="2520"/>
        <w:spacing w:after="0"/>
        <w:tabs>
          <w:tab w:leader="none" w:pos="346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w:t>
        <w:tab/>
        <w:t>LEGAL PROCEEDINGS</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In April 2000, the Company filed arbitration proceedings against EarthCare to collect approximately $3,827,000 due to the Company pursuant to the stock purchase agreement between EarthCare and the Company relating to the sale of the Company's oil recycling segment. In May 2000, EarthCare filed a response to the Company's action which asserts defenses and counterclaims against the Company as a result of alleged breaches by the Company of certain representations under the stock purchase agreement. The Company believes that EarthCare's allegations are without merit and is vigorously prosecuting its action against EarthCare. In October 2000, the Company received notice that the arbitration hearing is set for March 2001. There can be no assurance that the Company will prevail in this arbitration and management cannot estimate the exposure or recovery to the Company if it does not prevail.</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is also involved in litigation and administrative proceedings primarily arising in the normal course of its business. In the opinion of management, except as set forth above and in the Company's annual report on Form 10-K for the year ended March 31, 2000 and quarterly report on Form 10-Q for the quarterly period ended June 30, 2000, the Company's liability, if any, under any pending litigation or administrative proceedings will not materially affect its financial condition or results of operations.</w:t>
      </w:r>
    </w:p>
    <w:p>
      <w:pPr>
        <w:spacing w:after="0" w:line="1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2.</w:t>
        <w:tab/>
        <w:t>CHANGES IN SECURITIES AND USE OF PROCEEDS</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On September 12, 2000, the Company issued 500 shares of its common stock and options to purchase 2,500 shares of its common stock to each of the five non-employee directors of the Company, pursuant to plans previously adopted by the Board of Directors. The options have an exercise price of $8.875 per share. On July 1, 2000, the Company granted a warrant to an investment-banking firm in connection with the engagement of such firm to provide advisory services to the Company. The warrant entitles the holder to purchase up to 50,000 shares of the Company's common stock at an exercise price of $9.50 per share, for a period of three years. The vesting period of the warrant is one year.</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16 of 19</w:t>
      </w:r>
    </w:p>
    <w:p>
      <w:pPr>
        <w:sectPr>
          <w:pgSz w:w="11900" w:h="16838" w:orient="portrait"/>
          <w:cols w:equalWidth="0" w:num="1">
            <w:col w:w="10219"/>
          </w:cols>
          <w:pgMar w:left="240" w:top="676" w:right="1440" w:bottom="1440" w:gutter="0" w:footer="0" w:header="0"/>
        </w:sectPr>
      </w:pPr>
    </w:p>
    <w:bookmarkStart w:id="16" w:name="page17"/>
    <w:bookmarkEnd w:id="16"/>
    <w:p>
      <w:pPr>
        <w:ind w:right="2459" w:firstLine="484"/>
        <w:spacing w:after="0" w:line="247" w:lineRule="auto"/>
        <w:rPr>
          <w:sz w:val="20"/>
          <w:szCs w:val="20"/>
          <w:color w:val="auto"/>
        </w:rPr>
      </w:pPr>
      <w:r>
        <w:rPr>
          <w:rFonts w:ascii="Courier New" w:cs="Courier New" w:eastAsia="Courier New" w:hAnsi="Courier New"/>
          <w:sz w:val="16"/>
          <w:szCs w:val="16"/>
          <w:color w:val="auto"/>
        </w:rPr>
        <w:t>The securities described above were issued in reliance upon section 4(2) of the Securities Act of 1933. The holders represented to the Company their intention to hold and acquire the securities for investment purposes only and not with a view to sell the securities in connection with any distribution thereof. The holders had adequate access to information about the Company. The Company believes that the holders are accredited investors as defined in Rule 501 promulgated under the Securities Act of 1933.</w:t>
      </w:r>
    </w:p>
    <w:p>
      <w:pPr>
        <w:sectPr>
          <w:pgSz w:w="11900" w:h="16838" w:orient="portrait"/>
          <w:cols w:equalWidth="0" w:num="1">
            <w:col w:w="10219"/>
          </w:cols>
          <w:pgMar w:left="240" w:top="676" w:right="1440" w:bottom="1440" w:gutter="0" w:footer="0" w:header="0"/>
        </w:sectPr>
      </w:pPr>
    </w:p>
    <w:p>
      <w:pPr>
        <w:spacing w:after="0" w:line="185" w:lineRule="exact"/>
        <w:rPr>
          <w:sz w:val="20"/>
          <w:szCs w:val="20"/>
          <w:color w:val="auto"/>
        </w:rPr>
      </w:pPr>
    </w:p>
    <w:p>
      <w:pPr>
        <w:spacing w:after="0" w:line="248" w:lineRule="auto"/>
        <w:rPr>
          <w:sz w:val="20"/>
          <w:szCs w:val="20"/>
          <w:color w:val="auto"/>
        </w:rPr>
      </w:pPr>
      <w:r>
        <w:rPr>
          <w:rFonts w:ascii="Courier New" w:cs="Courier New" w:eastAsia="Courier New" w:hAnsi="Courier New"/>
          <w:sz w:val="16"/>
          <w:szCs w:val="16"/>
          <w:color w:val="auto"/>
        </w:rPr>
        <w:t>ITEM 3.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DEFAULTS UPON SENIOR SECURITIES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sectPr>
          <w:pgSz w:w="11900" w:h="16838" w:orient="portrait"/>
          <w:cols w:equalWidth="0" w:num="2">
            <w:col w:w="780" w:space="180"/>
            <w:col w:w="9259"/>
          </w:cols>
          <w:pgMar w:left="240" w:top="676"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676" w:right="1440" w:bottom="1440" w:gutter="0" w:footer="0" w:header="0"/>
          <w:type w:val="continuous"/>
        </w:sectPr>
      </w:pPr>
    </w:p>
    <w:p>
      <w:pPr>
        <w:spacing w:after="0" w:line="191" w:lineRule="exact"/>
        <w:rPr>
          <w:sz w:val="20"/>
          <w:szCs w:val="20"/>
          <w:color w:val="auto"/>
        </w:rPr>
      </w:pPr>
    </w:p>
    <w:p>
      <w:pPr>
        <w:spacing w:after="0" w:line="248" w:lineRule="auto"/>
        <w:rPr>
          <w:sz w:val="20"/>
          <w:szCs w:val="20"/>
          <w:color w:val="auto"/>
        </w:rPr>
      </w:pPr>
      <w:r>
        <w:rPr>
          <w:rFonts w:ascii="Courier New" w:cs="Courier New" w:eastAsia="Courier New" w:hAnsi="Courier New"/>
          <w:sz w:val="16"/>
          <w:szCs w:val="16"/>
          <w:color w:val="auto"/>
        </w:rPr>
        <w:t>ITEM 4. -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SUBMISSION OF MATTERS TO A VOTE OF SECURITY HOLDERS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sectPr>
          <w:pgSz w:w="11900" w:h="16838" w:orient="portrait"/>
          <w:cols w:equalWidth="0" w:num="2">
            <w:col w:w="780" w:space="180"/>
            <w:col w:w="9259"/>
          </w:cols>
          <w:pgMar w:left="240" w:top="676"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The Company's annual meeting of stockholders was held on September 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matters voted on at the annual meeting were to elect the directors of the Company and to increase the number of shares of common stock reserved under the 1993 Non-Employee Directors Stock Option Plan. All of the Company's director nominees were elected and the proposal was approved.</w:t>
      </w:r>
    </w:p>
    <w:p>
      <w:pPr>
        <w:spacing w:after="0" w:line="186"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The following tables set forth the voting on the matters submitted to a vote at the annual meeting: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Election</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of Directors</w:t>
            </w: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6"/>
        </w:trPr>
        <w:tc>
          <w:tcPr>
            <w:tcW w:w="300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73"/>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Name of Director</w:t>
            </w:r>
          </w:p>
        </w:tc>
        <w:tc>
          <w:tcPr>
            <w:tcW w:w="200" w:type="dxa"/>
            <w:vAlign w:val="bottom"/>
          </w:tcPr>
          <w:p>
            <w:pPr>
              <w:spacing w:after="0"/>
              <w:rPr>
                <w:sz w:val="24"/>
                <w:szCs w:val="24"/>
                <w:color w:val="auto"/>
              </w:rPr>
            </w:pPr>
          </w:p>
        </w:tc>
        <w:tc>
          <w:tcPr>
            <w:tcW w:w="1840" w:type="dxa"/>
            <w:vAlign w:val="bottom"/>
          </w:tcPr>
          <w:p>
            <w:pPr>
              <w:ind w:left="580"/>
              <w:spacing w:after="0"/>
              <w:rPr>
                <w:sz w:val="20"/>
                <w:szCs w:val="20"/>
                <w:color w:val="auto"/>
              </w:rPr>
            </w:pPr>
            <w:r>
              <w:rPr>
                <w:rFonts w:ascii="Courier New" w:cs="Courier New" w:eastAsia="Courier New" w:hAnsi="Courier New"/>
                <w:sz w:val="16"/>
                <w:szCs w:val="16"/>
                <w:color w:val="auto"/>
              </w:rPr>
              <w:t>Votes For</w:t>
            </w:r>
          </w:p>
        </w:tc>
        <w:tc>
          <w:tcPr>
            <w:tcW w:w="26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Votes Against</w:t>
            </w:r>
          </w:p>
        </w:tc>
      </w:tr>
      <w:tr>
        <w:trPr>
          <w:trHeight w:val="186"/>
        </w:trPr>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c>
          <w:tcPr>
            <w:tcW w:w="26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Jerrold Blair</w:t>
            </w:r>
          </w:p>
        </w:tc>
        <w:tc>
          <w:tcPr>
            <w:tcW w:w="200" w:type="dxa"/>
            <w:vAlign w:val="bottom"/>
          </w:tcPr>
          <w:p>
            <w:pPr>
              <w:spacing w:after="0"/>
              <w:rPr>
                <w:sz w:val="16"/>
                <w:szCs w:val="16"/>
                <w:color w:val="auto"/>
              </w:rPr>
            </w:pP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8,759,126</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601,762</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rPr>
              <w:t>Ralph R. Feuerring</w:t>
            </w: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9,130,185</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230,703</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3.</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John R. Benbow</w:t>
            </w:r>
          </w:p>
        </w:tc>
        <w:tc>
          <w:tcPr>
            <w:tcW w:w="200" w:type="dxa"/>
            <w:vAlign w:val="bottom"/>
          </w:tcPr>
          <w:p>
            <w:pPr>
              <w:spacing w:after="0"/>
              <w:rPr>
                <w:sz w:val="16"/>
                <w:szCs w:val="16"/>
                <w:color w:val="auto"/>
              </w:rPr>
            </w:pP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9,131,890</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228,998</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4.</w:t>
            </w:r>
          </w:p>
        </w:tc>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rPr>
              <w:t>Phillip S. Bradley</w:t>
            </w: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9,117,306</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243,582</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5.</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Myles Klein</w:t>
            </w:r>
          </w:p>
        </w:tc>
        <w:tc>
          <w:tcPr>
            <w:tcW w:w="200" w:type="dxa"/>
            <w:vAlign w:val="bottom"/>
          </w:tcPr>
          <w:p>
            <w:pPr>
              <w:spacing w:after="0"/>
              <w:rPr>
                <w:sz w:val="16"/>
                <w:szCs w:val="16"/>
                <w:color w:val="auto"/>
              </w:rPr>
            </w:pP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9,170,510</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190,378</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6.</w:t>
            </w:r>
          </w:p>
        </w:tc>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Michael J. Kasbar</w:t>
            </w:r>
          </w:p>
        </w:tc>
        <w:tc>
          <w:tcPr>
            <w:tcW w:w="200" w:type="dxa"/>
            <w:vAlign w:val="bottom"/>
          </w:tcPr>
          <w:p>
            <w:pPr>
              <w:spacing w:after="0"/>
              <w:rPr>
                <w:sz w:val="16"/>
                <w:szCs w:val="16"/>
                <w:color w:val="auto"/>
              </w:rPr>
            </w:pP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9,180,292</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180,596</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7.</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Paul H. Stebbins</w:t>
            </w:r>
          </w:p>
        </w:tc>
        <w:tc>
          <w:tcPr>
            <w:tcW w:w="200" w:type="dxa"/>
            <w:vAlign w:val="bottom"/>
          </w:tcPr>
          <w:p>
            <w:pPr>
              <w:spacing w:after="0"/>
              <w:rPr>
                <w:sz w:val="16"/>
                <w:szCs w:val="16"/>
                <w:color w:val="auto"/>
              </w:rPr>
            </w:pP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9,181,492</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179,396</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Luis R. Tinoco</w:t>
            </w:r>
          </w:p>
        </w:tc>
        <w:tc>
          <w:tcPr>
            <w:tcW w:w="200" w:type="dxa"/>
            <w:vAlign w:val="bottom"/>
          </w:tcPr>
          <w:p>
            <w:pPr>
              <w:spacing w:after="0"/>
              <w:rPr>
                <w:sz w:val="16"/>
                <w:szCs w:val="16"/>
                <w:color w:val="auto"/>
              </w:rPr>
            </w:pP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9,097,263</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263,625</w:t>
            </w:r>
          </w:p>
        </w:tc>
      </w:tr>
      <w:tr>
        <w:trPr>
          <w:trHeight w:val="186"/>
        </w:trPr>
        <w:tc>
          <w:tcPr>
            <w:tcW w:w="820" w:type="dxa"/>
            <w:vAlign w:val="bottom"/>
          </w:tcPr>
          <w:p>
            <w:pPr>
              <w:spacing w:after="0"/>
              <w:rPr>
                <w:sz w:val="16"/>
                <w:szCs w:val="16"/>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1640" w:type="dxa"/>
            <w:vAlign w:val="bottom"/>
          </w:tcPr>
          <w:p>
            <w:pPr>
              <w:spacing w:after="0"/>
              <w:rPr>
                <w:sz w:val="20"/>
                <w:szCs w:val="20"/>
                <w:color w:val="auto"/>
              </w:rPr>
            </w:pPr>
            <w:r>
              <w:rPr>
                <w:rFonts w:ascii="Courier New" w:cs="Courier New" w:eastAsia="Courier New" w:hAnsi="Courier New"/>
                <w:sz w:val="16"/>
                <w:szCs w:val="16"/>
                <w:color w:val="auto"/>
              </w:rPr>
              <w:t>Jerome Sidel</w:t>
            </w:r>
          </w:p>
        </w:tc>
        <w:tc>
          <w:tcPr>
            <w:tcW w:w="200" w:type="dxa"/>
            <w:vAlign w:val="bottom"/>
          </w:tcPr>
          <w:p>
            <w:pPr>
              <w:spacing w:after="0"/>
              <w:rPr>
                <w:sz w:val="16"/>
                <w:szCs w:val="16"/>
                <w:color w:val="auto"/>
              </w:rPr>
            </w:pPr>
          </w:p>
        </w:tc>
        <w:tc>
          <w:tcPr>
            <w:tcW w:w="18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9,167,946</w:t>
            </w:r>
          </w:p>
        </w:tc>
        <w:tc>
          <w:tcPr>
            <w:tcW w:w="26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192,942</w:t>
            </w:r>
          </w:p>
        </w:tc>
      </w:tr>
      <w:tr>
        <w:trPr>
          <w:trHeight w:val="559"/>
        </w:trPr>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Increase</w:t>
            </w:r>
          </w:p>
        </w:tc>
        <w:tc>
          <w:tcPr>
            <w:tcW w:w="6300" w:type="dxa"/>
            <w:vAlign w:val="bottom"/>
            <w:gridSpan w:val="4"/>
          </w:tcPr>
          <w:p>
            <w:pPr>
              <w:spacing w:after="0"/>
              <w:rPr>
                <w:sz w:val="20"/>
                <w:szCs w:val="20"/>
                <w:color w:val="auto"/>
              </w:rPr>
            </w:pPr>
            <w:r>
              <w:rPr>
                <w:rFonts w:ascii="Courier New" w:cs="Courier New" w:eastAsia="Courier New" w:hAnsi="Courier New"/>
                <w:sz w:val="16"/>
                <w:szCs w:val="16"/>
                <w:color w:val="auto"/>
              </w:rPr>
              <w:t>the number of shares of common stock reserved under the 1993 Non-</w:t>
            </w:r>
          </w:p>
        </w:tc>
      </w:tr>
      <w:tr>
        <w:trPr>
          <w:trHeight w:val="186"/>
        </w:trPr>
        <w:tc>
          <w:tcPr>
            <w:tcW w:w="7660" w:type="dxa"/>
            <w:vAlign w:val="bottom"/>
            <w:gridSpan w:val="6"/>
          </w:tcPr>
          <w:p>
            <w:pPr>
              <w:ind w:left="480"/>
              <w:spacing w:after="0"/>
              <w:rPr>
                <w:sz w:val="20"/>
                <w:szCs w:val="20"/>
                <w:color w:val="auto"/>
              </w:rPr>
            </w:pPr>
            <w:r>
              <w:rPr>
                <w:rFonts w:ascii="Courier New" w:cs="Courier New" w:eastAsia="Courier New" w:hAnsi="Courier New"/>
                <w:sz w:val="16"/>
                <w:szCs w:val="16"/>
                <w:color w:val="auto"/>
              </w:rPr>
              <w:t>--------------------------------------------------------------------------</w:t>
            </w:r>
          </w:p>
        </w:tc>
      </w:tr>
      <w:tr>
        <w:trPr>
          <w:trHeight w:val="186"/>
        </w:trPr>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Employee</w:t>
            </w:r>
          </w:p>
        </w:tc>
        <w:tc>
          <w:tcPr>
            <w:tcW w:w="3680" w:type="dxa"/>
            <w:vAlign w:val="bottom"/>
            <w:gridSpan w:val="3"/>
          </w:tcPr>
          <w:p>
            <w:pPr>
              <w:spacing w:after="0"/>
              <w:rPr>
                <w:sz w:val="20"/>
                <w:szCs w:val="20"/>
                <w:color w:val="auto"/>
              </w:rPr>
            </w:pPr>
            <w:r>
              <w:rPr>
                <w:rFonts w:ascii="Courier New" w:cs="Courier New" w:eastAsia="Courier New" w:hAnsi="Courier New"/>
                <w:sz w:val="16"/>
                <w:szCs w:val="16"/>
                <w:color w:val="auto"/>
              </w:rPr>
              <w:t>Directors Stock Option Plan</w:t>
            </w:r>
          </w:p>
        </w:tc>
        <w:tc>
          <w:tcPr>
            <w:tcW w:w="2620" w:type="dxa"/>
            <w:vAlign w:val="bottom"/>
          </w:tcPr>
          <w:p>
            <w:pPr>
              <w:spacing w:after="0"/>
              <w:rPr>
                <w:sz w:val="16"/>
                <w:szCs w:val="16"/>
                <w:color w:val="auto"/>
              </w:rPr>
            </w:pPr>
          </w:p>
        </w:tc>
      </w:tr>
      <w:tr>
        <w:trPr>
          <w:trHeight w:val="186"/>
        </w:trPr>
        <w:tc>
          <w:tcPr>
            <w:tcW w:w="5040" w:type="dxa"/>
            <w:vAlign w:val="bottom"/>
            <w:gridSpan w:val="5"/>
          </w:tcPr>
          <w:p>
            <w:pPr>
              <w:ind w:left="480"/>
              <w:spacing w:after="0"/>
              <w:rPr>
                <w:sz w:val="20"/>
                <w:szCs w:val="20"/>
                <w:color w:val="auto"/>
              </w:rPr>
            </w:pPr>
            <w:r>
              <w:rPr>
                <w:rFonts w:ascii="Courier New" w:cs="Courier New" w:eastAsia="Courier New" w:hAnsi="Courier New"/>
                <w:sz w:val="16"/>
                <w:szCs w:val="16"/>
                <w:color w:val="auto"/>
              </w:rPr>
              <w:t>------------------------------------</w:t>
            </w:r>
          </w:p>
        </w:tc>
        <w:tc>
          <w:tcPr>
            <w:tcW w:w="2620" w:type="dxa"/>
            <w:vAlign w:val="bottom"/>
          </w:tcPr>
          <w:p>
            <w:pPr>
              <w:spacing w:after="0"/>
              <w:rPr>
                <w:sz w:val="16"/>
                <w:szCs w:val="16"/>
                <w:color w:val="auto"/>
              </w:rPr>
            </w:pPr>
          </w:p>
        </w:tc>
      </w:tr>
      <w:tr>
        <w:trPr>
          <w:trHeight w:val="373"/>
        </w:trPr>
        <w:tc>
          <w:tcPr>
            <w:tcW w:w="820" w:type="dxa"/>
            <w:vAlign w:val="bottom"/>
          </w:tcPr>
          <w:p>
            <w:pPr>
              <w:spacing w:after="0"/>
              <w:rPr>
                <w:sz w:val="24"/>
                <w:szCs w:val="24"/>
                <w:color w:val="auto"/>
              </w:rPr>
            </w:pPr>
          </w:p>
        </w:tc>
        <w:tc>
          <w:tcPr>
            <w:tcW w:w="2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Votes For</w:t>
            </w:r>
          </w:p>
        </w:tc>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Votes Against</w:t>
            </w:r>
          </w:p>
        </w:tc>
        <w:tc>
          <w:tcPr>
            <w:tcW w:w="262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Votes Abstained</w:t>
            </w:r>
          </w:p>
        </w:tc>
      </w:tr>
      <w:tr>
        <w:trPr>
          <w:trHeight w:val="186"/>
        </w:trPr>
        <w:tc>
          <w:tcPr>
            <w:tcW w:w="820" w:type="dxa"/>
            <w:vAlign w:val="bottom"/>
          </w:tcPr>
          <w:p>
            <w:pPr>
              <w:spacing w:after="0"/>
              <w:rPr>
                <w:sz w:val="16"/>
                <w:szCs w:val="16"/>
                <w:color w:val="auto"/>
              </w:rPr>
            </w:pPr>
          </w:p>
        </w:tc>
        <w:tc>
          <w:tcPr>
            <w:tcW w:w="2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w w:val="99"/>
              </w:rPr>
              <w:t>-------------</w:t>
            </w:r>
          </w:p>
        </w:tc>
        <w:tc>
          <w:tcPr>
            <w:tcW w:w="262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2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8,519,043</w:t>
            </w:r>
          </w:p>
        </w:tc>
        <w:tc>
          <w:tcPr>
            <w:tcW w:w="200" w:type="dxa"/>
            <w:vAlign w:val="bottom"/>
          </w:tcPr>
          <w:p>
            <w:pPr>
              <w:spacing w:after="0"/>
              <w:rPr>
                <w:sz w:val="16"/>
                <w:szCs w:val="16"/>
                <w:color w:val="auto"/>
              </w:rPr>
            </w:pPr>
          </w:p>
        </w:tc>
        <w:tc>
          <w:tcPr>
            <w:tcW w:w="184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795,662</w:t>
            </w:r>
          </w:p>
        </w:tc>
        <w:tc>
          <w:tcPr>
            <w:tcW w:w="262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46,183</w:t>
            </w:r>
          </w:p>
        </w:tc>
      </w:tr>
      <w:tr>
        <w:trPr>
          <w:trHeight w:val="559"/>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21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OTHER INFORMATION</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20" w:type="dxa"/>
            <w:vAlign w:val="bottom"/>
          </w:tcPr>
          <w:p>
            <w:pPr>
              <w:spacing w:after="0"/>
              <w:rPr>
                <w:sz w:val="16"/>
                <w:szCs w:val="16"/>
                <w:color w:val="auto"/>
              </w:rPr>
            </w:pPr>
          </w:p>
        </w:tc>
      </w:tr>
    </w:tbl>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37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17 of 19</w:t>
      </w:r>
    </w:p>
    <w:p>
      <w:pPr>
        <w:sectPr>
          <w:pgSz w:w="11900" w:h="16838" w:orient="portrait"/>
          <w:cols w:equalWidth="0" w:num="1">
            <w:col w:w="10219"/>
          </w:cols>
          <w:pgMar w:left="240" w:top="676" w:right="1440" w:bottom="1440" w:gutter="0" w:footer="0" w:header="0"/>
          <w:type w:val="continuous"/>
        </w:sectPr>
      </w:pPr>
    </w:p>
    <w:bookmarkStart w:id="17" w:name="page18"/>
    <w:bookmarkEnd w:id="17"/>
    <w:p>
      <w:pPr>
        <w:ind w:left="1"/>
        <w:spacing w:after="0"/>
        <w:tabs>
          <w:tab w:leader="none" w:pos="9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961" w:hanging="961"/>
        <w:spacing w:after="0"/>
        <w:tabs>
          <w:tab w:leader="none" w:pos="9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1" w:lineRule="exact"/>
        <w:rPr>
          <w:rFonts w:ascii="Courier New" w:cs="Courier New" w:eastAsia="Courier New" w:hAnsi="Courier New"/>
          <w:sz w:val="16"/>
          <w:szCs w:val="16"/>
          <w:color w:val="auto"/>
        </w:rPr>
      </w:pPr>
    </w:p>
    <w:p>
      <w:pPr>
        <w:ind w:left="1941" w:right="2659" w:hanging="96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27.1Financial data schedule for the six months ended September 30, 2000.</w:t>
      </w:r>
    </w:p>
    <w:p>
      <w:pPr>
        <w:spacing w:after="0" w:line="184" w:lineRule="exact"/>
        <w:rPr>
          <w:rFonts w:ascii="Courier New" w:cs="Courier New" w:eastAsia="Courier New" w:hAnsi="Courier New"/>
          <w:sz w:val="16"/>
          <w:szCs w:val="16"/>
          <w:color w:val="auto"/>
        </w:rPr>
      </w:pPr>
    </w:p>
    <w:p>
      <w:pPr>
        <w:ind w:left="961" w:hanging="961"/>
        <w:spacing w:after="0"/>
        <w:tabs>
          <w:tab w:leader="none" w:pos="9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sz w:val="20"/>
          <w:szCs w:val="20"/>
          <w:color w:val="auto"/>
        </w:rPr>
      </w:pPr>
    </w:p>
    <w:p>
      <w:pPr>
        <w:ind w:left="961" w:right="2559"/>
        <w:spacing w:after="0" w:line="248" w:lineRule="auto"/>
        <w:rPr>
          <w:sz w:val="20"/>
          <w:szCs w:val="20"/>
          <w:color w:val="auto"/>
        </w:rPr>
      </w:pPr>
      <w:r>
        <w:rPr>
          <w:rFonts w:ascii="Courier New" w:cs="Courier New" w:eastAsia="Courier New" w:hAnsi="Courier New"/>
          <w:sz w:val="16"/>
          <w:szCs w:val="16"/>
          <w:color w:val="auto"/>
        </w:rPr>
        <w:t>During the quarter ended September 30, 2000, the Company did not file any reports on Form 8-K.</w:t>
      </w:r>
    </w:p>
    <w:p>
      <w:pPr>
        <w:spacing w:after="0" w:line="184"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Page 18 of 19</w:t>
      </w:r>
    </w:p>
    <w:p>
      <w:pPr>
        <w:sectPr>
          <w:pgSz w:w="11900" w:h="16838" w:orient="portrait"/>
          <w:cols w:equalWidth="0" w:num="1">
            <w:col w:w="10220"/>
          </w:cols>
          <w:pgMar w:left="239" w:top="676" w:right="1440" w:bottom="1440" w:gutter="0" w:footer="0" w:header="0"/>
        </w:sectPr>
      </w:pPr>
    </w:p>
    <w:bookmarkStart w:id="18" w:name="page19"/>
    <w:bookmarkEnd w:id="18"/>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right="3239"/>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spacing w:after="0"/>
        <w:tabs>
          <w:tab w:leader="none" w:pos="2880" w:val="left"/>
        </w:tabs>
        <w:rPr>
          <w:sz w:val="20"/>
          <w:szCs w:val="20"/>
          <w:color w:val="auto"/>
        </w:rPr>
      </w:pPr>
      <w:r>
        <w:rPr>
          <w:rFonts w:ascii="Courier New" w:cs="Courier New" w:eastAsia="Courier New" w:hAnsi="Courier New"/>
          <w:sz w:val="16"/>
          <w:szCs w:val="16"/>
          <w:color w:val="auto"/>
        </w:rPr>
        <w:t>DATE: October 25, 2000</w:t>
      </w:r>
      <w:r>
        <w:rPr>
          <w:sz w:val="20"/>
          <w:szCs w:val="20"/>
          <w:color w:val="auto"/>
        </w:rPr>
        <w:tab/>
      </w:r>
      <w:r>
        <w:rPr>
          <w:rFonts w:ascii="Courier New" w:cs="Courier New" w:eastAsia="Courier New" w:hAnsi="Courier New"/>
          <w:sz w:val="16"/>
          <w:szCs w:val="16"/>
          <w:color w:val="auto"/>
        </w:rPr>
        <w:t>WORLD FUEL SERVICES CORPORATION</w:t>
      </w:r>
    </w:p>
    <w:p>
      <w:pPr>
        <w:spacing w:after="0" w:line="5"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 Paul Stebbins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PAUL STEBBINS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 Carlos A.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CARLOS A.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CHIEF FINANCIAL OFFICER and TREASURER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Page 19 of 19</w:t>
      </w:r>
    </w:p>
    <w:p>
      <w:pPr>
        <w:sectPr>
          <w:pgSz w:w="11900" w:h="16838" w:orient="portrait"/>
          <w:cols w:equalWidth="0" w:num="1">
            <w:col w:w="10219"/>
          </w:cols>
          <w:pgMar w:left="240" w:top="676" w:right="1440"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8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right="2639"/>
        <w:spacing w:after="0" w:line="24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COMPANY'S SEPTEMBER 30, 2000 UNAUDITED FINANCIAL STATEMENTS FILED ON FORM 10-Q AND IS QUALIFIED IN ITS ENTIRETY BY REFERENCE TO SUCH FINANCIAL STATEMENTS.</w:t>
      </w:r>
    </w:p>
    <w:p>
      <w:pPr>
        <w:spacing w:after="0" w:line="200" w:lineRule="exact"/>
        <w:rPr>
          <w:sz w:val="20"/>
          <w:szCs w:val="20"/>
          <w:color w:val="auto"/>
        </w:rPr>
      </w:pPr>
    </w:p>
    <w:p>
      <w:pPr>
        <w:spacing w:after="0" w:line="35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6-MOS</w:t>
      </w:r>
    </w:p>
    <w:p>
      <w:pPr>
        <w:spacing w:after="0" w:line="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MAR-31-2001</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SEP-30-2000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19,114,000</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161,137,000</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12,386,000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6,451,000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192,926,000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10,259,000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4,994,000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221,279,000</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118,226,000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125,000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99,412,000</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221,279,000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752,613,000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752,613,000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718,893,000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718,893,000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6,427,000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194,000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3,298,000</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(164,000)</w:t>
      </w:r>
    </w:p>
    <w:p>
      <w:pPr>
        <w:spacing w:after="0" w:line="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3,462,000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3,462,000</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0.32</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0.32</w:t>
      </w: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2019-12-11T18:35:46Z</dcterms:created>
  <dcterms:modified xsi:type="dcterms:W3CDTF">2019-12-11T18:35:46Z</dcterms:modified>
</cp:coreProperties>
</file>