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CLEMENTI MICHAEL</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4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8"/>
                <w:szCs w:val="18"/>
                <w:color w:val="0000FF"/>
              </w:rPr>
              <w:t>9800 N.W. 41ST STREET</w:t>
            </w:r>
          </w:p>
        </w:tc>
        <w:tc>
          <w:tcPr>
            <w:tcW w:w="1460" w:type="dxa"/>
            <w:vAlign w:val="bottom"/>
          </w:tcPr>
          <w:p>
            <w:pPr>
              <w:spacing w:after="0"/>
              <w:rPr>
                <w:sz w:val="19"/>
                <w:szCs w:val="19"/>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0000FF"/>
              </w:rPr>
              <w:t>08/13/2004</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 Aviation Fuel</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MIAMI</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4"/>
              </w:rPr>
              <w:t>FL</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33178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08/13/2004</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37.01</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3"/>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5,000 shares are granted to the reporting person by the issuer as restricted shares in accordance with the issuer's 2001 Omnibus Plan. The number shown is the closing price of the stock on the date preceding the issuance date and was not paid by the reporting person. 50% of these shares will vest on July 26, 2007 if reporting person is then employed by the issuer and the issuer achieves a compound average annual growth ("CAGR") in earnings per share of at least 11.5% during the three-year period commencing January 1, 2004. The remaining 50% will vest on July 26, 2007 if reporting person is then employed by the issuer and the issuer achieves a CAGR of at least 15% over the three-year period. If during the three-year period CAGR is 11.5% or higher but less than 15%, the reporting person shall receive a pro-rated portion of the remaining 50%.</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91"/>
              </w:rPr>
              <w:t>Michael Clementi</w:t>
            </w:r>
          </w:p>
        </w:tc>
        <w:tc>
          <w:tcPr>
            <w:tcW w:w="8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08/16/2004</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6131"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2019-12-17T11:17:53Z</dcterms:created>
  <dcterms:modified xsi:type="dcterms:W3CDTF">2019-12-17T11:17:53Z</dcterms:modified>
</cp:coreProperties>
</file>