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19" w:lineRule="exact"/>
        <w:rPr>
          <w:sz w:val="24"/>
          <w:szCs w:val="24"/>
          <w:color w:val="auto"/>
        </w:rPr>
      </w:pPr>
    </w:p>
    <w:p>
      <w:pPr>
        <w:ind w:left="5400"/>
        <w:spacing w:after="0"/>
        <w:rPr>
          <w:sz w:val="20"/>
          <w:szCs w:val="20"/>
          <w:color w:val="auto"/>
        </w:rPr>
      </w:pPr>
      <w:r>
        <w:rPr>
          <w:rFonts w:ascii="Arial" w:cs="Arial" w:eastAsia="Arial" w:hAnsi="Arial"/>
          <w:sz w:val="18"/>
          <w:szCs w:val="18"/>
          <w:b w:val="1"/>
          <w:bCs w:val="1"/>
          <w:color w:val="auto"/>
        </w:rPr>
        <w:t>CURRENT REPORT</w:t>
      </w:r>
    </w:p>
    <w:p>
      <w:pPr>
        <w:spacing w:after="0" w:line="131"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PURSUANT TO SECTION 13 OR 15(d) OF</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ind w:left="4500"/>
        <w:spacing w:after="0"/>
        <w:rPr>
          <w:sz w:val="20"/>
          <w:szCs w:val="20"/>
          <w:color w:val="auto"/>
        </w:rPr>
      </w:pPr>
      <w:r>
        <w:rPr>
          <w:rFonts w:ascii="Arial" w:cs="Arial" w:eastAsia="Arial" w:hAnsi="Arial"/>
          <w:sz w:val="18"/>
          <w:szCs w:val="18"/>
          <w:color w:val="auto"/>
        </w:rPr>
        <w:t>_________________________</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9"/>
          <w:szCs w:val="19"/>
          <w:b w:val="1"/>
          <w:bCs w:val="1"/>
          <w:color w:val="auto"/>
        </w:rPr>
        <w:t>February 23, 2023</w:t>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WORLD FUEL SERVICES CORPORATION</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084" w:right="339" w:bottom="1440" w:gutter="0" w:footer="0" w:header="0"/>
        </w:sectPr>
      </w:pPr>
    </w:p>
    <w:p>
      <w:pPr>
        <w:spacing w:after="0" w:line="154" w:lineRule="exact"/>
        <w:rPr>
          <w:sz w:val="24"/>
          <w:szCs w:val="24"/>
          <w:color w:val="auto"/>
        </w:rPr>
      </w:pPr>
    </w:p>
    <w:p>
      <w:pPr>
        <w:ind w:left="1560"/>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1-9533</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59-2459427</w:t>
      </w:r>
    </w:p>
    <w:p>
      <w:pPr>
        <w:spacing w:after="0" w:line="62" w:lineRule="exact"/>
        <w:rPr>
          <w:sz w:val="24"/>
          <w:szCs w:val="24"/>
          <w:color w:val="auto"/>
        </w:rPr>
      </w:pPr>
    </w:p>
    <w:p>
      <w:pPr>
        <w:sectPr>
          <w:pgSz w:w="11900" w:h="16838" w:orient="portrait"/>
          <w:cols w:equalWidth="0" w:num="3">
            <w:col w:w="4780" w:space="720"/>
            <w:col w:w="2780" w:space="720"/>
            <w:col w:w="2240"/>
          </w:cols>
          <w:pgMar w:left="320" w:top="1084" w:right="33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260" w:space="720"/>
            <w:col w:w="2720" w:space="720"/>
            <w:col w:w="2820"/>
          </w:cols>
          <w:pgMar w:left="320" w:top="1084" w:right="339" w:bottom="1440" w:gutter="0" w:footer="0" w:header="0"/>
          <w:type w:val="continuous"/>
        </w:sectPr>
      </w:pPr>
    </w:p>
    <w:p>
      <w:pPr>
        <w:spacing w:after="0" w:line="72" w:lineRule="exact"/>
        <w:rPr>
          <w:sz w:val="24"/>
          <w:szCs w:val="24"/>
          <w:color w:val="auto"/>
        </w:rPr>
      </w:pPr>
    </w:p>
    <w:p>
      <w:pPr>
        <w:ind w:left="20"/>
        <w:spacing w:after="0"/>
        <w:rPr>
          <w:sz w:val="20"/>
          <w:szCs w:val="20"/>
          <w:color w:val="auto"/>
        </w:rPr>
      </w:pPr>
      <w:r>
        <w:rPr>
          <w:rFonts w:ascii="Arial" w:cs="Arial" w:eastAsia="Arial" w:hAnsi="Arial"/>
          <w:sz w:val="19"/>
          <w:szCs w:val="19"/>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Miami,</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33178</w:t>
      </w:r>
    </w:p>
    <w:p>
      <w:pPr>
        <w:spacing w:after="0" w:line="118" w:lineRule="exact"/>
        <w:rPr>
          <w:sz w:val="24"/>
          <w:szCs w:val="24"/>
          <w:color w:val="auto"/>
        </w:rPr>
      </w:pPr>
    </w:p>
    <w:p>
      <w:pPr>
        <w:sectPr>
          <w:pgSz w:w="11900" w:h="16838" w:orient="portrait"/>
          <w:cols w:equalWidth="0" w:num="4">
            <w:col w:w="2060" w:space="580"/>
            <w:col w:w="680" w:space="300"/>
            <w:col w:w="2420" w:space="720"/>
            <w:col w:w="4480"/>
          </w:cols>
          <w:pgMar w:left="320" w:top="1084" w:right="339" w:bottom="1440" w:gutter="0" w:footer="0" w:header="0"/>
          <w:type w:val="continuous"/>
        </w:sectPr>
      </w:pPr>
    </w:p>
    <w:p>
      <w:pPr>
        <w:spacing w:after="0" w:line="5" w:lineRule="exact"/>
        <w:rPr>
          <w:sz w:val="24"/>
          <w:szCs w:val="24"/>
          <w:color w:val="auto"/>
        </w:rPr>
      </w:pPr>
    </w:p>
    <w:p>
      <w:pPr>
        <w:ind w:left="11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(Zip Code)</w:t>
      </w:r>
    </w:p>
    <w:p>
      <w:pPr>
        <w:spacing w:after="0" w:line="200" w:lineRule="exact"/>
        <w:rPr>
          <w:sz w:val="24"/>
          <w:szCs w:val="24"/>
          <w:color w:val="auto"/>
        </w:rPr>
      </w:pPr>
    </w:p>
    <w:p>
      <w:pPr>
        <w:sectPr>
          <w:pgSz w:w="11900" w:h="16838" w:orient="portrait"/>
          <w:cols w:equalWidth="0" w:num="2">
            <w:col w:w="5940" w:space="720"/>
            <w:col w:w="4580"/>
          </w:cols>
          <w:pgMar w:left="320" w:top="1084" w:right="339" w:bottom="1440" w:gutter="0" w:footer="0" w:header="0"/>
          <w:type w:val="continuous"/>
        </w:sectPr>
      </w:pPr>
    </w:p>
    <w:p>
      <w:pPr>
        <w:spacing w:after="0" w:line="2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240.14-12)</w:t>
      </w:r>
    </w:p>
    <w:p>
      <w:pPr>
        <w:spacing w:after="0" w:line="1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32"/>
        </w:trPr>
        <w:tc>
          <w:tcPr>
            <w:tcW w:w="1880" w:type="dxa"/>
            <w:vAlign w:val="bottom"/>
          </w:tcPr>
          <w:p>
            <w:pPr>
              <w:spacing w:after="0"/>
              <w:rPr>
                <w:sz w:val="24"/>
                <w:szCs w:val="24"/>
                <w:color w:val="auto"/>
              </w:rPr>
            </w:pPr>
          </w:p>
        </w:tc>
        <w:tc>
          <w:tcPr>
            <w:tcW w:w="3440" w:type="dxa"/>
            <w:vAlign w:val="bottom"/>
            <w:gridSpan w:val="2"/>
          </w:tcPr>
          <w:p>
            <w:pPr>
              <w:jc w:val="center"/>
              <w:ind w:right="2140"/>
              <w:spacing w:after="0"/>
              <w:rPr>
                <w:sz w:val="20"/>
                <w:szCs w:val="20"/>
                <w:color w:val="auto"/>
              </w:rPr>
            </w:pPr>
            <w:r>
              <w:rPr>
                <w:rFonts w:ascii="Arial" w:cs="Arial" w:eastAsia="Arial" w:hAnsi="Arial"/>
                <w:sz w:val="18"/>
                <w:szCs w:val="18"/>
                <w:color w:val="auto"/>
                <w:w w:val="90"/>
              </w:rPr>
              <w:t>Title of each class</w:t>
            </w:r>
          </w:p>
        </w:tc>
        <w:tc>
          <w:tcPr>
            <w:tcW w:w="218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99"/>
        </w:trPr>
        <w:tc>
          <w:tcPr>
            <w:tcW w:w="5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Common Stock, par value $0.01 per share</w:t>
            </w:r>
          </w:p>
        </w:tc>
        <w:tc>
          <w:tcPr>
            <w:tcW w:w="2180" w:type="dxa"/>
            <w:vAlign w:val="bottom"/>
            <w:gridSpan w:val="2"/>
          </w:tcPr>
          <w:p>
            <w:pPr>
              <w:jc w:val="center"/>
              <w:ind w:right="800"/>
              <w:spacing w:after="0"/>
              <w:rPr>
                <w:sz w:val="20"/>
                <w:szCs w:val="20"/>
                <w:color w:val="auto"/>
              </w:rPr>
            </w:pPr>
            <w:r>
              <w:rPr>
                <w:rFonts w:ascii="Arial" w:cs="Arial" w:eastAsia="Arial" w:hAnsi="Arial"/>
                <w:sz w:val="18"/>
                <w:szCs w:val="18"/>
                <w:color w:val="auto"/>
              </w:rPr>
              <w:t>INT</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62" w:lineRule="exact"/>
        <w:rPr>
          <w:sz w:val="20"/>
          <w:szCs w:val="20"/>
          <w:color w:val="auto"/>
        </w:rPr>
      </w:pPr>
    </w:p>
    <w:p>
      <w:pPr>
        <w:ind w:firstLine="64"/>
        <w:spacing w:after="0" w:line="277" w:lineRule="auto"/>
        <w:rPr>
          <w:sz w:val="20"/>
          <w:szCs w:val="20"/>
          <w:color w:val="auto"/>
        </w:rPr>
      </w:pPr>
      <w:r>
        <w:rPr>
          <w:rFonts w:ascii="Arial" w:cs="Arial" w:eastAsia="Arial" w:hAnsi="Arial"/>
          <w:sz w:val="18"/>
          <w:szCs w:val="18"/>
          <w:color w:val="auto"/>
        </w:rPr>
        <w:t>On February 23, 2023, World Fuel Services Corporation issued a press release reporting its financial results for the fourth quarter and full year ended December 31, 2022. A copy of the press release is attached hereto as Exhibit 99.1.</w:t>
      </w:r>
    </w:p>
    <w:p>
      <w:pPr>
        <w:spacing w:after="0" w:line="62" w:lineRule="exact"/>
        <w:rPr>
          <w:sz w:val="20"/>
          <w:szCs w:val="20"/>
          <w:color w:val="auto"/>
        </w:rPr>
      </w:pPr>
    </w:p>
    <w:p>
      <w:pPr>
        <w:jc w:val="both"/>
        <w:ind w:firstLine="50"/>
        <w:spacing w:after="0" w:line="308" w:lineRule="auto"/>
        <w:rPr>
          <w:sz w:val="20"/>
          <w:szCs w:val="20"/>
          <w:color w:val="auto"/>
        </w:rPr>
      </w:pPr>
      <w:r>
        <w:rPr>
          <w:rFonts w:ascii="Arial" w:cs="Arial" w:eastAsia="Arial" w:hAnsi="Arial"/>
          <w:sz w:val="16"/>
          <w:szCs w:val="16"/>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w:t>
      </w:r>
    </w:p>
    <w:p>
      <w:pPr>
        <w:spacing w:after="0"/>
        <w:rPr>
          <w:sz w:val="20"/>
          <w:szCs w:val="20"/>
          <w:color w:val="auto"/>
        </w:rPr>
      </w:pPr>
      <w:r>
        <w:rPr>
          <w:rFonts w:ascii="Arial" w:cs="Arial" w:eastAsia="Arial" w:hAnsi="Arial"/>
          <w:sz w:val="18"/>
          <w:szCs w:val="18"/>
          <w:color w:val="auto"/>
        </w:rPr>
        <w:t>except as may be expressly set forth by specific reference in any such filing.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1000" w:type="dxa"/>
            <w:vAlign w:val="bottom"/>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Description</w:t>
            </w:r>
          </w:p>
        </w:tc>
        <w:tc>
          <w:tcPr>
            <w:tcW w:w="6220" w:type="dxa"/>
            <w:vAlign w:val="bottom"/>
          </w:tcPr>
          <w:p>
            <w:pPr>
              <w:spacing w:after="0"/>
              <w:rPr>
                <w:sz w:val="17"/>
                <w:szCs w:val="17"/>
                <w:color w:val="auto"/>
              </w:rPr>
            </w:pPr>
          </w:p>
        </w:tc>
      </w:tr>
      <w:tr>
        <w:trPr>
          <w:trHeight w:val="209"/>
        </w:trPr>
        <w:tc>
          <w:tcPr>
            <w:tcW w:w="224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Press Release, dated February 23, 2023</w:t>
            </w:r>
          </w:p>
        </w:tc>
      </w:tr>
      <w:tr>
        <w:trPr>
          <w:trHeight w:val="250"/>
        </w:trPr>
        <w:tc>
          <w:tcPr>
            <w:tcW w:w="2560" w:type="dxa"/>
            <w:vAlign w:val="bottom"/>
            <w:gridSpan w:val="2"/>
          </w:tcPr>
          <w:p>
            <w:pPr>
              <w:ind w:left="2240"/>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formatted in inline XBRL</w:t>
            </w:r>
          </w:p>
        </w:tc>
      </w:tr>
      <w:tr>
        <w:trPr>
          <w:trHeight w:val="1425"/>
        </w:trPr>
        <w:tc>
          <w:tcPr>
            <w:tcW w:w="2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February 23, 2023</w:t>
      </w:r>
      <w:r>
        <w:rPr>
          <w:sz w:val="20"/>
          <w:szCs w:val="20"/>
          <w:color w:val="auto"/>
        </w:rPr>
        <w:tab/>
      </w:r>
      <w:r>
        <w:rPr>
          <w:rFonts w:ascii="Arial" w:cs="Arial" w:eastAsia="Arial" w:hAnsi="Arial"/>
          <w:sz w:val="16"/>
          <w:szCs w:val="16"/>
          <w:b w:val="1"/>
          <w:bCs w:val="1"/>
          <w:color w:val="auto"/>
        </w:rPr>
        <w:t>World Fuel Services Corporation</w:t>
      </w:r>
    </w:p>
    <w:p>
      <w:pPr>
        <w:spacing w:after="0" w:line="25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429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Ira M. Birns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516890</wp:posOffset>
            </wp:positionV>
            <wp:extent cx="2322830" cy="977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283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520"/>
        <w:spacing w:after="0"/>
        <w:rPr>
          <w:sz w:val="20"/>
          <w:szCs w:val="20"/>
          <w:color w:val="auto"/>
        </w:rPr>
      </w:pPr>
      <w:r>
        <w:rPr>
          <w:rFonts w:ascii="Arial" w:cs="Arial" w:eastAsia="Arial" w:hAnsi="Arial"/>
          <w:sz w:val="20"/>
          <w:szCs w:val="20"/>
          <w:u w:val="single" w:color="auto"/>
          <w:color w:val="auto"/>
        </w:rPr>
        <w:t>Contact:</w:t>
      </w:r>
    </w:p>
    <w:p>
      <w:pPr>
        <w:ind w:left="7520"/>
        <w:spacing w:after="0" w:line="197" w:lineRule="auto"/>
        <w:rPr>
          <w:sz w:val="20"/>
          <w:szCs w:val="20"/>
          <w:color w:val="auto"/>
        </w:rPr>
      </w:pPr>
      <w:r>
        <w:rPr>
          <w:rFonts w:ascii="Arial" w:cs="Arial" w:eastAsia="Arial" w:hAnsi="Arial"/>
          <w:sz w:val="20"/>
          <w:szCs w:val="20"/>
          <w:color w:val="auto"/>
        </w:rPr>
        <w:t>Ira M. Birns, Executive Vice President &amp;</w:t>
      </w:r>
    </w:p>
    <w:p>
      <w:pPr>
        <w:ind w:left="7520"/>
        <w:spacing w:after="0"/>
        <w:rPr>
          <w:sz w:val="20"/>
          <w:szCs w:val="20"/>
          <w:color w:val="auto"/>
        </w:rPr>
      </w:pPr>
      <w:r>
        <w:rPr>
          <w:rFonts w:ascii="Arial" w:cs="Arial" w:eastAsia="Arial" w:hAnsi="Arial"/>
          <w:sz w:val="20"/>
          <w:szCs w:val="20"/>
          <w:color w:val="auto"/>
        </w:rPr>
        <w:t>Chief Financial Officer</w:t>
      </w:r>
    </w:p>
    <w:p>
      <w:pPr>
        <w:spacing w:after="0" w:line="134" w:lineRule="exact"/>
        <w:rPr>
          <w:sz w:val="20"/>
          <w:szCs w:val="20"/>
          <w:color w:val="auto"/>
        </w:rPr>
      </w:pPr>
    </w:p>
    <w:p>
      <w:pPr>
        <w:ind w:left="7520"/>
        <w:spacing w:after="0"/>
        <w:rPr>
          <w:sz w:val="20"/>
          <w:szCs w:val="20"/>
          <w:color w:val="auto"/>
        </w:rPr>
      </w:pPr>
      <w:r>
        <w:rPr>
          <w:rFonts w:ascii="Arial" w:cs="Arial" w:eastAsia="Arial" w:hAnsi="Arial"/>
          <w:sz w:val="20"/>
          <w:szCs w:val="20"/>
          <w:color w:val="auto"/>
        </w:rPr>
        <w:t>Glenn Klevitz</w:t>
      </w:r>
    </w:p>
    <w:p>
      <w:pPr>
        <w:ind w:left="7520"/>
        <w:spacing w:after="0" w:line="234" w:lineRule="auto"/>
        <w:rPr>
          <w:sz w:val="20"/>
          <w:szCs w:val="20"/>
          <w:color w:val="auto"/>
        </w:rPr>
      </w:pPr>
      <w:r>
        <w:rPr>
          <w:rFonts w:ascii="Arial" w:cs="Arial" w:eastAsia="Arial" w:hAnsi="Arial"/>
          <w:sz w:val="18"/>
          <w:szCs w:val="18"/>
          <w:color w:val="auto"/>
        </w:rPr>
        <w:t>Vice President, Treasurer &amp; Investor Relations</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20"/>
          <w:szCs w:val="20"/>
          <w:color w:val="auto"/>
        </w:rPr>
        <w:t>305-428-8000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Fourth Quarter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Full Year 2022 Results</w:t>
      </w:r>
    </w:p>
    <w:p>
      <w:pPr>
        <w:spacing w:after="0" w:line="204"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Full year gross profit of $1.1 billion, up 38% vs prior year</w:t>
      </w:r>
    </w:p>
    <w:p>
      <w:pPr>
        <w:spacing w:after="0" w:line="20"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Net income of $21 million for the quarter and $114 million for the year</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GAAP diluted earnings per share of $0.33 for the quarter and $1.82 for the year</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Adjusted diluted earnings per share of $0.54 for the quarter and $2.04 for the year, up 50% vs prior year</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Full year Adjusted EBITDA increased 60% to $380 million vs prior year</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Annual capital return to shareholders of nearly $80 million through share repurchases and dividends</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MIAMI—February 23, 2023—World Fuel Services Corporation (NYSE: INT) today reported financial results for the fourth quarter and full year 2022.</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Results compared with the same period last year are as follows (unaudited - in millions,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980" w:type="dxa"/>
            <w:vAlign w:val="bottom"/>
          </w:tcPr>
          <w:p>
            <w:pPr>
              <w:spacing w:after="0"/>
              <w:rPr>
                <w:sz w:val="19"/>
                <w:szCs w:val="19"/>
                <w:color w:val="auto"/>
              </w:rPr>
            </w:pPr>
          </w:p>
        </w:tc>
      </w:tr>
      <w:tr>
        <w:trPr>
          <w:trHeight w:val="234"/>
        </w:trPr>
        <w:tc>
          <w:tcPr>
            <w:tcW w:w="4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Change</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1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Volume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4,574.5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4,336.1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18,331.4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15,981.7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13,877.7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9,942.7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59,043.1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31,337.0</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1,089.1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273.2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142.6</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w:t>
            </w: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from operations as a percentage of gross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Adjusted income from operations</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275.8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Adjusted income from operations as a percentage of</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earnings (loss)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bl>
    <w:p>
      <w:pPr>
        <w:spacing w:after="0" w:line="141"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converted as described in the table below.</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adaptability of our diversified portfolio of complementary businesses enabled us to successfully navigate an increasingly turbulent market in 2022 to produce a solid full year result,” stated Michael J. Kasbar, chairman and chief executive officer. “We have established a strong foundation for ratable growth and will leverage our global expertise to provide an expanding suite of products and services, including our evolving sustainability offerings, to deliver long-term value to our customers, suppliers and shareholders.”</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“In 2022, our Adjusted EBITDA improved significantly year-over-year,” said Ira M. Birns, executive vice president and chief financial officer. “Despite higher energy prices in 2022, our strong EBITDA performance further enhanced our liquidity profile which provides greater capacity to invest in growth opportunities, while also continuing to return capital to shareholders through share buybacks and dividends.”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Fourth Quarter 2022 Compared to 2021</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Highlights</w:t>
      </w:r>
    </w:p>
    <w:p>
      <w:pPr>
        <w:spacing w:after="0" w:line="21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$13.9 billion, an increase of 40% year-over-year</w:t>
      </w:r>
    </w:p>
    <w:p>
      <w:pPr>
        <w:spacing w:after="0" w:line="2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of $282.4 million, an increase of 31% year-over-year</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of $20.9 million, an increase of 36% year-over-year</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$106.5 million, an increase of 93% year-over-year</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Segment Profitability</w:t>
      </w:r>
    </w:p>
    <w:p>
      <w:pPr>
        <w:spacing w:after="0" w:line="216" w:lineRule="exact"/>
        <w:rPr>
          <w:sz w:val="20"/>
          <w:szCs w:val="20"/>
          <w:color w:val="auto"/>
        </w:rPr>
      </w:pPr>
    </w:p>
    <w:p>
      <w:pPr>
        <w:ind w:left="660" w:hanging="328"/>
        <w:spacing w:after="0" w:line="254"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Aviation – Gross profit of $110.6 million, an increase of 1% year-over-year with the benefit of volume increases principally offset by lower average margins, driven primarily by sales mix.</w:t>
      </w:r>
    </w:p>
    <w:p>
      <w:pPr>
        <w:spacing w:after="0" w:line="1" w:lineRule="exact"/>
        <w:rPr>
          <w:rFonts w:ascii="Arial" w:cs="Arial" w:eastAsia="Arial" w:hAnsi="Arial"/>
          <w:sz w:val="20"/>
          <w:szCs w:val="20"/>
          <w:b w:val="1"/>
          <w:bCs w:val="1"/>
          <w:color w:val="auto"/>
        </w:rPr>
      </w:pPr>
    </w:p>
    <w:p>
      <w:pPr>
        <w:jc w:val="both"/>
        <w:ind w:left="660" w:hanging="328"/>
        <w:spacing w:after="0" w:line="248"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Land – Gross profit of $115.8 million, an increase of 54% year-over-year, principally attributable to the Flyers Energy acquisition and stronger performance in our North American fuels business as well as growth in our European power and sustainability businesses.</w:t>
      </w:r>
    </w:p>
    <w:p>
      <w:pPr>
        <w:spacing w:after="0" w:line="2" w:lineRule="exact"/>
        <w:rPr>
          <w:rFonts w:ascii="Arial" w:cs="Arial" w:eastAsia="Arial" w:hAnsi="Arial"/>
          <w:sz w:val="20"/>
          <w:szCs w:val="20"/>
          <w:b w:val="1"/>
          <w:bCs w:val="1"/>
          <w:color w:val="auto"/>
        </w:rPr>
      </w:pPr>
    </w:p>
    <w:p>
      <w:pPr>
        <w:ind w:left="660" w:hanging="328"/>
        <w:spacing w:after="0" w:line="25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Marine – Gross profit of $56.0 million, an increase of 85% year-over-year, primarily driven by higher bunker fuel prices, interest rates and related market volatility.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 Year 2022 Compared to 2021</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Highlights</w:t>
      </w:r>
    </w:p>
    <w:p>
      <w:pPr>
        <w:spacing w:after="0" w:line="22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of $59.0 billion, an increase of 88% year-over-year</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Gross profit of $1.1 billion, an increase of 38% year-over-year</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income of $114.1 million, an increase of 55% year-over-year</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of $380.3 million, an increase of 60% year-over-year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Segment Profitability</w:t>
      </w:r>
    </w:p>
    <w:p>
      <w:pPr>
        <w:spacing w:after="0" w:line="216" w:lineRule="exact"/>
        <w:rPr>
          <w:sz w:val="20"/>
          <w:szCs w:val="20"/>
          <w:color w:val="auto"/>
        </w:rPr>
      </w:pPr>
    </w:p>
    <w:p>
      <w:pPr>
        <w:jc w:val="both"/>
        <w:ind w:left="660" w:hanging="328"/>
        <w:spacing w:after="0" w:line="282"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Aviation – Gross profit of $357.2 million, a decrease of 8% year-over-year, principally due to inventory losses driven by extreme backwardation experienced during the first half of 2022, together with the reduction in our government-related activity in Afghanistan, partially offset by profits from increased volume in our commercial, private and corporate aviation fueling activities.</w:t>
      </w:r>
    </w:p>
    <w:p>
      <w:pPr>
        <w:spacing w:after="0" w:line="1" w:lineRule="exact"/>
        <w:rPr>
          <w:rFonts w:ascii="Arial" w:cs="Arial" w:eastAsia="Arial" w:hAnsi="Arial"/>
          <w:sz w:val="18"/>
          <w:szCs w:val="18"/>
          <w:color w:val="auto"/>
        </w:rPr>
      </w:pPr>
    </w:p>
    <w:p>
      <w:pPr>
        <w:jc w:val="both"/>
        <w:ind w:left="66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Land – Gross profit of $475.9 million, an increase of 58% year-over-year, principally related to the Flyers Energy acquisition and stronger performance in our North American fuels business and our European power business, offset in part by the reduction in government-related activity in Afghanistan.</w:t>
      </w:r>
    </w:p>
    <w:p>
      <w:pPr>
        <w:spacing w:after="0" w:line="2" w:lineRule="exact"/>
        <w:rPr>
          <w:rFonts w:ascii="Arial" w:cs="Arial" w:eastAsia="Arial" w:hAnsi="Arial"/>
          <w:sz w:val="20"/>
          <w:szCs w:val="20"/>
          <w:color w:val="auto"/>
        </w:rPr>
      </w:pPr>
    </w:p>
    <w:p>
      <w:pPr>
        <w:ind w:left="660" w:hanging="328"/>
        <w:spacing w:after="0" w:line="293"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Marine – Gross profit of $256.0 million, an increase of 155% year-over-year, primarily attributable to the impact of higher bunker fuel prices and rising interest rates, leading to an increasingly constrained credit environment, as well as higher market volatility.</w:t>
      </w: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5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Earnings Conference Call</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An investor conference call will be held today, February 23, 2023 at 5:00 PM Eastern Time to discuss fourth quarter and full year results. Participants can access the live webcast or participate by phone by visiting the company’s website at </w:t>
      </w:r>
      <w:r>
        <w:rPr>
          <w:rFonts w:ascii="Arial" w:cs="Arial" w:eastAsia="Arial" w:hAnsi="Arial"/>
          <w:sz w:val="16"/>
          <w:szCs w:val="16"/>
          <w:u w:val="single" w:color="auto"/>
          <w:color w:val="3051F2"/>
        </w:rPr>
        <w:t>https://ir.wfscorp.com/events</w:t>
      </w:r>
      <w:r>
        <w:rPr>
          <w:rFonts w:ascii="Arial" w:cs="Arial" w:eastAsia="Arial" w:hAnsi="Arial"/>
          <w:sz w:val="16"/>
          <w:szCs w:val="16"/>
          <w:color w:val="auto"/>
        </w:rPr>
        <w:t>. To join the conference call by phone, participants must pre-register and will then receive dial-in information and a PIN enabling access to the call. A replay of the webcast will be available and can be accessed in the same manner as the live webcast on the Company’s website through March 9, 2023.</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World Fuel Services Corporation</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and related services, as well as transaction and payment management solutions to commercial and industrial customers, principally in the aviation, marine and land transportation industries. World Fuel Services also offers natural gas and electricity, as well as energy advisory services, including programs for sustainability solutions and renewable energy alternatives. World Fuel Services sells fuel and delivers services to its clients at more than 8,000 locations in more than 200 countries and territories worldwide.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visit </w:t>
      </w:r>
      <w:r>
        <w:rPr>
          <w:rFonts w:ascii="Arial" w:cs="Arial" w:eastAsia="Arial" w:hAnsi="Arial"/>
          <w:sz w:val="16"/>
          <w:szCs w:val="16"/>
          <w:u w:val="single" w:color="auto"/>
          <w:color w:val="3051F2"/>
        </w:rPr>
        <w:t>www.wfscorp.com</w:t>
      </w: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Ira M. Birns, Executive Vice President &amp;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Glenn Klevitz, Vice President, Treasurer &amp; Investor Relations</w:t>
      </w:r>
    </w:p>
    <w:p>
      <w:pPr>
        <w:spacing w:after="0" w:line="5" w:lineRule="exact"/>
        <w:rPr>
          <w:sz w:val="20"/>
          <w:szCs w:val="20"/>
          <w:color w:val="auto"/>
        </w:rPr>
      </w:pPr>
    </w:p>
    <w:p>
      <w:pPr>
        <w:ind w:right="9660" w:firstLine="8"/>
        <w:spacing w:after="0" w:line="348" w:lineRule="auto"/>
        <w:tabs>
          <w:tab w:leader="none" w:pos="391" w:val="left"/>
        </w:tabs>
        <w:numPr>
          <w:ilvl w:val="0"/>
          <w:numId w:val="7"/>
        </w:numPr>
        <w:rPr>
          <w:rFonts w:ascii="Arial" w:cs="Arial" w:eastAsia="Arial" w:hAnsi="Arial"/>
          <w:sz w:val="14"/>
          <w:szCs w:val="14"/>
          <w:color w:val="auto"/>
        </w:rPr>
      </w:pPr>
      <w:r>
        <w:rPr>
          <w:rFonts w:ascii="Arial" w:cs="Arial" w:eastAsia="Arial" w:hAnsi="Arial"/>
          <w:sz w:val="14"/>
          <w:szCs w:val="14"/>
          <w:color w:val="auto"/>
        </w:rPr>
        <w:t>428-8000 investors@wfscorp.com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Definitions and Non-GAAP Financial Measures</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press release makes reference to "Net income." Net income means Net income attributable to World Fuel as presented in the Statements of Income and Comprehensive Income.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This press release contains non-GAAP financial measures (collectively, the “Non-GAAP Measures”), including the following:</w:t>
      </w:r>
    </w:p>
    <w:p>
      <w:pPr>
        <w:spacing w:after="0" w:line="12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income from operations;</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income from operations as a percentage of gross profit;</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earnings before interest, taxes, depreciation and amortization (“EBITDA”);</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net income attributable to World Fuel;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diluted earnings per common share;</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Non-GAAP Measures exclude acquisition and divestiture related expenses, restructuring charges, impairments, gains or losses on the extinguishment of debt and gains or losses on sale of businesses, primarily because we do not believe they are reflective of our core operating results. Beginning with the period ending March 31, 2022, the Non-GAAP Measures exclude integration costs associated with our acquisitions and, since the fourth quarter of 2022, also exclude non-operating legal settlements related to a claim which resulted from a financing arrangement between a supplier and its bank. No changes to the comparable period were made as a result of the changes to the definition during the year ended December 31, 2022 as we did not incur integration costs or have non-operating settlements in 2021.</w:t>
      </w:r>
    </w:p>
    <w:p>
      <w:pPr>
        <w:spacing w:after="0" w:line="77"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income attributable to World Fuel is defined as net income (loss) attributable to World Fuel excluding the impact of acquisition and divestiture related expenses, restructuring charges, impairments, gains or losses on the extinguishment of debt, gains or losses on sale of businesses, integration costs, and non-operating legal settlements.</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Adjusted diluted earnings per common share is computed by dividing adjusted net income attributable to World Fuel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w:t>
      </w:r>
    </w:p>
    <w:p>
      <w:pPr>
        <w:spacing w:after="0" w:line="6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Adjusted EBITDA is defined as net income (loss) excluding the impact of interest, income taxes, and depreciation and amortization, in addition to acquisition and divestiture related expenses, restructuring charges, impairments, gains or losses on sale of businesses, integration costs, and non-operating legal settlements. As the GAAP measure most comparable to Adjusted EBITDA is net income, the reconciliation was updated in the first quarter of 2022 to start with net income.</w:t>
      </w:r>
    </w:p>
    <w:p>
      <w:pPr>
        <w:spacing w:after="0" w:line="5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income from operations is defined as Income from operations excluding the impact of acquisition and divestiture related expenses, restructuring charges, impairments, and integration costs. Adjusted income from operations as a percentage of gross profit is computed by dividing adjusted income from operations by gross profit.</w:t>
      </w:r>
    </w:p>
    <w:p>
      <w:pPr>
        <w:spacing w:after="0" w:line="7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Investors are encouraged to review the reconciliation of these Non-GAAP Measures to their most directly comparable GAAP financial measures in this press release and on our website.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7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auto"/>
        </w:rPr>
        <w:t>Information Relating to Forward-Looking Statements</w:t>
      </w:r>
    </w:p>
    <w:p>
      <w:pPr>
        <w:spacing w:after="0" w:line="113"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This release includes forward-looking statements within the meaning of the Private Securities Litigation Reform Act of 1995, including statements regarding our beliefs and expectations about our ability to leverage our global expertise to deliver long-term value to our customers, suppliers and shareholders, our expectations regarding returning capital to shareholders and our capacity for investment in growth opportunities.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customer and counterparty creditworthiness and our ability to collect accounts receivable and settle derivative contracts; sudden changes in the market price of fuel or extremely high or low fuel prices that continue for an extended period of time; adverse conditions in the industries in which our customers operate; our ability to effectively integrate and derive benefits from acquired businesses; our inability to effectively mitigate certain financial risks and other risks associated with derivatives and our physical fuel products; changes in the political, economic or regulatory environment generally and in the markets in which we operate, such as the current conflict in Eastern Europe;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relationships with our employees and potential labor disputes associated with employees covered by collective bargaining agreements; our failure to comply with restrictions and covenants governing our senior revolving credit facility and our senior term loan, including our financial covenants; the impact of cyber and other information security-related incidents;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the impact of the U.K.'s exit from the European Union, known as Brexit, on our business, operations and financial condition; our ability to comply with U.S. and international laws and regulations, including those related to anti-corruption, economic sanction programs and environmental matters; global health developments and economic uncertainty following the COVID-19 pandemic; the outcome of litigation and other proceedings, including the costs associated in defending any actions;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7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(Unaudited - In millions,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175"/>
        </w:trPr>
        <w:tc>
          <w:tcPr>
            <w:tcW w:w="7360" w:type="dxa"/>
            <w:vAlign w:val="bottom"/>
          </w:tcPr>
          <w:p>
            <w:pPr>
              <w:ind w:left="140"/>
              <w:spacing w:after="0" w:line="176" w:lineRule="exact"/>
              <w:rPr>
                <w:sz w:val="20"/>
                <w:szCs w:val="20"/>
                <w:color w:val="auto"/>
              </w:rPr>
            </w:pPr>
            <w:r>
              <w:rPr>
                <w:rFonts w:ascii="Arial" w:cs="Arial" w:eastAsia="Arial" w:hAnsi="Arial"/>
                <w:sz w:val="18"/>
                <w:szCs w:val="18"/>
                <w:color w:val="auto"/>
                <w:w w:val="96"/>
              </w:rPr>
              <w:t>Accounts receivable, net of allowance for credit losses of $14.1 million and $26.1 million as of</w:t>
            </w: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360" w:type="dxa"/>
            <w:vAlign w:val="bottom"/>
          </w:tcPr>
          <w:p>
            <w:pPr>
              <w:ind w:left="140"/>
              <w:spacing w:after="0"/>
              <w:rPr>
                <w:sz w:val="20"/>
                <w:szCs w:val="20"/>
                <w:color w:val="auto"/>
              </w:rPr>
            </w:pPr>
            <w:r>
              <w:rPr>
                <w:rFonts w:ascii="Arial" w:cs="Arial" w:eastAsia="Arial" w:hAnsi="Arial"/>
                <w:sz w:val="18"/>
                <w:szCs w:val="18"/>
                <w:color w:val="auto"/>
              </w:rPr>
              <w:t>December 31, 2022 and 2021, respectively</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3,294.1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2,355.3</w:t>
            </w: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r>
      <w:tr>
        <w:trPr>
          <w:trHeight w:val="223"/>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r>
      <w:tr>
        <w:trPr>
          <w:trHeight w:val="223"/>
        </w:trPr>
        <w:tc>
          <w:tcPr>
            <w:tcW w:w="736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5,942.4</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7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3,529.5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2,399.6</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4,608.6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3,096.7</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Non-current income tax liabilities, net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213.9</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3"/>
        </w:trPr>
        <w:tc>
          <w:tcPr>
            <w:tcW w:w="7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4,025.6</w:t>
            </w: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Fuel shareholders' equity:</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16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3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Common stock, $0.01 par value; 100.0 shares authorized, 62.0 and 61.7 issued and outstanding as</w:t>
            </w: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43"/>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December 31, 2022 and 2021, respectively</w:t>
            </w: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World Fuel shareholders' equity</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1,912.7</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1,916.8</w:t>
            </w: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5,942.4</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63" w:right="3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CONSOLIDATED STATEMENTS OF INCOME AND COMPREHENSIVE INCOME </w:t>
      </w:r>
      <w:r>
        <w:rPr>
          <w:rFonts w:ascii="Arial" w:cs="Arial" w:eastAsia="Arial" w:hAnsi="Arial"/>
          <w:sz w:val="18"/>
          <w:szCs w:val="18"/>
          <w:color w:val="auto"/>
        </w:rPr>
        <w:t>(Unaudited – 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For the Three Months Ended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264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For the Year Ended December 31,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31,337.0</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13,595.4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9,727.5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57,954.1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30,548.8</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Basic earnings (loss) per common share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14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140" w:type="dxa"/>
            <w:vAlign w:val="bottom"/>
          </w:tcPr>
          <w:p>
            <w:pPr>
              <w:spacing w:after="0"/>
              <w:rPr>
                <w:sz w:val="17"/>
                <w:szCs w:val="17"/>
                <w:color w:val="auto"/>
              </w:rPr>
            </w:pPr>
          </w:p>
        </w:tc>
        <w:tc>
          <w:tcPr>
            <w:tcW w:w="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75"/>
        </w:trPr>
        <w:tc>
          <w:tcPr>
            <w:tcW w:w="5660" w:type="dxa"/>
            <w:vAlign w:val="bottom"/>
          </w:tcPr>
          <w:p>
            <w:pPr>
              <w:ind w:left="140"/>
              <w:spacing w:after="0" w:line="176" w:lineRule="exact"/>
              <w:rPr>
                <w:sz w:val="20"/>
                <w:szCs w:val="20"/>
                <w:color w:val="auto"/>
              </w:rPr>
            </w:pPr>
            <w:r>
              <w:rPr>
                <w:rFonts w:ascii="Arial" w:cs="Arial" w:eastAsia="Arial" w:hAnsi="Arial"/>
                <w:sz w:val="18"/>
                <w:szCs w:val="18"/>
                <w:color w:val="auto"/>
                <w:w w:val="94"/>
              </w:rPr>
              <w:t>Cash flow hedges, net of income tax expense (benefit) of ($0.6) and $3.4</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140"/>
              <w:spacing w:after="0" w:line="189" w:lineRule="exact"/>
              <w:rPr>
                <w:sz w:val="20"/>
                <w:szCs w:val="20"/>
                <w:color w:val="auto"/>
              </w:rPr>
            </w:pPr>
            <w:r>
              <w:rPr>
                <w:rFonts w:ascii="Arial" w:cs="Arial" w:eastAsia="Arial" w:hAnsi="Arial"/>
                <w:sz w:val="18"/>
                <w:szCs w:val="18"/>
                <w:color w:val="auto"/>
                <w:w w:val="96"/>
              </w:rPr>
              <w:t>for the three months ended December 31, 2022 and 2021, respectively,</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60" w:type="dxa"/>
            <w:vAlign w:val="bottom"/>
          </w:tcPr>
          <w:p>
            <w:pPr>
              <w:ind w:left="140"/>
              <w:spacing w:after="0" w:line="176" w:lineRule="exact"/>
              <w:rPr>
                <w:sz w:val="20"/>
                <w:szCs w:val="20"/>
                <w:color w:val="auto"/>
              </w:rPr>
            </w:pPr>
            <w:r>
              <w:rPr>
                <w:rFonts w:ascii="Arial" w:cs="Arial" w:eastAsia="Arial" w:hAnsi="Arial"/>
                <w:sz w:val="18"/>
                <w:szCs w:val="18"/>
                <w:color w:val="auto"/>
              </w:rPr>
              <w:t>and net of income tax expense (benefit) of $7.6 and $3.3 for the year</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ended December 31, 2022 and 2021, respectively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Fuel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80"/>
          </w:cols>
          <w:pgMar w:left="400" w:top="1363" w:right="4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For the Three Months Ended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5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264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For the Year Ended December 31,</w:t>
            </w:r>
          </w:p>
        </w:tc>
      </w:tr>
      <w:tr>
        <w:trPr>
          <w:trHeight w:val="223"/>
        </w:trPr>
        <w:tc>
          <w:tcPr>
            <w:tcW w:w="57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Net income (loss) including noncontrolling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175"/>
        </w:trPr>
        <w:tc>
          <w:tcPr>
            <w:tcW w:w="57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Adjustments to reconcile net income including noncontrolling interest to net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provided by operating activities:</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5780" w:type="dxa"/>
            <w:vAlign w:val="bottom"/>
          </w:tcPr>
          <w:p>
            <w:pPr>
              <w:ind w:left="200"/>
              <w:spacing w:after="0"/>
              <w:rPr>
                <w:sz w:val="20"/>
                <w:szCs w:val="20"/>
                <w:color w:val="auto"/>
              </w:rPr>
            </w:pPr>
            <w:r>
              <w:rPr>
                <w:rFonts w:ascii="Arial" w:cs="Arial" w:eastAsia="Arial" w:hAnsi="Arial"/>
                <w:sz w:val="18"/>
                <w:szCs w:val="18"/>
                <w:color w:val="auto"/>
              </w:rPr>
              <w:t>Unrealized (gain) loss on derivatives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29"/>
        </w:trPr>
        <w:tc>
          <w:tcPr>
            <w:tcW w:w="578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payment award compensation costs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Deferred income tax expense (benefit)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currency (gains) losses,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Loss (gain) on sale of business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78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r>
      <w:tr>
        <w:trPr>
          <w:trHeight w:val="229"/>
        </w:trPr>
        <w:tc>
          <w:tcPr>
            <w:tcW w:w="57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2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5780" w:type="dxa"/>
            <w:vAlign w:val="bottom"/>
          </w:tcPr>
          <w:p>
            <w:pPr>
              <w:ind w:left="340"/>
              <w:spacing w:after="0"/>
              <w:rPr>
                <w:sz w:val="20"/>
                <w:szCs w:val="20"/>
                <w:color w:val="auto"/>
              </w:rPr>
            </w:pPr>
            <w:r>
              <w:rPr>
                <w:rFonts w:ascii="Arial" w:cs="Arial" w:eastAsia="Arial" w:hAnsi="Arial"/>
                <w:sz w:val="18"/>
                <w:szCs w:val="18"/>
                <w:color w:val="auto"/>
              </w:rPr>
              <w:t>Short-term derivative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2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5780" w:type="dxa"/>
            <w:vAlign w:val="bottom"/>
          </w:tcPr>
          <w:p>
            <w:pPr>
              <w:ind w:left="340"/>
              <w:spacing w:after="0"/>
              <w:rPr>
                <w:sz w:val="20"/>
                <w:szCs w:val="20"/>
                <w:color w:val="auto"/>
              </w:rPr>
            </w:pPr>
            <w:r>
              <w:rPr>
                <w:rFonts w:ascii="Arial" w:cs="Arial" w:eastAsia="Arial" w:hAnsi="Arial"/>
                <w:sz w:val="18"/>
                <w:szCs w:val="18"/>
                <w:color w:val="auto"/>
              </w:rPr>
              <w:t>Cash collateral with counterparties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57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1,143.8</w:t>
            </w:r>
          </w:p>
        </w:tc>
      </w:tr>
      <w:tr>
        <w:trPr>
          <w:trHeight w:val="22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5780" w:type="dxa"/>
            <w:vAlign w:val="bottom"/>
          </w:tcPr>
          <w:p>
            <w:pPr>
              <w:ind w:left="340"/>
              <w:spacing w:after="0"/>
              <w:rPr>
                <w:sz w:val="20"/>
                <w:szCs w:val="20"/>
                <w:color w:val="auto"/>
              </w:rPr>
            </w:pPr>
            <w:r>
              <w:rPr>
                <w:rFonts w:ascii="Arial" w:cs="Arial" w:eastAsia="Arial" w:hAnsi="Arial"/>
                <w:sz w:val="18"/>
                <w:szCs w:val="18"/>
                <w:color w:val="auto"/>
              </w:rPr>
              <w:t>Short-term derivative liabilities,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5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Non-current income tax, net and other long-term liabilities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business, net of cash acquired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Proceeds from sale of business, net of divested cash</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investing activities,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of debt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 on common stock</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financing activities, net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r>
      <w:tr>
        <w:trPr>
          <w:trHeight w:val="223"/>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Cash and cash equivalents, as of the end of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w:t>
            </w: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80"/>
          </w:cols>
          <w:pgMar w:left="360" w:top="1363" w:right="359" w:bottom="1440" w:gutter="0" w:footer="0" w:header="0"/>
        </w:sectPr>
      </w:pPr>
    </w:p>
    <w:bookmarkStart w:id="10" w:name="page11"/>
    <w:bookmarkEnd w:id="10"/>
    <w:p>
      <w:pPr>
        <w:ind w:left="448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(Unaudited - In millions,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11"/>
          </w:tcPr>
          <w:p>
            <w:pPr>
              <w:jc w:val="right"/>
              <w:ind w:right="350"/>
              <w:spacing w:after="0"/>
              <w:rPr>
                <w:sz w:val="20"/>
                <w:szCs w:val="20"/>
                <w:color w:val="auto"/>
              </w:rPr>
            </w:pPr>
            <w:r>
              <w:rPr>
                <w:rFonts w:ascii="Arial" w:cs="Arial" w:eastAsia="Arial" w:hAnsi="Arial"/>
                <w:sz w:val="18"/>
                <w:szCs w:val="18"/>
                <w:b w:val="1"/>
                <w:bCs w:val="1"/>
                <w:color w:val="auto"/>
                <w:w w:val="94"/>
              </w:rPr>
              <w:t>For the Three Months Ended December 31,</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1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89"/>
              </w:rPr>
              <w:t>2022</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9"/>
              </w:rPr>
              <w:t>2021</w:t>
            </w: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2021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8"/>
                <w:szCs w:val="18"/>
                <w:color w:val="auto"/>
              </w:rPr>
              <w:t>Reconciliation of GAAP to Non-</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8"/>
              </w:rPr>
              <w:t>Earnings per</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92"/>
              </w:rPr>
              <w:t>Earnings per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spacing w:after="0" w:line="169" w:lineRule="exact"/>
              <w:rPr>
                <w:sz w:val="20"/>
                <w:szCs w:val="20"/>
                <w:color w:val="auto"/>
              </w:rPr>
            </w:pPr>
            <w:r>
              <w:rPr>
                <w:rFonts w:ascii="Arial" w:cs="Arial" w:eastAsia="Arial" w:hAnsi="Arial"/>
                <w:sz w:val="18"/>
                <w:szCs w:val="18"/>
                <w:color w:val="auto"/>
                <w:w w:val="90"/>
              </w:rPr>
              <w:t>Earnings per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97"/>
              </w:rPr>
              <w:t>Earnings per</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GAAP financial measures:</w:t>
            </w:r>
          </w:p>
        </w:tc>
        <w:tc>
          <w:tcPr>
            <w:tcW w:w="100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Share</w:t>
            </w:r>
          </w:p>
        </w:tc>
        <w:tc>
          <w:tcPr>
            <w:tcW w:w="102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Share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Arial" w:cs="Arial" w:eastAsia="Arial" w:hAnsi="Arial"/>
                <w:sz w:val="18"/>
                <w:szCs w:val="18"/>
                <w:color w:val="auto"/>
              </w:rPr>
              <w:t>Net Income</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7"/>
              </w:rPr>
              <w:t>Share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6"/>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w w:val="95"/>
              </w:rPr>
              <w:t>Share</w:t>
            </w:r>
          </w:p>
        </w:tc>
        <w:tc>
          <w:tcPr>
            <w:tcW w:w="0" w:type="dxa"/>
            <w:vAlign w:val="bottom"/>
          </w:tcPr>
          <w:p>
            <w:pPr>
              <w:spacing w:after="0"/>
              <w:rPr>
                <w:sz w:val="1"/>
                <w:szCs w:val="1"/>
                <w:color w:val="auto"/>
              </w:rPr>
            </w:pPr>
          </w:p>
        </w:tc>
      </w:tr>
      <w:tr>
        <w:trPr>
          <w:trHeight w:val="156"/>
        </w:trPr>
        <w:tc>
          <w:tcPr>
            <w:tcW w:w="2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 and Diluted</w:t>
            </w:r>
          </w:p>
        </w:tc>
        <w:tc>
          <w:tcPr>
            <w:tcW w:w="3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114.1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1"/>
              </w:rPr>
              <w:t>1.82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176"/>
        </w:trPr>
        <w:tc>
          <w:tcPr>
            <w:tcW w:w="2580" w:type="dxa"/>
            <w:vAlign w:val="bottom"/>
          </w:tcPr>
          <w:p>
            <w:pPr>
              <w:ind w:left="140"/>
              <w:spacing w:after="0" w:line="176" w:lineRule="exact"/>
              <w:rPr>
                <w:sz w:val="20"/>
                <w:szCs w:val="20"/>
                <w:color w:val="auto"/>
              </w:rPr>
            </w:pPr>
            <w:r>
              <w:rPr>
                <w:rFonts w:ascii="Arial" w:cs="Arial" w:eastAsia="Arial" w:hAnsi="Arial"/>
                <w:sz w:val="18"/>
                <w:szCs w:val="18"/>
                <w:color w:val="auto"/>
              </w:rPr>
              <w:t>Acquisition and divestiture</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40"/>
              <w:spacing w:after="0"/>
              <w:rPr>
                <w:sz w:val="20"/>
                <w:szCs w:val="20"/>
                <w:color w:val="auto"/>
              </w:rPr>
            </w:pPr>
            <w:r>
              <w:rPr>
                <w:rFonts w:ascii="Arial" w:cs="Arial" w:eastAsia="Arial" w:hAnsi="Arial"/>
                <w:sz w:val="18"/>
                <w:szCs w:val="18"/>
                <w:color w:val="auto"/>
              </w:rPr>
              <w:t>related expenses</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22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Loss (gain) on sale of business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258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Integration costs</w:t>
            </w: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2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Non-operating legal settlements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impacts</w:t>
            </w: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(0.06)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Adjusted net income and</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580" w:type="dxa"/>
            <w:vAlign w:val="bottom"/>
          </w:tcPr>
          <w:p>
            <w:pPr>
              <w:ind w:left="20"/>
              <w:spacing w:after="0" w:line="184" w:lineRule="exact"/>
              <w:rPr>
                <w:sz w:val="20"/>
                <w:szCs w:val="20"/>
                <w:color w:val="auto"/>
              </w:rPr>
            </w:pPr>
            <w:r>
              <w:rPr>
                <w:rFonts w:ascii="Arial" w:cs="Arial" w:eastAsia="Arial" w:hAnsi="Arial"/>
                <w:sz w:val="18"/>
                <w:szCs w:val="18"/>
                <w:b w:val="1"/>
                <w:bCs w:val="1"/>
                <w:color w:val="auto"/>
                <w:w w:val="99"/>
              </w:rPr>
              <w:t>Adjusted diluted earnings per</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33.5</w:t>
            </w:r>
          </w:p>
        </w:tc>
        <w:tc>
          <w:tcPr>
            <w:tcW w:w="80" w:type="dxa"/>
            <w:vAlign w:val="bottom"/>
          </w:tcPr>
          <w:p>
            <w:pPr>
              <w:spacing w:after="0"/>
              <w:rPr>
                <w:sz w:val="16"/>
                <w:szCs w:val="16"/>
                <w:color w:val="auto"/>
              </w:rPr>
            </w:pPr>
          </w:p>
        </w:tc>
        <w:tc>
          <w:tcPr>
            <w:tcW w:w="3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0.54</w:t>
            </w:r>
          </w:p>
        </w:tc>
        <w:tc>
          <w:tcPr>
            <w:tcW w:w="8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17.6</w:t>
            </w:r>
          </w:p>
        </w:tc>
        <w:tc>
          <w:tcPr>
            <w:tcW w:w="80" w:type="dxa"/>
            <w:vAlign w:val="bottom"/>
          </w:tcPr>
          <w:p>
            <w:pPr>
              <w:spacing w:after="0"/>
              <w:rPr>
                <w:sz w:val="16"/>
                <w:szCs w:val="16"/>
                <w:color w:val="auto"/>
              </w:rPr>
            </w:pPr>
          </w:p>
        </w:tc>
        <w:tc>
          <w:tcPr>
            <w:tcW w:w="22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0.28</w:t>
            </w:r>
          </w:p>
        </w:tc>
        <w:tc>
          <w:tcPr>
            <w:tcW w:w="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127.9</w:t>
            </w:r>
          </w:p>
        </w:tc>
        <w:tc>
          <w:tcPr>
            <w:tcW w:w="80" w:type="dxa"/>
            <w:vAlign w:val="bottom"/>
          </w:tcPr>
          <w:p>
            <w:pPr>
              <w:spacing w:after="0"/>
              <w:rPr>
                <w:sz w:val="16"/>
                <w:szCs w:val="16"/>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w w:val="91"/>
              </w:rPr>
              <w:t>2.04</w:t>
            </w:r>
          </w:p>
        </w:tc>
        <w:tc>
          <w:tcPr>
            <w:tcW w:w="2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86.0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common share</w:t>
            </w:r>
          </w:p>
        </w:tc>
        <w:tc>
          <w:tcPr>
            <w:tcW w:w="3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9"/>
          </w:tcPr>
          <w:p>
            <w:pPr>
              <w:jc w:val="center"/>
              <w:ind w:right="70"/>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8"/>
          </w:tcPr>
          <w:p>
            <w:pPr>
              <w:jc w:val="center"/>
              <w:ind w:left="250"/>
              <w:spacing w:after="0"/>
              <w:rPr>
                <w:sz w:val="20"/>
                <w:szCs w:val="20"/>
                <w:color w:val="auto"/>
              </w:rPr>
            </w:pPr>
            <w:r>
              <w:rPr>
                <w:rFonts w:ascii="Arial" w:cs="Arial" w:eastAsia="Arial" w:hAnsi="Arial"/>
                <w:sz w:val="18"/>
                <w:szCs w:val="18"/>
                <w:b w:val="1"/>
                <w:bCs w:val="1"/>
                <w:color w:val="auto"/>
                <w:w w:val="90"/>
              </w:rPr>
              <w:t>December 31,</w:t>
            </w:r>
          </w:p>
        </w:tc>
        <w:tc>
          <w:tcPr>
            <w:tcW w:w="5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40" w:type="dxa"/>
            <w:vAlign w:val="bottom"/>
            <w:tcBorders>
              <w:bottom w:val="single" w:sz="8" w:color="auto"/>
            </w:tcBorders>
            <w:gridSpan w:val="11"/>
          </w:tcPr>
          <w:p>
            <w:pPr>
              <w:ind w:left="20"/>
              <w:spacing w:after="0"/>
              <w:rPr>
                <w:sz w:val="20"/>
                <w:szCs w:val="20"/>
                <w:color w:val="auto"/>
              </w:rPr>
            </w:pPr>
            <w:r>
              <w:rPr>
                <w:rFonts w:ascii="Arial" w:cs="Arial" w:eastAsia="Arial" w:hAnsi="Arial"/>
                <w:sz w:val="18"/>
                <w:szCs w:val="18"/>
                <w:b w:val="1"/>
                <w:bCs w:val="1"/>
                <w:color w:val="auto"/>
                <w:w w:val="90"/>
              </w:rPr>
              <w:t>For the Year Ended December 31,</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b w:val="1"/>
                <w:bCs w:val="1"/>
                <w:color w:val="auto"/>
                <w:w w:val="95"/>
              </w:rPr>
              <w:t>Reconciliation of GAAP to Non-GAAP financial measures:</w:t>
            </w:r>
          </w:p>
        </w:tc>
        <w:tc>
          <w:tcPr>
            <w:tcW w:w="3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4"/>
              </w:rPr>
              <w:t>2022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392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w w:val="88"/>
              </w:rPr>
              <w:t>Net income (loss) including noncontrolling interest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0" w:type="dxa"/>
            <w:vAlign w:val="bottom"/>
          </w:tcPr>
          <w:p>
            <w:pPr>
              <w:spacing w:after="0"/>
              <w:rPr>
                <w:sz w:val="1"/>
                <w:szCs w:val="1"/>
                <w:color w:val="auto"/>
              </w:rPr>
            </w:pPr>
          </w:p>
        </w:tc>
      </w:tr>
      <w:tr>
        <w:trPr>
          <w:trHeight w:val="229"/>
        </w:trPr>
        <w:tc>
          <w:tcPr>
            <w:tcW w:w="3580" w:type="dxa"/>
            <w:vAlign w:val="bottom"/>
            <w:gridSpan w:val="4"/>
          </w:tcPr>
          <w:p>
            <w:pPr>
              <w:ind w:left="140"/>
              <w:spacing w:after="0"/>
              <w:rPr>
                <w:sz w:val="20"/>
                <w:szCs w:val="20"/>
                <w:color w:val="auto"/>
              </w:rPr>
            </w:pPr>
            <w:r>
              <w:rPr>
                <w:rFonts w:ascii="Arial" w:cs="Arial" w:eastAsia="Arial" w:hAnsi="Arial"/>
                <w:sz w:val="18"/>
                <w:szCs w:val="18"/>
                <w:color w:val="auto"/>
                <w:w w:val="91"/>
              </w:rPr>
              <w:t>Interest expense and other financing costs, net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Provision (benefit) for income taxes</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30"/>
        </w:trPr>
        <w:tc>
          <w:tcPr>
            <w:tcW w:w="3580" w:type="dxa"/>
            <w:vAlign w:val="bottom"/>
            <w:gridSpan w:val="4"/>
          </w:tcPr>
          <w:p>
            <w:pPr>
              <w:ind w:left="140"/>
              <w:spacing w:after="0"/>
              <w:rPr>
                <w:sz w:val="20"/>
                <w:szCs w:val="20"/>
                <w:color w:val="auto"/>
              </w:rPr>
            </w:pPr>
            <w:r>
              <w:rPr>
                <w:rFonts w:ascii="Arial" w:cs="Arial" w:eastAsia="Arial" w:hAnsi="Arial"/>
                <w:sz w:val="18"/>
                <w:szCs w:val="18"/>
                <w:color w:val="auto"/>
                <w:w w:val="97"/>
              </w:rPr>
              <w:t>Acquisition and divestiture related expenses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Loss (gain) on sale of business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2580" w:type="dxa"/>
            <w:vAlign w:val="bottom"/>
          </w:tcPr>
          <w:p>
            <w:pPr>
              <w:ind w:left="140"/>
              <w:spacing w:after="0"/>
              <w:rPr>
                <w:sz w:val="20"/>
                <w:szCs w:val="20"/>
                <w:color w:val="auto"/>
              </w:rPr>
            </w:pPr>
            <w:r>
              <w:rPr>
                <w:rFonts w:ascii="Arial" w:cs="Arial" w:eastAsia="Arial" w:hAnsi="Arial"/>
                <w:sz w:val="18"/>
                <w:szCs w:val="18"/>
                <w:color w:val="auto"/>
                <w:w w:val="95"/>
              </w:rPr>
              <w:t>Non-operating legal settlements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Integration costs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106.5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380.3</w:t>
            </w: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9"/>
          </w:tcPr>
          <w:p>
            <w:pPr>
              <w:jc w:val="center"/>
              <w:ind w:right="70"/>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8"/>
          </w:tcPr>
          <w:p>
            <w:pPr>
              <w:jc w:val="center"/>
              <w:ind w:left="250"/>
              <w:spacing w:after="0"/>
              <w:rPr>
                <w:sz w:val="20"/>
                <w:szCs w:val="20"/>
                <w:color w:val="auto"/>
              </w:rPr>
            </w:pPr>
            <w:r>
              <w:rPr>
                <w:rFonts w:ascii="Arial" w:cs="Arial" w:eastAsia="Arial" w:hAnsi="Arial"/>
                <w:sz w:val="18"/>
                <w:szCs w:val="18"/>
                <w:b w:val="1"/>
                <w:bCs w:val="1"/>
                <w:color w:val="auto"/>
                <w:w w:val="90"/>
              </w:rPr>
              <w:t>December 31,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tcBorders>
              <w:bottom w:val="single" w:sz="8" w:color="auto"/>
            </w:tcBorders>
            <w:gridSpan w:val="11"/>
          </w:tcPr>
          <w:p>
            <w:pPr>
              <w:ind w:left="20"/>
              <w:spacing w:after="0"/>
              <w:rPr>
                <w:sz w:val="20"/>
                <w:szCs w:val="20"/>
                <w:color w:val="auto"/>
              </w:rPr>
            </w:pPr>
            <w:r>
              <w:rPr>
                <w:rFonts w:ascii="Arial" w:cs="Arial" w:eastAsia="Arial" w:hAnsi="Arial"/>
                <w:sz w:val="18"/>
                <w:szCs w:val="18"/>
                <w:b w:val="1"/>
                <w:bCs w:val="1"/>
                <w:color w:val="auto"/>
                <w:w w:val="90"/>
              </w:rPr>
              <w:t>For the Year Ended December 31,</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b w:val="1"/>
                <w:bCs w:val="1"/>
                <w:color w:val="auto"/>
                <w:w w:val="95"/>
              </w:rPr>
              <w:t>Reconciliation of GAAP to Non-GAAP financial measures:</w:t>
            </w:r>
          </w:p>
        </w:tc>
        <w:tc>
          <w:tcPr>
            <w:tcW w:w="3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4"/>
              </w:rPr>
              <w:t>2022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w:t>
            </w:r>
          </w:p>
        </w:tc>
        <w:tc>
          <w:tcPr>
            <w:tcW w:w="0" w:type="dxa"/>
            <w:vAlign w:val="bottom"/>
          </w:tcPr>
          <w:p>
            <w:pPr>
              <w:spacing w:after="0"/>
              <w:rPr>
                <w:sz w:val="1"/>
                <w:szCs w:val="1"/>
                <w:color w:val="auto"/>
              </w:rPr>
            </w:pPr>
          </w:p>
        </w:tc>
      </w:tr>
      <w:tr>
        <w:trPr>
          <w:trHeight w:val="230"/>
        </w:trPr>
        <w:tc>
          <w:tcPr>
            <w:tcW w:w="3580" w:type="dxa"/>
            <w:vAlign w:val="bottom"/>
            <w:gridSpan w:val="4"/>
          </w:tcPr>
          <w:p>
            <w:pPr>
              <w:ind w:left="140"/>
              <w:spacing w:after="0"/>
              <w:rPr>
                <w:sz w:val="20"/>
                <w:szCs w:val="20"/>
                <w:color w:val="auto"/>
              </w:rPr>
            </w:pPr>
            <w:r>
              <w:rPr>
                <w:rFonts w:ascii="Arial" w:cs="Arial" w:eastAsia="Arial" w:hAnsi="Arial"/>
                <w:sz w:val="18"/>
                <w:szCs w:val="18"/>
                <w:color w:val="auto"/>
                <w:w w:val="97"/>
              </w:rPr>
              <w:t>Acquisition and divestiture related expenses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580" w:type="dxa"/>
            <w:vAlign w:val="bottom"/>
          </w:tcPr>
          <w:p>
            <w:pPr>
              <w:ind w:left="140"/>
              <w:spacing w:after="0"/>
              <w:rPr>
                <w:sz w:val="20"/>
                <w:szCs w:val="20"/>
                <w:color w:val="auto"/>
              </w:rPr>
            </w:pPr>
            <w:r>
              <w:rPr>
                <w:rFonts w:ascii="Arial" w:cs="Arial" w:eastAsia="Arial" w:hAnsi="Arial"/>
                <w:sz w:val="18"/>
                <w:szCs w:val="18"/>
                <w:color w:val="auto"/>
              </w:rPr>
              <w:t>Integration costs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Adjusted Income from Operations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80.3</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275.8</w:t>
            </w: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63" w:right="339" w:bottom="1440" w:gutter="0" w:footer="0" w:header="0"/>
        </w:sectPr>
      </w:pPr>
    </w:p>
    <w:bookmarkStart w:id="11" w:name="page12"/>
    <w:bookmarkEnd w:id="11"/>
    <w:p>
      <w:pPr>
        <w:ind w:left="448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380" w:type="dxa"/>
            <w:vAlign w:val="bottom"/>
            <w:gridSpan w:val="7"/>
          </w:tcPr>
          <w:p>
            <w:pPr>
              <w:ind w:left="100"/>
              <w:spacing w:after="0"/>
              <w:rPr>
                <w:sz w:val="20"/>
                <w:szCs w:val="20"/>
                <w:color w:val="auto"/>
              </w:rPr>
            </w:pPr>
            <w:r>
              <w:rPr>
                <w:rFonts w:ascii="Arial" w:cs="Arial" w:eastAsia="Arial" w:hAnsi="Arial"/>
                <w:sz w:val="18"/>
                <w:szCs w:val="18"/>
                <w:b w:val="1"/>
                <w:bCs w:val="1"/>
                <w:color w:val="auto"/>
                <w:w w:val="96"/>
              </w:rPr>
              <w:t>For the Three Months Ended December</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3"/>
              </w:rPr>
              <w:t>For the Year Ended December 31,</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12,824.3</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3,111.0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19,283.7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10,426.8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8,085.8</w:t>
            </w:r>
          </w:p>
        </w:tc>
        <w:tc>
          <w:tcPr>
            <w:tcW w:w="0" w:type="dxa"/>
            <w:vAlign w:val="bottom"/>
          </w:tcPr>
          <w:p>
            <w:pPr>
              <w:spacing w:after="0"/>
              <w:rPr>
                <w:sz w:val="1"/>
                <w:szCs w:val="1"/>
                <w:color w:val="auto"/>
              </w:rPr>
            </w:pPr>
          </w:p>
        </w:tc>
      </w:tr>
      <w:tr>
        <w:trPr>
          <w:trHeight w:val="223"/>
        </w:trPr>
        <w:tc>
          <w:tcPr>
            <w:tcW w:w="46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13,877.7</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110.6</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gross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5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overhead - unallocated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income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380" w:type="dxa"/>
            <w:vAlign w:val="bottom"/>
            <w:gridSpan w:val="5"/>
          </w:tcPr>
          <w:p>
            <w:pPr>
              <w:ind w:left="100"/>
              <w:spacing w:after="0"/>
              <w:rPr>
                <w:sz w:val="20"/>
                <w:szCs w:val="20"/>
                <w:color w:val="auto"/>
              </w:rPr>
            </w:pPr>
            <w:r>
              <w:rPr>
                <w:rFonts w:ascii="Arial" w:cs="Arial" w:eastAsia="Arial" w:hAnsi="Arial"/>
                <w:sz w:val="18"/>
                <w:szCs w:val="18"/>
                <w:b w:val="1"/>
                <w:bCs w:val="1"/>
                <w:color w:val="auto"/>
                <w:w w:val="96"/>
              </w:rPr>
              <w:t>For the Three Months Ended December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3"/>
        </w:trPr>
        <w:tc>
          <w:tcPr>
            <w:tcW w:w="462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b w:val="1"/>
                <w:bCs w:val="1"/>
                <w:color w:val="auto"/>
                <w:w w:val="87"/>
              </w:rPr>
              <w:t>31,</w:t>
            </w:r>
          </w:p>
        </w:tc>
        <w:tc>
          <w:tcPr>
            <w:tcW w:w="140" w:type="dxa"/>
            <w:vAlign w:val="bottom"/>
          </w:tcPr>
          <w:p>
            <w:pPr>
              <w:spacing w:after="0"/>
              <w:rPr>
                <w:sz w:val="21"/>
                <w:szCs w:val="21"/>
                <w:color w:val="auto"/>
              </w:rPr>
            </w:pPr>
          </w:p>
        </w:tc>
        <w:tc>
          <w:tcPr>
            <w:tcW w:w="32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4620" w:type="dxa"/>
            <w:vAlign w:val="bottom"/>
          </w:tcPr>
          <w:p>
            <w:pPr>
              <w:ind w:left="40"/>
              <w:spacing w:after="0"/>
              <w:rPr>
                <w:sz w:val="20"/>
                <w:szCs w:val="20"/>
                <w:color w:val="auto"/>
              </w:rPr>
            </w:pPr>
            <w:r>
              <w:rPr>
                <w:rFonts w:ascii="Arial" w:cs="Arial" w:eastAsia="Arial" w:hAnsi="Arial"/>
                <w:sz w:val="18"/>
                <w:szCs w:val="18"/>
                <w:color w:val="auto"/>
              </w:rPr>
              <w:t>Volume (Gallons):</w:t>
            </w: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7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1,801.4</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1,684.7</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5,857.5</w:t>
            </w:r>
          </w:p>
        </w:tc>
      </w:tr>
      <w:tr>
        <w:trPr>
          <w:trHeight w:val="230"/>
        </w:trPr>
        <w:tc>
          <w:tcPr>
            <w:tcW w:w="46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Land Segment </w:t>
            </w:r>
            <w:r>
              <w:rPr>
                <w:rFonts w:ascii="Arial" w:cs="Arial" w:eastAsia="Arial" w:hAnsi="Arial"/>
                <w:sz w:val="23"/>
                <w:szCs w:val="23"/>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1,536.8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1,368.9</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6,166.2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5,254.1</w:t>
            </w:r>
          </w:p>
        </w:tc>
      </w:tr>
      <w:tr>
        <w:trPr>
          <w:trHeight w:val="229"/>
        </w:trPr>
        <w:tc>
          <w:tcPr>
            <w:tcW w:w="4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Marine Segment </w:t>
            </w:r>
            <w:r>
              <w:rPr>
                <w:rFonts w:ascii="Arial" w:cs="Arial" w:eastAsia="Arial" w:hAnsi="Arial"/>
                <w:sz w:val="23"/>
                <w:szCs w:val="23"/>
                <w:color w:val="auto"/>
                <w:vertAlign w:val="superscript"/>
              </w:rPr>
              <w:t>(2)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1,282.5</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4,870.1</w:t>
            </w:r>
          </w:p>
        </w:tc>
      </w:tr>
      <w:tr>
        <w:trPr>
          <w:trHeight w:val="223"/>
        </w:trPr>
        <w:tc>
          <w:tcPr>
            <w:tcW w:w="462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4,574.5</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4,336.1</w:t>
            </w:r>
          </w:p>
        </w:tc>
        <w:tc>
          <w:tcPr>
            <w:tcW w:w="1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18,331.4</w:t>
            </w: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15,981.7</w:t>
            </w:r>
          </w:p>
        </w:tc>
      </w:tr>
      <w:tr>
        <w:trPr>
          <w:trHeight w:val="20"/>
        </w:trPr>
        <w:tc>
          <w:tcPr>
            <w:tcW w:w="4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gallons and gallon equivalents of British Thermal Units (BTU) for our natural gas sales and Kilowatt Hours (kWh) for our power business.</w:t>
      </w:r>
    </w:p>
    <w:p>
      <w:pPr>
        <w:spacing w:after="0" w:line="93" w:lineRule="exact"/>
        <w:rPr>
          <w:rFonts w:ascii="Arial" w:cs="Arial" w:eastAsia="Arial" w:hAnsi="Arial"/>
          <w:sz w:val="21"/>
          <w:szCs w:val="21"/>
          <w:color w:val="auto"/>
          <w:vertAlign w:val="superscript"/>
        </w:rPr>
      </w:pPr>
    </w:p>
    <w:p>
      <w:pPr>
        <w:ind w:left="340" w:hanging="332"/>
        <w:spacing w:after="0" w:line="238"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Converted from metric tons to gallons at a rate of 264 gallons per metric ton. Marine segment metric tons were 4.7 and 4.9 for the three months ended December 31, 2022 and 2021, respectively; and 19.1 and 18.4 for the year ended December 31, 2022 and 2021, respectively.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305"/>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2023-02-23T18:06:28Z</dcterms:created>
  <dcterms:modified xsi:type="dcterms:W3CDTF">2023-02-23T18:06:28Z</dcterms:modified>
</cp:coreProperties>
</file>