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40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401945"/>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CROSBY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260"/>
        <w:spacing w:after="0" w:line="360"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WORLD FUEL SERVICES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6"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580"/>
              <w:spacing w:after="0"/>
              <w:rPr>
                <w:sz w:val="20"/>
                <w:szCs w:val="20"/>
                <w:color w:val="auto"/>
              </w:rPr>
            </w:pPr>
            <w:r>
              <w:rPr>
                <w:rFonts w:ascii="Arial" w:cs="Arial" w:eastAsia="Arial" w:hAnsi="Arial"/>
                <w:sz w:val="16"/>
                <w:szCs w:val="16"/>
                <w:color w:val="0000FF"/>
              </w:rPr>
              <w:t>EVP, Global Land</w:t>
            </w:r>
          </w:p>
        </w:tc>
        <w:tc>
          <w:tcPr>
            <w:tcW w:w="0" w:type="dxa"/>
            <w:vAlign w:val="bottom"/>
          </w:tcPr>
          <w:p>
            <w:pPr>
              <w:spacing w:after="0"/>
              <w:rPr>
                <w:sz w:val="1"/>
                <w:szCs w:val="1"/>
                <w:color w:val="auto"/>
              </w:rPr>
            </w:pPr>
          </w:p>
        </w:tc>
      </w:tr>
      <w:tr>
        <w:trPr>
          <w:trHeight w:val="208"/>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03/15/2021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2,675</w:t>
            </w:r>
            <w:r>
              <w:rPr>
                <w:rFonts w:ascii="Arial" w:cs="Arial" w:eastAsia="Arial" w:hAnsi="Arial"/>
                <w:sz w:val="21"/>
                <w:szCs w:val="21"/>
                <w:color w:val="008000"/>
                <w:w w:val="87"/>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73,714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6"/>
              </w:rPr>
              <w:t>736</w:t>
            </w:r>
            <w:r>
              <w:rPr>
                <w:rFonts w:ascii="Arial" w:cs="Arial" w:eastAsia="Arial" w:hAnsi="Arial"/>
                <w:sz w:val="21"/>
                <w:szCs w:val="21"/>
                <w:color w:val="008000"/>
                <w:w w:val="86"/>
                <w:vertAlign w:val="superscript"/>
              </w:rPr>
              <w:t>(3)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72,978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2,086</w:t>
            </w:r>
            <w:r>
              <w:rPr>
                <w:rFonts w:ascii="Arial" w:cs="Arial" w:eastAsia="Arial" w:hAnsi="Arial"/>
                <w:sz w:val="21"/>
                <w:szCs w:val="21"/>
                <w:color w:val="008000"/>
                <w:w w:val="87"/>
                <w:vertAlign w:val="superscript"/>
              </w:rPr>
              <w:t>(4)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70,892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3,918</w:t>
            </w:r>
            <w:r>
              <w:rPr>
                <w:rFonts w:ascii="Arial" w:cs="Arial" w:eastAsia="Arial" w:hAnsi="Arial"/>
                <w:sz w:val="21"/>
                <w:szCs w:val="21"/>
                <w:color w:val="008000"/>
                <w:w w:val="87"/>
                <w:vertAlign w:val="superscript"/>
              </w:rPr>
              <w:t>(5)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74,810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1"/>
          </w:tcPr>
          <w:p>
            <w:pPr>
              <w:jc w:val="center"/>
              <w:ind w:left="3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27.52</w:t>
            </w:r>
            <w:r>
              <w:rPr>
                <w:rFonts w:ascii="Arial" w:cs="Arial" w:eastAsia="Arial" w:hAnsi="Arial"/>
                <w:sz w:val="21"/>
                <w:szCs w:val="21"/>
                <w:color w:val="008000"/>
                <w:vertAlign w:val="superscript"/>
              </w:rPr>
              <w:t>(6)</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93"/>
              </w:rPr>
              <w:t>27,986</w:t>
            </w:r>
            <w:r>
              <w:rPr>
                <w:rFonts w:ascii="Arial" w:cs="Arial" w:eastAsia="Arial" w:hAnsi="Arial"/>
                <w:sz w:val="21"/>
                <w:szCs w:val="21"/>
                <w:color w:val="008000"/>
                <w:w w:val="93"/>
                <w:vertAlign w:val="superscript"/>
              </w:rPr>
              <w:t>(7)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3"/>
                <w:szCs w:val="13"/>
                <w:color w:val="0000FF"/>
              </w:rPr>
              <w:t>27,986</w:t>
            </w:r>
          </w:p>
        </w:tc>
        <w:tc>
          <w:tcPr>
            <w:tcW w:w="30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3"/>
                <w:szCs w:val="13"/>
                <w:color w:val="0000FF"/>
              </w:rPr>
              <w:t>03/15/2021</w:t>
            </w:r>
          </w:p>
        </w:tc>
        <w:tc>
          <w:tcPr>
            <w:tcW w:w="720" w:type="dxa"/>
            <w:vAlign w:val="bottom"/>
          </w:tcPr>
          <w:p>
            <w:pPr>
              <w:ind w:left="20"/>
              <w:spacing w:after="0" w:line="123" w:lineRule="exact"/>
              <w:rPr>
                <w:sz w:val="20"/>
                <w:szCs w:val="20"/>
                <w:color w:val="auto"/>
              </w:rPr>
            </w:pPr>
            <w:r>
              <w:rPr>
                <w:rFonts w:ascii="Arial" w:cs="Arial" w:eastAsia="Arial" w:hAnsi="Arial"/>
                <w:sz w:val="13"/>
                <w:szCs w:val="13"/>
                <w:color w:val="0000FF"/>
              </w:rPr>
              <w:t>03/15/2023</w:t>
            </w: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27,986</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00"/>
              <w:spacing w:after="0" w:line="139"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6,797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2021.</w:t>
      </w:r>
    </w:p>
    <w:p>
      <w:pPr>
        <w:spacing w:after="0" w:line="3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1,870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5,301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18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2020. These restricted stock units will vest in three equal annual installments beginning on March 15,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2018, with a premium of 15%.</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stock-settled stock appreciation rights ("SSARs") earned by the reporting person based on the level of performance criteria satisfied under certain performance-based SSARs.</w:t>
      </w:r>
    </w:p>
    <w:p>
      <w:pPr>
        <w:sectPr>
          <w:pgSz w:w="11900" w:h="16838" w:orient="portrait"/>
          <w:cols w:equalWidth="0" w:num="1">
            <w:col w:w="11080"/>
          </w:cols>
          <w:pgMar w:left="460" w:top="219"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25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271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2021-03-17T20:42:46Z</dcterms:created>
  <dcterms:modified xsi:type="dcterms:W3CDTF">2021-03-17T20:42:46Z</dcterms:modified>
</cp:coreProperties>
</file>