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Tejada Jose-Miguel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642</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28,464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28,029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462</w:t>
            </w:r>
            <w:r>
              <w:rPr>
                <w:rFonts w:ascii="Times;serif" w:hAnsi="Times;serif"/>
                <w:color w:val="008000"/>
                <w:position w:val="7"/>
                <w:sz w:val="16"/>
                <w:sz w:val="20"/>
                <w:shd w:fill="FFFFFF" w:val="clear"/>
              </w:rPr>
              <w:t>(4)</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27,567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6,841</w:t>
            </w:r>
            <w:r>
              <w:rPr>
                <w:rFonts w:ascii="Times;serif" w:hAnsi="Times;serif"/>
                <w:color w:val="008000"/>
                <w:position w:val="7"/>
                <w:sz w:val="16"/>
                <w:sz w:val="20"/>
                <w:shd w:fill="FFFFFF" w:val="clear"/>
              </w:rPr>
              <w:t>(5)</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2,054 restricted stock units held by the reporting person vested and settled on May 10, 2024.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the closing price for the issuer's common stock on the NYSE on May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1,388 restricted stock units held by the reporting person vested and settled on May 10, 2024.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1,471 restricted stock units held by the reporting person vested and settled on May 10, 2024.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will vest in four equal annual installments beginning on May 10,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Quintana Avalos,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701" TargetMode="External"/><Relationship Id="rId4" Type="http://schemas.openxmlformats.org/officeDocument/2006/relationships/hyperlink" Target="http://www.sec.gov/cgi-bin/browse-edgar?action=getcompany&amp;CIK=00007894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3947</Characters>
  <CharactersWithSpaces>4596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