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273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JUNE 30, 1996</w:t>
      </w:r>
    </w:p>
    <w:p>
      <w:pPr>
        <w:spacing w:after="0" w:line="207"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FOR THE TRANSITION PERIOD FROM ______________ to _________________</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COMMISSION FILE NUMBER 1-9533</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WORLD FUEL SERVICES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ind w:left="1060"/>
              <w:spacing w:after="0"/>
              <w:rPr>
                <w:sz w:val="20"/>
                <w:szCs w:val="20"/>
                <w:color w:val="auto"/>
              </w:rPr>
            </w:pPr>
            <w:r>
              <w:rPr>
                <w:rFonts w:ascii="Courier New" w:cs="Courier New" w:eastAsia="Courier New" w:hAnsi="Courier New"/>
                <w:sz w:val="18"/>
                <w:szCs w:val="18"/>
                <w:color w:val="auto"/>
              </w:rPr>
              <w:t>Florida</w:t>
            </w:r>
          </w:p>
        </w:tc>
        <w:tc>
          <w:tcPr>
            <w:tcW w:w="300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6"/>
              </w:rPr>
              <w:t>59-2459427</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00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700 South Royal Poinciana Blvd., Suite 800</w:t>
            </w:r>
          </w:p>
        </w:tc>
        <w:tc>
          <w:tcPr>
            <w:tcW w:w="3000" w:type="dxa"/>
            <w:vAlign w:val="bottom"/>
          </w:tcPr>
          <w:p>
            <w:pPr>
              <w:spacing w:after="0"/>
              <w:rPr>
                <w:sz w:val="24"/>
                <w:szCs w:val="24"/>
                <w:color w:val="auto"/>
              </w:rPr>
            </w:pP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Miami Springs, Florida</w:t>
            </w:r>
          </w:p>
        </w:tc>
        <w:tc>
          <w:tcPr>
            <w:tcW w:w="3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33166</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300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6"/>
              </w:rPr>
              <w:t>(Zip Code)</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(305) 884-2001</w:t>
      </w:r>
    </w:p>
    <w:p>
      <w:pPr>
        <w:spacing w:after="0" w:line="207" w:lineRule="exact"/>
        <w:rPr>
          <w:sz w:val="24"/>
          <w:szCs w:val="24"/>
          <w:color w:val="auto"/>
        </w:rPr>
      </w:pPr>
    </w:p>
    <w:p>
      <w:pPr>
        <w:ind w:right="1779" w:firstLine="948"/>
        <w:spacing w:after="0"/>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39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As of June 30, 1996, the registrant had a total of 8,042,518 shares of common stock, par value $0.01 per share, issued and outstanding.</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4"/>
          <w:szCs w:val="24"/>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following unaudited, condensed consolidated financial statements of World Fuel Services Corporation (the "Company") have been prepared in accordance with the instructions to Form 10-Q and, therefore, omit or condense certain footnotes and other information normally included in financial statements prepared in accordance with generally accepted accounting principles. In the opinion of management, all adjustments necessary for a fair presentation of the financial information for the interim periods reported have been made. Results of operations for the three months ended June 30, 1996, will not be necessarily indicative of the results for the entire fiscal year ending March 31, 1997.</w:t>
      </w:r>
    </w:p>
    <w:p>
      <w:pPr>
        <w:spacing w:after="0" w:line="1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2 of 14</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ind w:left="3900"/>
              <w:spacing w:after="0"/>
              <w:rPr>
                <w:sz w:val="20"/>
                <w:szCs w:val="20"/>
                <w:color w:val="auto"/>
              </w:rPr>
            </w:pPr>
            <w:r>
              <w:rPr>
                <w:rFonts w:ascii="Courier New" w:cs="Courier New" w:eastAsia="Courier New" w:hAnsi="Courier New"/>
                <w:sz w:val="18"/>
                <w:szCs w:val="18"/>
                <w:color w:val="auto"/>
              </w:rPr>
              <w:t>ASSETS</w:t>
            </w: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4900" w:type="dxa"/>
            <w:vAlign w:val="bottom"/>
          </w:tcPr>
          <w:p>
            <w:pPr>
              <w:spacing w:after="0"/>
              <w:rPr>
                <w:sz w:val="24"/>
                <w:szCs w:val="24"/>
                <w:color w:val="auto"/>
              </w:rPr>
            </w:pP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JUNE 30, 1996</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MARCH 31, 1996</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$ 12,267,000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$ 12,856,000</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Accountsd receivable, net of allowance</w:t>
            </w: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 bad debts of $5,113,000 and</w:t>
            </w: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$4,363,000 at June 30 and</w:t>
            </w: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March 31, 1996, respectively</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59,342,000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62,745,000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3,667,000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4,592,000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current asstets</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4,174,000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3,059,000</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ind w:left="860"/>
              <w:spacing w:after="0"/>
              <w:rPr>
                <w:sz w:val="20"/>
                <w:szCs w:val="20"/>
                <w:color w:val="auto"/>
              </w:rPr>
            </w:pPr>
            <w:r>
              <w:rPr>
                <w:rFonts w:ascii="Courier New" w:cs="Courier New" w:eastAsia="Courier New" w:hAnsi="Courier New"/>
                <w:sz w:val="18"/>
                <w:szCs w:val="18"/>
                <w:color w:val="auto"/>
              </w:rPr>
              <w:t>Total current assets</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79,450,000</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83,252,000</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Land</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601,000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601,000</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2,938,000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2,890,000</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Office equipment and furniture</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2,933,000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2,645,000</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Plant, machinery and equipment</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14,369,000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14,171,000</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502,000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67,000</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4"/>
                <w:szCs w:val="24"/>
                <w:color w:val="auto"/>
              </w:rPr>
            </w:pP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21,343,000</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20,374,000</w:t>
            </w:r>
          </w:p>
        </w:tc>
      </w:tr>
      <w:tr>
        <w:trPr>
          <w:trHeight w:val="405"/>
        </w:trPr>
        <w:tc>
          <w:tcPr>
            <w:tcW w:w="4900" w:type="dxa"/>
            <w:vAlign w:val="bottom"/>
          </w:tcPr>
          <w:p>
            <w:pPr>
              <w:ind w:left="120"/>
              <w:spacing w:after="0"/>
              <w:rPr>
                <w:sz w:val="20"/>
                <w:szCs w:val="20"/>
                <w:color w:val="auto"/>
              </w:rPr>
            </w:pPr>
            <w:r>
              <w:rPr>
                <w:rFonts w:ascii="Courier New" w:cs="Courier New" w:eastAsia="Courier New" w:hAnsi="Courier New"/>
                <w:sz w:val="18"/>
                <w:szCs w:val="18"/>
                <w:color w:val="auto"/>
              </w:rPr>
              <w:t>Less accumulated depreciation</w:t>
            </w: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6,080,000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5,856,000</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4"/>
                <w:szCs w:val="24"/>
                <w:color w:val="auto"/>
              </w:rPr>
            </w:pP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15,263,000</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14,518,000</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Unamortized cost in excess of net</w:t>
            </w: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 of acquired companies, net of</w:t>
            </w: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12,056,000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12,123,000</w:t>
            </w:r>
          </w:p>
        </w:tc>
      </w:tr>
      <w:tr>
        <w:trPr>
          <w:trHeight w:val="405"/>
        </w:trPr>
        <w:tc>
          <w:tcPr>
            <w:tcW w:w="4900" w:type="dxa"/>
            <w:vAlign w:val="bottom"/>
          </w:tcPr>
          <w:p>
            <w:pPr>
              <w:ind w:left="420"/>
              <w:spacing w:after="0"/>
              <w:rPr>
                <w:sz w:val="20"/>
                <w:szCs w:val="20"/>
                <w:color w:val="auto"/>
              </w:rPr>
            </w:pPr>
            <w:r>
              <w:rPr>
                <w:rFonts w:ascii="Courier New" w:cs="Courier New" w:eastAsia="Courier New" w:hAnsi="Courier New"/>
                <w:sz w:val="18"/>
                <w:szCs w:val="18"/>
                <w:color w:val="auto"/>
              </w:rPr>
              <w:t>Other</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2,281,000</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2,081,000</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$109,050,000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$111,974,000</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ind w:left="3580"/>
        <w:spacing w:after="0" w:line="238" w:lineRule="auto"/>
        <w:rPr>
          <w:sz w:val="20"/>
          <w:szCs w:val="20"/>
          <w:color w:val="auto"/>
        </w:rPr>
      </w:pPr>
      <w:r>
        <w:rPr>
          <w:rFonts w:ascii="Courier New" w:cs="Courier New" w:eastAsia="Courier New" w:hAnsi="Courier New"/>
          <w:sz w:val="18"/>
          <w:szCs w:val="18"/>
          <w:color w:val="auto"/>
        </w:rPr>
        <w:t>Page 3 of 14</w:t>
      </w:r>
    </w:p>
    <w:p>
      <w:pPr>
        <w:sectPr>
          <w:pgSz w:w="11900" w:h="16838" w:orient="portrait"/>
          <w:cols w:equalWidth="0" w:num="1">
            <w:col w:w="10219"/>
          </w:cols>
          <w:pgMar w:left="240" w:top="514"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ind w:left="274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3700"/>
        <w:spacing w:after="0"/>
        <w:rPr>
          <w:sz w:val="20"/>
          <w:szCs w:val="20"/>
          <w:color w:val="auto"/>
        </w:rPr>
      </w:pPr>
      <w:r>
        <w:rPr>
          <w:rFonts w:ascii="Courier New" w:cs="Courier New" w:eastAsia="Courier New" w:hAnsi="Courier New"/>
          <w:sz w:val="18"/>
          <w:szCs w:val="18"/>
          <w:color w:val="auto"/>
        </w:rPr>
        <w:t>(UNAUDITED)</w:t>
      </w:r>
    </w:p>
    <w:p>
      <w:pPr>
        <w:ind w:left="3700"/>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LIABILITIES AND STOCKHOLDERS' EQUITY</w:t>
            </w:r>
          </w:p>
        </w:tc>
        <w:tc>
          <w:tcPr>
            <w:tcW w:w="1860" w:type="dxa"/>
            <w:vAlign w:val="bottom"/>
          </w:tcPr>
          <w:p>
            <w:pPr>
              <w:spacing w:after="0"/>
              <w:rPr>
                <w:sz w:val="17"/>
                <w:szCs w:val="17"/>
                <w:color w:val="auto"/>
              </w:rPr>
            </w:pPr>
          </w:p>
        </w:tc>
      </w:tr>
      <w:tr>
        <w:trPr>
          <w:trHeight w:val="405"/>
        </w:trPr>
        <w:tc>
          <w:tcPr>
            <w:tcW w:w="4480" w:type="dxa"/>
            <w:vAlign w:val="bottom"/>
          </w:tcPr>
          <w:p>
            <w:pPr>
              <w:spacing w:after="0"/>
              <w:rPr>
                <w:sz w:val="24"/>
                <w:szCs w:val="24"/>
                <w:color w:val="auto"/>
              </w:rPr>
            </w:pPr>
          </w:p>
        </w:tc>
        <w:tc>
          <w:tcPr>
            <w:tcW w:w="2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JUNE 30, 1996</w:t>
            </w:r>
          </w:p>
        </w:tc>
        <w:tc>
          <w:tcPr>
            <w:tcW w:w="1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MARCH 31, 1996</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1,947,000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1,944,000</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32,400,000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37,808,000</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1,618,000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1,467,000</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729,000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2,055,000</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1,421,000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432,000</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ind w:left="540"/>
              <w:spacing w:after="0"/>
              <w:rPr>
                <w:sz w:val="20"/>
                <w:szCs w:val="20"/>
                <w:color w:val="auto"/>
              </w:rPr>
            </w:pPr>
            <w:r>
              <w:rPr>
                <w:rFonts w:ascii="Courier New" w:cs="Courier New" w:eastAsia="Courier New" w:hAnsi="Courier New"/>
                <w:sz w:val="18"/>
                <w:szCs w:val="18"/>
                <w:color w:val="auto"/>
              </w:rPr>
              <w:t>TOTAL CURRENT LIABILITIES</w:t>
            </w:r>
          </w:p>
        </w:tc>
        <w:tc>
          <w:tcPr>
            <w:tcW w:w="2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38,115,000</w:t>
            </w:r>
          </w:p>
        </w:tc>
        <w:tc>
          <w:tcPr>
            <w:tcW w:w="1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43,706,000</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 TERM LIABILITIES:</w:t>
            </w: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LONG-TERM DEBT, NET OF CURRENT MATURITIES</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2,106,000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2,103,000</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1,369,000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1,572,000</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1,171,000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843,000</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4,646,000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4,518,000</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$1.00 PER VALUE;</w:t>
            </w: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100,000 SHARES AUTHORIZED, NONE ISSUED</w:t>
            </w:r>
          </w:p>
        </w:tc>
        <w:tc>
          <w:tcPr>
            <w:tcW w:w="20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10,000,000 SHARES AUTHORIZED,</w:t>
            </w: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8,043,000 AND 8,039,000 SHARES ISSUED</w:t>
            </w: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OUTSTANDING AT JUNE 30,1996</w:t>
            </w: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MARCH 31, 1996, RESPECTIVELY</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80,000</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22,652,000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22,615,000</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43,613,000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41,112,000</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57,000</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66,289,000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63,750,000</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$ 109,050,000</w:t>
            </w:r>
          </w:p>
        </w:tc>
        <w:tc>
          <w:tcPr>
            <w:tcW w:w="1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$ 111,974,000</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14</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THREE MONTHS ENDED JUNE 30,</w:t>
            </w:r>
          </w:p>
        </w:tc>
      </w:tr>
      <w:tr>
        <w:trPr>
          <w:trHeight w:val="203"/>
        </w:trPr>
        <w:tc>
          <w:tcPr>
            <w:tcW w:w="3900" w:type="dxa"/>
            <w:vAlign w:val="bottom"/>
          </w:tcPr>
          <w:p>
            <w:pPr>
              <w:spacing w:after="0"/>
              <w:rPr>
                <w:sz w:val="17"/>
                <w:szCs w:val="17"/>
                <w:color w:val="auto"/>
              </w:rPr>
            </w:pPr>
          </w:p>
        </w:tc>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4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900" w:type="dxa"/>
            <w:vAlign w:val="bottom"/>
          </w:tcPr>
          <w:p>
            <w:pPr>
              <w:spacing w:after="0"/>
              <w:rPr>
                <w:sz w:val="17"/>
                <w:szCs w:val="17"/>
                <w:color w:val="auto"/>
              </w:rPr>
            </w:pPr>
          </w:p>
        </w:tc>
        <w:tc>
          <w:tcPr>
            <w:tcW w:w="1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170,694,000</w:t>
            </w:r>
          </w:p>
        </w:tc>
        <w:tc>
          <w:tcPr>
            <w:tcW w:w="1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$138,960,000</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3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159,062,000</w:t>
            </w:r>
          </w:p>
        </w:tc>
        <w:tc>
          <w:tcPr>
            <w:tcW w:w="4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129,786,000</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w:t>
            </w: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11,632,000</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9,174,000</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3,206,000</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3,006,000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1,318,000</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2,771,000</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2,356,000</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ind w:left="540"/>
              <w:spacing w:after="0"/>
              <w:rPr>
                <w:sz w:val="20"/>
                <w:szCs w:val="20"/>
                <w:color w:val="auto"/>
              </w:rPr>
            </w:pPr>
            <w:r>
              <w:rPr>
                <w:rFonts w:ascii="Courier New" w:cs="Courier New" w:eastAsia="Courier New" w:hAnsi="Courier New"/>
                <w:sz w:val="18"/>
                <w:szCs w:val="18"/>
                <w:color w:val="auto"/>
              </w:rPr>
              <w:t>Income from operations</w:t>
            </w:r>
          </w:p>
        </w:tc>
        <w:tc>
          <w:tcPr>
            <w:tcW w:w="3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7,295,000</w:t>
            </w:r>
          </w:p>
        </w:tc>
        <w:tc>
          <w:tcPr>
            <w:tcW w:w="4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5,512,000</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4,337,000</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3,662,000</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Other income (expense), net:</w:t>
            </w: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aviation joint venture</w:t>
            </w: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409,000</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377,000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net</w:t>
            </w:r>
          </w:p>
        </w:tc>
        <w:tc>
          <w:tcPr>
            <w:tcW w:w="32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(13,000)</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396,000</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386,000</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4,733,000</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4,048,000</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3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1,629,000</w:t>
            </w:r>
          </w:p>
        </w:tc>
        <w:tc>
          <w:tcPr>
            <w:tcW w:w="4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1,503,000</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3,104,000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2,545,000</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0.38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0.32</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8,184,000</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8,023,000</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14</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338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w w:val="96"/>
              </w:rPr>
              <w:t>THREE MONTHS ENDED JUNE 30,</w:t>
            </w:r>
          </w:p>
        </w:tc>
      </w:tr>
      <w:tr>
        <w:trPr>
          <w:trHeight w:val="203"/>
        </w:trPr>
        <w:tc>
          <w:tcPr>
            <w:tcW w:w="4220" w:type="dxa"/>
            <w:vAlign w:val="bottom"/>
          </w:tcPr>
          <w:p>
            <w:pPr>
              <w:spacing w:after="0"/>
              <w:rPr>
                <w:sz w:val="17"/>
                <w:szCs w:val="17"/>
                <w:color w:val="auto"/>
              </w:rPr>
            </w:pPr>
          </w:p>
        </w:tc>
        <w:tc>
          <w:tcPr>
            <w:tcW w:w="3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1996</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220" w:type="dxa"/>
            <w:vAlign w:val="bottom"/>
          </w:tcPr>
          <w:p>
            <w:pPr>
              <w:spacing w:after="0"/>
              <w:rPr>
                <w:sz w:val="17"/>
                <w:szCs w:val="17"/>
                <w:color w:val="auto"/>
              </w:rPr>
            </w:pPr>
          </w:p>
        </w:tc>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0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$ 3,104,000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$ 2,545,000</w:t>
            </w: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to net cash provided by</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operating activities -</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443,000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409,000</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10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1,318,000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income tax provision</w:t>
            </w:r>
          </w:p>
        </w:tc>
        <w:tc>
          <w:tcPr>
            <w:tcW w:w="10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328,000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599,000</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 in earnings of aviation</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joint venture, net</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(325,000)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133,000</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non-cash operating charges</w:t>
            </w:r>
          </w:p>
        </w:tc>
        <w:tc>
          <w:tcPr>
            <w:tcW w:w="10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16,000</w:t>
            </w:r>
          </w:p>
        </w:tc>
      </w:tr>
      <w:tr>
        <w:trPr>
          <w:trHeight w:val="405"/>
        </w:trPr>
        <w:tc>
          <w:tcPr>
            <w:tcW w:w="4220" w:type="dxa"/>
            <w:vAlign w:val="bottom"/>
          </w:tcPr>
          <w:p>
            <w:pPr>
              <w:ind w:left="640"/>
              <w:spacing w:after="0"/>
              <w:rPr>
                <w:sz w:val="20"/>
                <w:szCs w:val="20"/>
                <w:color w:val="auto"/>
              </w:rPr>
            </w:pPr>
            <w:r>
              <w:rPr>
                <w:rFonts w:ascii="Courier New" w:cs="Courier New" w:eastAsia="Courier New" w:hAnsi="Courier New"/>
                <w:sz w:val="18"/>
                <w:szCs w:val="18"/>
                <w:color w:val="auto"/>
                <w:w w:val="96"/>
              </w:rPr>
              <w:t>Changes in assets and liabilities,</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of dispositions:</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decrease in -</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0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2,085,000</w:t>
            </w: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(2,630,000)</w:t>
            </w:r>
          </w:p>
        </w:tc>
      </w:tr>
      <w:tr>
        <w:trPr>
          <w:trHeight w:val="203"/>
        </w:trPr>
        <w:tc>
          <w:tcPr>
            <w:tcW w:w="4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Inventories</w:t>
            </w:r>
          </w:p>
        </w:tc>
        <w:tc>
          <w:tcPr>
            <w:tcW w:w="10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925,000</w:t>
            </w: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(317,000)</w:t>
            </w:r>
          </w:p>
        </w:tc>
      </w:tr>
      <w:tr>
        <w:trPr>
          <w:trHeight w:val="203"/>
        </w:trPr>
        <w:tc>
          <w:tcPr>
            <w:tcW w:w="4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current assets</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(984,000)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1,093,000</w:t>
            </w:r>
          </w:p>
        </w:tc>
      </w:tr>
      <w:tr>
        <w:trPr>
          <w:trHeight w:val="203"/>
        </w:trPr>
        <w:tc>
          <w:tcPr>
            <w:tcW w:w="4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Other assets</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(157,000)</w:t>
            </w: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(36,000)</w:t>
            </w:r>
          </w:p>
        </w:tc>
      </w:tr>
      <w:tr>
        <w:trPr>
          <w:trHeight w:val="405"/>
        </w:trPr>
        <w:tc>
          <w:tcPr>
            <w:tcW w:w="4220" w:type="dxa"/>
            <w:vAlign w:val="bottom"/>
          </w:tcPr>
          <w:p>
            <w:pPr>
              <w:ind w:left="640"/>
              <w:spacing w:after="0"/>
              <w:rPr>
                <w:sz w:val="20"/>
                <w:szCs w:val="20"/>
                <w:color w:val="auto"/>
              </w:rPr>
            </w:pPr>
            <w:r>
              <w:rPr>
                <w:rFonts w:ascii="Courier New" w:cs="Courier New" w:eastAsia="Courier New" w:hAnsi="Courier New"/>
                <w:sz w:val="18"/>
                <w:szCs w:val="18"/>
                <w:color w:val="auto"/>
              </w:rPr>
              <w:t>Increase (decrease)in -</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 and accrued</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expenses</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(5,609,000)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2,858,000</w:t>
            </w:r>
          </w:p>
        </w:tc>
      </w:tr>
      <w:tr>
        <w:trPr>
          <w:trHeight w:val="203"/>
        </w:trPr>
        <w:tc>
          <w:tcPr>
            <w:tcW w:w="4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10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151,000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259,000</w:t>
            </w:r>
          </w:p>
        </w:tc>
      </w:tr>
      <w:tr>
        <w:trPr>
          <w:trHeight w:val="203"/>
        </w:trPr>
        <w:tc>
          <w:tcPr>
            <w:tcW w:w="4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(1,326,000)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163,000</w:t>
            </w:r>
          </w:p>
        </w:tc>
      </w:tr>
      <w:tr>
        <w:trPr>
          <w:trHeight w:val="203"/>
        </w:trPr>
        <w:tc>
          <w:tcPr>
            <w:tcW w:w="4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0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989,000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651,000</w:t>
            </w:r>
          </w:p>
        </w:tc>
      </w:tr>
      <w:tr>
        <w:trPr>
          <w:trHeight w:val="203"/>
        </w:trPr>
        <w:tc>
          <w:tcPr>
            <w:tcW w:w="4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(203,000)</w:t>
            </w: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(168,000)</w:t>
            </w:r>
          </w:p>
        </w:tc>
      </w:tr>
      <w:tr>
        <w:trPr>
          <w:trHeight w:val="203"/>
        </w:trPr>
        <w:tc>
          <w:tcPr>
            <w:tcW w:w="4220" w:type="dxa"/>
            <w:vAlign w:val="bottom"/>
          </w:tcPr>
          <w:p>
            <w:pPr>
              <w:spacing w:after="0"/>
              <w:rPr>
                <w:sz w:val="17"/>
                <w:szCs w:val="17"/>
                <w:color w:val="auto"/>
              </w:rPr>
            </w:pPr>
          </w:p>
        </w:tc>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(2,362,000)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3,180,000</w:t>
            </w:r>
          </w:p>
        </w:tc>
      </w:tr>
      <w:tr>
        <w:trPr>
          <w:trHeight w:val="203"/>
        </w:trPr>
        <w:tc>
          <w:tcPr>
            <w:tcW w:w="4220" w:type="dxa"/>
            <w:vAlign w:val="bottom"/>
          </w:tcPr>
          <w:p>
            <w:pPr>
              <w:spacing w:after="0"/>
              <w:rPr>
                <w:sz w:val="17"/>
                <w:szCs w:val="17"/>
                <w:color w:val="auto"/>
              </w:rPr>
            </w:pPr>
          </w:p>
        </w:tc>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activities</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742,000</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$ 5,725,000</w:t>
            </w:r>
          </w:p>
        </w:tc>
      </w:tr>
      <w:tr>
        <w:trPr>
          <w:trHeight w:val="203"/>
        </w:trPr>
        <w:tc>
          <w:tcPr>
            <w:tcW w:w="4220" w:type="dxa"/>
            <w:vAlign w:val="bottom"/>
          </w:tcPr>
          <w:p>
            <w:pPr>
              <w:spacing w:after="0"/>
              <w:rPr>
                <w:sz w:val="17"/>
                <w:szCs w:val="17"/>
                <w:color w:val="auto"/>
              </w:rPr>
            </w:pPr>
          </w:p>
        </w:tc>
        <w:tc>
          <w:tcPr>
            <w:tcW w:w="16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w:t>
            </w: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(Continued)</w:t>
      </w:r>
    </w:p>
    <w:p>
      <w:pPr>
        <w:ind w:left="3580"/>
        <w:spacing w:after="0" w:line="238" w:lineRule="auto"/>
        <w:rPr>
          <w:sz w:val="20"/>
          <w:szCs w:val="20"/>
          <w:color w:val="auto"/>
        </w:rPr>
      </w:pPr>
      <w:r>
        <w:rPr>
          <w:rFonts w:ascii="Courier New" w:cs="Courier New" w:eastAsia="Courier New" w:hAnsi="Courier New"/>
          <w:sz w:val="18"/>
          <w:szCs w:val="18"/>
          <w:color w:val="auto"/>
        </w:rPr>
        <w:t>Page 6 of 14</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ind w:left="3580"/>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3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 JUNE 30,</w:t>
            </w:r>
          </w:p>
        </w:tc>
      </w:tr>
      <w:tr>
        <w:trPr>
          <w:trHeight w:val="203"/>
        </w:trPr>
        <w:tc>
          <w:tcPr>
            <w:tcW w:w="4640" w:type="dxa"/>
            <w:vAlign w:val="bottom"/>
          </w:tcPr>
          <w:p>
            <w:pPr>
              <w:spacing w:after="0"/>
              <w:rPr>
                <w:sz w:val="17"/>
                <w:szCs w:val="17"/>
                <w:color w:val="auto"/>
              </w:rPr>
            </w:pP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10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1996</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640" w:type="dxa"/>
            <w:vAlign w:val="bottom"/>
          </w:tcPr>
          <w:p>
            <w:pPr>
              <w:spacing w:after="0"/>
              <w:rPr>
                <w:sz w:val="17"/>
                <w:szCs w:val="17"/>
                <w:color w:val="auto"/>
              </w:rPr>
            </w:pP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2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property, plant and</w:t>
            </w:r>
          </w:p>
        </w:tc>
        <w:tc>
          <w:tcPr>
            <w:tcW w:w="2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(1,063,000)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(246,000)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Repayments from aviation joint venture</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338,000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disposition of assets</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203,000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notes receivable</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107,000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131,000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expenditures for</w:t>
            </w:r>
          </w:p>
        </w:tc>
        <w:tc>
          <w:tcPr>
            <w:tcW w:w="2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acquisition of business</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(41,000)</w:t>
            </w:r>
          </w:p>
        </w:tc>
      </w:tr>
      <w:tr>
        <w:trPr>
          <w:trHeight w:val="203"/>
        </w:trPr>
        <w:tc>
          <w:tcPr>
            <w:tcW w:w="4640" w:type="dxa"/>
            <w:vAlign w:val="bottom"/>
          </w:tcPr>
          <w:p>
            <w:pPr>
              <w:spacing w:after="0"/>
              <w:rPr>
                <w:sz w:val="17"/>
                <w:szCs w:val="17"/>
                <w:color w:val="auto"/>
              </w:rPr>
            </w:pP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provided by</w:t>
            </w:r>
          </w:p>
        </w:tc>
        <w:tc>
          <w:tcPr>
            <w:tcW w:w="2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(956,000)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631,000</w:t>
            </w:r>
          </w:p>
        </w:tc>
      </w:tr>
      <w:tr>
        <w:trPr>
          <w:trHeight w:val="203"/>
        </w:trPr>
        <w:tc>
          <w:tcPr>
            <w:tcW w:w="4640" w:type="dxa"/>
            <w:vAlign w:val="bottom"/>
          </w:tcPr>
          <w:p>
            <w:pPr>
              <w:spacing w:after="0"/>
              <w:rPr>
                <w:sz w:val="17"/>
                <w:szCs w:val="17"/>
                <w:color w:val="auto"/>
              </w:rPr>
            </w:pP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 on common stock</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(402,000)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(1,056,000)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Repayments of long-term debt</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(47,000)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2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38,000</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financing</w:t>
            </w:r>
          </w:p>
        </w:tc>
        <w:tc>
          <w:tcPr>
            <w:tcW w:w="2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activities</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(375,000)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(1,103,000)</w:t>
            </w:r>
          </w:p>
        </w:tc>
      </w:tr>
      <w:tr>
        <w:trPr>
          <w:trHeight w:val="203"/>
        </w:trPr>
        <w:tc>
          <w:tcPr>
            <w:tcW w:w="4640" w:type="dxa"/>
            <w:vAlign w:val="bottom"/>
          </w:tcPr>
          <w:p>
            <w:pPr>
              <w:spacing w:after="0"/>
              <w:rPr>
                <w:sz w:val="17"/>
                <w:szCs w:val="17"/>
                <w:color w:val="auto"/>
              </w:rPr>
            </w:pP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increase in cash</w:t>
            </w:r>
          </w:p>
        </w:tc>
        <w:tc>
          <w:tcPr>
            <w:tcW w:w="2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(589,000)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5,253,000</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w:t>
            </w:r>
          </w:p>
        </w:tc>
        <w:tc>
          <w:tcPr>
            <w:tcW w:w="2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12,856,000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10,907,000</w:t>
            </w:r>
          </w:p>
        </w:tc>
      </w:tr>
      <w:tr>
        <w:trPr>
          <w:trHeight w:val="203"/>
        </w:trPr>
        <w:tc>
          <w:tcPr>
            <w:tcW w:w="4640" w:type="dxa"/>
            <w:vAlign w:val="bottom"/>
          </w:tcPr>
          <w:p>
            <w:pPr>
              <w:spacing w:after="0"/>
              <w:rPr>
                <w:sz w:val="17"/>
                <w:szCs w:val="17"/>
                <w:color w:val="auto"/>
              </w:rPr>
            </w:pP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w:t>
            </w:r>
          </w:p>
        </w:tc>
        <w:tc>
          <w:tcPr>
            <w:tcW w:w="2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period</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$ 12,267,000</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$ 16,160,000</w:t>
            </w:r>
          </w:p>
        </w:tc>
      </w:tr>
      <w:tr>
        <w:trPr>
          <w:trHeight w:val="203"/>
        </w:trPr>
        <w:tc>
          <w:tcPr>
            <w:tcW w:w="4640" w:type="dxa"/>
            <w:vAlign w:val="bottom"/>
          </w:tcPr>
          <w:p>
            <w:pPr>
              <w:spacing w:after="0"/>
              <w:rPr>
                <w:sz w:val="17"/>
                <w:szCs w:val="17"/>
                <w:color w:val="auto"/>
              </w:rPr>
            </w:pP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ind w:left="3580"/>
        <w:spacing w:after="0" w:line="238" w:lineRule="auto"/>
        <w:rPr>
          <w:sz w:val="20"/>
          <w:szCs w:val="20"/>
          <w:color w:val="auto"/>
        </w:rPr>
      </w:pPr>
      <w:r>
        <w:rPr>
          <w:rFonts w:ascii="Courier New" w:cs="Courier New" w:eastAsia="Courier New" w:hAnsi="Courier New"/>
          <w:sz w:val="18"/>
          <w:szCs w:val="18"/>
          <w:color w:val="auto"/>
        </w:rPr>
        <w:t>Page 7 of 14</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659"/>
        <w:spacing w:after="0"/>
        <w:rPr>
          <w:sz w:val="20"/>
          <w:szCs w:val="20"/>
          <w:color w:val="auto"/>
        </w:rPr>
      </w:pPr>
      <w:r>
        <w:rPr>
          <w:rFonts w:ascii="Courier New" w:cs="Courier New" w:eastAsia="Courier New" w:hAnsi="Courier New"/>
          <w:sz w:val="18"/>
          <w:szCs w:val="18"/>
          <w:color w:val="auto"/>
        </w:rPr>
        <w:t>(UNAUDITED)</w:t>
      </w:r>
    </w:p>
    <w:p>
      <w:pPr>
        <w:ind w:left="3700"/>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THREE MONTHS ENDED JUNE 30,</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tabs>
          <w:tab w:leader="none" w:pos="768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p>
    <w:p>
      <w:pPr>
        <w:spacing w:after="0" w:line="4" w:lineRule="exact"/>
        <w:rPr>
          <w:sz w:val="20"/>
          <w:szCs w:val="20"/>
          <w:color w:val="auto"/>
        </w:rPr>
      </w:pPr>
    </w:p>
    <w:p>
      <w:pPr>
        <w:ind w:left="5600"/>
        <w:spacing w:after="0"/>
        <w:tabs>
          <w:tab w:leader="none" w:pos="7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DISCLOSURES OF CASH FLOW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PAID DURING THE PERIOD FOR:</w:t>
      </w:r>
    </w:p>
    <w:p>
      <w:pPr>
        <w:sectPr>
          <w:pgSz w:w="11900" w:h="16838" w:orient="portrait"/>
          <w:cols w:equalWidth="0" w:num="1">
            <w:col w:w="10219"/>
          </w:cols>
          <w:pgMar w:left="240" w:top="717" w:right="1440" w:bottom="1440" w:gutter="0" w:footer="0" w:header="0"/>
        </w:sectPr>
      </w:pP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44,000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6"/>
          <w:szCs w:val="16"/>
          <w:color w:val="auto"/>
        </w:rPr>
        <w:t>$</w:t>
        <w:tab/>
        <w:t>15,000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080" w:space="720"/>
            <w:col w:w="940" w:space="640"/>
            <w:col w:w="2839"/>
          </w:cols>
          <w:pgMar w:left="240" w:top="717"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INCOME TAXES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$ 326,000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$ 292,000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080" w:space="720"/>
            <w:col w:w="940" w:space="640"/>
            <w:col w:w="2839"/>
          </w:cols>
          <w:pgMar w:left="240" w:top="717" w:right="1440" w:bottom="144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SUPPLEMENTAL SCHEDULE OF NONCASH FINANCING ACTIVITIES:</w:t>
      </w:r>
    </w:p>
    <w:p>
      <w:pPr>
        <w:spacing w:after="0" w:line="207" w:lineRule="exact"/>
        <w:rPr>
          <w:sz w:val="20"/>
          <w:szCs w:val="20"/>
          <w:color w:val="auto"/>
        </w:rPr>
      </w:pPr>
    </w:p>
    <w:p>
      <w:pPr>
        <w:jc w:val="both"/>
        <w:ind w:left="320" w:right="2519" w:firstLine="632"/>
        <w:spacing w:after="0" w:line="236" w:lineRule="auto"/>
        <w:rPr>
          <w:sz w:val="20"/>
          <w:szCs w:val="20"/>
          <w:color w:val="auto"/>
        </w:rPr>
      </w:pPr>
      <w:r>
        <w:rPr>
          <w:rFonts w:ascii="Courier New" w:cs="Courier New" w:eastAsia="Courier New" w:hAnsi="Courier New"/>
          <w:sz w:val="18"/>
          <w:szCs w:val="18"/>
          <w:color w:val="auto"/>
        </w:rPr>
        <w:t>Cash dividends declared, but not yet paid, totaling $603,000 are included in accounts payable and accrued expenses as of June 30, 1996. There were no unpaid dividends at June 30, 1995.</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14</w:t>
      </w:r>
    </w:p>
    <w:p>
      <w:pPr>
        <w:sectPr>
          <w:pgSz w:w="11900" w:h="16838" w:orient="portrait"/>
          <w:cols w:equalWidth="0" w:num="1">
            <w:col w:w="10219"/>
          </w:cols>
          <w:pgMar w:left="240" w:top="717" w:right="1440" w:bottom="1440" w:gutter="0" w:footer="0" w:header="0"/>
          <w:type w:val="continuous"/>
        </w:sectPr>
      </w:pPr>
    </w:p>
    <w:bookmarkStart w:id="7" w:name="page8"/>
    <w:bookmarkEnd w:id="7"/>
    <w:p>
      <w:pPr>
        <w:ind w:left="1900" w:right="209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THE THREE MONTHS ENDED JUNE 30, 1996 COMPARED TO</w:t>
      </w:r>
    </w:p>
    <w:p>
      <w:pPr>
        <w:spacing w:after="0" w:line="16"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8"/>
          <w:szCs w:val="18"/>
          <w:color w:val="auto"/>
        </w:rPr>
        <w:t>THE THREE MONTHS ENDED JUNE 30, 1995</w:t>
      </w:r>
    </w:p>
    <w:p>
      <w:pPr>
        <w:spacing w:after="0" w:line="207" w:lineRule="exact"/>
        <w:rPr>
          <w:sz w:val="20"/>
          <w:szCs w:val="20"/>
          <w:color w:val="auto"/>
        </w:rPr>
      </w:pPr>
    </w:p>
    <w:p>
      <w:pPr>
        <w:ind w:right="2099" w:firstLine="948"/>
        <w:spacing w:after="0" w:line="275" w:lineRule="auto"/>
        <w:rPr>
          <w:sz w:val="20"/>
          <w:szCs w:val="20"/>
          <w:color w:val="auto"/>
        </w:rPr>
      </w:pPr>
      <w:r>
        <w:rPr>
          <w:rFonts w:ascii="Courier New" w:cs="Courier New" w:eastAsia="Courier New" w:hAnsi="Courier New"/>
          <w:sz w:val="16"/>
          <w:szCs w:val="16"/>
          <w:color w:val="auto"/>
        </w:rPr>
        <w:t>The Company's revenue for the three months ended June 30, 1996 was $170,694,000, an increase of $31,734,000, or 22.8%, as compared to revenue of $138,960,000 for the corresponding period for the prior year. The Company's revenue during these periods was attributable to the following segments: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35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THREE MONTHS ENDED JUNE 30,</w:t>
            </w:r>
          </w:p>
        </w:tc>
        <w:tc>
          <w:tcPr>
            <w:tcW w:w="14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6"/>
              </w:rPr>
              <w:t>PERCENTAGE</w:t>
            </w:r>
          </w:p>
        </w:tc>
      </w:tr>
      <w:tr>
        <w:trPr>
          <w:trHeight w:val="203"/>
        </w:trPr>
        <w:tc>
          <w:tcPr>
            <w:tcW w:w="2060" w:type="dxa"/>
            <w:vAlign w:val="bottom"/>
          </w:tcPr>
          <w:p>
            <w:pPr>
              <w:spacing w:after="0"/>
              <w:rPr>
                <w:sz w:val="17"/>
                <w:szCs w:val="17"/>
                <w:color w:val="auto"/>
              </w:rPr>
            </w:pP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INCREASE</w:t>
            </w:r>
          </w:p>
        </w:tc>
      </w:tr>
      <w:tr>
        <w:trPr>
          <w:trHeight w:val="203"/>
        </w:trPr>
        <w:tc>
          <w:tcPr>
            <w:tcW w:w="20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AVIATION FUELING</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$ 87,984,000</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$ 62,859,000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MARINE FUELING</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77,132,000</w:t>
            </w: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72,087,000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OIL RECYCLING</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5,578,000</w:t>
            </w: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4,014,000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39.0%</w:t>
            </w:r>
          </w:p>
        </w:tc>
      </w:tr>
      <w:tr>
        <w:trPr>
          <w:trHeight w:val="203"/>
        </w:trPr>
        <w:tc>
          <w:tcPr>
            <w:tcW w:w="20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$170,694,000</w:t>
            </w: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$138,960,000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22.8%</w:t>
            </w:r>
          </w:p>
        </w:tc>
      </w:tr>
      <w:tr>
        <w:trPr>
          <w:trHeight w:val="203"/>
        </w:trPr>
        <w:tc>
          <w:tcPr>
            <w:tcW w:w="20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aviation fueling segment contributed $87,984,000 in revenue for the three months ended June 30, 1996. This represented an increase in revenue of $25,125,000, or 40.0%, as compared to the same period of the prior year. The increase in revenue was due to an increase in volume and the average price per gallon sold. The marine fueling segment contributed $77,132,000 in revenue for the three months ended June 30, 1996, an increase of $5,045,000, or 7.0%, over the corresponding period of the prior year. The increase in revenue was related primarily to an increase in the average price per metric ton sold. The oil recycling segment contributed $5,578,000 in revenue for the three months ended June 30, 1996, an increase of $1,564,000, or 39.0%, as compared to the same period of the prior year. The increase in revenue was due to an increase in volume and the average sales price per gallon of recycled oil sold, and higher used oil and waste water collection revenue.</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The Company's gross profit of $11,632,000 for the three months ended June 30, 1996, increased $2,458,000, or 26.8%, as compared to the same period of the prior year. The Company's gross margin increased from 6.6% for the three months ended June 30, 1995, to 6.8% for the three months ended June 30, 1996.</w:t>
      </w:r>
    </w:p>
    <w:p>
      <w:pPr>
        <w:spacing w:after="0" w:line="182"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Company's aviation fueling business achieved a 6.9% gross margin for the three months ended June 30, 1996, as compared to 7.8% achieved for the same period during the prior year. This resulted from the average gross profit per gallon remaining constant while the average sales price per gallon increased. The Company's marine fueling segment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14</w:t>
      </w:r>
    </w:p>
    <w:p>
      <w:pPr>
        <w:sectPr>
          <w:pgSz w:w="11900" w:h="16838" w:orient="portrait"/>
          <w:cols w:equalWidth="0" w:num="1">
            <w:col w:w="10219"/>
          </w:cols>
          <w:pgMar w:left="240" w:top="723"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achieved a 4.7% gross margin for the three months ended June 30, 1996, as compared to a 4.2% gross margin for the same period of the prior year. This resulted from higher gross margins in trading and brokering activities over the same period of the prior year. The gross margin in the Company's oil recycling segment increased from 31.5% for the three months ended June 30, 1995, to 34.7%, for the three months ended June 30, 1996. This increase in the gross margin resulted from higher used oil and waste water collection gross profit and a higher gross profit per gallon of recycled oil sold.</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Total operating expenses for the three months ended June 30, 1996 were $7,295,000, an increase of $1,783,000, or 32.3%, as compared to the same period of the prior year. The increase resulted primarily from a higher provision for bad debts in the aviation fueling segment, which increased $1,090,000 over the corresponding period during the prior year. In relation to revenue, total operating expenses increased from 4.0% to 4.3%.</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Company's income from operations for the three months ended June 30, 1996 was $4,337,000, an increase of $675,000, or 18.4%, as compared to the same period of the prior year. Income from operations during these periods was attributable to the following segments: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6"/>
              </w:rPr>
              <w:t>PERCENTAGE</w:t>
            </w:r>
          </w:p>
        </w:tc>
      </w:tr>
      <w:tr>
        <w:trPr>
          <w:trHeight w:val="203"/>
        </w:trPr>
        <w:tc>
          <w:tcPr>
            <w:tcW w:w="2160" w:type="dxa"/>
            <w:vAlign w:val="bottom"/>
          </w:tcPr>
          <w:p>
            <w:pPr>
              <w:spacing w:after="0"/>
              <w:rPr>
                <w:sz w:val="17"/>
                <w:szCs w:val="17"/>
                <w:color w:val="auto"/>
              </w:rPr>
            </w:pPr>
          </w:p>
        </w:tc>
        <w:tc>
          <w:tcPr>
            <w:tcW w:w="3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THREE MONTHS ENDED JUNE 30,</w:t>
            </w:r>
          </w:p>
        </w:tc>
        <w:tc>
          <w:tcPr>
            <w:tcW w:w="13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INCREASE</w:t>
            </w:r>
          </w:p>
        </w:tc>
      </w:tr>
      <w:tr>
        <w:trPr>
          <w:trHeight w:val="203"/>
        </w:trPr>
        <w:tc>
          <w:tcPr>
            <w:tcW w:w="2160" w:type="dxa"/>
            <w:vAlign w:val="bottom"/>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18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(DECREASE)</w:t>
            </w:r>
          </w:p>
        </w:tc>
      </w:tr>
      <w:tr>
        <w:trPr>
          <w:trHeight w:val="203"/>
        </w:trPr>
        <w:tc>
          <w:tcPr>
            <w:tcW w:w="21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AVIATION FUELING</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$ 3,093,000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$ 3,499,000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MARINE FUELING</w:t>
            </w:r>
          </w:p>
        </w:tc>
        <w:tc>
          <w:tcPr>
            <w:tcW w:w="1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1,018,000</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678,000</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50.1%</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OIL RECYCLING</w:t>
            </w:r>
          </w:p>
        </w:tc>
        <w:tc>
          <w:tcPr>
            <w:tcW w:w="1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1,348,000</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562,000</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139.9%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CORPORATE OVERHEAD</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(1,122,000)</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(1,077,000)</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w:t>
            </w:r>
          </w:p>
        </w:tc>
      </w:tr>
      <w:tr>
        <w:trPr>
          <w:trHeight w:val="203"/>
        </w:trPr>
        <w:tc>
          <w:tcPr>
            <w:tcW w:w="2160" w:type="dxa"/>
            <w:vAlign w:val="bottom"/>
          </w:tcPr>
          <w:p>
            <w:pPr>
              <w:spacing w:after="0"/>
              <w:rPr>
                <w:sz w:val="17"/>
                <w:szCs w:val="17"/>
                <w:color w:val="auto"/>
              </w:rPr>
            </w:pP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TOTAL INCOME FROM</w:t>
            </w:r>
          </w:p>
        </w:tc>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$ 4,337,000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$ 3,662,000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w:t>
            </w:r>
          </w:p>
        </w:tc>
      </w:tr>
      <w:tr>
        <w:trPr>
          <w:trHeight w:val="203"/>
        </w:trPr>
        <w:tc>
          <w:tcPr>
            <w:tcW w:w="2160" w:type="dxa"/>
            <w:vAlign w:val="bottom"/>
          </w:tcPr>
          <w:p>
            <w:pPr>
              <w:spacing w:after="0"/>
              <w:rPr>
                <w:sz w:val="17"/>
                <w:szCs w:val="17"/>
                <w:color w:val="auto"/>
              </w:rPr>
            </w:pP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The aviation fueling segment's income from operations was $3,093,000 for the three months ended June 30, 1996, a decrease of $406,000, or 11.6%, as compared to the three months ended June 30, 1995. This resulted from an increase in operating expenses, principally in the provision for bad debts, partially offset by an increase in the volume of product sold. The Company's aviation fueling segment also earned $409,000 from its joint venture during the three months ended June 30, 1996, as compared to $377,000 during the same period</w:t>
      </w:r>
    </w:p>
    <w:p>
      <w:pPr>
        <w:spacing w:after="0" w:line="1"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of the prior year. The results of the joint venture are shown in other income. The marine fueling segment earned $1,018,000 in income from operations for the three months ended June 30, 1996, an increase of $340,000, or 50.1% over the corresponding period of the prior year. This increase was</w:t>
      </w:r>
    </w:p>
    <w:p>
      <w:pPr>
        <w:spacing w:after="0" w:line="17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10 of 14</w:t>
      </w:r>
    </w:p>
    <w:p>
      <w:pPr>
        <w:sectPr>
          <w:pgSz w:w="11900" w:h="16838" w:orient="portrait"/>
          <w:cols w:equalWidth="0" w:num="1">
            <w:col w:w="10219"/>
          </w:cols>
          <w:pgMar w:left="240" w:top="723" w:right="1440" w:bottom="1440" w:gutter="0" w:footer="0" w:header="0"/>
        </w:sectPr>
      </w:pPr>
    </w:p>
    <w:bookmarkStart w:id="9" w:name="page10"/>
    <w:bookmarkEnd w:id="9"/>
    <w:p>
      <w:pPr>
        <w:ind w:right="1779"/>
        <w:spacing w:after="0" w:line="237" w:lineRule="auto"/>
        <w:rPr>
          <w:sz w:val="20"/>
          <w:szCs w:val="20"/>
          <w:color w:val="auto"/>
        </w:rPr>
      </w:pPr>
      <w:r>
        <w:rPr>
          <w:rFonts w:ascii="Courier New" w:cs="Courier New" w:eastAsia="Courier New" w:hAnsi="Courier New"/>
          <w:sz w:val="18"/>
          <w:szCs w:val="18"/>
          <w:color w:val="auto"/>
        </w:rPr>
        <w:t>related primarily to an increase in the average gross profit per metric ton sold, partially offset by higher operating expenses. Income from operations of the oil recycling segment increased by $786,000, or 139.9%, for the three months ended June 30, 1996, as compared to the same period of the prior year. This improvement resulted from an increase in volume and the average gross profit per recycled oil gallon sold, a higher used oil and waste water collection gross profit, and lower operating expenses.</w:t>
      </w:r>
    </w:p>
    <w:p>
      <w:pPr>
        <w:spacing w:after="0" w:line="211"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Corporate overhead costs not charged to the business segments totaled $1,122,000 for the three months ended June 30, 1996, an increase of $45,000, or 4.2%, as compared to the same period of the prior year. In relation to revenue, total corporate overhead decreased to 0.7% for the three months ended June 30, 1996, as compared to 0.8% for the same period of the prior year.</w:t>
      </w:r>
    </w:p>
    <w:p>
      <w:pPr>
        <w:spacing w:after="0" w:line="185"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The Company's effective income tax rate for the three months ended June 30, 1996 was 34.4%, as compared to 37.1% for the same period of the prior year. The decrease is the result of an overall decline in foreign income taxes.</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Net income for the three months ended June 30, 1996 was $3,104,000, an increase of $559,000, or 22.0%, as compared to net income for the three months ended June 30, 1995. Earnings per share of $0.38 for the three months ended June 30, 1996 exhibited a $0.06, or 18.8% increase over the $0.32 achieved during the same period of the prior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Cash and cash equivalents amounted to $12,267,000 at June 30, 1996, as compared to $12,856,000 at March 31, 1996. The principal uses of cash and cash equivalents during the first three months of fiscal year 1997 were $1,063,000 for capital expenditures and $402,000 in dividends paid on common stock, partially offset by net cash provided by operating activities of $742,000. Other components of changes in cash and cash equivalents are detailed in the Consolidated Statements of Cash Flows.</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Working capital as of June 30, 1996 was $41,335,000, exhibiting a</w:t>
      </w:r>
    </w:p>
    <w:p>
      <w:pPr>
        <w:spacing w:after="0" w:line="238" w:lineRule="auto"/>
        <w:rPr>
          <w:sz w:val="20"/>
          <w:szCs w:val="20"/>
          <w:color w:val="auto"/>
        </w:rPr>
      </w:pPr>
      <w:r>
        <w:rPr>
          <w:rFonts w:ascii="Courier New" w:cs="Courier New" w:eastAsia="Courier New" w:hAnsi="Courier New"/>
          <w:sz w:val="18"/>
          <w:szCs w:val="18"/>
          <w:color w:val="auto"/>
        </w:rPr>
        <w:t>$1,789,000 increase from working capital as of March 31, 1996. As of 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the Company's accounts receivable, excluding the allowance for bad debts,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amounted to $64,455,000, a decrease of $2,653,000, as compared to the March 31,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balance. In the aggregate, accounts payable, accrued expenses, and customer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deposits decreased $5,257,000. The net increase in trade credit of $2,604,000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primarily attributable to the aviation segment. The allowance for bad debts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June 30, 1996 amounted to $5,113,000, an increase of $750,000 compared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March 31, 1996 balance. During the first three months of fiscal year 1997,</w:t>
      </w:r>
    </w:p>
    <w:p>
      <w:pPr>
        <w:spacing w:after="0" w:line="238" w:lineRule="auto"/>
        <w:rPr>
          <w:sz w:val="20"/>
          <w:szCs w:val="20"/>
          <w:color w:val="auto"/>
        </w:rPr>
      </w:pPr>
      <w:r>
        <w:rPr>
          <w:rFonts w:ascii="Courier New" w:cs="Courier New" w:eastAsia="Courier New" w:hAnsi="Courier New"/>
          <w:sz w:val="18"/>
          <w:szCs w:val="18"/>
          <w:color w:val="auto"/>
        </w:rPr>
        <w:t>the Company charged $1,318,000 to the provision for bad debts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14</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and had charge-offs in excess of recoveries of $568,000.</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Capital expenditures, which amounted to $1,063,000 for the first three months of fiscal year 1997, consisted primarily of $290,000 in office equipment and furniture, $274,000 in plant, machinery and equipment, and $470,000 in construction in progress related to increased storage capacity at the Company's Louisiana used oil facility. During the balance of fiscal year 1997, the Company anticipates spending approximately $1,250,000 to upgrade plant, machinery and equipment. The Company also anticipates spending an estimated $1,000,000 over the next several years to clean up contamination which was present at one of the Company's sites when it was acquired by the Company. The clean up costs will be capitalized as part of the cost of the site, up to the fair market value of the site.</w:t>
      </w:r>
    </w:p>
    <w:p>
      <w:pPr>
        <w:spacing w:after="0" w:line="216"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Accrued salaries and wages decreased $1,326,000, resulting from the payment of sales and management performance bonuses accrued for the 1996 fiscal year.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Income taxes payable at June 30, 1996, increased $989,000, when compared to March 31, 1996. This increase resulted primarily from the payment of the first income tax installment for fiscal year 1997, subsequent to June 30, 1996, in accordance with U.S. federal and state income tax regulations.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Deferred income taxes increased $328,000 from March 31, 1996 to June 30, 1996, principally due to an increase in the difference between tax and book depreciation, partially offset by an increase in the difference between the tax and book provision for bad debts.</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Deferred compensation decreased $203,000 from March 31, 1996 to June 30, 1996, primarily as a result of distributions in accordance with the Company's deferred compensation plans.</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Company's working capital requirements are not expected to vary substantially for the balance of fiscal year 1997. The Company expects to meet its cash requirements for the balance of fiscal year 1997 from existing cash, operations, and additional borrowings, as necessary, under its existing credit facility. The Company's business has not been significantly affected by inflation during the periods discussed in this report.</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12 of 14</w:t>
      </w:r>
    </w:p>
    <w:p>
      <w:pPr>
        <w:sectPr>
          <w:pgSz w:w="11900" w:h="16838" w:orient="portrait"/>
          <w:cols w:equalWidth="0" w:num="1">
            <w:col w:w="10219"/>
          </w:cols>
          <w:pgMar w:left="240" w:top="717" w:right="1440" w:bottom="1440" w:gutter="0" w:footer="0" w:header="0"/>
        </w:sectPr>
      </w:pPr>
    </w:p>
    <w:bookmarkStart w:id="11" w:name="page12"/>
    <w:bookmarkEnd w:id="11"/>
    <w:p>
      <w:pPr>
        <w:ind w:left="2860"/>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27 FINANCIAL DATA SCHEDULE (for SEC use only)</w:t>
      </w:r>
    </w:p>
    <w:p>
      <w:pPr>
        <w:spacing w:after="0" w:line="207" w:lineRule="exact"/>
        <w:rPr>
          <w:sz w:val="20"/>
          <w:szCs w:val="20"/>
          <w:color w:val="auto"/>
        </w:rPr>
      </w:pPr>
    </w:p>
    <w:p>
      <w:pPr>
        <w:ind w:left="2540" w:right="1779" w:hanging="636"/>
        <w:spacing w:after="0" w:line="235" w:lineRule="auto"/>
        <w:tabs>
          <w:tab w:leader="none" w:pos="2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three months ended June 30, 1996, the Company did not file any reports on Form 8-K.</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13 of 14</w:t>
      </w:r>
    </w:p>
    <w:p>
      <w:pPr>
        <w:sectPr>
          <w:pgSz w:w="11900" w:h="16838" w:orient="portrait"/>
          <w:cols w:equalWidth="0" w:num="1">
            <w:col w:w="10219"/>
          </w:cols>
          <w:pgMar w:left="240" w:top="717" w:right="1440" w:bottom="1440"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 1996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FUEL SERVICES CORPORATION</w:t>
      </w:r>
    </w:p>
    <w:p>
      <w:pPr>
        <w:spacing w:after="0" w:line="200" w:lineRule="exact"/>
        <w:rPr>
          <w:sz w:val="20"/>
          <w:szCs w:val="20"/>
          <w:color w:val="auto"/>
        </w:rPr>
      </w:pPr>
    </w:p>
    <w:p>
      <w:pPr>
        <w:sectPr>
          <w:pgSz w:w="11900" w:h="16838" w:orient="portrait"/>
          <w:cols w:equalWidth="0" w:num="2">
            <w:col w:w="4020" w:space="720"/>
            <w:col w:w="5479"/>
          </w:cols>
          <w:pgMar w:left="240" w:top="7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JERROLD BLAIR</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JERROLD BLAIR</w:t>
      </w:r>
    </w:p>
    <w:p>
      <w:pPr>
        <w:ind w:left="486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CARLOS A. ABAUNZA</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CARLOS A. ABAUNZA</w:t>
      </w:r>
    </w:p>
    <w:p>
      <w:pPr>
        <w:ind w:left="48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14 of 14</w:t>
      </w:r>
    </w:p>
    <w:p>
      <w:pPr>
        <w:sectPr>
          <w:pgSz w:w="11900" w:h="16838" w:orient="portrait"/>
          <w:cols w:equalWidth="0" w:num="1">
            <w:col w:w="10219"/>
          </w:cols>
          <w:pgMar w:left="240" w:top="717" w:right="1440" w:bottom="1440" w:gutter="0" w:footer="0" w:header="0"/>
          <w:type w:val="continuous"/>
        </w:sectPr>
      </w:pPr>
    </w:p>
    <w:bookmarkStart w:id="13" w:name="page14"/>
    <w:bookmarkEnd w:id="13"/>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279"/>
        <w:spacing w:after="0" w:line="279" w:lineRule="auto"/>
        <w:rPr>
          <w:sz w:val="20"/>
          <w:szCs w:val="20"/>
          <w:color w:val="auto"/>
        </w:rPr>
      </w:pPr>
      <w:r>
        <w:rPr>
          <w:rFonts w:ascii="Courier New" w:cs="Courier New" w:eastAsia="Courier New" w:hAnsi="Courier New"/>
          <w:sz w:val="16"/>
          <w:szCs w:val="16"/>
          <w:color w:val="auto"/>
        </w:rPr>
        <w:t>THIS SCHEDULE CONTAINS SUMMARY FINANCIAL INFORMATION EXTRACTED FROM THE COMPANY'S JUNE 30, 1996 UNAUDITED FINANCIAL STATEMENTS FILED ON FORM 10-Q AND IS QUALIFIED IN ITS ENTIRETY BY REFERENCE TO SUCH FINANCIAL STATEMENTS.</w:t>
      </w:r>
    </w:p>
    <w:p>
      <w:pPr>
        <w:spacing w:after="0" w:line="200" w:lineRule="exact"/>
        <w:rPr>
          <w:sz w:val="20"/>
          <w:szCs w:val="20"/>
          <w:color w:val="auto"/>
        </w:rPr>
      </w:pPr>
    </w:p>
    <w:p>
      <w:pPr>
        <w:spacing w:after="0" w:line="378"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MAR-31-1997</w:t>
      </w:r>
    </w:p>
    <w:p>
      <w:pPr>
        <w:ind w:left="3240"/>
        <w:spacing w:after="0"/>
        <w:rPr>
          <w:sz w:val="20"/>
          <w:szCs w:val="20"/>
          <w:color w:val="auto"/>
        </w:rPr>
      </w:pPr>
      <w:r>
        <w:rPr>
          <w:rFonts w:ascii="Courier New" w:cs="Courier New" w:eastAsia="Courier New" w:hAnsi="Courier New"/>
          <w:sz w:val="18"/>
          <w:szCs w:val="18"/>
          <w:color w:val="auto"/>
        </w:rPr>
        <w:t>JUN-30-1996</w:t>
      </w:r>
    </w:p>
    <w:p>
      <w:pPr>
        <w:ind w:left="3980"/>
        <w:spacing w:after="0" w:line="237" w:lineRule="auto"/>
        <w:rPr>
          <w:sz w:val="20"/>
          <w:szCs w:val="20"/>
          <w:color w:val="auto"/>
        </w:rPr>
      </w:pPr>
      <w:r>
        <w:rPr>
          <w:rFonts w:ascii="Courier New" w:cs="Courier New" w:eastAsia="Courier New" w:hAnsi="Courier New"/>
          <w:sz w:val="18"/>
          <w:szCs w:val="18"/>
          <w:color w:val="auto"/>
        </w:rPr>
        <w:t>12,267,000</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64,455,000</w:t>
      </w:r>
    </w:p>
    <w:p>
      <w:pPr>
        <w:ind w:left="3440"/>
        <w:spacing w:after="0" w:line="237" w:lineRule="auto"/>
        <w:rPr>
          <w:sz w:val="20"/>
          <w:szCs w:val="20"/>
          <w:color w:val="auto"/>
        </w:rPr>
      </w:pPr>
      <w:r>
        <w:rPr>
          <w:rFonts w:ascii="Courier New" w:cs="Courier New" w:eastAsia="Courier New" w:hAnsi="Courier New"/>
          <w:sz w:val="18"/>
          <w:szCs w:val="18"/>
          <w:color w:val="auto"/>
        </w:rPr>
        <w:t>5,113,000</w:t>
      </w:r>
    </w:p>
    <w:p>
      <w:pPr>
        <w:ind w:left="3540"/>
        <w:spacing w:after="0"/>
        <w:rPr>
          <w:sz w:val="20"/>
          <w:szCs w:val="20"/>
          <w:color w:val="auto"/>
        </w:rPr>
      </w:pPr>
      <w:r>
        <w:rPr>
          <w:rFonts w:ascii="Courier New" w:cs="Courier New" w:eastAsia="Courier New" w:hAnsi="Courier New"/>
          <w:sz w:val="18"/>
          <w:szCs w:val="18"/>
          <w:color w:val="auto"/>
        </w:rPr>
        <w:t>3,667,000</w:t>
      </w:r>
    </w:p>
    <w:p>
      <w:pPr>
        <w:ind w:left="2920"/>
        <w:spacing w:after="0" w:line="237" w:lineRule="auto"/>
        <w:rPr>
          <w:sz w:val="20"/>
          <w:szCs w:val="20"/>
          <w:color w:val="auto"/>
        </w:rPr>
      </w:pPr>
      <w:r>
        <w:rPr>
          <w:rFonts w:ascii="Courier New" w:cs="Courier New" w:eastAsia="Courier New" w:hAnsi="Courier New"/>
          <w:sz w:val="18"/>
          <w:szCs w:val="18"/>
          <w:color w:val="auto"/>
        </w:rPr>
        <w:t>79,450,000</w:t>
      </w:r>
    </w:p>
    <w:p>
      <w:pPr>
        <w:ind w:left="3980"/>
        <w:spacing w:after="0"/>
        <w:rPr>
          <w:sz w:val="20"/>
          <w:szCs w:val="20"/>
          <w:color w:val="auto"/>
        </w:rPr>
      </w:pPr>
      <w:r>
        <w:rPr>
          <w:rFonts w:ascii="Courier New" w:cs="Courier New" w:eastAsia="Courier New" w:hAnsi="Courier New"/>
          <w:sz w:val="18"/>
          <w:szCs w:val="18"/>
          <w:color w:val="auto"/>
        </w:rPr>
        <w:t>21,343,000</w:t>
      </w:r>
    </w:p>
    <w:p>
      <w:pPr>
        <w:ind w:left="3240"/>
        <w:spacing w:after="0" w:line="237" w:lineRule="auto"/>
        <w:rPr>
          <w:sz w:val="20"/>
          <w:szCs w:val="20"/>
          <w:color w:val="auto"/>
        </w:rPr>
      </w:pPr>
      <w:r>
        <w:rPr>
          <w:rFonts w:ascii="Courier New" w:cs="Courier New" w:eastAsia="Courier New" w:hAnsi="Courier New"/>
          <w:sz w:val="18"/>
          <w:szCs w:val="18"/>
          <w:color w:val="auto"/>
        </w:rPr>
        <w:t>6,080,000</w:t>
      </w:r>
    </w:p>
    <w:p>
      <w:pPr>
        <w:ind w:left="3020"/>
        <w:spacing w:after="0" w:line="238" w:lineRule="auto"/>
        <w:rPr>
          <w:sz w:val="20"/>
          <w:szCs w:val="20"/>
          <w:color w:val="auto"/>
        </w:rPr>
      </w:pPr>
      <w:r>
        <w:rPr>
          <w:rFonts w:ascii="Courier New" w:cs="Courier New" w:eastAsia="Courier New" w:hAnsi="Courier New"/>
          <w:sz w:val="18"/>
          <w:szCs w:val="18"/>
          <w:color w:val="auto"/>
        </w:rPr>
        <w:t>109,050,000</w:t>
      </w:r>
    </w:p>
    <w:p>
      <w:pPr>
        <w:ind w:left="2400"/>
        <w:spacing w:after="0"/>
        <w:rPr>
          <w:sz w:val="20"/>
          <w:szCs w:val="20"/>
          <w:color w:val="auto"/>
        </w:rPr>
      </w:pPr>
      <w:r>
        <w:rPr>
          <w:rFonts w:ascii="Courier New" w:cs="Courier New" w:eastAsia="Courier New" w:hAnsi="Courier New"/>
          <w:sz w:val="18"/>
          <w:szCs w:val="18"/>
          <w:color w:val="auto"/>
        </w:rPr>
        <w:t>38,115,000</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180"/>
        <w:spacing w:after="0"/>
        <w:rPr>
          <w:sz w:val="20"/>
          <w:szCs w:val="20"/>
          <w:color w:val="auto"/>
        </w:rPr>
      </w:pPr>
      <w:r>
        <w:rPr>
          <w:rFonts w:ascii="Courier New" w:cs="Courier New" w:eastAsia="Courier New" w:hAnsi="Courier New"/>
          <w:sz w:val="18"/>
          <w:szCs w:val="18"/>
          <w:color w:val="auto"/>
        </w:rPr>
        <w:t>81,000</w:t>
      </w:r>
    </w:p>
    <w:p>
      <w:pPr>
        <w:ind w:left="3540"/>
        <w:spacing w:after="0" w:line="237" w:lineRule="auto"/>
        <w:rPr>
          <w:sz w:val="20"/>
          <w:szCs w:val="20"/>
          <w:color w:val="auto"/>
        </w:rPr>
      </w:pPr>
      <w:r>
        <w:rPr>
          <w:rFonts w:ascii="Courier New" w:cs="Courier New" w:eastAsia="Courier New" w:hAnsi="Courier New"/>
          <w:sz w:val="18"/>
          <w:szCs w:val="18"/>
          <w:color w:val="auto"/>
        </w:rPr>
        <w:t>66,208,000</w:t>
      </w:r>
    </w:p>
    <w:p>
      <w:pPr>
        <w:ind w:left="1540"/>
        <w:spacing w:after="0" w:line="238" w:lineRule="auto"/>
        <w:rPr>
          <w:sz w:val="20"/>
          <w:szCs w:val="20"/>
          <w:color w:val="auto"/>
        </w:rPr>
      </w:pPr>
      <w:r>
        <w:rPr>
          <w:rFonts w:ascii="Courier New" w:cs="Courier New" w:eastAsia="Courier New" w:hAnsi="Courier New"/>
          <w:sz w:val="18"/>
          <w:szCs w:val="18"/>
          <w:color w:val="auto"/>
        </w:rPr>
        <w:t>109,050,000</w:t>
      </w:r>
    </w:p>
    <w:p>
      <w:pPr>
        <w:ind w:left="3760"/>
        <w:spacing w:after="0"/>
        <w:rPr>
          <w:sz w:val="20"/>
          <w:szCs w:val="20"/>
          <w:color w:val="auto"/>
        </w:rPr>
      </w:pPr>
      <w:r>
        <w:rPr>
          <w:rFonts w:ascii="Courier New" w:cs="Courier New" w:eastAsia="Courier New" w:hAnsi="Courier New"/>
          <w:sz w:val="18"/>
          <w:szCs w:val="18"/>
          <w:color w:val="auto"/>
        </w:rPr>
        <w:t>170,694,000</w:t>
      </w:r>
    </w:p>
    <w:p>
      <w:pPr>
        <w:ind w:left="2820"/>
        <w:spacing w:after="0" w:line="237" w:lineRule="auto"/>
        <w:rPr>
          <w:sz w:val="20"/>
          <w:szCs w:val="20"/>
          <w:color w:val="auto"/>
        </w:rPr>
      </w:pPr>
      <w:r>
        <w:rPr>
          <w:rFonts w:ascii="Courier New" w:cs="Courier New" w:eastAsia="Courier New" w:hAnsi="Courier New"/>
          <w:sz w:val="18"/>
          <w:szCs w:val="18"/>
          <w:color w:val="auto"/>
        </w:rPr>
        <w:t>170,694,000</w:t>
      </w:r>
    </w:p>
    <w:p>
      <w:pPr>
        <w:ind w:left="3980"/>
        <w:spacing w:after="0"/>
        <w:rPr>
          <w:sz w:val="20"/>
          <w:szCs w:val="20"/>
          <w:color w:val="auto"/>
        </w:rPr>
      </w:pPr>
      <w:r>
        <w:rPr>
          <w:rFonts w:ascii="Courier New" w:cs="Courier New" w:eastAsia="Courier New" w:hAnsi="Courier New"/>
          <w:sz w:val="18"/>
          <w:szCs w:val="18"/>
          <w:color w:val="auto"/>
        </w:rPr>
        <w:t>159,062,000</w:t>
      </w:r>
    </w:p>
    <w:p>
      <w:pPr>
        <w:ind w:left="3120"/>
        <w:spacing w:after="0" w:line="237" w:lineRule="auto"/>
        <w:rPr>
          <w:sz w:val="20"/>
          <w:szCs w:val="20"/>
          <w:color w:val="auto"/>
        </w:rPr>
      </w:pPr>
      <w:r>
        <w:rPr>
          <w:rFonts w:ascii="Courier New" w:cs="Courier New" w:eastAsia="Courier New" w:hAnsi="Courier New"/>
          <w:sz w:val="18"/>
          <w:szCs w:val="18"/>
          <w:color w:val="auto"/>
        </w:rPr>
        <w:t>159,062,000</w:t>
      </w:r>
    </w:p>
    <w:p>
      <w:pPr>
        <w:ind w:left="3860"/>
        <w:spacing w:after="0"/>
        <w:rPr>
          <w:sz w:val="20"/>
          <w:szCs w:val="20"/>
          <w:color w:val="auto"/>
        </w:rPr>
      </w:pPr>
      <w:r>
        <w:rPr>
          <w:rFonts w:ascii="Courier New" w:cs="Courier New" w:eastAsia="Courier New" w:hAnsi="Courier New"/>
          <w:sz w:val="18"/>
          <w:szCs w:val="18"/>
          <w:color w:val="auto"/>
        </w:rPr>
        <w:t>0</w:t>
      </w:r>
    </w:p>
    <w:p>
      <w:pPr>
        <w:ind w:left="3020"/>
        <w:spacing w:after="0" w:line="237" w:lineRule="auto"/>
        <w:rPr>
          <w:sz w:val="20"/>
          <w:szCs w:val="20"/>
          <w:color w:val="auto"/>
        </w:rPr>
      </w:pPr>
      <w:r>
        <w:rPr>
          <w:rFonts w:ascii="Courier New" w:cs="Courier New" w:eastAsia="Courier New" w:hAnsi="Courier New"/>
          <w:sz w:val="18"/>
          <w:szCs w:val="18"/>
          <w:color w:val="auto"/>
        </w:rPr>
        <w:t>1,318,000</w:t>
      </w:r>
    </w:p>
    <w:p>
      <w:pPr>
        <w:ind w:left="3020"/>
        <w:spacing w:after="0"/>
        <w:rPr>
          <w:sz w:val="20"/>
          <w:szCs w:val="20"/>
          <w:color w:val="auto"/>
        </w:rPr>
      </w:pPr>
      <w:r>
        <w:rPr>
          <w:rFonts w:ascii="Courier New" w:cs="Courier New" w:eastAsia="Courier New" w:hAnsi="Courier New"/>
          <w:sz w:val="18"/>
          <w:szCs w:val="18"/>
          <w:color w:val="auto"/>
        </w:rPr>
        <w:t>136,000</w:t>
      </w:r>
    </w:p>
    <w:p>
      <w:pPr>
        <w:ind w:left="3120"/>
        <w:spacing w:after="0" w:line="237" w:lineRule="auto"/>
        <w:rPr>
          <w:sz w:val="20"/>
          <w:szCs w:val="20"/>
          <w:color w:val="auto"/>
        </w:rPr>
      </w:pPr>
      <w:r>
        <w:rPr>
          <w:rFonts w:ascii="Courier New" w:cs="Courier New" w:eastAsia="Courier New" w:hAnsi="Courier New"/>
          <w:sz w:val="18"/>
          <w:szCs w:val="18"/>
          <w:color w:val="auto"/>
        </w:rPr>
        <w:t>4,733,000</w:t>
      </w:r>
    </w:p>
    <w:p>
      <w:pPr>
        <w:ind w:left="3440"/>
        <w:spacing w:after="0" w:line="238" w:lineRule="auto"/>
        <w:rPr>
          <w:sz w:val="20"/>
          <w:szCs w:val="20"/>
          <w:color w:val="auto"/>
        </w:rPr>
      </w:pPr>
      <w:r>
        <w:rPr>
          <w:rFonts w:ascii="Courier New" w:cs="Courier New" w:eastAsia="Courier New" w:hAnsi="Courier New"/>
          <w:sz w:val="18"/>
          <w:szCs w:val="18"/>
          <w:color w:val="auto"/>
        </w:rPr>
        <w:t>1,629,000</w:t>
      </w:r>
    </w:p>
    <w:p>
      <w:pPr>
        <w:ind w:left="2700"/>
        <w:spacing w:after="0"/>
        <w:rPr>
          <w:sz w:val="20"/>
          <w:szCs w:val="20"/>
          <w:color w:val="auto"/>
        </w:rPr>
      </w:pPr>
      <w:r>
        <w:rPr>
          <w:rFonts w:ascii="Courier New" w:cs="Courier New" w:eastAsia="Courier New" w:hAnsi="Courier New"/>
          <w:sz w:val="18"/>
          <w:szCs w:val="18"/>
          <w:color w:val="auto"/>
        </w:rPr>
        <w:t>3,104,000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3,104,000</w:t>
      </w:r>
    </w:p>
    <w:p>
      <w:pPr>
        <w:ind w:left="3860"/>
        <w:spacing w:after="0" w:line="237" w:lineRule="auto"/>
        <w:rPr>
          <w:sz w:val="20"/>
          <w:szCs w:val="20"/>
          <w:color w:val="auto"/>
        </w:rPr>
      </w:pPr>
      <w:r>
        <w:rPr>
          <w:rFonts w:ascii="Courier New" w:cs="Courier New" w:eastAsia="Courier New" w:hAnsi="Courier New"/>
          <w:sz w:val="18"/>
          <w:szCs w:val="18"/>
          <w:color w:val="auto"/>
        </w:rPr>
        <w:t>0.38</w:t>
      </w:r>
    </w:p>
    <w:p>
      <w:pPr>
        <w:ind w:left="3860"/>
        <w:spacing w:after="0" w:line="238" w:lineRule="auto"/>
        <w:rPr>
          <w:sz w:val="20"/>
          <w:szCs w:val="20"/>
          <w:color w:val="auto"/>
        </w:rPr>
      </w:pPr>
      <w:r>
        <w:rPr>
          <w:rFonts w:ascii="Courier New" w:cs="Courier New" w:eastAsia="Courier New" w:hAnsi="Courier New"/>
          <w:sz w:val="18"/>
          <w:szCs w:val="18"/>
          <w:color w:val="auto"/>
        </w:rPr>
        <w:t>0.38</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2019-12-13T16:02:37Z</dcterms:created>
  <dcterms:modified xsi:type="dcterms:W3CDTF">2019-12-13T16:02:37Z</dcterms:modified>
</cp:coreProperties>
</file>