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36"/>
        </w:trPr>
        <w:tc>
          <w:tcPr>
            <w:tcW w:w="6580" w:type="dxa"/>
            <w:vAlign w:val="bottom"/>
          </w:tcPr>
          <w:p>
            <w:pPr>
              <w:jc w:val="center"/>
              <w:ind w:right="156"/>
              <w:spacing w:after="0" w:line="136"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-946785</wp:posOffset>
            </wp:positionV>
            <wp:extent cx="7322820" cy="5650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2820" cy="565086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0">
              <w:r>
                <w:rPr>
                  <w:rFonts w:ascii="Arial" w:cs="Arial" w:eastAsia="Arial" w:hAnsi="Arial"/>
                  <w:sz w:val="22"/>
                  <w:szCs w:val="22"/>
                  <w:color w:val="0000EE"/>
                </w:rPr>
                <w:t>SIDEL JEROME</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1">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3220" w:type="dxa"/>
            <w:vAlign w:val="bottom"/>
            <w:gridSpan w:val="4"/>
          </w:tcPr>
          <w:p>
            <w:pPr>
              <w:ind w:left="160"/>
              <w:spacing w:after="0"/>
              <w:rPr>
                <w:sz w:val="20"/>
                <w:szCs w:val="20"/>
                <w:color w:val="auto"/>
              </w:rPr>
            </w:pPr>
            <w:r>
              <w:rPr>
                <w:rFonts w:ascii="Arial" w:cs="Arial" w:eastAsia="Arial" w:hAnsi="Arial"/>
                <w:sz w:val="18"/>
                <w:szCs w:val="18"/>
                <w:color w:val="0000FF"/>
              </w:rPr>
              <w:t>05/27/2003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58"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9"/>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0" w:type="dxa"/>
            <w:vAlign w:val="bottom"/>
            <w:gridSpan w:val="11"/>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gridSpan w:val="7"/>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05/27/2003</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w w:val="82"/>
              </w:rPr>
              <w:t>22.41</w:t>
            </w:r>
            <w:r>
              <w:rPr>
                <w:rFonts w:ascii="Arial" w:cs="Arial" w:eastAsia="Arial" w:hAnsi="Arial"/>
                <w:sz w:val="22"/>
                <w:szCs w:val="22"/>
                <w:color w:val="008000"/>
                <w:w w:val="82"/>
                <w:vertAlign w:val="superscript"/>
              </w:rPr>
              <w:t>(1)</w:t>
            </w:r>
          </w:p>
        </w:tc>
        <w:tc>
          <w:tcPr>
            <w:tcW w:w="128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12,800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7"/>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60"/>
              <w:spacing w:after="0"/>
              <w:rPr>
                <w:sz w:val="20"/>
                <w:szCs w:val="20"/>
                <w:color w:val="auto"/>
              </w:rPr>
            </w:pPr>
            <w:r>
              <w:rPr>
                <w:rFonts w:ascii="Arial" w:cs="Arial" w:eastAsia="Arial" w:hAnsi="Arial"/>
                <w:sz w:val="14"/>
                <w:szCs w:val="14"/>
                <w:color w:val="0000FF"/>
              </w:rPr>
              <w:t>22.41</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05/27/2003</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5,000</w:t>
            </w: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05/27/2004</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05/27/2008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118"/>
              <w:spacing w:after="0"/>
              <w:rPr>
                <w:sz w:val="20"/>
                <w:szCs w:val="20"/>
                <w:color w:val="auto"/>
              </w:rPr>
            </w:pPr>
            <w:r>
              <w:rPr>
                <w:rFonts w:ascii="Arial" w:cs="Arial" w:eastAsia="Arial" w:hAnsi="Arial"/>
                <w:sz w:val="22"/>
                <w:szCs w:val="22"/>
                <w:color w:val="auto"/>
                <w:w w:val="82"/>
              </w:rPr>
              <w:t>$</w:t>
            </w:r>
            <w:r>
              <w:rPr>
                <w:rFonts w:ascii="Arial" w:cs="Arial" w:eastAsia="Arial" w:hAnsi="Arial"/>
                <w:sz w:val="13"/>
                <w:szCs w:val="13"/>
                <w:color w:val="0000FF"/>
                <w:w w:val="82"/>
              </w:rPr>
              <w:t>3.07</w:t>
            </w:r>
            <w:r>
              <w:rPr>
                <w:rFonts w:ascii="Arial" w:cs="Arial" w:eastAsia="Arial" w:hAnsi="Arial"/>
                <w:sz w:val="22"/>
                <w:szCs w:val="22"/>
                <w:color w:val="008000"/>
                <w:w w:val="82"/>
                <w:vertAlign w:val="superscript"/>
              </w:rPr>
              <w:t>(2)</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granted to non-employee directors, without payment therefor, as compensation for serving on the Board. The number shown is the closing price of the stock on the date preceding the grant date, but this amount was not paid by the reporting person to the issuer.</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options are granted to non-employee directors, without payment therefor, as compensation for serving on the Board. The number shown is the estimated value, as of the grant date, of a five-year option to purchase one share of common stock, but this amount was not paid by the reporting person to the issuer.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Jerome Sidel</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05/29/2003</w:t>
            </w:r>
          </w:p>
        </w:tc>
      </w:tr>
      <w:tr>
        <w:trPr>
          <w:trHeight w:val="20"/>
        </w:trPr>
        <w:tc>
          <w:tcPr>
            <w:tcW w:w="9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24998"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2019-12-18T06:10:31Z</dcterms:created>
  <dcterms:modified xsi:type="dcterms:W3CDTF">2019-12-18T06:10:31Z</dcterms:modified>
</cp:coreProperties>
</file>