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RAU JOHN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Global Aviation &amp; Marine</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03/31/2019</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03/31/2019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4,510</w:t>
            </w:r>
            <w:r>
              <w:rPr>
                <w:rFonts w:ascii="Arial" w:cs="Arial" w:eastAsia="Arial" w:hAnsi="Arial"/>
                <w:sz w:val="22"/>
                <w:szCs w:val="22"/>
                <w:color w:val="008000"/>
                <w:w w:val="88"/>
                <w:vertAlign w:val="superscript"/>
              </w:rPr>
              <w:t>(1)</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28.89</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71,245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 aggregate of 11,459 restricted stock units held by the reporting person vested on March 31, 2019.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of the issuer's common stock on the NYSE on March 29,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04/02/2019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99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2019-12-24T04:37:02Z</dcterms:created>
  <dcterms:modified xsi:type="dcterms:W3CDTF">2019-12-24T04:37:02Z</dcterms:modified>
</cp:coreProperties>
</file>