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May 1,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WORLD FUEL SERVICES CORPORATION</w:t>
      </w:r>
    </w:p>
    <w:p>
      <w:pPr>
        <w:ind w:left="10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260"/>
        <w:spacing w:after="0"/>
        <w:tabs>
          <w:tab w:leader="none" w:pos="5140" w:val="left"/>
        </w:tabs>
        <w:rPr>
          <w:sz w:val="20"/>
          <w:szCs w:val="20"/>
          <w:color w:val="auto"/>
        </w:rPr>
      </w:pPr>
      <w:r>
        <w:rPr>
          <w:rFonts w:ascii="Courier New" w:cs="Courier New" w:eastAsia="Courier New" w:hAnsi="Courier New"/>
          <w:sz w:val="18"/>
          <w:szCs w:val="18"/>
          <w:color w:val="auto"/>
        </w:rPr>
        <w:t>Florida</w:t>
      </w:r>
      <w:r>
        <w:rPr>
          <w:sz w:val="20"/>
          <w:szCs w:val="20"/>
          <w:color w:val="auto"/>
        </w:rPr>
        <w:tab/>
      </w:r>
      <w:r>
        <w:rPr>
          <w:rFonts w:ascii="Courier New" w:cs="Courier New" w:eastAsia="Courier New" w:hAnsi="Courier New"/>
          <w:sz w:val="16"/>
          <w:szCs w:val="16"/>
          <w:color w:val="auto"/>
        </w:rPr>
        <w:t>59-2459427</w:t>
      </w:r>
    </w:p>
    <w:p>
      <w:pPr>
        <w:ind w:left="220"/>
        <w:spacing w:after="0"/>
        <w:tabs>
          <w:tab w:leader="none" w:pos="47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ind w:left="840"/>
        <w:spacing w:after="0"/>
        <w:tabs>
          <w:tab w:leader="none" w:pos="46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9800 N.W. 41st Street, Suite 400</w:t>
      </w:r>
    </w:p>
    <w:p>
      <w:pPr>
        <w:ind w:left="1680"/>
        <w:spacing w:after="0" w:line="238" w:lineRule="auto"/>
        <w:tabs>
          <w:tab w:leader="none" w:pos="5560" w:val="left"/>
        </w:tabs>
        <w:rPr>
          <w:sz w:val="20"/>
          <w:szCs w:val="20"/>
          <w:color w:val="auto"/>
        </w:rPr>
      </w:pPr>
      <w:r>
        <w:rPr>
          <w:rFonts w:ascii="Courier New" w:cs="Courier New" w:eastAsia="Courier New" w:hAnsi="Courier New"/>
          <w:sz w:val="18"/>
          <w:szCs w:val="18"/>
          <w:color w:val="auto"/>
        </w:rPr>
        <w:t>Miami</w:t>
      </w:r>
      <w:r>
        <w:rPr>
          <w:sz w:val="20"/>
          <w:szCs w:val="20"/>
          <w:color w:val="auto"/>
        </w:rPr>
        <w:tab/>
      </w:r>
      <w:r>
        <w:rPr>
          <w:rFonts w:ascii="Courier New" w:cs="Courier New" w:eastAsia="Courier New" w:hAnsi="Courier New"/>
          <w:sz w:val="18"/>
          <w:szCs w:val="18"/>
          <w:color w:val="auto"/>
        </w:rPr>
        <w:t>33178</w:t>
      </w:r>
    </w:p>
    <w:p>
      <w:pPr>
        <w:spacing w:after="0"/>
        <w:tabs>
          <w:tab w:leader="none" w:pos="5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Registrant's telephone number, including area code: (305) 428-8000</w:t>
      </w:r>
    </w:p>
    <w:p>
      <w:pPr>
        <w:sectPr>
          <w:pgSz w:w="11900" w:h="16838" w:orient="portrait"/>
          <w:cols w:equalWidth="0" w:num="1">
            <w:col w:w="9899"/>
          </w:cols>
          <w:pgMar w:left="560" w:top="649"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May 1, 2003, World Fuel Services Corporation (the "Company" or "World Fuel") reported that net income for the first quarter ended March 31, 2003, rose 18 percent to $5.3 million, or $0.48 per diluted share, as compared to $4.5 million, or $0.42 per diluted share, for the same quarter the prior year.</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Revenue for the first quarter ended March 31, 2003, was $658.0 million, versus $351.3 million in the same quarter of the prior year, reflecting significant increases in business volumes in the aviation segment and higher fuel prices for both the marine and aviation segments.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very pleased with these results, which validate our business model and demonstrate strong performance in a difficult operating environment," said Paul Stebbins, Chairman and Chief Executive Officer. "Our team has done a great job and we are right on track for a good year."</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FIRST QUARTER FINANCIAL HIGHLIGHTS</w:t>
      </w:r>
    </w:p>
    <w:p>
      <w:pPr>
        <w:ind w:left="24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4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in thousands, except earnings per share)</w:t>
            </w:r>
          </w:p>
        </w:tc>
        <w:tc>
          <w:tcPr>
            <w:tcW w:w="880" w:type="dxa"/>
            <w:vAlign w:val="bottom"/>
          </w:tcPr>
          <w:p>
            <w:pPr>
              <w:spacing w:after="0"/>
              <w:rPr>
                <w:sz w:val="17"/>
                <w:szCs w:val="17"/>
                <w:color w:val="auto"/>
              </w:rPr>
            </w:pPr>
          </w:p>
        </w:tc>
      </w:tr>
      <w:tr>
        <w:trPr>
          <w:trHeight w:val="405"/>
        </w:trPr>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3/31/03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3/31/02</w:t>
            </w:r>
          </w:p>
        </w:tc>
      </w:tr>
      <w:tr>
        <w:trPr>
          <w:trHeight w:val="203"/>
        </w:trPr>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rPr>
              <w:t>Revenue</w:t>
            </w:r>
          </w:p>
        </w:tc>
        <w:tc>
          <w:tcPr>
            <w:tcW w:w="1680" w:type="dxa"/>
            <w:vAlign w:val="bottom"/>
          </w:tcPr>
          <w:p>
            <w:pPr>
              <w:spacing w:after="0"/>
              <w:rPr>
                <w:sz w:val="24"/>
                <w:szCs w:val="24"/>
                <w:color w:val="auto"/>
              </w:rPr>
            </w:pPr>
          </w:p>
        </w:tc>
        <w:tc>
          <w:tcPr>
            <w:tcW w:w="31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$658,000</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$351,284</w:t>
            </w:r>
          </w:p>
        </w:tc>
      </w:tr>
      <w:tr>
        <w:trPr>
          <w:trHeight w:val="203"/>
        </w:trPr>
        <w:tc>
          <w:tcPr>
            <w:tcW w:w="3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3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$6,918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$6,383</w:t>
            </w:r>
          </w:p>
        </w:tc>
      </w:tr>
      <w:tr>
        <w:trPr>
          <w:trHeight w:val="203"/>
        </w:trPr>
        <w:tc>
          <w:tcPr>
            <w:tcW w:w="1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tcPr>
          <w:p>
            <w:pPr>
              <w:spacing w:after="0"/>
              <w:rPr>
                <w:sz w:val="17"/>
                <w:szCs w:val="17"/>
                <w:color w:val="auto"/>
              </w:rPr>
            </w:pPr>
          </w:p>
        </w:tc>
        <w:tc>
          <w:tcPr>
            <w:tcW w:w="3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$5,268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$4,473</w:t>
            </w:r>
          </w:p>
        </w:tc>
      </w:tr>
      <w:tr>
        <w:trPr>
          <w:trHeight w:val="203"/>
        </w:trPr>
        <w:tc>
          <w:tcPr>
            <w:tcW w:w="34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31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$0.48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w:t>
            </w:r>
          </w:p>
        </w:tc>
      </w:tr>
      <w:tr>
        <w:trPr>
          <w:trHeight w:val="405"/>
        </w:trPr>
        <w:tc>
          <w:tcPr>
            <w:tcW w:w="6600" w:type="dxa"/>
            <w:vAlign w:val="bottom"/>
            <w:gridSpan w:val="3"/>
          </w:tcPr>
          <w:p>
            <w:pPr>
              <w:spacing w:after="0"/>
              <w:rPr>
                <w:sz w:val="20"/>
                <w:szCs w:val="20"/>
                <w:color w:val="auto"/>
              </w:rPr>
            </w:pPr>
            <w:r>
              <w:rPr>
                <w:rFonts w:ascii="Courier New" w:cs="Courier New" w:eastAsia="Courier New" w:hAnsi="Courier New"/>
                <w:sz w:val="18"/>
                <w:szCs w:val="18"/>
                <w:color w:val="auto"/>
              </w:rPr>
              <w:t>See exhibit 99.1 for the press release.</w:t>
            </w:r>
          </w:p>
        </w:tc>
        <w:tc>
          <w:tcPr>
            <w:tcW w:w="880" w:type="dxa"/>
            <w:vAlign w:val="bottom"/>
          </w:tcPr>
          <w:p>
            <w:pPr>
              <w:spacing w:after="0"/>
              <w:rPr>
                <w:sz w:val="24"/>
                <w:szCs w:val="24"/>
                <w:color w:val="auto"/>
              </w:rPr>
            </w:pPr>
          </w:p>
        </w:tc>
      </w:tr>
      <w:tr>
        <w:trPr>
          <w:trHeight w:val="405"/>
        </w:trPr>
        <w:tc>
          <w:tcPr>
            <w:tcW w:w="6600" w:type="dxa"/>
            <w:vAlign w:val="bottom"/>
            <w:gridSpan w:val="3"/>
          </w:tcPr>
          <w:p>
            <w:pPr>
              <w:spacing w:after="0"/>
              <w:rPr>
                <w:sz w:val="20"/>
                <w:szCs w:val="20"/>
                <w:color w:val="auto"/>
              </w:rPr>
            </w:pPr>
            <w:r>
              <w:rPr>
                <w:rFonts w:ascii="Courier New" w:cs="Courier New" w:eastAsia="Courier New" w:hAnsi="Courier New"/>
                <w:sz w:val="18"/>
                <w:szCs w:val="18"/>
                <w:color w:val="auto"/>
              </w:rPr>
              <w:t>Item 7.  Financial Statements and Exhibits</w:t>
            </w:r>
          </w:p>
        </w:tc>
        <w:tc>
          <w:tcPr>
            <w:tcW w:w="880" w:type="dxa"/>
            <w:vAlign w:val="bottom"/>
          </w:tcPr>
          <w:p>
            <w:pPr>
              <w:spacing w:after="0"/>
              <w:rPr>
                <w:sz w:val="24"/>
                <w:szCs w:val="24"/>
                <w:color w:val="auto"/>
              </w:rPr>
            </w:pPr>
          </w:p>
        </w:tc>
      </w:tr>
      <w:tr>
        <w:trPr>
          <w:trHeight w:val="405"/>
        </w:trPr>
        <w:tc>
          <w:tcPr>
            <w:tcW w:w="1800" w:type="dxa"/>
            <w:vAlign w:val="bottom"/>
          </w:tcPr>
          <w:p>
            <w:pPr>
              <w:ind w:left="960"/>
              <w:spacing w:after="0"/>
              <w:rPr>
                <w:sz w:val="20"/>
                <w:szCs w:val="20"/>
                <w:color w:val="auto"/>
              </w:rPr>
            </w:pPr>
            <w:r>
              <w:rPr>
                <w:rFonts w:ascii="Courier New" w:cs="Courier New" w:eastAsia="Courier New" w:hAnsi="Courier New"/>
                <w:sz w:val="18"/>
                <w:szCs w:val="18"/>
                <w:color w:val="auto"/>
              </w:rPr>
              <w:t>(c)</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Exhibits</w:t>
            </w:r>
          </w:p>
        </w:tc>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5"/>
        </w:trPr>
        <w:tc>
          <w:tcPr>
            <w:tcW w:w="180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Exhibit No.</w:t>
            </w:r>
          </w:p>
        </w:tc>
        <w:tc>
          <w:tcPr>
            <w:tcW w:w="3120" w:type="dxa"/>
            <w:vAlign w:val="bottom"/>
          </w:tcPr>
          <w:p>
            <w:pPr>
              <w:ind w:left="100"/>
              <w:spacing w:after="0"/>
              <w:rPr>
                <w:sz w:val="20"/>
                <w:szCs w:val="20"/>
                <w:color w:val="auto"/>
              </w:rPr>
            </w:pPr>
            <w:r>
              <w:rPr>
                <w:rFonts w:ascii="Courier New" w:cs="Courier New" w:eastAsia="Courier New" w:hAnsi="Courier New"/>
                <w:sz w:val="18"/>
                <w:szCs w:val="18"/>
                <w:color w:val="auto"/>
              </w:rPr>
              <w:t>Description</w:t>
            </w:r>
          </w:p>
        </w:tc>
        <w:tc>
          <w:tcPr>
            <w:tcW w:w="880" w:type="dxa"/>
            <w:vAlign w:val="bottom"/>
          </w:tcPr>
          <w:p>
            <w:pPr>
              <w:spacing w:after="0"/>
              <w:rPr>
                <w:sz w:val="24"/>
                <w:szCs w:val="24"/>
                <w:color w:val="auto"/>
              </w:rPr>
            </w:pPr>
          </w:p>
        </w:tc>
      </w:tr>
      <w:tr>
        <w:trPr>
          <w:trHeight w:val="203"/>
        </w:trPr>
        <w:tc>
          <w:tcPr>
            <w:tcW w:w="1800" w:type="dxa"/>
            <w:vAlign w:val="bottom"/>
          </w:tcPr>
          <w:p>
            <w:pPr>
              <w:spacing w:after="0"/>
              <w:rPr>
                <w:sz w:val="17"/>
                <w:szCs w:val="17"/>
                <w:color w:val="auto"/>
              </w:rPr>
            </w:pP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spacing w:after="0"/>
              <w:rPr>
                <w:sz w:val="17"/>
                <w:szCs w:val="17"/>
                <w:color w:val="auto"/>
              </w:rPr>
            </w:pPr>
          </w:p>
        </w:tc>
      </w:tr>
      <w:tr>
        <w:trPr>
          <w:trHeight w:val="405"/>
        </w:trPr>
        <w:tc>
          <w:tcPr>
            <w:tcW w:w="1800" w:type="dxa"/>
            <w:vAlign w:val="bottom"/>
          </w:tcPr>
          <w:p>
            <w:pPr>
              <w:spacing w:after="0"/>
              <w:rPr>
                <w:sz w:val="24"/>
                <w:szCs w:val="24"/>
                <w:color w:val="auto"/>
              </w:rPr>
            </w:pPr>
          </w:p>
        </w:tc>
        <w:tc>
          <w:tcPr>
            <w:tcW w:w="16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99.1</w:t>
            </w:r>
          </w:p>
        </w:tc>
        <w:tc>
          <w:tcPr>
            <w:tcW w:w="4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Press Release dated May 1, 2003.</w:t>
            </w:r>
          </w:p>
        </w:tc>
      </w:tr>
    </w:tbl>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6, 2003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Michael J. Kasbar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Michael J. Kasbar</w:t>
      </w:r>
    </w:p>
    <w:p>
      <w:pPr>
        <w:ind w:left="4220"/>
        <w:spacing w:after="0" w:line="238" w:lineRule="auto"/>
        <w:rPr>
          <w:sz w:val="20"/>
          <w:szCs w:val="20"/>
          <w:color w:val="auto"/>
        </w:rPr>
      </w:pPr>
      <w:r>
        <w:rPr>
          <w:rFonts w:ascii="Courier New" w:cs="Courier New" w:eastAsia="Courier New" w:hAnsi="Courier New"/>
          <w:sz w:val="18"/>
          <w:szCs w:val="18"/>
          <w:color w:val="auto"/>
        </w:rPr>
        <w:t>President and Chief Operating Officer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Francis X. Shea</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Francis X. Shea</w:t>
      </w:r>
    </w:p>
    <w:p>
      <w:pPr>
        <w:ind w:left="4220"/>
        <w:spacing w:after="0" w:line="238" w:lineRule="auto"/>
        <w:rPr>
          <w:sz w:val="20"/>
          <w:szCs w:val="20"/>
          <w:color w:val="auto"/>
        </w:rPr>
      </w:pPr>
      <w:r>
        <w:rPr>
          <w:rFonts w:ascii="Courier New" w:cs="Courier New" w:eastAsia="Courier New" w:hAnsi="Courier New"/>
          <w:sz w:val="18"/>
          <w:szCs w:val="18"/>
          <w:color w:val="auto"/>
        </w:rPr>
        <w:t>Executive Vice President and Chief</w:t>
      </w:r>
    </w:p>
    <w:p>
      <w:pPr>
        <w:ind w:left="4220"/>
        <w:spacing w:after="0"/>
        <w:rPr>
          <w:sz w:val="20"/>
          <w:szCs w:val="20"/>
          <w:color w:val="auto"/>
        </w:rPr>
      </w:pPr>
      <w:r>
        <w:rPr>
          <w:rFonts w:ascii="Courier New" w:cs="Courier New" w:eastAsia="Courier New" w:hAnsi="Courier New"/>
          <w:sz w:val="18"/>
          <w:szCs w:val="18"/>
          <w:color w:val="auto"/>
        </w:rPr>
        <w:t>Financial Officer (Principal Financial</w:t>
      </w:r>
    </w:p>
    <w:p>
      <w:pPr>
        <w:ind w:left="4220"/>
        <w:spacing w:after="0" w:line="237" w:lineRule="auto"/>
        <w:rPr>
          <w:sz w:val="20"/>
          <w:szCs w:val="20"/>
          <w:color w:val="auto"/>
        </w:rPr>
      </w:pPr>
      <w:r>
        <w:rPr>
          <w:rFonts w:ascii="Courier New" w:cs="Courier New" w:eastAsia="Courier New" w:hAnsi="Courier New"/>
          <w:sz w:val="18"/>
          <w:szCs w:val="18"/>
          <w:color w:val="auto"/>
        </w:rPr>
        <w:t>and Accounting Officer)</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[WORLD FUEL SERVICES CORPORATION LOGO]</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NEWS RELEASE for May 1, 2003 at 8:00 AM EDT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Allen &amp; Caron</w:t>
      </w:r>
    </w:p>
    <w:p>
      <w:pPr>
        <w:ind w:left="960"/>
        <w:spacing w:after="0" w:line="238" w:lineRule="auto"/>
        <w:rPr>
          <w:sz w:val="20"/>
          <w:szCs w:val="20"/>
          <w:color w:val="auto"/>
        </w:rPr>
      </w:pPr>
      <w:r>
        <w:rPr>
          <w:rFonts w:ascii="Courier New" w:cs="Courier New" w:eastAsia="Courier New" w:hAnsi="Courier New"/>
          <w:sz w:val="18"/>
          <w:szCs w:val="18"/>
          <w:color w:val="auto"/>
        </w:rPr>
        <w:t>Michael Mason (Investors)</w:t>
      </w:r>
    </w:p>
    <w:p>
      <w:pPr>
        <w:ind w:left="960"/>
        <w:spacing w:after="0"/>
        <w:rPr>
          <w:sz w:val="20"/>
          <w:szCs w:val="20"/>
          <w:color w:val="auto"/>
        </w:rPr>
      </w:pPr>
      <w:r>
        <w:rPr>
          <w:rFonts w:ascii="Courier New" w:cs="Courier New" w:eastAsia="Courier New" w:hAnsi="Courier New"/>
          <w:sz w:val="18"/>
          <w:szCs w:val="18"/>
          <w:color w:val="auto"/>
        </w:rPr>
        <w:t>michaelm@allencaron.com</w:t>
      </w:r>
    </w:p>
    <w:p>
      <w:pPr>
        <w:ind w:left="960"/>
        <w:spacing w:after="0" w:line="237" w:lineRule="auto"/>
        <w:rPr>
          <w:sz w:val="20"/>
          <w:szCs w:val="20"/>
          <w:color w:val="auto"/>
        </w:rPr>
      </w:pPr>
      <w:r>
        <w:rPr>
          <w:rFonts w:ascii="Courier New" w:cs="Courier New" w:eastAsia="Courier New" w:hAnsi="Courier New"/>
          <w:sz w:val="18"/>
          <w:szCs w:val="18"/>
          <w:color w:val="auto"/>
        </w:rPr>
        <w:t>(212) 691-8087</w:t>
      </w:r>
    </w:p>
    <w:p>
      <w:pPr>
        <w:ind w:left="1900"/>
        <w:spacing w:after="0" w:line="238" w:lineRule="auto"/>
        <w:rPr>
          <w:sz w:val="20"/>
          <w:szCs w:val="20"/>
          <w:color w:val="auto"/>
        </w:rPr>
      </w:pPr>
      <w:r>
        <w:rPr>
          <w:rFonts w:ascii="Courier New" w:cs="Courier New" w:eastAsia="Courier New" w:hAnsi="Courier New"/>
          <w:sz w:val="18"/>
          <w:szCs w:val="18"/>
          <w:color w:val="auto"/>
        </w:rPr>
        <w:t>or</w:t>
      </w:r>
    </w:p>
    <w:p>
      <w:pPr>
        <w:ind w:left="960"/>
        <w:spacing w:after="0"/>
        <w:rPr>
          <w:sz w:val="20"/>
          <w:szCs w:val="20"/>
          <w:color w:val="auto"/>
        </w:rPr>
      </w:pPr>
      <w:r>
        <w:rPr>
          <w:rFonts w:ascii="Courier New" w:cs="Courier New" w:eastAsia="Courier New" w:hAnsi="Courier New"/>
          <w:sz w:val="18"/>
          <w:szCs w:val="18"/>
          <w:color w:val="auto"/>
        </w:rPr>
        <w:t>Len Hall (Media)</w:t>
      </w:r>
    </w:p>
    <w:p>
      <w:pPr>
        <w:ind w:left="960"/>
        <w:spacing w:after="0" w:line="237" w:lineRule="auto"/>
        <w:rPr>
          <w:sz w:val="20"/>
          <w:szCs w:val="20"/>
          <w:color w:val="auto"/>
        </w:rPr>
      </w:pPr>
      <w:r>
        <w:rPr>
          <w:rFonts w:ascii="Courier New" w:cs="Courier New" w:eastAsia="Courier New" w:hAnsi="Courier New"/>
          <w:sz w:val="18"/>
          <w:szCs w:val="18"/>
          <w:color w:val="auto"/>
        </w:rPr>
        <w:t>len@allencaron.com</w:t>
      </w:r>
    </w:p>
    <w:p>
      <w:pPr>
        <w:ind w:left="960"/>
        <w:spacing w:after="0"/>
        <w:rPr>
          <w:sz w:val="20"/>
          <w:szCs w:val="20"/>
          <w:color w:val="auto"/>
        </w:rPr>
      </w:pPr>
      <w:r>
        <w:rPr>
          <w:rFonts w:ascii="Courier New" w:cs="Courier New" w:eastAsia="Courier New" w:hAnsi="Courier New"/>
          <w:sz w:val="18"/>
          <w:szCs w:val="18"/>
          <w:color w:val="auto"/>
        </w:rPr>
        <w:t>(949) 474-4300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World Fuel Services Corporation Francis X. Shea, CFO &amp; EVP fshea@wfscorp.com (305) 428-8000</w:t>
      </w:r>
    </w:p>
    <w:p>
      <w:pPr>
        <w:spacing w:after="0" w:line="1011" w:lineRule="exact"/>
        <w:rPr>
          <w:sz w:val="20"/>
          <w:szCs w:val="20"/>
          <w:color w:val="auto"/>
        </w:rPr>
      </w:pPr>
    </w:p>
    <w:p>
      <w:pPr>
        <w:sectPr>
          <w:pgSz w:w="11900" w:h="16838" w:orient="portrait"/>
          <w:cols w:equalWidth="0" w:num="2">
            <w:col w:w="4540" w:space="420"/>
            <w:col w:w="5259"/>
          </w:cols>
          <w:pgMar w:left="240" w:top="541"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8"/>
          <w:szCs w:val="18"/>
          <w:color w:val="auto"/>
        </w:rPr>
        <w:t>WORLD FUEL SERVICES REPORTS STRONG FIRST-QUARTER RESULTS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MIAMI (May 1, 2003) ... World Fuel Services Corporation (NYSE:INT), a global leader in the marketing and financing of aviation and marine fuel products and related services, today reported that net income for the first quarter ended March 31, 2003, rose 18 percent to $5.3 million, or $0.48 per diluted share, as compared to $4.5 million, or $0.42 per diluted share, for the same quarter the prior year.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Revenue for the first quarter ended March 31, 2003, was $658.0 million, versus $351.3 million in the same quarter of the prior year, reflecting significant increases in business volumes in the aviation segment and higher fuel prices for both the marine and aviation segments.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are very pleased with these results, which validate our business model and demonstrate strong performance in a difficult operating environment," said Paul Stebbins, Chairman and Chief Executive Officer. "Our team has done a great job and we are right on track for a good year."</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FIRST QUARTER FINANCIAL HIGHLIGHTS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0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Quarter Ended</w:t>
            </w:r>
          </w:p>
        </w:tc>
      </w:tr>
      <w:tr>
        <w:trPr>
          <w:trHeight w:val="203"/>
        </w:trPr>
        <w:tc>
          <w:tcPr>
            <w:tcW w:w="306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in thousands)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3/31/03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3/31/02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$351,284</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$6,918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$6,383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$5,268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$0.42</w:t>
            </w:r>
          </w:p>
        </w:tc>
      </w:tr>
    </w:tbl>
    <w:p>
      <w:pPr>
        <w:sectPr>
          <w:pgSz w:w="11900" w:h="16838" w:orient="portrait"/>
          <w:cols w:equalWidth="0" w:num="1">
            <w:col w:w="10219"/>
          </w:cols>
          <w:pgMar w:left="240" w:top="541"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WORLD FUEL SERVICES REPORTS STRONG FIRST-QUARTER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World Fuel Services Corporation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Headquartered in Miami, FL, World Fuel Services Corporation is a global leader in the downstream marketing and financing of aviation and marine fuel products and related services. As the marketer of choice in the aviation and shipping industries, World Fuel Services provides fuel and services at more than 1,100 airports and seaports worldwide. With 30 offices strategically located throughout the world, World Fuel Services offers its customers a value-added outsource service for the supply, quality control, logistical support and price-risk management of marine and aviation fuel.</w:t>
      </w:r>
    </w:p>
    <w:p>
      <w:pPr>
        <w:spacing w:after="0" w:line="21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Company's global team of market makers provides deep domain expertise in all aspects of marine and aviation fuel management. World Fuel Services' aviation customers include commercial, passenger and cargo operators as well as corporate clientele. The Company's marine customers include premier blue-chip companies from all segments of the market. For more information, call (305)</w:t>
      </w:r>
    </w:p>
    <w:p>
      <w:pPr>
        <w:spacing w:after="0" w:line="234" w:lineRule="auto"/>
        <w:rPr>
          <w:sz w:val="20"/>
          <w:szCs w:val="20"/>
          <w:color w:val="auto"/>
        </w:rPr>
      </w:pPr>
      <w:r>
        <w:rPr>
          <w:rFonts w:ascii="Courier New" w:cs="Courier New" w:eastAsia="Courier New" w:hAnsi="Courier New"/>
          <w:sz w:val="18"/>
          <w:szCs w:val="18"/>
          <w:color w:val="auto"/>
        </w:rPr>
        <w:t>428-8000 or visit www.worldfuel.com.</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the exception of historical information in this news release, this document includes forward-looking statements that involve risks and uncertainties, including, but not limited to, quarterly fluctuations in results, the management of growth, fluctuations in world oil prices or foreign currency, major changes in political, economic, regulatory, or environmental conditions, the loss of key customers, suppliers or key members of senior management, uninsured losses, competition, credit risk associated with accounts and notes receivable, and other risks detailed from time to time in the Company's Securities and Exchange Commission filings. Actual results may differ materially from any forward-looking statements set forth herein.</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WORLD FUEL SERVICES REPORTS STRONG FIRST-QUARTER RESULTS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p>
      <w:pPr>
        <w:ind w:left="232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ind w:left="3480"/>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March 31,</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(Unaudited)</w:t>
            </w:r>
          </w:p>
        </w:tc>
        <w:tc>
          <w:tcPr>
            <w:tcW w:w="1440" w:type="dxa"/>
            <w:vAlign w:val="bottom"/>
          </w:tcPr>
          <w:p>
            <w:pPr>
              <w:spacing w:after="0"/>
              <w:rPr>
                <w:sz w:val="17"/>
                <w:szCs w:val="17"/>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$ 49,800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$ 57,776</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and notes receivable, net</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182,913</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177,360</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14,350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5,144</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23,440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22,300</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270,503</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262,580</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7,333</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6,874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Goodwill, net</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34,003</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34,003</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1,472</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7,620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7,358</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4"/>
                <w:szCs w:val="24"/>
                <w:color w:val="auto"/>
              </w:rPr>
            </w:pP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$320,839</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$312,287</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debt</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2,439</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2,527</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96,211</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97,560</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53,339</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66,012</w:t>
            </w:r>
          </w:p>
        </w:tc>
      </w:tr>
      <w:tr>
        <w:trPr>
          <w:trHeight w:val="203"/>
        </w:trPr>
        <w:tc>
          <w:tcPr>
            <w:tcW w:w="5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16,400</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14,260</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168,389</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180,359</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LONG-TERM LIABILITIES</w:t>
            </w: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19,933</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4,198</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132,517</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127,730</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4"/>
                <w:szCs w:val="24"/>
                <w:color w:val="auto"/>
              </w:rPr>
            </w:pP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$320,839</w:t>
            </w:r>
          </w:p>
        </w:tc>
        <w:tc>
          <w:tcPr>
            <w:tcW w:w="14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$312,287</w:t>
            </w:r>
          </w:p>
        </w:tc>
      </w:tr>
      <w:tr>
        <w:trPr>
          <w:trHeight w:val="203"/>
        </w:trPr>
        <w:tc>
          <w:tcPr>
            <w:tcW w:w="5440" w:type="dxa"/>
            <w:vAlign w:val="bottom"/>
          </w:tcPr>
          <w:p>
            <w:pPr>
              <w:spacing w:after="0"/>
              <w:rPr>
                <w:sz w:val="17"/>
                <w:szCs w:val="17"/>
                <w:color w:val="auto"/>
              </w:rPr>
            </w:pPr>
          </w:p>
        </w:tc>
        <w:tc>
          <w:tcPr>
            <w:tcW w:w="1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WORLD FUEL SERVICES REPORTS STRONG FIRST-QUARTER RESULTS</w:t>
      </w:r>
    </w:p>
    <w:p>
      <w:pPr>
        <w:spacing w:after="0" w:line="207" w:lineRule="exact"/>
        <w:rPr>
          <w:sz w:val="20"/>
          <w:szCs w:val="20"/>
          <w:color w:val="auto"/>
        </w:rPr>
      </w:pPr>
    </w:p>
    <w:p>
      <w:pPr>
        <w:jc w:val="center"/>
        <w:ind w:left="900" w:right="1040"/>
        <w:spacing w:after="0" w:line="279" w:lineRule="auto"/>
        <w:rPr>
          <w:sz w:val="20"/>
          <w:szCs w:val="20"/>
          <w:color w:val="auto"/>
        </w:rPr>
      </w:pPr>
      <w:r>
        <w:rPr>
          <w:rFonts w:ascii="Courier New" w:cs="Courier New" w:eastAsia="Courier New" w:hAnsi="Courier New"/>
          <w:sz w:val="16"/>
          <w:szCs w:val="16"/>
          <w:color w:val="auto"/>
        </w:rPr>
        <w:t>WORLD FUEL SERVICES CORPORATION AND SUBSIDIARIES CONSOLIDATED CONDENSED STATEMENTS OF INCOME (UNAUDITED -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36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2003</w:t>
            </w:r>
          </w:p>
        </w:tc>
        <w:tc>
          <w:tcPr>
            <w:tcW w:w="10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5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$ 658,000</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4"/>
              </w:rPr>
              <w:t>$ 351,284</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(630,689)</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(330,138)</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Gross profit</w:t>
            </w:r>
          </w:p>
        </w:tc>
        <w:tc>
          <w:tcPr>
            <w:tcW w:w="880" w:type="dxa"/>
            <w:vAlign w:val="bottom"/>
          </w:tcPr>
          <w:p>
            <w:pPr>
              <w:spacing w:after="0"/>
              <w:rPr>
                <w:sz w:val="17"/>
                <w:szCs w:val="17"/>
                <w:color w:val="auto"/>
              </w:rPr>
            </w:pP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27,311</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21,146</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(10,098)</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(8,070)</w:t>
            </w: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(2,701)</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(684)</w:t>
            </w: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Other</w:t>
            </w: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(7,594)</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(6,009)</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(20,393)</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(14,763)</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280" w:type="dxa"/>
            <w:vAlign w:val="bottom"/>
          </w:tcPr>
          <w:p>
            <w:pPr>
              <w:ind w:left="740"/>
              <w:spacing w:after="0"/>
              <w:rPr>
                <w:sz w:val="20"/>
                <w:szCs w:val="20"/>
                <w:color w:val="auto"/>
              </w:rPr>
            </w:pPr>
            <w:r>
              <w:rPr>
                <w:rFonts w:ascii="Courier New" w:cs="Courier New" w:eastAsia="Courier New" w:hAnsi="Courier New"/>
                <w:sz w:val="18"/>
                <w:szCs w:val="18"/>
                <w:color w:val="auto"/>
              </w:rPr>
              <w:t>Income from operations</w:t>
            </w:r>
          </w:p>
        </w:tc>
        <w:tc>
          <w:tcPr>
            <w:tcW w:w="880" w:type="dxa"/>
            <w:vAlign w:val="bottom"/>
          </w:tcPr>
          <w:p>
            <w:pPr>
              <w:spacing w:after="0"/>
              <w:rPr>
                <w:sz w:val="24"/>
                <w:szCs w:val="24"/>
                <w:color w:val="auto"/>
              </w:rPr>
            </w:pP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6,918</w:t>
            </w:r>
          </w:p>
        </w:tc>
        <w:tc>
          <w:tcPr>
            <w:tcW w:w="1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6,383</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(expense) income, net</w:t>
            </w: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(253)</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880" w:type="dxa"/>
            <w:vAlign w:val="bottom"/>
          </w:tcPr>
          <w:p>
            <w:pPr>
              <w:spacing w:after="0"/>
              <w:rPr>
                <w:sz w:val="17"/>
                <w:szCs w:val="17"/>
                <w:color w:val="auto"/>
              </w:rPr>
            </w:pP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6,665</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6,487</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880" w:type="dxa"/>
            <w:vAlign w:val="bottom"/>
          </w:tcPr>
          <w:p>
            <w:pPr>
              <w:spacing w:after="0"/>
              <w:rPr>
                <w:sz w:val="17"/>
                <w:szCs w:val="17"/>
                <w:color w:val="auto"/>
              </w:rPr>
            </w:pPr>
          </w:p>
        </w:tc>
        <w:tc>
          <w:tcPr>
            <w:tcW w:w="17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(1,397)</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income</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5,268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4,473</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0.50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0.43</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 basic</w:t>
            </w:r>
          </w:p>
        </w:tc>
        <w:tc>
          <w:tcPr>
            <w:tcW w:w="880" w:type="dxa"/>
            <w:vAlign w:val="bottom"/>
          </w:tcPr>
          <w:p>
            <w:pPr>
              <w:spacing w:after="0"/>
              <w:rPr>
                <w:sz w:val="17"/>
                <w:szCs w:val="17"/>
                <w:color w:val="auto"/>
              </w:rPr>
            </w:pP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10,584</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10,391</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0.48</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0.42</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shares - diluted</w:t>
            </w:r>
          </w:p>
        </w:tc>
        <w:tc>
          <w:tcPr>
            <w:tcW w:w="880" w:type="dxa"/>
            <w:vAlign w:val="bottom"/>
          </w:tcPr>
          <w:p>
            <w:pPr>
              <w:spacing w:after="0"/>
              <w:rPr>
                <w:sz w:val="17"/>
                <w:szCs w:val="17"/>
                <w:color w:val="auto"/>
              </w:rPr>
            </w:pPr>
          </w:p>
        </w:tc>
        <w:tc>
          <w:tcPr>
            <w:tcW w:w="17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11,034</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10,776</w:t>
            </w:r>
          </w:p>
        </w:tc>
      </w:tr>
      <w:tr>
        <w:trPr>
          <w:trHeight w:val="203"/>
        </w:trPr>
        <w:tc>
          <w:tcPr>
            <w:tcW w:w="4280" w:type="dxa"/>
            <w:vAlign w:val="bottom"/>
          </w:tcPr>
          <w:p>
            <w:pPr>
              <w:spacing w:after="0"/>
              <w:rPr>
                <w:sz w:val="17"/>
                <w:szCs w:val="17"/>
                <w:color w:val="auto"/>
              </w:rPr>
            </w:pPr>
          </w:p>
        </w:tc>
        <w:tc>
          <w:tcPr>
            <w:tcW w:w="2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1" w:lineRule="exact"/>
        <w:rPr>
          <w:sz w:val="20"/>
          <w:szCs w:val="20"/>
          <w:color w:val="auto"/>
        </w:rPr>
      </w:pP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2019-12-11T21:17:12Z</dcterms:created>
  <dcterms:modified xsi:type="dcterms:W3CDTF">2019-12-11T21:17:12Z</dcterms:modified>
</cp:coreProperties>
</file>