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Kroll Michael John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80"/>
        <w:spacing w:after="0" w:line="320" w:lineRule="auto"/>
        <w:rPr>
          <w:sz w:val="20"/>
          <w:szCs w:val="20"/>
          <w:color w:val="auto"/>
        </w:rPr>
      </w:pPr>
      <w:r>
        <w:rPr>
          <w:rFonts w:ascii="Times New Roman" w:cs="Times New Roman" w:eastAsia="Times New Roman" w:hAnsi="Times New Roman"/>
          <w:sz w:val="17"/>
          <w:szCs w:val="17"/>
          <w:color w:val="0000FF"/>
        </w:rPr>
        <w:t>C/O WORLD KINECT CORPORATION 9800 NW 41ST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7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WORLD KINECT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WKC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11/10/2025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25"/>
        <w:spacing w:after="0"/>
        <w:rPr>
          <w:sz w:val="20"/>
          <w:szCs w:val="20"/>
          <w:color w:val="auto"/>
        </w:rPr>
      </w:pPr>
      <w:r>
        <w:rPr>
          <w:rFonts w:ascii="Times New Roman" w:cs="Times New Roman" w:eastAsia="Times New Roman" w:hAnsi="Times New Roman"/>
          <w:sz w:val="17"/>
          <w:szCs w:val="17"/>
          <w:color w:val="0000FF"/>
        </w:rPr>
        <w:t>SVP &amp; Chief Accounting Officer</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6"/>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MIAMI</w:t>
            </w:r>
          </w:p>
        </w:tc>
        <w:tc>
          <w:tcPr>
            <w:tcW w:w="840" w:type="dxa"/>
            <w:vAlign w:val="bottom"/>
            <w:vMerge w:val="restart"/>
          </w:tcPr>
          <w:p>
            <w:pPr>
              <w:ind w:left="600"/>
              <w:spacing w:after="0"/>
              <w:rPr>
                <w:sz w:val="20"/>
                <w:szCs w:val="20"/>
                <w:color w:val="auto"/>
              </w:rPr>
            </w:pPr>
            <w:r>
              <w:rPr>
                <w:rFonts w:ascii="Times New Roman" w:cs="Times New Roman" w:eastAsia="Times New Roman" w:hAnsi="Times New Roman"/>
                <w:sz w:val="17"/>
                <w:szCs w:val="17"/>
                <w:color w:val="0000FF"/>
              </w:rPr>
              <w:t>FL</w:t>
            </w:r>
          </w:p>
        </w:tc>
        <w:tc>
          <w:tcPr>
            <w:tcW w:w="84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33178</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restart"/>
          </w:tcPr>
          <w:p>
            <w:pPr>
              <w:spacing w:after="0"/>
              <w:rPr>
                <w:sz w:val="6"/>
                <w:szCs w:val="6"/>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11/10/2025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5"/>
                <w:vertAlign w:val="subscript"/>
              </w:rPr>
              <w:t>203</w:t>
            </w:r>
            <w:r>
              <w:rPr>
                <w:rFonts w:ascii="Times New Roman" w:cs="Times New Roman" w:eastAsia="Times New Roman" w:hAnsi="Times New Roman"/>
                <w:sz w:val="11"/>
                <w:szCs w:val="11"/>
                <w:color w:val="008000"/>
                <w:w w:val="85"/>
              </w:rPr>
              <w:t>(1)</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25.58</w:t>
            </w:r>
            <w:r>
              <w:rPr>
                <w:rFonts w:ascii="Times New Roman" w:cs="Times New Roman" w:eastAsia="Times New Roman" w:hAnsi="Times New Roman"/>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12,686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11/10/2025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5"/>
                <w:vertAlign w:val="subscript"/>
              </w:rPr>
              <w:t>196</w:t>
            </w:r>
            <w:r>
              <w:rPr>
                <w:rFonts w:ascii="Times New Roman" w:cs="Times New Roman" w:eastAsia="Times New Roman" w:hAnsi="Times New Roman"/>
                <w:sz w:val="11"/>
                <w:szCs w:val="11"/>
                <w:color w:val="008000"/>
                <w:w w:val="85"/>
              </w:rPr>
              <w:t>(3)</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25.58</w:t>
            </w:r>
            <w:r>
              <w:rPr>
                <w:rFonts w:ascii="Times New Roman" w:cs="Times New Roman" w:eastAsia="Times New Roman" w:hAnsi="Times New Roman"/>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12,490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0"/>
          </w:tcPr>
          <w:p>
            <w:pPr>
              <w:jc w:val="center"/>
              <w:ind w:left="66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833 restricted stock units held by the reporting person vested and settled on November 10, 2025. The issuer withheld the reported shares to cover the reporting person's tax liability associated with these restricted stock units.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shown is the closing price for the issuer's common stock on the NYSE on November 10, 2025.</w:t>
      </w:r>
    </w:p>
    <w:p>
      <w:pPr>
        <w:spacing w:after="0" w:line="50"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802 restricted stock units held by the reporting person vested and settled on November 10, 2025. The issuer withheld the reported shares to cover the reporting person's tax liability associated with these restricted stock units.</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Joel M. Williams,</w:t>
            </w:r>
          </w:p>
        </w:tc>
        <w:tc>
          <w:tcPr>
            <w:tcW w:w="62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11/13/2025</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95256" TargetMode="External"/><Relationship Id="rId14"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2025-11-13T15:27:20Z</dcterms:created>
  <dcterms:modified xsi:type="dcterms:W3CDTF">2025-11-13T15:27:20Z</dcterms:modified>
</cp:coreProperties>
</file>