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60" w:type="dxa"/>
            <w:vAlign w:val="bottom"/>
          </w:tcPr>
          <w:p>
            <w:pPr>
              <w:jc w:val="center"/>
              <w:ind w:left="2232"/>
              <w:spacing w:after="0"/>
              <w:rPr>
                <w:sz w:val="20"/>
                <w:szCs w:val="20"/>
                <w:color w:val="auto"/>
              </w:rPr>
            </w:pPr>
            <w:r>
              <w:rPr>
                <w:rFonts w:ascii="Arial" w:cs="Arial" w:eastAsia="Arial" w:hAnsi="Arial"/>
                <w:sz w:val="18"/>
                <w:szCs w:val="18"/>
                <w:color w:val="auto"/>
                <w:w w:val="87"/>
              </w:rPr>
              <w:t>Proxy Statement Pursuant to Section 14(a) of</w:t>
            </w:r>
          </w:p>
        </w:tc>
        <w:tc>
          <w:tcPr>
            <w:tcW w:w="26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60" w:type="dxa"/>
            <w:vAlign w:val="bottom"/>
          </w:tcPr>
          <w:p>
            <w:pPr>
              <w:ind w:left="2120"/>
              <w:spacing w:after="0"/>
              <w:rPr>
                <w:sz w:val="20"/>
                <w:szCs w:val="20"/>
                <w:color w:val="auto"/>
              </w:rPr>
            </w:pPr>
            <w:r>
              <w:rPr>
                <w:rFonts w:ascii="Arial" w:cs="Arial" w:eastAsia="Arial" w:hAnsi="Arial"/>
                <w:sz w:val="18"/>
                <w:szCs w:val="18"/>
                <w:color w:val="auto"/>
                <w:w w:val="95"/>
              </w:rPr>
              <w:t>the Securities Exchange Act of 1934 (Amendment No.</w:t>
            </w:r>
          </w:p>
        </w:tc>
        <w:tc>
          <w:tcPr>
            <w:tcW w:w="2640" w:type="dxa"/>
            <w:vAlign w:val="bottom"/>
          </w:tcPr>
          <w:p>
            <w:pPr>
              <w:jc w:val="right"/>
              <w:ind w:right="2352"/>
              <w:spacing w:after="0"/>
              <w:rPr>
                <w:sz w:val="20"/>
                <w:szCs w:val="20"/>
                <w:color w:val="auto"/>
              </w:rPr>
            </w:pPr>
            <w:r>
              <w:rPr>
                <w:rFonts w:ascii="Arial" w:cs="Arial" w:eastAsia="Arial" w:hAnsi="Arial"/>
                <w:sz w:val="18"/>
                <w:szCs w:val="18"/>
                <w:color w:val="auto"/>
              </w:rPr>
              <w:t>)</w:t>
            </w:r>
          </w:p>
        </w:tc>
      </w:tr>
      <w:tr>
        <w:trPr>
          <w:trHeight w:val="452"/>
        </w:trPr>
        <w:tc>
          <w:tcPr>
            <w:tcW w:w="65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2640" w:type="dxa"/>
            <w:vAlign w:val="bottom"/>
          </w:tcPr>
          <w:p>
            <w:pPr>
              <w:spacing w:after="0"/>
              <w:rPr>
                <w:sz w:val="24"/>
                <w:szCs w:val="24"/>
                <w:color w:val="auto"/>
              </w:rPr>
            </w:pPr>
          </w:p>
        </w:tc>
      </w:tr>
      <w:tr>
        <w:trPr>
          <w:trHeight w:val="439"/>
        </w:trPr>
        <w:tc>
          <w:tcPr>
            <w:tcW w:w="6540" w:type="dxa"/>
            <w:vAlign w:val="bottom"/>
            <w:gridSpan w:val="3"/>
          </w:tcPr>
          <w:p>
            <w:pPr>
              <w:spacing w:after="0"/>
              <w:rPr>
                <w:sz w:val="20"/>
                <w:szCs w:val="20"/>
                <w:color w:val="auto"/>
              </w:rPr>
            </w:pPr>
            <w:r>
              <w:rPr>
                <w:rFonts w:ascii="Arial" w:cs="Arial" w:eastAsia="Arial" w:hAnsi="Arial"/>
                <w:sz w:val="18"/>
                <w:szCs w:val="18"/>
                <w:color w:val="auto"/>
              </w:rPr>
              <w:t>Filed by a Party other than the Registrant o</w:t>
            </w:r>
          </w:p>
        </w:tc>
        <w:tc>
          <w:tcPr>
            <w:tcW w:w="2640" w:type="dxa"/>
            <w:vAlign w:val="bottom"/>
          </w:tcPr>
          <w:p>
            <w:pPr>
              <w:spacing w:after="0"/>
              <w:rPr>
                <w:sz w:val="24"/>
                <w:szCs w:val="24"/>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Check the appropriate box:</w:t>
            </w:r>
          </w:p>
        </w:tc>
        <w:tc>
          <w:tcPr>
            <w:tcW w:w="2640" w:type="dxa"/>
            <w:vAlign w:val="bottom"/>
          </w:tcPr>
          <w:p>
            <w:pPr>
              <w:spacing w:after="0"/>
              <w:rPr>
                <w:sz w:val="24"/>
                <w:szCs w:val="24"/>
                <w:color w:val="auto"/>
              </w:rPr>
            </w:pP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color w:val="auto"/>
              </w:rPr>
              <w:t>o</w:t>
            </w:r>
          </w:p>
        </w:tc>
        <w:tc>
          <w:tcPr>
            <w:tcW w:w="6260" w:type="dxa"/>
            <w:vAlign w:val="bottom"/>
          </w:tcPr>
          <w:p>
            <w:pPr>
              <w:ind w:left="120"/>
              <w:spacing w:after="0"/>
              <w:rPr>
                <w:sz w:val="20"/>
                <w:szCs w:val="20"/>
                <w:color w:val="auto"/>
              </w:rPr>
            </w:pPr>
            <w:r>
              <w:rPr>
                <w:rFonts w:ascii="Arial" w:cs="Arial" w:eastAsia="Arial" w:hAnsi="Arial"/>
                <w:sz w:val="18"/>
                <w:szCs w:val="18"/>
                <w:color w:val="auto"/>
              </w:rPr>
              <w:t>Preliminary Proxy Statement</w:t>
            </w:r>
          </w:p>
        </w:tc>
        <w:tc>
          <w:tcPr>
            <w:tcW w:w="2640" w:type="dxa"/>
            <w:vAlign w:val="bottom"/>
          </w:tcPr>
          <w:p>
            <w:pPr>
              <w:spacing w:after="0"/>
              <w:rPr>
                <w:sz w:val="24"/>
                <w:szCs w:val="24"/>
                <w:color w:val="auto"/>
              </w:rPr>
            </w:pP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color w:val="auto"/>
              </w:rPr>
              <w:t>o</w:t>
            </w:r>
          </w:p>
        </w:tc>
        <w:tc>
          <w:tcPr>
            <w:tcW w:w="6260" w:type="dxa"/>
            <w:vAlign w:val="bottom"/>
          </w:tcPr>
          <w:p>
            <w:pPr>
              <w:ind w:left="120"/>
              <w:spacing w:after="0"/>
              <w:rPr>
                <w:sz w:val="20"/>
                <w:szCs w:val="20"/>
                <w:color w:val="auto"/>
              </w:rPr>
            </w:pPr>
            <w:r>
              <w:rPr>
                <w:rFonts w:ascii="Arial" w:cs="Arial" w:eastAsia="Arial" w:hAnsi="Arial"/>
                <w:sz w:val="18"/>
                <w:szCs w:val="18"/>
                <w:b w:val="1"/>
                <w:bCs w:val="1"/>
                <w:color w:val="auto"/>
                <w:w w:val="90"/>
              </w:rPr>
              <w:t>Confidential, for Use of the Commission Only (as permitted by Rule 14a-6(e)(2))</w:t>
            </w:r>
          </w:p>
        </w:tc>
        <w:tc>
          <w:tcPr>
            <w:tcW w:w="2640" w:type="dxa"/>
            <w:vAlign w:val="bottom"/>
          </w:tcPr>
          <w:p>
            <w:pPr>
              <w:spacing w:after="0"/>
              <w:rPr>
                <w:sz w:val="24"/>
                <w:szCs w:val="24"/>
                <w:color w:val="auto"/>
              </w:rPr>
            </w:pPr>
          </w:p>
        </w:tc>
      </w:tr>
      <w:tr>
        <w:trPr>
          <w:trHeight w:val="479"/>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Definitive Proxy Statement</w:t>
            </w:r>
          </w:p>
        </w:tc>
        <w:tc>
          <w:tcPr>
            <w:tcW w:w="2640" w:type="dxa"/>
            <w:vAlign w:val="bottom"/>
          </w:tcPr>
          <w:p>
            <w:pPr>
              <w:spacing w:after="0"/>
              <w:rPr>
                <w:sz w:val="24"/>
                <w:szCs w:val="24"/>
                <w:color w:val="auto"/>
              </w:rPr>
            </w:pPr>
          </w:p>
        </w:tc>
      </w:tr>
      <w:tr>
        <w:trPr>
          <w:trHeight w:val="439"/>
        </w:trPr>
        <w:tc>
          <w:tcPr>
            <w:tcW w:w="280" w:type="dxa"/>
            <w:vAlign w:val="bottom"/>
            <w:gridSpan w:val="2"/>
          </w:tcPr>
          <w:p>
            <w:pPr>
              <w:spacing w:after="0"/>
              <w:rPr>
                <w:sz w:val="20"/>
                <w:szCs w:val="20"/>
                <w:color w:val="auto"/>
              </w:rPr>
            </w:pPr>
            <w:r>
              <w:rPr>
                <w:rFonts w:ascii="Arial" w:cs="Arial" w:eastAsia="Arial" w:hAnsi="Arial"/>
                <w:sz w:val="18"/>
                <w:szCs w:val="18"/>
                <w:color w:val="auto"/>
              </w:rPr>
              <w:t>o</w:t>
            </w:r>
          </w:p>
        </w:tc>
        <w:tc>
          <w:tcPr>
            <w:tcW w:w="6260" w:type="dxa"/>
            <w:vAlign w:val="bottom"/>
          </w:tcPr>
          <w:p>
            <w:pPr>
              <w:ind w:left="120"/>
              <w:spacing w:after="0"/>
              <w:rPr>
                <w:sz w:val="20"/>
                <w:szCs w:val="20"/>
                <w:color w:val="auto"/>
              </w:rPr>
            </w:pPr>
            <w:r>
              <w:rPr>
                <w:rFonts w:ascii="Arial" w:cs="Arial" w:eastAsia="Arial" w:hAnsi="Arial"/>
                <w:sz w:val="18"/>
                <w:szCs w:val="18"/>
                <w:color w:val="auto"/>
              </w:rPr>
              <w:t>Definitive Additional Materials</w:t>
            </w:r>
          </w:p>
        </w:tc>
        <w:tc>
          <w:tcPr>
            <w:tcW w:w="2640" w:type="dxa"/>
            <w:vAlign w:val="bottom"/>
          </w:tcPr>
          <w:p>
            <w:pPr>
              <w:spacing w:after="0"/>
              <w:rPr>
                <w:sz w:val="24"/>
                <w:szCs w:val="24"/>
                <w:color w:val="auto"/>
              </w:rPr>
            </w:pP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color w:val="auto"/>
              </w:rPr>
              <w:t>o</w:t>
            </w:r>
          </w:p>
        </w:tc>
        <w:tc>
          <w:tcPr>
            <w:tcW w:w="6260" w:type="dxa"/>
            <w:vAlign w:val="bottom"/>
          </w:tcPr>
          <w:p>
            <w:pPr>
              <w:ind w:left="120"/>
              <w:spacing w:after="0"/>
              <w:rPr>
                <w:sz w:val="20"/>
                <w:szCs w:val="20"/>
                <w:color w:val="auto"/>
              </w:rPr>
            </w:pPr>
            <w:r>
              <w:rPr>
                <w:rFonts w:ascii="Arial" w:cs="Arial" w:eastAsia="Arial" w:hAnsi="Arial"/>
                <w:sz w:val="18"/>
                <w:szCs w:val="18"/>
                <w:color w:val="auto"/>
              </w:rPr>
              <w:t>Soliciting Material under §240.14a-12</w:t>
            </w:r>
          </w:p>
        </w:tc>
        <w:tc>
          <w:tcPr>
            <w:tcW w:w="2640" w:type="dxa"/>
            <w:vAlign w:val="bottom"/>
          </w:tcPr>
          <w:p>
            <w:pPr>
              <w:spacing w:after="0"/>
              <w:rPr>
                <w:sz w:val="24"/>
                <w:szCs w:val="24"/>
                <w:color w:val="auto"/>
              </w:rPr>
            </w:pPr>
          </w:p>
        </w:tc>
      </w:tr>
      <w:tr>
        <w:trPr>
          <w:trHeight w:val="86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tcPr>
          <w:p>
            <w:pPr>
              <w:jc w:val="center"/>
              <w:ind w:left="2252"/>
              <w:spacing w:after="0"/>
              <w:rPr>
                <w:sz w:val="20"/>
                <w:szCs w:val="20"/>
                <w:color w:val="auto"/>
              </w:rPr>
            </w:pPr>
            <w:r>
              <w:rPr>
                <w:rFonts w:ascii="Arial" w:cs="Arial" w:eastAsia="Arial" w:hAnsi="Arial"/>
                <w:sz w:val="18"/>
                <w:szCs w:val="18"/>
                <w:b w:val="1"/>
                <w:bCs w:val="1"/>
                <w:color w:val="auto"/>
                <w:w w:val="97"/>
              </w:rPr>
              <w:t>WORLD FUEL SERVICES CORPORATION</w:t>
            </w:r>
          </w:p>
        </w:tc>
        <w:tc>
          <w:tcPr>
            <w:tcW w:w="264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r>
      <w:tr>
        <w:trPr>
          <w:trHeight w:val="28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tcPr>
          <w:p>
            <w:pPr>
              <w:jc w:val="center"/>
              <w:ind w:left="2232"/>
              <w:spacing w:after="0"/>
              <w:rPr>
                <w:sz w:val="20"/>
                <w:szCs w:val="20"/>
                <w:color w:val="auto"/>
              </w:rPr>
            </w:pPr>
            <w:r>
              <w:rPr>
                <w:rFonts w:ascii="Arial" w:cs="Arial" w:eastAsia="Arial" w:hAnsi="Arial"/>
                <w:sz w:val="18"/>
                <w:szCs w:val="18"/>
                <w:color w:val="auto"/>
                <w:w w:val="89"/>
              </w:rPr>
              <w:t>(Name of Registrant as Specified In Its Charter)</w:t>
            </w:r>
          </w:p>
        </w:tc>
        <w:tc>
          <w:tcPr>
            <w:tcW w:w="2640" w:type="dxa"/>
            <w:vAlign w:val="bottom"/>
          </w:tcPr>
          <w:p>
            <w:pPr>
              <w:spacing w:after="0"/>
              <w:rPr>
                <w:sz w:val="24"/>
                <w:szCs w:val="24"/>
                <w:color w:val="auto"/>
              </w:rPr>
            </w:pPr>
          </w:p>
        </w:tc>
      </w:tr>
      <w:tr>
        <w:trPr>
          <w:trHeight w:val="556"/>
        </w:trPr>
        <w:tc>
          <w:tcPr>
            <w:tcW w:w="2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289"/>
        </w:trPr>
        <w:tc>
          <w:tcPr>
            <w:tcW w:w="6540" w:type="dxa"/>
            <w:vAlign w:val="bottom"/>
            <w:gridSpan w:val="3"/>
          </w:tcPr>
          <w:p>
            <w:pPr>
              <w:spacing w:after="0"/>
              <w:rPr>
                <w:sz w:val="20"/>
                <w:szCs w:val="20"/>
                <w:color w:val="auto"/>
              </w:rPr>
            </w:pPr>
            <w:r>
              <w:rPr>
                <w:rFonts w:ascii="Arial" w:cs="Arial" w:eastAsia="Arial" w:hAnsi="Arial"/>
                <w:sz w:val="18"/>
                <w:szCs w:val="18"/>
                <w:color w:val="auto"/>
              </w:rPr>
              <w:t>(Name of Person(s) Filing Proxy Statement, if other than the Registrant)</w:t>
            </w:r>
          </w:p>
        </w:tc>
        <w:tc>
          <w:tcPr>
            <w:tcW w:w="2640" w:type="dxa"/>
            <w:vAlign w:val="bottom"/>
          </w:tcPr>
          <w:p>
            <w:pPr>
              <w:spacing w:after="0"/>
              <w:rPr>
                <w:sz w:val="24"/>
                <w:szCs w:val="24"/>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Payment of Filing Fee (Check the appropriate box):</w:t>
            </w:r>
          </w:p>
        </w:tc>
        <w:tc>
          <w:tcPr>
            <w:tcW w:w="2640" w:type="dxa"/>
            <w:vAlign w:val="bottom"/>
          </w:tcPr>
          <w:p>
            <w:pPr>
              <w:spacing w:after="0"/>
              <w:rPr>
                <w:sz w:val="24"/>
                <w:szCs w:val="24"/>
                <w:color w:val="auto"/>
              </w:rPr>
            </w:pPr>
          </w:p>
        </w:tc>
      </w:tr>
      <w:tr>
        <w:trPr>
          <w:trHeight w:val="479"/>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No fee required.</w:t>
            </w:r>
          </w:p>
        </w:tc>
        <w:tc>
          <w:tcPr>
            <w:tcW w:w="2640" w:type="dxa"/>
            <w:vAlign w:val="bottom"/>
          </w:tcPr>
          <w:p>
            <w:pPr>
              <w:spacing w:after="0"/>
              <w:rPr>
                <w:sz w:val="24"/>
                <w:szCs w:val="24"/>
                <w:color w:val="auto"/>
              </w:rPr>
            </w:pPr>
          </w:p>
        </w:tc>
      </w:tr>
    </w:tbl>
    <w:p>
      <w:pPr>
        <w:spacing w:after="0" w:line="217"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300" w:hanging="439"/>
        <w:spacing w:after="0" w:line="268" w:lineRule="auto"/>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160" w:hanging="391"/>
        <w:spacing w:after="0" w:line="259" w:lineRule="auto"/>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320"/>
          </w:cols>
          <w:pgMar w:left="240" w:top="685" w:right="1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148590</wp:posOffset>
            </wp:positionV>
            <wp:extent cx="1724025"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9800 Northwest 41st Street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Miami, Florida 33178</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MAY 25,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13, 2017</w:t>
      </w:r>
    </w:p>
    <w:p>
      <w:pPr>
        <w:spacing w:after="0" w:line="225" w:lineRule="exact"/>
        <w:rPr>
          <w:sz w:val="20"/>
          <w:szCs w:val="20"/>
          <w:color w:val="auto"/>
        </w:rPr>
      </w:pPr>
    </w:p>
    <w:p>
      <w:pPr>
        <w:jc w:val="both"/>
        <w:ind w:right="260" w:firstLine="615"/>
        <w:spacing w:after="0" w:line="259" w:lineRule="auto"/>
        <w:rPr>
          <w:sz w:val="20"/>
          <w:szCs w:val="20"/>
          <w:color w:val="auto"/>
        </w:rPr>
      </w:pPr>
      <w:r>
        <w:rPr>
          <w:rFonts w:ascii="Arial" w:cs="Arial" w:eastAsia="Arial" w:hAnsi="Arial"/>
          <w:sz w:val="18"/>
          <w:szCs w:val="18"/>
          <w:color w:val="auto"/>
        </w:rPr>
        <w:t>Notice is hereby given that the Annual Meeting of Shareholders of WORLD FUEL SERVICES CORPORATION will be held on Thursday, May 25, 2017, at 8:00 a.m., Eastern Time, at the offices of Chadbourne &amp; Parke LLP located at 1301 Avenue of the Americas, New York, NY 10019 for the following purposes:</w:t>
      </w:r>
    </w:p>
    <w:p>
      <w:pPr>
        <w:spacing w:after="0" w:line="208"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as directors the eight nominees named in the attached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conduct a non-binding, advisory vote on the frequency of future advisory votes on executive compensation;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certified public accounting firm for the 2017 fiscal year;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Shareholders of record at the close of business on March 29, 2017 are entitled to notice of and to vote at the meeting and any adjournment thereof.</w:t>
      </w:r>
    </w:p>
    <w:p>
      <w:pPr>
        <w:spacing w:after="0" w:line="242" w:lineRule="exact"/>
        <w:rPr>
          <w:sz w:val="20"/>
          <w:szCs w:val="20"/>
          <w:color w:val="auto"/>
        </w:rPr>
      </w:pPr>
    </w:p>
    <w:p>
      <w:pPr>
        <w:ind w:firstLine="615"/>
        <w:spacing w:after="0" w:line="262" w:lineRule="auto"/>
        <w:rPr>
          <w:sz w:val="20"/>
          <w:szCs w:val="20"/>
          <w:color w:val="auto"/>
        </w:rPr>
      </w:pPr>
      <w:r>
        <w:rPr>
          <w:rFonts w:ascii="Arial" w:cs="Arial" w:eastAsia="Arial" w:hAnsi="Arial"/>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92"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6985</wp:posOffset>
            </wp:positionV>
            <wp:extent cx="196405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36893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 Alexander Lake, Jr.</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Executive Vice President, Chief Legal Officer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We mailed a Notice of Internet Availability of Proxy Materials containing instructions on how to access our proxy statement and annual report for the year ended December 31, 2016 on or about April 13, 2017.</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proxy summary highlights information contained elsewhere in this proxy statement and does not contain all information that you should review and consider.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read the entire proxy statement with care before voting.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and Time: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Thursday, May 25, 2017, at 8:00 a.m. Eastern Time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Chadbourne &amp; Parke LLP located at 1301 Avenue of the Americas, 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2017</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Each share of common stock outstanding at the close of business on March 29, 2017 has one vote on each matter that is properly submitted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 vote at the annual meeting.</w:t>
      </w:r>
    </w:p>
    <w:p>
      <w:pPr>
        <w:spacing w:after="0" w:line="200" w:lineRule="exact"/>
        <w:rPr>
          <w:sz w:val="20"/>
          <w:szCs w:val="20"/>
          <w:color w:val="auto"/>
        </w:rPr>
      </w:pPr>
    </w:p>
    <w:p>
      <w:pPr>
        <w:sectPr>
          <w:pgSz w:w="11900" w:h="16838" w:orient="portrait"/>
          <w:cols w:equalWidth="0" w:num="2">
            <w:col w:w="1180" w:space="240"/>
            <w:col w:w="10000"/>
          </w:cols>
          <w:pgMar w:left="240" w:top="131"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PROPOSALS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312"/>
              <w:spacing w:after="0"/>
              <w:rPr>
                <w:sz w:val="20"/>
                <w:szCs w:val="20"/>
                <w:color w:val="auto"/>
              </w:rPr>
            </w:pPr>
            <w:r>
              <w:rPr>
                <w:rFonts w:ascii="Arial" w:cs="Arial" w:eastAsia="Arial" w:hAnsi="Arial"/>
                <w:sz w:val="18"/>
                <w:szCs w:val="18"/>
                <w:b w:val="1"/>
                <w:bCs w:val="1"/>
                <w:color w:val="auto"/>
              </w:rPr>
              <w:t>Page Reference</w:t>
            </w:r>
          </w:p>
        </w:tc>
      </w:tr>
      <w:tr>
        <w:trPr>
          <w:trHeight w:val="229"/>
        </w:trPr>
        <w:tc>
          <w:tcPr>
            <w:tcW w:w="604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3200" w:type="dxa"/>
            <w:vAlign w:val="bottom"/>
            <w:gridSpan w:val="2"/>
          </w:tcPr>
          <w:p>
            <w:pPr>
              <w:ind w:left="240"/>
              <w:spacing w:after="0"/>
              <w:rPr>
                <w:sz w:val="20"/>
                <w:szCs w:val="20"/>
                <w:color w:val="auto"/>
              </w:rPr>
            </w:pPr>
            <w:r>
              <w:rPr>
                <w:rFonts w:ascii="Arial" w:cs="Arial" w:eastAsia="Arial" w:hAnsi="Arial"/>
                <w:sz w:val="18"/>
                <w:szCs w:val="18"/>
                <w:b w:val="1"/>
                <w:bCs w:val="1"/>
                <w:color w:val="auto"/>
              </w:rPr>
              <w:t>Board Recommendation</w:t>
            </w:r>
          </w:p>
        </w:tc>
        <w:tc>
          <w:tcPr>
            <w:tcW w:w="220" w:type="dxa"/>
            <w:vAlign w:val="bottom"/>
          </w:tcPr>
          <w:p>
            <w:pPr>
              <w:spacing w:after="0"/>
              <w:rPr>
                <w:sz w:val="19"/>
                <w:szCs w:val="19"/>
                <w:color w:val="auto"/>
              </w:rPr>
            </w:pPr>
          </w:p>
        </w:tc>
        <w:tc>
          <w:tcPr>
            <w:tcW w:w="1960" w:type="dxa"/>
            <w:vAlign w:val="bottom"/>
          </w:tcPr>
          <w:p>
            <w:pPr>
              <w:jc w:val="right"/>
              <w:ind w:right="232"/>
              <w:spacing w:after="0"/>
              <w:rPr>
                <w:sz w:val="20"/>
                <w:szCs w:val="20"/>
                <w:color w:val="auto"/>
              </w:rPr>
            </w:pPr>
            <w:r>
              <w:rPr>
                <w:rFonts w:ascii="Arial" w:cs="Arial" w:eastAsia="Arial" w:hAnsi="Arial"/>
                <w:sz w:val="18"/>
                <w:szCs w:val="18"/>
                <w:b w:val="1"/>
                <w:bCs w:val="1"/>
                <w:color w:val="auto"/>
              </w:rPr>
              <w:t>(for more details)</w:t>
            </w:r>
          </w:p>
        </w:tc>
      </w:tr>
      <w:tr>
        <w:trPr>
          <w:trHeight w:val="202"/>
        </w:trPr>
        <w:tc>
          <w:tcPr>
            <w:tcW w:w="60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Election of Directors</w:t>
            </w:r>
          </w:p>
        </w:tc>
        <w:tc>
          <w:tcPr>
            <w:tcW w:w="240" w:type="dxa"/>
            <w:vAlign w:val="bottom"/>
          </w:tcPr>
          <w:p>
            <w:pPr>
              <w:spacing w:after="0"/>
              <w:rPr>
                <w:sz w:val="17"/>
                <w:szCs w:val="17"/>
                <w:color w:val="auto"/>
              </w:rPr>
            </w:pPr>
          </w:p>
        </w:tc>
        <w:tc>
          <w:tcPr>
            <w:tcW w:w="29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FOR each Director Nominee</w:t>
            </w:r>
          </w:p>
        </w:tc>
        <w:tc>
          <w:tcPr>
            <w:tcW w:w="220" w:type="dxa"/>
            <w:vAlign w:val="bottom"/>
          </w:tcPr>
          <w:p>
            <w:pPr>
              <w:spacing w:after="0"/>
              <w:rPr>
                <w:sz w:val="17"/>
                <w:szCs w:val="17"/>
                <w:color w:val="auto"/>
              </w:rPr>
            </w:pPr>
          </w:p>
        </w:tc>
        <w:tc>
          <w:tcPr>
            <w:tcW w:w="1960" w:type="dxa"/>
            <w:vAlign w:val="bottom"/>
            <w:tcBorders>
              <w:top w:val="single" w:sz="8" w:color="auto"/>
            </w:tcBorders>
          </w:tcPr>
          <w:p>
            <w:pPr>
              <w:jc w:val="right"/>
              <w:ind w:right="812"/>
              <w:spacing w:after="0" w:line="202" w:lineRule="exact"/>
              <w:rPr>
                <w:sz w:val="20"/>
                <w:szCs w:val="20"/>
                <w:color w:val="auto"/>
              </w:rPr>
            </w:pPr>
            <w:r>
              <w:rPr>
                <w:rFonts w:ascii="Arial" w:cs="Arial" w:eastAsia="Arial" w:hAnsi="Arial"/>
                <w:sz w:val="18"/>
                <w:szCs w:val="18"/>
                <w:color w:val="auto"/>
              </w:rPr>
              <w:t>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Non-Binding, Advisory Vote on Executive Compensation</w:t>
            </w:r>
          </w:p>
        </w:tc>
        <w:tc>
          <w:tcPr>
            <w:tcW w:w="3200" w:type="dxa"/>
            <w:vAlign w:val="bottom"/>
            <w:gridSpan w:val="2"/>
          </w:tcPr>
          <w:p>
            <w:pPr>
              <w:ind w:left="240"/>
              <w:spacing w:after="0"/>
              <w:rPr>
                <w:sz w:val="20"/>
                <w:szCs w:val="20"/>
                <w:color w:val="auto"/>
              </w:rPr>
            </w:pPr>
            <w:r>
              <w:rPr>
                <w:rFonts w:ascii="Arial" w:cs="Arial" w:eastAsia="Arial" w:hAnsi="Arial"/>
                <w:sz w:val="18"/>
                <w:szCs w:val="18"/>
                <w:color w:val="auto"/>
              </w:rPr>
              <w:t>FOR</w:t>
            </w:r>
          </w:p>
        </w:tc>
        <w:tc>
          <w:tcPr>
            <w:tcW w:w="2180" w:type="dxa"/>
            <w:vAlign w:val="bottom"/>
            <w:gridSpan w:val="2"/>
          </w:tcPr>
          <w:p>
            <w:pPr>
              <w:jc w:val="right"/>
              <w:ind w:right="812"/>
              <w:spacing w:after="0"/>
              <w:rPr>
                <w:sz w:val="20"/>
                <w:szCs w:val="20"/>
                <w:color w:val="auto"/>
              </w:rPr>
            </w:pPr>
            <w:r>
              <w:rPr>
                <w:rFonts w:ascii="Arial" w:cs="Arial" w:eastAsia="Arial" w:hAnsi="Arial"/>
                <w:sz w:val="18"/>
                <w:szCs w:val="18"/>
                <w:color w:val="auto"/>
              </w:rPr>
              <w:t>63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Non-Binding, Advisory Vote on the Frequency of Future Advisory Votes on</w:t>
            </w:r>
          </w:p>
        </w:tc>
        <w:tc>
          <w:tcPr>
            <w:tcW w:w="3200" w:type="dxa"/>
            <w:vAlign w:val="bottom"/>
            <w:gridSpan w:val="2"/>
          </w:tcPr>
          <w:p>
            <w:pPr>
              <w:ind w:left="240"/>
              <w:spacing w:after="0"/>
              <w:rPr>
                <w:sz w:val="20"/>
                <w:szCs w:val="20"/>
                <w:color w:val="auto"/>
              </w:rPr>
            </w:pPr>
            <w:r>
              <w:rPr>
                <w:rFonts w:ascii="Arial" w:cs="Arial" w:eastAsia="Arial" w:hAnsi="Arial"/>
                <w:sz w:val="18"/>
                <w:szCs w:val="18"/>
                <w:color w:val="auto"/>
              </w:rPr>
              <w:t>For the Option of Every 1 YEAR</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80" w:type="dxa"/>
            <w:vAlign w:val="bottom"/>
            <w:gridSpan w:val="2"/>
          </w:tcPr>
          <w:p>
            <w:pPr>
              <w:jc w:val="right"/>
              <w:ind w:right="812"/>
              <w:spacing w:after="0"/>
              <w:rPr>
                <w:sz w:val="20"/>
                <w:szCs w:val="20"/>
                <w:color w:val="auto"/>
              </w:rPr>
            </w:pPr>
            <w:r>
              <w:rPr>
                <w:rFonts w:ascii="Arial" w:cs="Arial" w:eastAsia="Arial" w:hAnsi="Arial"/>
                <w:sz w:val="18"/>
                <w:szCs w:val="18"/>
                <w:color w:val="auto"/>
              </w:rPr>
              <w:t>65</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w w:val="90"/>
              </w:rPr>
              <w:t>Ratification of PwC as our Independent Registered Certified Public Accounting Firm</w:t>
            </w:r>
          </w:p>
        </w:tc>
        <w:tc>
          <w:tcPr>
            <w:tcW w:w="3200" w:type="dxa"/>
            <w:vAlign w:val="bottom"/>
            <w:gridSpan w:val="2"/>
          </w:tcPr>
          <w:p>
            <w:pPr>
              <w:ind w:left="240"/>
              <w:spacing w:after="0"/>
              <w:rPr>
                <w:sz w:val="20"/>
                <w:szCs w:val="20"/>
                <w:color w:val="auto"/>
              </w:rPr>
            </w:pPr>
            <w:r>
              <w:rPr>
                <w:rFonts w:ascii="Arial" w:cs="Arial" w:eastAsia="Arial" w:hAnsi="Arial"/>
                <w:sz w:val="18"/>
                <w:szCs w:val="18"/>
                <w:color w:val="auto"/>
              </w:rPr>
              <w:t>FOR</w:t>
            </w:r>
          </w:p>
        </w:tc>
        <w:tc>
          <w:tcPr>
            <w:tcW w:w="2180" w:type="dxa"/>
            <w:vAlign w:val="bottom"/>
            <w:gridSpan w:val="2"/>
          </w:tcPr>
          <w:p>
            <w:pPr>
              <w:jc w:val="right"/>
              <w:ind w:right="812"/>
              <w:spacing w:after="0"/>
              <w:rPr>
                <w:sz w:val="20"/>
                <w:szCs w:val="20"/>
                <w:color w:val="auto"/>
              </w:rPr>
            </w:pPr>
            <w:r>
              <w:rPr>
                <w:rFonts w:ascii="Arial" w:cs="Arial" w:eastAsia="Arial" w:hAnsi="Arial"/>
                <w:sz w:val="18"/>
                <w:szCs w:val="18"/>
                <w:color w:val="auto"/>
              </w:rPr>
              <w:t>66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2016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summary of our executive compensation program highlights our commitment to executive compensation practices that align the interests of our executives and shareholders. For a comprehensive discussion of our executive compensation, see "Compensation Discussion and Analysis", beginning on page 31 of this proxy statement.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What We Do</w:t>
            </w:r>
          </w:p>
        </w:tc>
        <w:tc>
          <w:tcPr>
            <w:tcW w:w="58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What We Don't Do</w:t>
            </w:r>
          </w:p>
        </w:tc>
      </w:tr>
      <w:tr>
        <w:trPr>
          <w:trHeight w:val="202"/>
        </w:trPr>
        <w:tc>
          <w:tcPr>
            <w:tcW w:w="5540" w:type="dxa"/>
            <w:vAlign w:val="bottom"/>
          </w:tcPr>
          <w:p>
            <w:pPr>
              <w:spacing w:after="0" w:line="202" w:lineRule="exact"/>
              <w:rPr>
                <w:sz w:val="20"/>
                <w:szCs w:val="20"/>
                <w:color w:val="auto"/>
              </w:rPr>
            </w:pPr>
            <w:r>
              <w:rPr>
                <w:rFonts w:ascii="MS PGothic" w:cs="MS PGothic" w:eastAsia="MS PGothic" w:hAnsi="MS PGothic"/>
                <w:sz w:val="23"/>
                <w:szCs w:val="23"/>
                <w:color w:val="auto"/>
                <w:vertAlign w:val="subscript"/>
              </w:rPr>
              <w:t>✓</w:t>
            </w:r>
            <w:r>
              <w:rPr>
                <w:rFonts w:ascii="Arial" w:cs="Arial" w:eastAsia="Arial" w:hAnsi="Arial"/>
                <w:sz w:val="13"/>
                <w:szCs w:val="13"/>
                <w:color w:val="auto"/>
              </w:rPr>
              <w:t xml:space="preserve"> Executive compensation program tied to our financial and operating</w:t>
            </w:r>
          </w:p>
        </w:tc>
        <w:tc>
          <w:tcPr>
            <w:tcW w:w="5880" w:type="dxa"/>
            <w:vAlign w:val="bottom"/>
          </w:tcPr>
          <w:p>
            <w:pPr>
              <w:ind w:left="420"/>
              <w:spacing w:after="0" w:line="202" w:lineRule="exact"/>
              <w:rPr>
                <w:sz w:val="20"/>
                <w:szCs w:val="20"/>
                <w:color w:val="auto"/>
              </w:rPr>
            </w:pPr>
            <w:r>
              <w:rPr>
                <w:rFonts w:ascii="MS PGothic" w:cs="MS PGothic" w:eastAsia="MS PGothic" w:hAnsi="MS PGothic"/>
                <w:sz w:val="23"/>
                <w:szCs w:val="23"/>
                <w:color w:val="auto"/>
                <w:vertAlign w:val="subscript"/>
              </w:rPr>
              <w:t>✗</w:t>
            </w:r>
            <w:r>
              <w:rPr>
                <w:rFonts w:ascii="Arial" w:cs="Arial" w:eastAsia="Arial" w:hAnsi="Arial"/>
                <w:sz w:val="13"/>
                <w:szCs w:val="13"/>
                <w:color w:val="auto"/>
              </w:rPr>
              <w:t xml:space="preserve"> NEOs not eligible for guaranteed bonuses</w:t>
            </w:r>
          </w:p>
        </w:tc>
      </w:tr>
      <w:tr>
        <w:trPr>
          <w:trHeight w:val="222"/>
        </w:trPr>
        <w:tc>
          <w:tcPr>
            <w:tcW w:w="5540" w:type="dxa"/>
            <w:vAlign w:val="bottom"/>
          </w:tcPr>
          <w:p>
            <w:pPr>
              <w:ind w:left="340"/>
              <w:spacing w:after="0"/>
              <w:rPr>
                <w:sz w:val="20"/>
                <w:szCs w:val="20"/>
                <w:color w:val="auto"/>
              </w:rPr>
            </w:pPr>
            <w:r>
              <w:rPr>
                <w:rFonts w:ascii="Arial" w:cs="Arial" w:eastAsia="Arial" w:hAnsi="Arial"/>
                <w:sz w:val="18"/>
                <w:szCs w:val="18"/>
                <w:color w:val="auto"/>
              </w:rPr>
              <w:t>performance and the creation of shareholder value</w:t>
            </w:r>
          </w:p>
        </w:tc>
        <w:tc>
          <w:tcPr>
            <w:tcW w:w="5880" w:type="dxa"/>
            <w:vAlign w:val="bottom"/>
          </w:tcPr>
          <w:p>
            <w:pPr>
              <w:spacing w:after="0"/>
              <w:rPr>
                <w:sz w:val="19"/>
                <w:szCs w:val="19"/>
                <w:color w:val="auto"/>
              </w:rPr>
            </w:pPr>
          </w:p>
        </w:tc>
      </w:tr>
    </w:tbl>
    <w:p>
      <w:pPr>
        <w:ind w:left="5960"/>
        <w:spacing w:after="0" w:line="261" w:lineRule="exact"/>
        <w:tabs>
          <w:tab w:leader="none" w:pos="62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5"/>
          <w:szCs w:val="15"/>
          <w:color w:val="auto"/>
        </w:rPr>
        <w:t>No tax gross ups</w:t>
      </w:r>
    </w:p>
    <w:p>
      <w:pPr>
        <w:ind w:left="340" w:hanging="332"/>
        <w:spacing w:after="0" w:line="182" w:lineRule="auto"/>
        <w:tabs>
          <w:tab w:leader="none" w:pos="340" w:val="left"/>
        </w:tabs>
        <w:numPr>
          <w:ilvl w:val="0"/>
          <w:numId w:val="3"/>
        </w:numPr>
        <w:rPr>
          <w:rFonts w:ascii="MS PGothic" w:cs="MS PGothic" w:eastAsia="MS PGothic" w:hAnsi="MS PGothic"/>
          <w:sz w:val="28"/>
          <w:szCs w:val="28"/>
          <w:color w:val="auto"/>
          <w:vertAlign w:val="subscript"/>
        </w:rPr>
      </w:pPr>
      <w:r>
        <w:rPr>
          <w:rFonts w:ascii="Arial" w:cs="Arial" w:eastAsia="Arial" w:hAnsi="Arial"/>
          <w:sz w:val="14"/>
          <w:szCs w:val="14"/>
          <w:color w:val="auto"/>
        </w:rPr>
        <w:t>Robust stock ownership guidelines applicable to executive officers</w:t>
      </w:r>
    </w:p>
    <w:p>
      <w:pPr>
        <w:ind w:left="5960"/>
        <w:spacing w:after="0" w:line="261" w:lineRule="exact"/>
        <w:tabs>
          <w:tab w:leader="none" w:pos="62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5"/>
          <w:szCs w:val="15"/>
          <w:color w:val="auto"/>
        </w:rPr>
        <w:t>No excessive perquisites</w:t>
      </w:r>
    </w:p>
    <w:p>
      <w:pPr>
        <w:ind w:left="340" w:hanging="332"/>
        <w:spacing w:after="0" w:line="182" w:lineRule="auto"/>
        <w:tabs>
          <w:tab w:leader="none" w:pos="340" w:val="left"/>
        </w:tabs>
        <w:numPr>
          <w:ilvl w:val="0"/>
          <w:numId w:val="4"/>
        </w:numPr>
        <w:rPr>
          <w:rFonts w:ascii="MS PGothic" w:cs="MS PGothic" w:eastAsia="MS PGothic" w:hAnsi="MS PGothic"/>
          <w:sz w:val="28"/>
          <w:szCs w:val="28"/>
          <w:color w:val="auto"/>
          <w:vertAlign w:val="subscript"/>
        </w:rPr>
      </w:pPr>
      <w:r>
        <w:rPr>
          <w:rFonts w:ascii="Arial" w:cs="Arial" w:eastAsia="Arial" w:hAnsi="Arial"/>
          <w:sz w:val="14"/>
          <w:szCs w:val="14"/>
          <w:color w:val="auto"/>
        </w:rPr>
        <w:t>Rigorous stock retention requirements applicable to NEOs</w:t>
      </w:r>
    </w:p>
    <w:p>
      <w:pPr>
        <w:ind w:left="5960"/>
        <w:spacing w:after="0" w:line="261" w:lineRule="exact"/>
        <w:tabs>
          <w:tab w:leader="none" w:pos="62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6"/>
          <w:szCs w:val="16"/>
          <w:color w:val="auto"/>
        </w:rPr>
        <w:t>No single-trigger vesting of awards upon a change of control</w:t>
      </w:r>
    </w:p>
    <w:p>
      <w:pPr>
        <w:spacing w:after="0" w:line="1" w:lineRule="exact"/>
        <w:rPr>
          <w:sz w:val="20"/>
          <w:szCs w:val="20"/>
          <w:color w:val="auto"/>
        </w:rPr>
      </w:pPr>
    </w:p>
    <w:p>
      <w:pPr>
        <w:ind w:left="340" w:right="6600" w:hanging="332"/>
        <w:spacing w:after="0" w:line="182" w:lineRule="auto"/>
        <w:tabs>
          <w:tab w:leader="none" w:pos="340" w:val="left"/>
        </w:tabs>
        <w:numPr>
          <w:ilvl w:val="0"/>
          <w:numId w:val="5"/>
        </w:numPr>
        <w:rPr>
          <w:rFonts w:ascii="MS PGothic" w:cs="MS PGothic" w:eastAsia="MS PGothic" w:hAnsi="MS PGothic"/>
          <w:sz w:val="38"/>
          <w:szCs w:val="38"/>
          <w:color w:val="auto"/>
          <w:vertAlign w:val="subscript"/>
        </w:rPr>
      </w:pPr>
      <w:r>
        <w:rPr>
          <w:rFonts w:ascii="Arial" w:cs="Arial" w:eastAsia="Arial" w:hAnsi="Arial"/>
          <w:sz w:val="16"/>
          <w:szCs w:val="16"/>
          <w:color w:val="auto"/>
        </w:rPr>
        <w:t>Policies prohibiting hedging of shares by NEOs, employees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good governance is critical to achieving long-term shareholder value. The following table summarizes certain highlights of our corporate governance practices, policies and highlights. For a comprehensive discussion of our corporate governance policies, see "Corporate Governance", beginning on page 13 of this proxy statement.</w:t>
      </w:r>
    </w:p>
    <w:p>
      <w:pPr>
        <w:sectPr>
          <w:pgSz w:w="11900" w:h="16838" w:orient="portrait"/>
          <w:cols w:equalWidth="0" w:num="1">
            <w:col w:w="11320"/>
          </w:cols>
          <w:pgMar w:left="240" w:top="131" w:right="339" w:bottom="1440" w:gutter="0" w:footer="0" w:header="0"/>
        </w:sectPr>
      </w:pPr>
    </w:p>
    <w:p>
      <w:pPr>
        <w:spacing w:after="0" w:line="5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38"/>
          <w:szCs w:val="38"/>
          <w:color w:val="auto"/>
          <w:vertAlign w:val="subscript"/>
        </w:rPr>
      </w:pPr>
      <w:r>
        <w:rPr>
          <w:rFonts w:ascii="Arial" w:cs="Arial" w:eastAsia="Arial" w:hAnsi="Arial"/>
          <w:sz w:val="16"/>
          <w:szCs w:val="16"/>
          <w:color w:val="auto"/>
        </w:rPr>
        <w:t>Director resignation policy for all directors in uncontested elections</w:t>
      </w:r>
    </w:p>
    <w:p>
      <w:pPr>
        <w:spacing w:after="0" w:line="76" w:lineRule="exact"/>
        <w:rPr>
          <w:rFonts w:ascii="MS PGothic" w:cs="MS PGothic" w:eastAsia="MS PGothic" w:hAnsi="MS PGothic"/>
          <w:sz w:val="38"/>
          <w:szCs w:val="38"/>
          <w:color w:val="auto"/>
          <w:vertAlign w:val="subscript"/>
        </w:rPr>
      </w:pPr>
    </w:p>
    <w:p>
      <w:pPr>
        <w:ind w:left="340" w:hanging="332"/>
        <w:spacing w:after="0" w:line="221" w:lineRule="auto"/>
        <w:tabs>
          <w:tab w:leader="none" w:pos="340" w:val="left"/>
        </w:tabs>
        <w:numPr>
          <w:ilvl w:val="0"/>
          <w:numId w:val="6"/>
        </w:numPr>
        <w:rPr>
          <w:rFonts w:ascii="MS PGothic" w:cs="MS PGothic" w:eastAsia="MS PGothic" w:hAnsi="MS PGothic"/>
          <w:sz w:val="43"/>
          <w:szCs w:val="43"/>
          <w:color w:val="auto"/>
          <w:vertAlign w:val="subscript"/>
        </w:rPr>
      </w:pPr>
      <w:r>
        <w:rPr>
          <w:rFonts w:ascii="Arial" w:cs="Arial" w:eastAsia="Arial" w:hAnsi="Arial"/>
          <w:sz w:val="18"/>
          <w:szCs w:val="18"/>
          <w:color w:val="auto"/>
        </w:rPr>
        <w:t>Annual election of directors</w:t>
      </w:r>
    </w:p>
    <w:p>
      <w:pPr>
        <w:spacing w:after="0" w:line="76" w:lineRule="exact"/>
        <w:rPr>
          <w:rFonts w:ascii="MS PGothic" w:cs="MS PGothic" w:eastAsia="MS PGothic" w:hAnsi="MS PGothic"/>
          <w:sz w:val="43"/>
          <w:szCs w:val="43"/>
          <w:color w:val="auto"/>
          <w:vertAlign w:val="subscript"/>
        </w:rPr>
      </w:pPr>
    </w:p>
    <w:p>
      <w:pPr>
        <w:ind w:left="340" w:hanging="332"/>
        <w:spacing w:after="0" w:line="221" w:lineRule="auto"/>
        <w:tabs>
          <w:tab w:leader="none" w:pos="340" w:val="left"/>
        </w:tabs>
        <w:numPr>
          <w:ilvl w:val="0"/>
          <w:numId w:val="6"/>
        </w:numPr>
        <w:rPr>
          <w:rFonts w:ascii="MS PGothic" w:cs="MS PGothic" w:eastAsia="MS PGothic" w:hAnsi="MS PGothic"/>
          <w:sz w:val="43"/>
          <w:szCs w:val="43"/>
          <w:color w:val="auto"/>
          <w:vertAlign w:val="subscript"/>
        </w:rPr>
      </w:pPr>
      <w:r>
        <w:rPr>
          <w:rFonts w:ascii="Arial" w:cs="Arial" w:eastAsia="Arial" w:hAnsi="Arial"/>
          <w:sz w:val="18"/>
          <w:szCs w:val="18"/>
          <w:color w:val="auto"/>
        </w:rPr>
        <w:t>Majority independent board</w:t>
      </w:r>
    </w:p>
    <w:p>
      <w:pPr>
        <w:spacing w:after="0" w:line="250" w:lineRule="exact"/>
        <w:rPr>
          <w:rFonts w:ascii="MS PGothic" w:cs="MS PGothic" w:eastAsia="MS PGothic" w:hAnsi="MS PGothic"/>
          <w:sz w:val="43"/>
          <w:szCs w:val="43"/>
          <w:color w:val="auto"/>
          <w:vertAlign w:val="subscript"/>
        </w:rPr>
      </w:pPr>
    </w:p>
    <w:p>
      <w:pPr>
        <w:ind w:left="340" w:right="150" w:hanging="332"/>
        <w:spacing w:after="0" w:line="186" w:lineRule="auto"/>
        <w:tabs>
          <w:tab w:leader="none" w:pos="340" w:val="left"/>
        </w:tabs>
        <w:numPr>
          <w:ilvl w:val="0"/>
          <w:numId w:val="6"/>
        </w:numPr>
        <w:rPr>
          <w:rFonts w:ascii="MS PGothic" w:cs="MS PGothic" w:eastAsia="MS PGothic" w:hAnsi="MS PGothic"/>
          <w:sz w:val="38"/>
          <w:szCs w:val="38"/>
          <w:color w:val="auto"/>
          <w:vertAlign w:val="subscript"/>
        </w:rPr>
      </w:pPr>
      <w:r>
        <w:rPr>
          <w:rFonts w:ascii="Arial" w:cs="Arial" w:eastAsia="Arial" w:hAnsi="Arial"/>
          <w:sz w:val="16"/>
          <w:szCs w:val="16"/>
          <w:color w:val="auto"/>
        </w:rPr>
        <w:t>Regular shareholder engagement on governance, compensation and other issues of interest to our shareholders</w:t>
      </w:r>
    </w:p>
    <w:p>
      <w:pPr>
        <w:spacing w:after="0" w:line="44" w:lineRule="exact"/>
        <w:rPr>
          <w:rFonts w:ascii="MS PGothic" w:cs="MS PGothic" w:eastAsia="MS PGothic" w:hAnsi="MS PGothic"/>
          <w:sz w:val="38"/>
          <w:szCs w:val="38"/>
          <w:color w:val="auto"/>
          <w:vertAlign w:val="subscript"/>
        </w:rPr>
      </w:pPr>
    </w:p>
    <w:p>
      <w:pPr>
        <w:ind w:left="340" w:hanging="332"/>
        <w:spacing w:after="0"/>
        <w:tabs>
          <w:tab w:leader="none" w:pos="340" w:val="left"/>
        </w:tabs>
        <w:numPr>
          <w:ilvl w:val="0"/>
          <w:numId w:val="6"/>
        </w:numPr>
        <w:rPr>
          <w:rFonts w:ascii="MS PGothic" w:cs="MS PGothic" w:eastAsia="MS PGothic" w:hAnsi="MS PGothic"/>
          <w:sz w:val="43"/>
          <w:szCs w:val="43"/>
          <w:color w:val="auto"/>
          <w:vertAlign w:val="subscript"/>
        </w:rPr>
      </w:pPr>
      <w:r>
        <w:rPr>
          <w:rFonts w:ascii="Arial" w:cs="Arial" w:eastAsia="Arial" w:hAnsi="Arial"/>
          <w:sz w:val="18"/>
          <w:szCs w:val="18"/>
          <w:color w:val="auto"/>
        </w:rPr>
        <w:t>Robust stock ownership guidelines applicable to directors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330" w:right="560" w:hanging="330"/>
        <w:spacing w:after="0" w:line="186" w:lineRule="auto"/>
        <w:tabs>
          <w:tab w:leader="none" w:pos="330" w:val="left"/>
        </w:tabs>
        <w:numPr>
          <w:ilvl w:val="0"/>
          <w:numId w:val="7"/>
        </w:numPr>
        <w:rPr>
          <w:rFonts w:ascii="MS PGothic" w:cs="MS PGothic" w:eastAsia="MS PGothic" w:hAnsi="MS PGothic"/>
          <w:sz w:val="38"/>
          <w:szCs w:val="38"/>
          <w:color w:val="auto"/>
          <w:vertAlign w:val="subscript"/>
        </w:rPr>
      </w:pPr>
      <w:r>
        <w:rPr>
          <w:rFonts w:ascii="Arial" w:cs="Arial" w:eastAsia="Arial" w:hAnsi="Arial"/>
          <w:sz w:val="16"/>
          <w:szCs w:val="16"/>
          <w:color w:val="auto"/>
        </w:rPr>
        <w:t>Independent lead director facilitates and strengthens the Board's independent oversight</w:t>
      </w:r>
    </w:p>
    <w:p>
      <w:pPr>
        <w:spacing w:after="0" w:line="251" w:lineRule="exact"/>
        <w:rPr>
          <w:rFonts w:ascii="MS PGothic" w:cs="MS PGothic" w:eastAsia="MS PGothic" w:hAnsi="MS PGothic"/>
          <w:sz w:val="38"/>
          <w:szCs w:val="38"/>
          <w:color w:val="auto"/>
          <w:vertAlign w:val="subscript"/>
        </w:rPr>
      </w:pPr>
    </w:p>
    <w:p>
      <w:pPr>
        <w:ind w:left="330" w:right="160" w:hanging="330"/>
        <w:spacing w:after="0" w:line="186" w:lineRule="auto"/>
        <w:tabs>
          <w:tab w:leader="none" w:pos="330" w:val="left"/>
        </w:tabs>
        <w:numPr>
          <w:ilvl w:val="0"/>
          <w:numId w:val="7"/>
        </w:numPr>
        <w:rPr>
          <w:rFonts w:ascii="MS PGothic" w:cs="MS PGothic" w:eastAsia="MS PGothic" w:hAnsi="MS PGothic"/>
          <w:sz w:val="38"/>
          <w:szCs w:val="38"/>
          <w:color w:val="auto"/>
          <w:vertAlign w:val="subscript"/>
        </w:rPr>
      </w:pPr>
      <w:r>
        <w:rPr>
          <w:rFonts w:ascii="Arial" w:cs="Arial" w:eastAsia="Arial" w:hAnsi="Arial"/>
          <w:sz w:val="16"/>
          <w:szCs w:val="16"/>
          <w:color w:val="auto"/>
        </w:rPr>
        <w:t>Independent directors meet in executive session without management present</w:t>
      </w:r>
    </w:p>
    <w:p>
      <w:pPr>
        <w:spacing w:after="0" w:line="44" w:lineRule="exact"/>
        <w:rPr>
          <w:rFonts w:ascii="MS PGothic" w:cs="MS PGothic" w:eastAsia="MS PGothic" w:hAnsi="MS PGothic"/>
          <w:sz w:val="38"/>
          <w:szCs w:val="38"/>
          <w:color w:val="auto"/>
          <w:vertAlign w:val="subscript"/>
        </w:rPr>
      </w:pPr>
    </w:p>
    <w:p>
      <w:pPr>
        <w:ind w:left="330" w:hanging="330"/>
        <w:spacing w:after="0"/>
        <w:tabs>
          <w:tab w:leader="none" w:pos="330" w:val="left"/>
        </w:tabs>
        <w:numPr>
          <w:ilvl w:val="0"/>
          <w:numId w:val="7"/>
        </w:numPr>
        <w:rPr>
          <w:rFonts w:ascii="MS PGothic" w:cs="MS PGothic" w:eastAsia="MS PGothic" w:hAnsi="MS PGothic"/>
          <w:sz w:val="43"/>
          <w:szCs w:val="43"/>
          <w:color w:val="auto"/>
          <w:vertAlign w:val="subscript"/>
        </w:rPr>
      </w:pPr>
      <w:r>
        <w:rPr>
          <w:rFonts w:ascii="Arial" w:cs="Arial" w:eastAsia="Arial" w:hAnsi="Arial"/>
          <w:sz w:val="18"/>
          <w:szCs w:val="18"/>
          <w:color w:val="auto"/>
        </w:rPr>
        <w:t>Strong board oversight of risk management process</w:t>
      </w:r>
    </w:p>
    <w:p>
      <w:pPr>
        <w:spacing w:after="0" w:line="76" w:lineRule="exact"/>
        <w:rPr>
          <w:rFonts w:ascii="MS PGothic" w:cs="MS PGothic" w:eastAsia="MS PGothic" w:hAnsi="MS PGothic"/>
          <w:sz w:val="43"/>
          <w:szCs w:val="43"/>
          <w:color w:val="auto"/>
          <w:vertAlign w:val="subscript"/>
        </w:rPr>
      </w:pPr>
    </w:p>
    <w:p>
      <w:pPr>
        <w:ind w:left="330" w:hanging="330"/>
        <w:spacing w:after="0" w:line="221" w:lineRule="auto"/>
        <w:tabs>
          <w:tab w:leader="none" w:pos="330" w:val="left"/>
        </w:tabs>
        <w:numPr>
          <w:ilvl w:val="0"/>
          <w:numId w:val="7"/>
        </w:numPr>
        <w:rPr>
          <w:rFonts w:ascii="MS PGothic" w:cs="MS PGothic" w:eastAsia="MS PGothic" w:hAnsi="MS PGothic"/>
          <w:sz w:val="43"/>
          <w:szCs w:val="43"/>
          <w:color w:val="auto"/>
          <w:vertAlign w:val="subscript"/>
        </w:rPr>
      </w:pPr>
      <w:r>
        <w:rPr>
          <w:rFonts w:ascii="Arial" w:cs="Arial" w:eastAsia="Arial" w:hAnsi="Arial"/>
          <w:sz w:val="18"/>
          <w:szCs w:val="18"/>
          <w:color w:val="auto"/>
        </w:rPr>
        <w:t>Annual board evaluations and self-assessments</w:t>
      </w:r>
    </w:p>
    <w:p>
      <w:pPr>
        <w:spacing w:after="0" w:line="76" w:lineRule="exact"/>
        <w:rPr>
          <w:rFonts w:ascii="MS PGothic" w:cs="MS PGothic" w:eastAsia="MS PGothic" w:hAnsi="MS PGothic"/>
          <w:sz w:val="43"/>
          <w:szCs w:val="43"/>
          <w:color w:val="auto"/>
          <w:vertAlign w:val="subscript"/>
        </w:rPr>
      </w:pPr>
    </w:p>
    <w:p>
      <w:pPr>
        <w:ind w:left="330" w:hanging="330"/>
        <w:spacing w:after="0" w:line="221" w:lineRule="auto"/>
        <w:tabs>
          <w:tab w:leader="none" w:pos="330" w:val="left"/>
        </w:tabs>
        <w:numPr>
          <w:ilvl w:val="0"/>
          <w:numId w:val="7"/>
        </w:numPr>
        <w:rPr>
          <w:rFonts w:ascii="MS PGothic" w:cs="MS PGothic" w:eastAsia="MS PGothic" w:hAnsi="MS PGothic"/>
          <w:sz w:val="43"/>
          <w:szCs w:val="43"/>
          <w:color w:val="auto"/>
          <w:vertAlign w:val="subscript"/>
        </w:rPr>
      </w:pPr>
      <w:r>
        <w:rPr>
          <w:rFonts w:ascii="Arial" w:cs="Arial" w:eastAsia="Arial" w:hAnsi="Arial"/>
          <w:sz w:val="18"/>
          <w:szCs w:val="18"/>
          <w:color w:val="auto"/>
        </w:rPr>
        <w:t>Policies prohibiting hedging of shares by directors</w:t>
      </w:r>
    </w:p>
    <w:p>
      <w:pPr>
        <w:spacing w:after="0" w:line="76" w:lineRule="exact"/>
        <w:rPr>
          <w:rFonts w:ascii="MS PGothic" w:cs="MS PGothic" w:eastAsia="MS PGothic" w:hAnsi="MS PGothic"/>
          <w:sz w:val="43"/>
          <w:szCs w:val="43"/>
          <w:color w:val="auto"/>
          <w:vertAlign w:val="subscript"/>
        </w:rPr>
      </w:pPr>
    </w:p>
    <w:p>
      <w:pPr>
        <w:ind w:left="330" w:hanging="330"/>
        <w:spacing w:after="0" w:line="221" w:lineRule="auto"/>
        <w:tabs>
          <w:tab w:leader="none" w:pos="330" w:val="left"/>
        </w:tabs>
        <w:numPr>
          <w:ilvl w:val="0"/>
          <w:numId w:val="7"/>
        </w:numPr>
        <w:rPr>
          <w:rFonts w:ascii="MS PGothic" w:cs="MS PGothic" w:eastAsia="MS PGothic" w:hAnsi="MS PGothic"/>
          <w:sz w:val="43"/>
          <w:szCs w:val="43"/>
          <w:color w:val="auto"/>
          <w:vertAlign w:val="subscript"/>
        </w:rPr>
      </w:pPr>
      <w:r>
        <w:rPr>
          <w:rFonts w:ascii="Arial" w:cs="Arial" w:eastAsia="Arial" w:hAnsi="Arial"/>
          <w:sz w:val="18"/>
          <w:szCs w:val="18"/>
          <w:color w:val="auto"/>
        </w:rPr>
        <w:t>No related party transactions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67945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30" w:space="720"/>
            <w:col w:w="5370"/>
          </w:cols>
          <w:pgMar w:left="240" w:top="13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660" w:type="dxa"/>
            <w:vAlign w:val="bottom"/>
            <w:gridSpan w:val="11"/>
            <w:vMerge w:val="restart"/>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PROXY STATEMENT</w:t>
              </w:r>
            </w:hyperlink>
          </w:p>
        </w:tc>
        <w:tc>
          <w:tcPr>
            <w:tcW w:w="7020" w:type="dxa"/>
            <w:vAlign w:val="bottom"/>
            <w:gridSpan w:val="26"/>
            <w:vMerge w:val="restart"/>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660" w:type="dxa"/>
            <w:vAlign w:val="bottom"/>
            <w:gridSpan w:val="11"/>
            <w:vMerge w:val="continue"/>
          </w:tcPr>
          <w:p>
            <w:pPr>
              <w:spacing w:after="0"/>
              <w:rPr>
                <w:sz w:val="14"/>
                <w:szCs w:val="14"/>
                <w:color w:val="auto"/>
              </w:rPr>
            </w:pPr>
          </w:p>
        </w:tc>
        <w:tc>
          <w:tcPr>
            <w:tcW w:w="7020" w:type="dxa"/>
            <w:vAlign w:val="bottom"/>
            <w:gridSpan w:val="26"/>
            <w:vMerge w:val="continue"/>
          </w:tcPr>
          <w:p>
            <w:pPr>
              <w:spacing w:after="0"/>
              <w:rPr>
                <w:sz w:val="14"/>
                <w:szCs w:val="14"/>
                <w:color w:val="auto"/>
              </w:rPr>
            </w:pPr>
          </w:p>
        </w:tc>
        <w:tc>
          <w:tcPr>
            <w:tcW w:w="46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980" w:type="dxa"/>
            <w:vAlign w:val="bottom"/>
            <w:gridSpan w:val="32"/>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QUESTIONS AND ANSWERS ABOUT OUR ANNUAL MEETING</w:t>
              </w:r>
            </w:hyperlink>
          </w:p>
        </w:tc>
        <w:tc>
          <w:tcPr>
            <w:tcW w:w="3700" w:type="dxa"/>
            <w:vAlign w:val="bottom"/>
            <w:gridSpan w:val="5"/>
          </w:tcPr>
          <w:p>
            <w:pPr>
              <w:spacing w:after="0"/>
              <w:rPr>
                <w:sz w:val="17"/>
                <w:szCs w:val="17"/>
                <w:color w:val="auto"/>
              </w:rPr>
            </w:pPr>
          </w:p>
        </w:tc>
        <w:tc>
          <w:tcPr>
            <w:tcW w:w="46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I.</w:t>
              </w:r>
            </w:hyperlink>
          </w:p>
        </w:tc>
        <w:tc>
          <w:tcPr>
            <w:tcW w:w="460" w:type="dxa"/>
            <w:vAlign w:val="bottom"/>
            <w:gridSpan w:val="7"/>
          </w:tcPr>
          <w:p>
            <w:pPr>
              <w:spacing w:after="0"/>
              <w:rPr>
                <w:sz w:val="17"/>
                <w:szCs w:val="17"/>
                <w:color w:val="auto"/>
              </w:rPr>
            </w:pPr>
          </w:p>
        </w:tc>
        <w:tc>
          <w:tcPr>
            <w:tcW w:w="3700" w:type="dxa"/>
            <w:vAlign w:val="bottom"/>
            <w:gridSpan w:val="19"/>
          </w:tcPr>
          <w:p>
            <w:pPr>
              <w:ind w:left="20"/>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PROPOSAL NO. 1—ELECTION OF DIRECTORS</w:t>
              </w:r>
            </w:hyperlink>
          </w:p>
        </w:tc>
        <w:tc>
          <w:tcPr>
            <w:tcW w:w="700" w:type="dxa"/>
            <w:vAlign w:val="bottom"/>
            <w:gridSpan w:val="5"/>
          </w:tcPr>
          <w:p>
            <w:pPr>
              <w:spacing w:after="0"/>
              <w:rPr>
                <w:sz w:val="17"/>
                <w:szCs w:val="17"/>
                <w:color w:val="auto"/>
              </w:rPr>
            </w:pPr>
          </w:p>
        </w:tc>
        <w:tc>
          <w:tcPr>
            <w:tcW w:w="3700" w:type="dxa"/>
            <w:vAlign w:val="bottom"/>
            <w:gridSpan w:val="5"/>
          </w:tcPr>
          <w:p>
            <w:pPr>
              <w:spacing w:after="0"/>
              <w:rPr>
                <w:sz w:val="17"/>
                <w:szCs w:val="17"/>
                <w:color w:val="auto"/>
              </w:rPr>
            </w:pPr>
          </w:p>
        </w:tc>
        <w:tc>
          <w:tcPr>
            <w:tcW w:w="46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II.</w:t>
              </w:r>
            </w:hyperlink>
          </w:p>
        </w:tc>
        <w:tc>
          <w:tcPr>
            <w:tcW w:w="400" w:type="dxa"/>
            <w:vAlign w:val="bottom"/>
            <w:gridSpan w:val="5"/>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GOVERNANCE</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Board Leadership Structure</w:t>
              </w:r>
            </w:hyperlink>
          </w:p>
        </w:tc>
        <w:tc>
          <w:tcPr>
            <w:tcW w:w="320" w:type="dxa"/>
            <w:vAlign w:val="bottom"/>
            <w:tcBorders>
              <w:top w:val="single" w:sz="8" w:color="0000EE"/>
            </w:tcBorders>
            <w:gridSpan w:val="2"/>
          </w:tcPr>
          <w:p>
            <w:pPr>
              <w:spacing w:after="0"/>
              <w:rPr>
                <w:sz w:val="17"/>
                <w:szCs w:val="17"/>
                <w:color w:val="auto"/>
              </w:rPr>
            </w:pPr>
          </w:p>
        </w:tc>
        <w:tc>
          <w:tcPr>
            <w:tcW w:w="582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Lead Independent Director</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Shareholder Engagement</w:t>
              </w:r>
            </w:hyperlink>
          </w:p>
        </w:tc>
        <w:tc>
          <w:tcPr>
            <w:tcW w:w="120" w:type="dxa"/>
            <w:vAlign w:val="bottom"/>
            <w:tcBorders>
              <w:top w:val="single" w:sz="8" w:color="0000EE"/>
            </w:tcBorders>
          </w:tcPr>
          <w:p>
            <w:pPr>
              <w:spacing w:after="0"/>
              <w:rPr>
                <w:sz w:val="17"/>
                <w:szCs w:val="17"/>
                <w:color w:val="auto"/>
              </w:rPr>
            </w:pPr>
          </w:p>
        </w:tc>
        <w:tc>
          <w:tcPr>
            <w:tcW w:w="6200" w:type="dxa"/>
            <w:vAlign w:val="bottom"/>
            <w:gridSpan w:val="18"/>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Meetings</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Director Independence</w:t>
              </w:r>
            </w:hyperlink>
          </w:p>
        </w:tc>
        <w:tc>
          <w:tcPr>
            <w:tcW w:w="648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Committees of the Board</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Committee Interlocks and Insider Participation</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top w:val="single" w:sz="8" w:color="0000EE"/>
            </w:tcBorders>
            <w:gridSpan w:val="24"/>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Corporate Governance Principles</w:t>
              </w:r>
            </w:hyperlink>
          </w:p>
        </w:tc>
        <w:tc>
          <w:tcPr>
            <w:tcW w:w="37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Code of Conduct</w:t>
              </w:r>
            </w:hyperlink>
          </w:p>
        </w:tc>
        <w:tc>
          <w:tcPr>
            <w:tcW w:w="576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Review and Approval of Related Person Transactions</w:t>
              </w:r>
            </w:hyperlink>
          </w:p>
        </w:tc>
        <w:tc>
          <w:tcPr>
            <w:tcW w:w="43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Board's Role in Risk Oversight</w:t>
              </w:r>
            </w:hyperlink>
          </w:p>
        </w:tc>
        <w:tc>
          <w:tcPr>
            <w:tcW w:w="590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Compensation of Directors</w:t>
              </w:r>
            </w:hyperlink>
          </w:p>
        </w:tc>
        <w:tc>
          <w:tcPr>
            <w:tcW w:w="6180" w:type="dxa"/>
            <w:vAlign w:val="bottom"/>
            <w:gridSpan w:val="1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III.</w:t>
              </w:r>
            </w:hyperlink>
          </w:p>
        </w:tc>
        <w:tc>
          <w:tcPr>
            <w:tcW w:w="340" w:type="dxa"/>
            <w:vAlign w:val="bottom"/>
            <w:gridSpan w:val="3"/>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INFORMATION CONCERNING EXECUTIVE OFFICERS</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IV.</w:t>
              </w:r>
            </w:hyperlink>
          </w:p>
        </w:tc>
        <w:tc>
          <w:tcPr>
            <w:tcW w:w="20" w:type="dxa"/>
            <w:vAlign w:val="bottom"/>
            <w:tcBorders>
              <w:top w:val="single" w:sz="8" w:color="0000EE"/>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4300" w:type="dxa"/>
            <w:vAlign w:val="bottom"/>
            <w:tcBorders>
              <w:top w:val="single" w:sz="8" w:color="0000EE"/>
            </w:tcBorders>
            <w:gridSpan w:val="23"/>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DISCUSSION AND ANALYSIS</w:t>
              </w:r>
            </w:hyperlink>
          </w:p>
        </w:tc>
        <w:tc>
          <w:tcPr>
            <w:tcW w:w="380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69">
              <w:r>
                <w:rPr>
                  <w:rFonts w:ascii="Arial" w:cs="Arial" w:eastAsia="Arial" w:hAnsi="Arial"/>
                  <w:sz w:val="18"/>
                  <w:szCs w:val="18"/>
                  <w:color w:val="0000EE"/>
                  <w:w w:val="81"/>
                </w:rPr>
                <w:t>V.</w:t>
              </w:r>
            </w:hyperlink>
          </w:p>
        </w:tc>
        <w:tc>
          <w:tcPr>
            <w:tcW w:w="60" w:type="dxa"/>
            <w:vAlign w:val="bottom"/>
            <w:gridSpan w:val="2"/>
          </w:tcPr>
          <w:p>
            <w:pPr>
              <w:spacing w:after="0"/>
              <w:rPr>
                <w:sz w:val="17"/>
                <w:szCs w:val="17"/>
                <w:color w:val="auto"/>
              </w:rPr>
            </w:pPr>
          </w:p>
        </w:tc>
        <w:tc>
          <w:tcPr>
            <w:tcW w:w="360" w:type="dxa"/>
            <w:vAlign w:val="bottom"/>
            <w:gridSpan w:val="4"/>
          </w:tcPr>
          <w:p>
            <w:pPr>
              <w:spacing w:after="0"/>
              <w:rPr>
                <w:sz w:val="17"/>
                <w:szCs w:val="17"/>
                <w:color w:val="auto"/>
              </w:rPr>
            </w:pPr>
          </w:p>
        </w:tc>
        <w:tc>
          <w:tcPr>
            <w:tcW w:w="6960" w:type="dxa"/>
            <w:vAlign w:val="bottom"/>
            <w:tcBorders>
              <w:bottom w:val="single" w:sz="8" w:color="0000EE"/>
            </w:tcBorders>
            <w:gridSpan w:val="26"/>
          </w:tcPr>
          <w:p>
            <w:pPr>
              <w:ind w:left="20"/>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PROPOSAL NO. 2—NON-BINDING, ADVISORY VOTE ON EXECUTIVE COMPENSATION</w:t>
              </w:r>
            </w:hyperlink>
          </w:p>
        </w:tc>
        <w:tc>
          <w:tcPr>
            <w:tcW w:w="11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VI.</w:t>
              </w:r>
            </w:hyperlink>
          </w:p>
        </w:tc>
        <w:tc>
          <w:tcPr>
            <w:tcW w:w="340" w:type="dxa"/>
            <w:vAlign w:val="bottom"/>
            <w:gridSpan w:val="3"/>
          </w:tcPr>
          <w:p>
            <w:pPr>
              <w:spacing w:after="0"/>
              <w:rPr>
                <w:sz w:val="17"/>
                <w:szCs w:val="17"/>
                <w:color w:val="auto"/>
              </w:rPr>
            </w:pPr>
          </w:p>
        </w:tc>
        <w:tc>
          <w:tcPr>
            <w:tcW w:w="7020" w:type="dxa"/>
            <w:vAlign w:val="bottom"/>
            <w:tcBorders>
              <w:bottom w:val="single" w:sz="8" w:color="0000EE"/>
            </w:tcBorders>
            <w:gridSpan w:val="28"/>
          </w:tcPr>
          <w:p>
            <w:pPr>
              <w:ind w:left="20"/>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PROPOSAL NO. 3—NON-BINDING, ADVISORY VOTE ON THE FREQUENCY OF FUTURE</w:t>
              </w:r>
            </w:hyperlink>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ADVISORY VOTES ON EXECUTIVE COMPENSATION</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VII.</w:t>
              </w:r>
            </w:hyperlink>
          </w:p>
        </w:tc>
        <w:tc>
          <w:tcPr>
            <w:tcW w:w="280" w:type="dxa"/>
            <w:vAlign w:val="bottom"/>
            <w:gridSpan w:val="2"/>
          </w:tcPr>
          <w:p>
            <w:pPr>
              <w:spacing w:after="0"/>
              <w:rPr>
                <w:sz w:val="17"/>
                <w:szCs w:val="17"/>
                <w:color w:val="auto"/>
              </w:rPr>
            </w:pPr>
          </w:p>
        </w:tc>
        <w:tc>
          <w:tcPr>
            <w:tcW w:w="7000" w:type="dxa"/>
            <w:vAlign w:val="bottom"/>
            <w:tcBorders>
              <w:bottom w:val="single" w:sz="8" w:color="0000EE"/>
            </w:tcBorders>
            <w:gridSpan w:val="27"/>
          </w:tcPr>
          <w:p>
            <w:pPr>
              <w:ind w:left="20"/>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PROPOSAL NO. 4—RATIFICATION OF INDEPENDENT REGISTERED CERTIFIED PUBLIC</w:t>
              </w:r>
            </w:hyperlink>
          </w:p>
        </w:tc>
        <w:tc>
          <w:tcPr>
            <w:tcW w:w="11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ACCOUNTING FIRM</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VIII.</w:t>
              </w:r>
            </w:hyperlink>
          </w:p>
        </w:tc>
        <w:tc>
          <w:tcPr>
            <w:tcW w:w="220" w:type="dxa"/>
            <w:vAlign w:val="bottom"/>
          </w:tcPr>
          <w:p>
            <w:pPr>
              <w:spacing w:after="0"/>
              <w:rPr>
                <w:sz w:val="17"/>
                <w:szCs w:val="17"/>
                <w:color w:val="auto"/>
              </w:rPr>
            </w:pPr>
          </w:p>
        </w:tc>
        <w:tc>
          <w:tcPr>
            <w:tcW w:w="6580" w:type="dxa"/>
            <w:vAlign w:val="bottom"/>
            <w:tcBorders>
              <w:bottom w:val="single" w:sz="8" w:color="0000EE"/>
            </w:tcBorders>
            <w:gridSpan w:val="25"/>
          </w:tcPr>
          <w:p>
            <w:pPr>
              <w:ind w:left="20"/>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SECURITY OWNERSHIP OF CERTAIN BENEFICIAL OWNERS AND MANAGEMENT</w:t>
              </w:r>
            </w:hyperlink>
          </w:p>
        </w:tc>
        <w:tc>
          <w:tcPr>
            <w:tcW w:w="152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IX.</w:t>
              </w:r>
            </w:hyperlink>
          </w:p>
        </w:tc>
        <w:tc>
          <w:tcPr>
            <w:tcW w:w="340" w:type="dxa"/>
            <w:vAlign w:val="bottom"/>
            <w:gridSpan w:val="3"/>
          </w:tcPr>
          <w:p>
            <w:pPr>
              <w:spacing w:after="0"/>
              <w:rPr>
                <w:sz w:val="17"/>
                <w:szCs w:val="17"/>
                <w:color w:val="auto"/>
              </w:rPr>
            </w:pPr>
          </w:p>
        </w:tc>
        <w:tc>
          <w:tcPr>
            <w:tcW w:w="144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OTHER MATTERS</w:t>
              </w:r>
            </w:hyperlink>
          </w:p>
        </w:tc>
        <w:tc>
          <w:tcPr>
            <w:tcW w:w="6660" w:type="dxa"/>
            <w:vAlign w:val="bottom"/>
            <w:gridSpan w:val="23"/>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Section 16(a) Beneficial Ownership Reporting Compliance</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9"/>
          </w:tcPr>
          <w:p>
            <w:pPr>
              <w:ind w:left="20"/>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Shareholder Proposals for the 2018 Annual Meeting</w:t>
              </w:r>
            </w:hyperlink>
          </w:p>
        </w:tc>
        <w:tc>
          <w:tcPr>
            <w:tcW w:w="460" w:type="dxa"/>
            <w:vAlign w:val="bottom"/>
            <w:tcBorders>
              <w:top w:val="single" w:sz="8" w:color="0000EE"/>
            </w:tcBorders>
            <w:gridSpan w:val="2"/>
          </w:tcPr>
          <w:p>
            <w:pPr>
              <w:spacing w:after="0"/>
              <w:rPr>
                <w:sz w:val="17"/>
                <w:szCs w:val="17"/>
                <w:color w:val="auto"/>
              </w:rPr>
            </w:pPr>
          </w:p>
        </w:tc>
        <w:tc>
          <w:tcPr>
            <w:tcW w:w="394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tcBorders>
              <w:bottom w:val="single" w:sz="8" w:color="0000EE"/>
            </w:tcBorders>
            <w:gridSpan w:val="22"/>
          </w:tcPr>
          <w:p>
            <w:pPr>
              <w:ind w:left="20"/>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List of Shareholders Entitled to Vote at the Annual Meeting</w:t>
              </w:r>
            </w:hyperlink>
          </w:p>
        </w:tc>
        <w:tc>
          <w:tcPr>
            <w:tcW w:w="38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Expenses Relating to this Proxy Solicitation</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Communication with our Board of Directors</w:t>
              </w:r>
            </w:hyperlink>
          </w:p>
        </w:tc>
        <w:tc>
          <w:tcPr>
            <w:tcW w:w="496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00" w:type="dxa"/>
            <w:vAlign w:val="bottom"/>
            <w:gridSpan w:val="29"/>
          </w:tcPr>
          <w:p>
            <w:pPr>
              <w:ind w:lef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Available Information</w:t>
              </w:r>
            </w:hyperlink>
          </w:p>
        </w:tc>
        <w:tc>
          <w:tcPr>
            <w:tcW w:w="460" w:type="dxa"/>
            <w:vAlign w:val="bottom"/>
            <w:gridSpan w:val="3"/>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Electronic Delivery</w:t>
              </w:r>
            </w:hyperlink>
          </w:p>
        </w:tc>
        <w:tc>
          <w:tcPr>
            <w:tcW w:w="6540" w:type="dxa"/>
            <w:vAlign w:val="bottom"/>
            <w:gridSpan w:val="22"/>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Householding</w:t>
              </w:r>
            </w:hyperlink>
          </w:p>
        </w:tc>
        <w:tc>
          <w:tcPr>
            <w:tcW w:w="672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60" w:type="dxa"/>
            <w:vAlign w:val="bottom"/>
            <w:tcBorders>
              <w:top w:val="single" w:sz="8" w:color="0000EE"/>
              <w:bottom w:val="single" w:sz="8" w:color="808080"/>
            </w:tcBorders>
          </w:tcPr>
          <w:p>
            <w:pPr>
              <w:spacing w:after="0"/>
              <w:rPr>
                <w:sz w:val="12"/>
                <w:szCs w:val="12"/>
                <w:color w:val="auto"/>
              </w:rPr>
            </w:pPr>
          </w:p>
        </w:tc>
        <w:tc>
          <w:tcPr>
            <w:tcW w:w="34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1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148590</wp:posOffset>
            </wp:positionV>
            <wp:extent cx="2315210" cy="1106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9800 Northwest 41st Street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right="100" w:hanging="647"/>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THURSDAY, MAY 25, 2017</w:t>
      </w:r>
    </w:p>
    <w:p>
      <w:pPr>
        <w:spacing w:after="0" w:line="17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87"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our annual report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our 2017 proxy statement (including all attachments thereto);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 proxy card;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any amendments to the foregoing materials that are required to be furnished to shareholders.</w:t>
      </w:r>
    </w:p>
    <w:p>
      <w:pPr>
        <w:spacing w:after="0" w:line="231" w:lineRule="exact"/>
        <w:rPr>
          <w:sz w:val="20"/>
          <w:szCs w:val="20"/>
          <w:color w:val="auto"/>
        </w:rPr>
      </w:pPr>
    </w:p>
    <w:p>
      <w:pPr>
        <w:ind w:right="380" w:firstLine="605"/>
        <w:spacing w:after="0" w:line="268" w:lineRule="auto"/>
        <w:rPr>
          <w:sz w:val="20"/>
          <w:szCs w:val="20"/>
          <w:color w:val="auto"/>
        </w:rPr>
      </w:pPr>
      <w:r>
        <w:rPr>
          <w:rFonts w:ascii="Arial" w:cs="Arial" w:eastAsia="Arial" w:hAnsi="Arial"/>
          <w:sz w:val="18"/>
          <w:szCs w:val="18"/>
          <w:color w:val="auto"/>
        </w:rPr>
        <w:t>Among other things, this proxy statement contains information regarding (i) the date, time and location of the meeting; (ii) a list of the matters being submitted to our shareholders; and (iii) information concerning voting for these matters at the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60" w:firstLine="611"/>
        <w:spacing w:after="0" w:line="306" w:lineRule="auto"/>
        <w:rPr>
          <w:sz w:val="20"/>
          <w:szCs w:val="20"/>
          <w:color w:val="auto"/>
        </w:rPr>
      </w:pPr>
      <w:r>
        <w:rPr>
          <w:rFonts w:ascii="Arial" w:cs="Arial" w:eastAsia="Arial" w:hAnsi="Arial"/>
          <w:sz w:val="16"/>
          <w:szCs w:val="16"/>
          <w:color w:val="auto"/>
        </w:rPr>
        <w:t>This proxy statement is furnished to the shareholders of World Fuel Services Corporation in connection with the solicitation of proxies by the Board of Directors, or the "Board", for the 2017 annual meeting of shareholders, or the "Annual Meeting". The terms "World Fuel", "Company," "we," "our" and "us" used in this proxy statement refer to World Fuel Services Corporation and its subsidiaries unless the context otherwise requires.</w:t>
      </w:r>
    </w:p>
    <w:p>
      <w:pPr>
        <w:spacing w:after="0" w:line="161" w:lineRule="exact"/>
        <w:rPr>
          <w:sz w:val="20"/>
          <w:szCs w:val="20"/>
          <w:color w:val="auto"/>
        </w:rPr>
      </w:pPr>
    </w:p>
    <w:p>
      <w:pPr>
        <w:ind w:right="60" w:firstLine="611"/>
        <w:spacing w:after="0" w:line="283" w:lineRule="auto"/>
        <w:rPr>
          <w:sz w:val="20"/>
          <w:szCs w:val="20"/>
          <w:color w:val="auto"/>
        </w:rPr>
      </w:pPr>
      <w:r>
        <w:rPr>
          <w:rFonts w:ascii="Arial" w:cs="Arial" w:eastAsia="Arial" w:hAnsi="Arial"/>
          <w:sz w:val="16"/>
          <w:szCs w:val="16"/>
          <w:color w:val="auto"/>
        </w:rPr>
        <w:t>We are utilizing the Securities and Exchange Commission, or "SEC", rule allowing companies to furnish proxy materials to their shareholders over the Internet. In accordance with this rule, on or about April 13, 2017, we sent our shareholders at the close of business on March 29, 2017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0048E0"/>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is the date, time and place of the Annual Meeting?</w:t>
      </w:r>
    </w:p>
    <w:p>
      <w:pPr>
        <w:spacing w:after="0" w:line="231"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Our Annual Meeting will be held on Thursday, May 25, 2017, at 8:00 a.m., Eastern Time, at the offices of Chadbourne &amp; Parke LLP located at 1301 Avenue of the Americas, New York, NY 10019.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am I being asked to vote on and what is the Board recommendation?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At the Annual Meeting you will be asked to vote on the following four proposals. Our Board recommendation for each of these proposals is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20" w:type="dxa"/>
            <w:vAlign w:val="bottom"/>
            <w:tcBorders>
              <w:bottom w:val="single" w:sz="8" w:color="auto"/>
            </w:tcBorders>
          </w:tcPr>
          <w:p>
            <w:pPr>
              <w:ind w:left="3340"/>
              <w:spacing w:after="0"/>
              <w:rPr>
                <w:sz w:val="20"/>
                <w:szCs w:val="20"/>
                <w:color w:val="auto"/>
              </w:rPr>
            </w:pPr>
            <w:r>
              <w:rPr>
                <w:rFonts w:ascii="Arial" w:cs="Arial" w:eastAsia="Arial" w:hAnsi="Arial"/>
                <w:sz w:val="18"/>
                <w:szCs w:val="18"/>
                <w:b w:val="1"/>
                <w:bCs w:val="1"/>
                <w:color w:val="auto"/>
              </w:rPr>
              <w:t>Proposal</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Recommendation</w:t>
            </w:r>
          </w:p>
        </w:tc>
        <w:tc>
          <w:tcPr>
            <w:tcW w:w="0" w:type="dxa"/>
            <w:vAlign w:val="bottom"/>
          </w:tcPr>
          <w:p>
            <w:pPr>
              <w:spacing w:after="0"/>
              <w:rPr>
                <w:sz w:val="1"/>
                <w:szCs w:val="1"/>
                <w:color w:val="auto"/>
              </w:rPr>
            </w:pPr>
          </w:p>
        </w:tc>
      </w:tr>
      <w:tr>
        <w:trPr>
          <w:trHeight w:val="197"/>
        </w:trPr>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1.</w:t>
            </w:r>
          </w:p>
        </w:tc>
        <w:tc>
          <w:tcPr>
            <w:tcW w:w="100" w:type="dxa"/>
            <w:vAlign w:val="bottom"/>
          </w:tcPr>
          <w:p>
            <w:pPr>
              <w:spacing w:after="0"/>
              <w:rPr>
                <w:sz w:val="17"/>
                <w:szCs w:val="17"/>
                <w:color w:val="auto"/>
              </w:rPr>
            </w:pPr>
          </w:p>
        </w:tc>
        <w:tc>
          <w:tcPr>
            <w:tcW w:w="7320" w:type="dxa"/>
            <w:vAlign w:val="bottom"/>
          </w:tcPr>
          <w:p>
            <w:pPr>
              <w:spacing w:after="0" w:line="197" w:lineRule="exact"/>
              <w:rPr>
                <w:sz w:val="20"/>
                <w:szCs w:val="20"/>
                <w:color w:val="auto"/>
              </w:rPr>
            </w:pPr>
            <w:r>
              <w:rPr>
                <w:rFonts w:ascii="Arial" w:cs="Arial" w:eastAsia="Arial" w:hAnsi="Arial"/>
                <w:sz w:val="18"/>
                <w:szCs w:val="18"/>
                <w:color w:val="auto"/>
                <w:w w:val="91"/>
              </w:rPr>
              <w:t>To elect eight directors each for a term expiring at the next annual meeting or until his successor has</w:t>
            </w:r>
          </w:p>
        </w:tc>
        <w:tc>
          <w:tcPr>
            <w:tcW w:w="160" w:type="dxa"/>
            <w:vAlign w:val="bottom"/>
          </w:tcPr>
          <w:p>
            <w:pPr>
              <w:spacing w:after="0"/>
              <w:rPr>
                <w:sz w:val="17"/>
                <w:szCs w:val="17"/>
                <w:color w:val="auto"/>
              </w:rPr>
            </w:pPr>
          </w:p>
        </w:tc>
        <w:tc>
          <w:tcPr>
            <w:tcW w:w="132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0"/>
              </w:rPr>
              <w:t>FOR each</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been duly elected and qualified.</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Nominee</w:t>
            </w:r>
          </w:p>
        </w:tc>
        <w:tc>
          <w:tcPr>
            <w:tcW w:w="0" w:type="dxa"/>
            <w:vAlign w:val="bottom"/>
          </w:tcPr>
          <w:p>
            <w:pPr>
              <w:spacing w:after="0"/>
              <w:rPr>
                <w:sz w:val="1"/>
                <w:szCs w:val="1"/>
                <w:color w:val="auto"/>
              </w:rPr>
            </w:pPr>
          </w:p>
        </w:tc>
      </w:tr>
      <w:tr>
        <w:trPr>
          <w:trHeight w:val="222"/>
        </w:trPr>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2.</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w w:val="92"/>
              </w:rPr>
              <w:t>To approve on a non-binding, advisory basis, the compensation of our named executive officers, as</w:t>
            </w:r>
          </w:p>
        </w:tc>
        <w:tc>
          <w:tcPr>
            <w:tcW w:w="1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w w:val="90"/>
              </w:rPr>
              <w:t>disclosed in this proxy statement pursuant to Item 402 of Regulation S-K, including the Compensation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Discussion and Analysis, compensation tables and narrative discussion below.</w:t>
            </w:r>
          </w:p>
        </w:tc>
        <w:tc>
          <w:tcPr>
            <w:tcW w:w="16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For the Option of</w:t>
            </w:r>
          </w:p>
        </w:tc>
        <w:tc>
          <w:tcPr>
            <w:tcW w:w="0" w:type="dxa"/>
            <w:vAlign w:val="bottom"/>
          </w:tcPr>
          <w:p>
            <w:pPr>
              <w:spacing w:after="0"/>
              <w:rPr>
                <w:sz w:val="1"/>
                <w:szCs w:val="1"/>
                <w:color w:val="auto"/>
              </w:rPr>
            </w:pPr>
          </w:p>
        </w:tc>
      </w:tr>
      <w:tr>
        <w:trPr>
          <w:trHeight w:val="210"/>
        </w:trPr>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3.</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To recommend the frequency of future advisory votes on executive compensation.</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Every 1 YEAR</w:t>
            </w:r>
          </w:p>
        </w:tc>
        <w:tc>
          <w:tcPr>
            <w:tcW w:w="0" w:type="dxa"/>
            <w:vAlign w:val="bottom"/>
          </w:tcPr>
          <w:p>
            <w:pPr>
              <w:spacing w:after="0"/>
              <w:rPr>
                <w:sz w:val="1"/>
                <w:szCs w:val="1"/>
                <w:color w:val="auto"/>
              </w:rPr>
            </w:pPr>
          </w:p>
        </w:tc>
      </w:tr>
    </w:tbl>
    <w:p>
      <w:pPr>
        <w:ind w:left="2620" w:hanging="330"/>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w:t>
      </w:r>
    </w:p>
    <w:p>
      <w:pPr>
        <w:spacing w:after="0" w:line="9" w:lineRule="exact"/>
        <w:rPr>
          <w:sz w:val="20"/>
          <w:szCs w:val="20"/>
          <w:color w:val="auto"/>
        </w:rPr>
      </w:pPr>
    </w:p>
    <w:p>
      <w:pPr>
        <w:ind w:left="2620"/>
        <w:spacing w:after="0"/>
        <w:tabs>
          <w:tab w:leader="none" w:pos="10560" w:val="left"/>
        </w:tabs>
        <w:rPr>
          <w:sz w:val="20"/>
          <w:szCs w:val="20"/>
          <w:color w:val="auto"/>
        </w:rPr>
      </w:pPr>
      <w:r>
        <w:rPr>
          <w:rFonts w:ascii="Arial" w:cs="Arial" w:eastAsia="Arial" w:hAnsi="Arial"/>
          <w:sz w:val="18"/>
          <w:szCs w:val="18"/>
          <w:color w:val="auto"/>
        </w:rPr>
        <w:t>certified public accounting firm for the 2017 fiscal year.</w:t>
      </w:r>
      <w:r>
        <w:rPr>
          <w:sz w:val="20"/>
          <w:szCs w:val="20"/>
          <w:color w:val="auto"/>
        </w:rPr>
        <w:tab/>
      </w:r>
      <w:r>
        <w:rPr>
          <w:rFonts w:ascii="Arial" w:cs="Arial" w:eastAsia="Arial" w:hAnsi="Arial"/>
          <w:sz w:val="16"/>
          <w:szCs w:val="16"/>
          <w:b w:val="1"/>
          <w:bCs w:val="1"/>
          <w:color w:val="auto"/>
        </w:rPr>
        <w:t>FOR</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 will also be asked to consider and act upon such other business as may properly come before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Who is entitled to vote at the Annual Meeting?</w:t>
      </w:r>
    </w:p>
    <w:p>
      <w:pPr>
        <w:spacing w:after="0" w:line="231"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Only holders of record of our common stock at the close of business on March 29, 2017, the record date for the Annual Meeting, are entitled to notice of, and to attend and vote at the Annual Meeting, or any postponements or adjournments of the meeting. At the close of business on the record date, 69,061,810 shares of our common stock were issued and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is the difference between a shareholder of record and a beneficial owner?</w:t>
      </w:r>
    </w:p>
    <w:p>
      <w:pPr>
        <w:spacing w:after="0" w:line="231"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If your shares are registered directly in your name with our transfer agent, Wells Fargo Shareowner Services, you are considered, with respect to those shares, the "shareholder of record."</w:t>
      </w:r>
    </w:p>
    <w:p>
      <w:pPr>
        <w:spacing w:after="0" w:line="186" w:lineRule="exact"/>
        <w:rPr>
          <w:sz w:val="20"/>
          <w:szCs w:val="20"/>
          <w:color w:val="auto"/>
        </w:rPr>
      </w:pPr>
    </w:p>
    <w:p>
      <w:pPr>
        <w:ind w:firstLine="615"/>
        <w:spacing w:after="0" w:line="252" w:lineRule="auto"/>
        <w:rPr>
          <w:sz w:val="20"/>
          <w:szCs w:val="20"/>
          <w:color w:val="auto"/>
        </w:rPr>
      </w:pPr>
      <w:r>
        <w:rPr>
          <w:rFonts w:ascii="Arial" w:cs="Arial" w:eastAsia="Arial" w:hAnsi="Arial"/>
          <w:sz w:val="18"/>
          <w:szCs w:val="18"/>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w:t>
      </w:r>
    </w:p>
    <w:p>
      <w:pPr>
        <w:spacing w:after="0" w:line="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Internet or, if you specifically request a copy of the printed materials, you may use the voting instruction card included in such materials.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are the voting rights of our shareholders?</w:t>
      </w:r>
    </w:p>
    <w:p>
      <w:pPr>
        <w:spacing w:after="0" w:line="231" w:lineRule="exact"/>
        <w:rPr>
          <w:sz w:val="20"/>
          <w:szCs w:val="20"/>
          <w:color w:val="auto"/>
        </w:rPr>
      </w:pPr>
    </w:p>
    <w:p>
      <w:pPr>
        <w:jc w:val="both"/>
        <w:ind w:right="120" w:firstLine="615"/>
        <w:spacing w:after="0" w:line="259" w:lineRule="auto"/>
        <w:rPr>
          <w:sz w:val="20"/>
          <w:szCs w:val="20"/>
          <w:color w:val="auto"/>
        </w:rPr>
      </w:pPr>
      <w:r>
        <w:rPr>
          <w:rFonts w:ascii="Arial" w:cs="Arial" w:eastAsia="Arial" w:hAnsi="Arial"/>
          <w:sz w:val="18"/>
          <w:szCs w:val="18"/>
          <w:color w:val="auto"/>
        </w:rPr>
        <w:t>Our shareholders have one vote per share of our common stock owned on the record date for each matter properly presented at the Annual Meeting. For example, if you owned 100 shares of our common stock at the close of business on March 29, 2017, you can cast 100 votes for each matter properly presented at the Annual Meeting. Holders of our common stock have no cumulative voting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constitutes a quorum?</w:t>
      </w:r>
    </w:p>
    <w:p>
      <w:pPr>
        <w:spacing w:after="0" w:line="231"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are "broker non-votes" and how are they treated?</w:t>
      </w:r>
    </w:p>
    <w:p>
      <w:pPr>
        <w:spacing w:after="0" w:line="231" w:lineRule="exact"/>
        <w:rPr>
          <w:sz w:val="20"/>
          <w:szCs w:val="20"/>
          <w:color w:val="auto"/>
        </w:rPr>
      </w:pPr>
    </w:p>
    <w:p>
      <w:pPr>
        <w:ind w:right="80" w:firstLine="605"/>
        <w:spacing w:after="0" w:line="255" w:lineRule="auto"/>
        <w:rPr>
          <w:sz w:val="20"/>
          <w:szCs w:val="20"/>
          <w:color w:val="auto"/>
        </w:rPr>
      </w:pPr>
      <w:r>
        <w:rPr>
          <w:rFonts w:ascii="Arial" w:cs="Arial" w:eastAsia="Arial" w:hAnsi="Arial"/>
          <w:sz w:val="18"/>
          <w:szCs w:val="18"/>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97"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The table below sets forth, for each proposal on the ballot, whether a broker can exercise discretion and vote your shares absent your instructions. If they cannot, such broker non-vote will not be counted as a vote cast and will therefore have no impact on the approval of the proposal.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Can Brokers Vote</w:t>
            </w: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Absent</w:t>
            </w:r>
          </w:p>
        </w:tc>
      </w:tr>
      <w:tr>
        <w:trPr>
          <w:trHeight w:val="229"/>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Instructions?</w:t>
            </w:r>
          </w:p>
        </w:tc>
      </w:tr>
      <w:tr>
        <w:trPr>
          <w:trHeight w:val="211"/>
        </w:trPr>
        <w:tc>
          <w:tcPr>
            <w:tcW w:w="20" w:type="dxa"/>
            <w:vAlign w:val="bottom"/>
          </w:tcPr>
          <w:p>
            <w:pPr>
              <w:spacing w:after="0"/>
              <w:rPr>
                <w:sz w:val="18"/>
                <w:szCs w:val="18"/>
                <w:color w:val="auto"/>
              </w:rPr>
            </w:pPr>
          </w:p>
        </w:tc>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Election of Directors</w:t>
            </w:r>
          </w:p>
        </w:tc>
        <w:tc>
          <w:tcPr>
            <w:tcW w:w="16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Non-Binding, Advisory Vote on Executive Compensation</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Non-Binding, Advisory Vote on the Frequency of Future Advisory Votes on Executive Compensation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22"/>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1" w:lineRule="exact"/>
        <w:rPr>
          <w:sz w:val="20"/>
          <w:szCs w:val="20"/>
          <w:color w:val="auto"/>
        </w:rPr>
      </w:pPr>
    </w:p>
    <w:p>
      <w:pPr>
        <w:jc w:val="both"/>
        <w:ind w:right="200" w:firstLine="615"/>
        <w:spacing w:after="0" w:line="284" w:lineRule="auto"/>
        <w:rPr>
          <w:sz w:val="20"/>
          <w:szCs w:val="20"/>
          <w:color w:val="auto"/>
        </w:rPr>
      </w:pPr>
      <w:r>
        <w:rPr>
          <w:rFonts w:ascii="Arial" w:cs="Arial" w:eastAsia="Arial" w:hAnsi="Arial"/>
          <w:sz w:val="16"/>
          <w:szCs w:val="16"/>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are abstentions treated?</w:t>
      </w:r>
    </w:p>
    <w:p>
      <w:pPr>
        <w:spacing w:after="0" w:line="231" w:lineRule="exact"/>
        <w:rPr>
          <w:sz w:val="20"/>
          <w:szCs w:val="20"/>
          <w:color w:val="auto"/>
        </w:rPr>
      </w:pPr>
    </w:p>
    <w:p>
      <w:pPr>
        <w:ind w:right="420" w:firstLine="605"/>
        <w:spacing w:after="0" w:line="332" w:lineRule="auto"/>
        <w:rPr>
          <w:sz w:val="20"/>
          <w:szCs w:val="20"/>
          <w:color w:val="auto"/>
        </w:rPr>
      </w:pPr>
      <w:r>
        <w:rPr>
          <w:rFonts w:ascii="Arial" w:cs="Arial" w:eastAsia="Arial" w:hAnsi="Arial"/>
          <w:sz w:val="16"/>
          <w:szCs w:val="16"/>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Will my shares be voted if I do not provide my proxy?</w:t>
      </w:r>
    </w:p>
    <w:p>
      <w:pPr>
        <w:spacing w:after="0" w:line="231"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do I vote?</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by Internet, Telephone or Mail</w:t>
      </w:r>
      <w:r>
        <w:rPr>
          <w:rFonts w:ascii="Arial" w:cs="Arial" w:eastAsia="Arial" w:hAnsi="Arial"/>
          <w:sz w:val="18"/>
          <w:szCs w:val="18"/>
          <w:color w:val="auto"/>
        </w:rPr>
        <w:t>:</w:t>
      </w:r>
    </w:p>
    <w:p>
      <w:pPr>
        <w:spacing w:after="0" w:line="225" w:lineRule="exact"/>
        <w:rPr>
          <w:sz w:val="20"/>
          <w:szCs w:val="20"/>
          <w:color w:val="auto"/>
        </w:rPr>
      </w:pPr>
    </w:p>
    <w:p>
      <w:pPr>
        <w:ind w:right="520" w:firstLine="608"/>
        <w:spacing w:after="0" w:line="268" w:lineRule="auto"/>
        <w:rPr>
          <w:sz w:val="20"/>
          <w:szCs w:val="20"/>
          <w:color w:val="auto"/>
        </w:rPr>
      </w:pPr>
      <w:r>
        <w:rPr>
          <w:rFonts w:ascii="Arial" w:cs="Arial" w:eastAsia="Arial" w:hAnsi="Arial"/>
          <w:sz w:val="18"/>
          <w:szCs w:val="18"/>
          <w:color w:val="auto"/>
        </w:rPr>
        <w:t>You can vote by proxy whether or not you attend the Annual Meeting. To vote by proxy, shareholders have a choice of voting over the Internet, by telephone or by using a traditional proxy card.</w:t>
      </w:r>
    </w:p>
    <w:p>
      <w:pPr>
        <w:spacing w:after="0" w:line="199" w:lineRule="exact"/>
        <w:rPr>
          <w:sz w:val="20"/>
          <w:szCs w:val="20"/>
          <w:color w:val="auto"/>
        </w:rPr>
      </w:pPr>
    </w:p>
    <w:p>
      <w:pPr>
        <w:ind w:left="1080" w:right="4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vote by Internet, go to www.proxyvote.com and follow the instructions there. You will need the 12-digit control number included on your proxy card, voter instruction form or Notice.</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vote by telephone, dial the number listed on your proxy card, your voter instruction form or Notice. You will need the 12-digit control number included on your proxy card, voter instruction form or Notice.</w:t>
      </w:r>
    </w:p>
    <w:p>
      <w:pPr>
        <w:spacing w:after="0" w:line="199"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Notice and wish to vote by traditional proxy card, you can request a full set of materials at no charge through one of the following methods: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2160" w:hanging="531"/>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Internet: by visiting www.proxyvote.com</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phone: by using the phone number listed on the Notice</w:t>
      </w:r>
    </w:p>
    <w:p>
      <w:pPr>
        <w:spacing w:after="0" w:line="225"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To reduce our administrative and postage costs, we ask that you vote through the Internet or by telephone, both of which are available 24 hours a day. To ensure that your vote is counted, please remember to submit your vote by 11:59 p.m. Eastern Time on Wednesday, May 24, 2017.</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in Person</w:t>
      </w:r>
      <w:r>
        <w:rPr>
          <w:rFonts w:ascii="Arial" w:cs="Arial" w:eastAsia="Arial" w:hAnsi="Arial"/>
          <w:sz w:val="18"/>
          <w:szCs w:val="18"/>
          <w:color w:val="auto"/>
        </w:rPr>
        <w: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your shares are registered in your name, you must bring a valid photo identification and deliver your completed proxy card or ballot in person.</w:t>
      </w:r>
    </w:p>
    <w:p>
      <w:pPr>
        <w:spacing w:after="0" w:line="248" w:lineRule="exact"/>
        <w:rPr>
          <w:sz w:val="20"/>
          <w:szCs w:val="20"/>
          <w:color w:val="auto"/>
        </w:rPr>
      </w:pPr>
    </w:p>
    <w:p>
      <w:pPr>
        <w:ind w:right="300" w:firstLine="615"/>
        <w:spacing w:after="0" w:line="332" w:lineRule="auto"/>
        <w:rPr>
          <w:sz w:val="20"/>
          <w:szCs w:val="20"/>
          <w:color w:val="auto"/>
        </w:rPr>
      </w:pPr>
      <w:r>
        <w:rPr>
          <w:rFonts w:ascii="Arial" w:cs="Arial" w:eastAsia="Arial" w:hAnsi="Arial"/>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3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vote is required for the proposals?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Proposal</w:t>
            </w:r>
          </w:p>
        </w:tc>
        <w:tc>
          <w:tcPr>
            <w:tcW w:w="16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Votes Needed</w:t>
            </w:r>
          </w:p>
        </w:tc>
      </w:tr>
      <w:tr>
        <w:trPr>
          <w:trHeight w:val="417"/>
        </w:trPr>
        <w:tc>
          <w:tcPr>
            <w:tcW w:w="1460" w:type="dxa"/>
            <w:vAlign w:val="bottom"/>
          </w:tcPr>
          <w:p>
            <w:pPr>
              <w:spacing w:after="0"/>
              <w:rPr>
                <w:sz w:val="20"/>
                <w:szCs w:val="20"/>
                <w:color w:val="auto"/>
              </w:rPr>
            </w:pPr>
            <w:r>
              <w:rPr>
                <w:rFonts w:ascii="Arial" w:cs="Arial" w:eastAsia="Arial" w:hAnsi="Arial"/>
                <w:sz w:val="18"/>
                <w:szCs w:val="18"/>
                <w:color w:val="auto"/>
              </w:rPr>
              <w:t>Election of</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1"/>
              </w:rPr>
              <w:t>The eight nominees for election as directors will be elected by a "plurality" of the votes cast at the Annual Meeting. This means that the</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3"/>
              </w:rPr>
              <w:t>eight nominees who receive the highest number of "FOR" votes will be elected as directors, even if those nominees do not receive a</w:t>
            </w:r>
          </w:p>
        </w:tc>
      </w:tr>
      <w:tr>
        <w:trPr>
          <w:trHeight w:val="216"/>
        </w:trPr>
        <w:tc>
          <w:tcPr>
            <w:tcW w:w="1460" w:type="dxa"/>
            <w:vAlign w:val="bottom"/>
          </w:tcPr>
          <w:p>
            <w:pPr>
              <w:spacing w:after="0"/>
              <w:rPr>
                <w:sz w:val="18"/>
                <w:szCs w:val="18"/>
                <w:color w:val="auto"/>
              </w:rPr>
            </w:pP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0"/>
              </w:rPr>
              <w:t>majority of the votes cast. Withhold votes will not be counted as votes cast either for or against the election of a director and will have no</w:t>
            </w:r>
          </w:p>
        </w:tc>
      </w:tr>
      <w:tr>
        <w:trPr>
          <w:trHeight w:val="216"/>
        </w:trPr>
        <w:tc>
          <w:tcPr>
            <w:tcW w:w="1460" w:type="dxa"/>
            <w:vAlign w:val="bottom"/>
          </w:tcPr>
          <w:p>
            <w:pPr>
              <w:spacing w:after="0"/>
              <w:rPr>
                <w:sz w:val="18"/>
                <w:szCs w:val="18"/>
                <w:color w:val="auto"/>
              </w:rPr>
            </w:pP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89"/>
              </w:rPr>
              <w:t>effect on the results of the election of directors, although they will be considered present for the purpose of determining the presence of a</w:t>
            </w:r>
          </w:p>
        </w:tc>
      </w:tr>
      <w:tr>
        <w:trPr>
          <w:trHeight w:val="222"/>
        </w:trPr>
        <w:tc>
          <w:tcPr>
            <w:tcW w:w="1460" w:type="dxa"/>
            <w:vAlign w:val="bottom"/>
          </w:tcPr>
          <w:p>
            <w:pPr>
              <w:spacing w:after="0"/>
              <w:rPr>
                <w:sz w:val="19"/>
                <w:szCs w:val="19"/>
                <w:color w:val="auto"/>
              </w:rPr>
            </w:pP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3"/>
              </w:rPr>
              <w:t>quorum. See page 8 of this proxy statement for additional information about our director resignation policy in uncontested elections.</w:t>
            </w:r>
          </w:p>
        </w:tc>
      </w:tr>
      <w:tr>
        <w:trPr>
          <w:trHeight w:val="426"/>
        </w:trPr>
        <w:tc>
          <w:tcPr>
            <w:tcW w:w="1460" w:type="dxa"/>
            <w:vAlign w:val="bottom"/>
          </w:tcPr>
          <w:p>
            <w:pPr>
              <w:spacing w:after="0"/>
              <w:rPr>
                <w:sz w:val="20"/>
                <w:szCs w:val="20"/>
                <w:color w:val="auto"/>
              </w:rPr>
            </w:pPr>
            <w:r>
              <w:rPr>
                <w:rFonts w:ascii="Arial" w:cs="Arial" w:eastAsia="Arial" w:hAnsi="Arial"/>
                <w:sz w:val="18"/>
                <w:szCs w:val="18"/>
                <w:color w:val="auto"/>
              </w:rPr>
              <w:t>Non-Binding,</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3"/>
              </w:rPr>
              <w:t>The affirmative vote of a majority of the votes cast on the proposal is required for the approval of the non-binding, advisory vote with</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2"/>
              </w:rPr>
              <w:t>Advisory Vote on</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respect to executive compensation.</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Executive</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22"/>
        </w:trPr>
        <w:tc>
          <w:tcPr>
            <w:tcW w:w="14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9800" w:type="dxa"/>
            <w:vAlign w:val="bottom"/>
          </w:tcPr>
          <w:p>
            <w:pPr>
              <w:spacing w:after="0"/>
              <w:rPr>
                <w:sz w:val="19"/>
                <w:szCs w:val="19"/>
                <w:color w:val="auto"/>
              </w:rPr>
            </w:pPr>
          </w:p>
        </w:tc>
      </w:tr>
      <w:tr>
        <w:trPr>
          <w:trHeight w:val="426"/>
        </w:trPr>
        <w:tc>
          <w:tcPr>
            <w:tcW w:w="1460" w:type="dxa"/>
            <w:vAlign w:val="bottom"/>
          </w:tcPr>
          <w:p>
            <w:pPr>
              <w:spacing w:after="0"/>
              <w:rPr>
                <w:sz w:val="20"/>
                <w:szCs w:val="20"/>
                <w:color w:val="auto"/>
              </w:rPr>
            </w:pPr>
            <w:r>
              <w:rPr>
                <w:rFonts w:ascii="Arial" w:cs="Arial" w:eastAsia="Arial" w:hAnsi="Arial"/>
                <w:sz w:val="18"/>
                <w:szCs w:val="18"/>
                <w:color w:val="auto"/>
              </w:rPr>
              <w:t>Non-Binding,</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89"/>
              </w:rPr>
              <w:t>The frequency (every one, two, or three years) receiving the highest number of votes will be deemed to be the choice of our shareholders</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2"/>
              </w:rPr>
              <w:t>Advisory Vote on</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with respect to the non-binding, advisory vote on the frequency of future advisory votes on executive compensation.</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3"/>
              </w:rPr>
              <w:t>the Frequency of</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9"/>
              </w:rPr>
              <w:t>Future Advisory</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Votes on</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Executive</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22"/>
        </w:trPr>
        <w:tc>
          <w:tcPr>
            <w:tcW w:w="14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9800" w:type="dxa"/>
            <w:vAlign w:val="bottom"/>
          </w:tcPr>
          <w:p>
            <w:pPr>
              <w:spacing w:after="0"/>
              <w:rPr>
                <w:sz w:val="19"/>
                <w:szCs w:val="19"/>
                <w:color w:val="auto"/>
              </w:rPr>
            </w:pPr>
          </w:p>
        </w:tc>
      </w:tr>
      <w:tr>
        <w:trPr>
          <w:trHeight w:val="426"/>
        </w:trPr>
        <w:tc>
          <w:tcPr>
            <w:tcW w:w="1460" w:type="dxa"/>
            <w:vAlign w:val="bottom"/>
          </w:tcPr>
          <w:p>
            <w:pPr>
              <w:spacing w:after="0"/>
              <w:rPr>
                <w:sz w:val="20"/>
                <w:szCs w:val="20"/>
                <w:color w:val="auto"/>
              </w:rPr>
            </w:pPr>
            <w:r>
              <w:rPr>
                <w:rFonts w:ascii="Arial" w:cs="Arial" w:eastAsia="Arial" w:hAnsi="Arial"/>
                <w:sz w:val="18"/>
                <w:szCs w:val="18"/>
                <w:color w:val="auto"/>
              </w:rPr>
              <w:t>Ratification of</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w w:val="94"/>
              </w:rPr>
              <w:t>The affirmative vote of a majority of the votes cast on the proposal is required for the ratification of the appointment of PwC as our</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Independent</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independent registered public accounting firm for the 2017 fiscal year.</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Registered</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Certified Public</w:t>
            </w:r>
          </w:p>
        </w:tc>
        <w:tc>
          <w:tcPr>
            <w:tcW w:w="16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22"/>
        </w:trPr>
        <w:tc>
          <w:tcPr>
            <w:tcW w:w="1460" w:type="dxa"/>
            <w:vAlign w:val="bottom"/>
          </w:tcPr>
          <w:p>
            <w:pPr>
              <w:ind w:left="180"/>
              <w:spacing w:after="0"/>
              <w:rPr>
                <w:sz w:val="20"/>
                <w:szCs w:val="20"/>
                <w:color w:val="auto"/>
              </w:rPr>
            </w:pPr>
            <w:r>
              <w:rPr>
                <w:rFonts w:ascii="Arial" w:cs="Arial" w:eastAsia="Arial" w:hAnsi="Arial"/>
                <w:sz w:val="18"/>
                <w:szCs w:val="18"/>
                <w:color w:val="auto"/>
                <w:w w:val="96"/>
              </w:rPr>
              <w:t>Accounting Firm</w:t>
            </w:r>
          </w:p>
        </w:tc>
        <w:tc>
          <w:tcPr>
            <w:tcW w:w="160" w:type="dxa"/>
            <w:vAlign w:val="bottom"/>
          </w:tcPr>
          <w:p>
            <w:pPr>
              <w:spacing w:after="0"/>
              <w:rPr>
                <w:sz w:val="19"/>
                <w:szCs w:val="19"/>
                <w:color w:val="auto"/>
              </w:rPr>
            </w:pPr>
          </w:p>
        </w:tc>
        <w:tc>
          <w:tcPr>
            <w:tcW w:w="980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will my proxy holder vote?</w:t>
      </w:r>
    </w:p>
    <w:p>
      <w:pPr>
        <w:spacing w:after="0" w:line="231"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enclosed proxy designates Michael J. Kasbar, our Chairman, President and Chief Executive Officer and Paul H. Stebbins,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that otherwise do not contain voting instructions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60" w:type="dxa"/>
            <w:vAlign w:val="bottom"/>
            <w:gridSpan w:val="3"/>
          </w:tcPr>
          <w:p>
            <w:pPr>
              <w:ind w:left="2300"/>
              <w:spacing w:after="0"/>
              <w:rPr>
                <w:sz w:val="20"/>
                <w:szCs w:val="20"/>
                <w:color w:val="auto"/>
              </w:rPr>
            </w:pPr>
            <w:r>
              <w:rPr>
                <w:rFonts w:ascii="Arial" w:cs="Arial" w:eastAsia="Arial" w:hAnsi="Arial"/>
                <w:sz w:val="18"/>
                <w:szCs w:val="18"/>
                <w:b w:val="1"/>
                <w:bCs w:val="1"/>
                <w:color w:val="auto"/>
              </w:rPr>
              <w:t>Proposal</w:t>
            </w:r>
          </w:p>
        </w:tc>
        <w:tc>
          <w:tcPr>
            <w:tcW w:w="2260" w:type="dxa"/>
            <w:vAlign w:val="bottom"/>
          </w:tcPr>
          <w:p>
            <w:pPr>
              <w:spacing w:after="0"/>
              <w:rPr>
                <w:sz w:val="19"/>
                <w:szCs w:val="19"/>
                <w:color w:val="auto"/>
              </w:rPr>
            </w:pPr>
          </w:p>
        </w:tc>
      </w:tr>
      <w:tr>
        <w:trPr>
          <w:trHeight w:val="211"/>
        </w:trPr>
        <w:tc>
          <w:tcPr>
            <w:tcW w:w="230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Election of Directors</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FOR each Director Nominee</w:t>
            </w:r>
          </w:p>
        </w:tc>
      </w:tr>
      <w:tr>
        <w:trPr>
          <w:trHeight w:val="216"/>
        </w:trPr>
        <w:tc>
          <w:tcPr>
            <w:tcW w:w="23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Non-Binding, Advisory Vote on Executive Compensation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02"/>
        </w:trPr>
        <w:tc>
          <w:tcPr>
            <w:tcW w:w="230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Non-Binding, Advisory Vote on the Frequency of Future Advisory Votes on Executive</w:t>
            </w:r>
          </w:p>
        </w:tc>
        <w:tc>
          <w:tcPr>
            <w:tcW w:w="2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89"/>
              </w:rPr>
              <w:t>For the Option of Every</w:t>
            </w:r>
          </w:p>
        </w:tc>
      </w:tr>
      <w:tr>
        <w:trPr>
          <w:trHeight w:val="230"/>
        </w:trPr>
        <w:tc>
          <w:tcPr>
            <w:tcW w:w="2300" w:type="dxa"/>
            <w:vAlign w:val="bottom"/>
          </w:tcPr>
          <w:p>
            <w:pPr>
              <w:spacing w:after="0"/>
              <w:rPr>
                <w:sz w:val="20"/>
                <w:szCs w:val="20"/>
                <w:color w:val="auto"/>
              </w:rPr>
            </w:pPr>
          </w:p>
        </w:tc>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 YEAR</w:t>
            </w:r>
          </w:p>
        </w:tc>
      </w:tr>
      <w:tr>
        <w:trPr>
          <w:trHeight w:val="228"/>
        </w:trPr>
        <w:tc>
          <w:tcPr>
            <w:tcW w:w="230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475"/>
        </w:trPr>
        <w:tc>
          <w:tcPr>
            <w:tcW w:w="2300" w:type="dxa"/>
            <w:vAlign w:val="bottom"/>
          </w:tcPr>
          <w:p>
            <w:pPr>
              <w:spacing w:after="0"/>
              <w:rPr>
                <w:sz w:val="24"/>
                <w:szCs w:val="24"/>
                <w:color w:val="auto"/>
              </w:rPr>
            </w:pPr>
          </w:p>
        </w:tc>
        <w:tc>
          <w:tcPr>
            <w:tcW w:w="6860" w:type="dxa"/>
            <w:vAlign w:val="bottom"/>
            <w:gridSpan w:val="2"/>
          </w:tcPr>
          <w:p>
            <w:pPr>
              <w:ind w:left="4320"/>
              <w:spacing w:after="0"/>
              <w:rPr>
                <w:sz w:val="20"/>
                <w:szCs w:val="20"/>
                <w:color w:val="auto"/>
              </w:rPr>
            </w:pPr>
            <w:r>
              <w:rPr>
                <w:rFonts w:ascii="Arial" w:cs="Arial" w:eastAsia="Arial" w:hAnsi="Arial"/>
                <w:sz w:val="18"/>
                <w:szCs w:val="18"/>
                <w:b w:val="1"/>
                <w:bCs w:val="1"/>
                <w:color w:val="0048E0"/>
                <w:w w:val="89"/>
              </w:rPr>
              <w:t>World Fuel Services Corporation</w:t>
            </w:r>
          </w:p>
        </w:tc>
        <w:tc>
          <w:tcPr>
            <w:tcW w:w="2260" w:type="dxa"/>
            <w:vAlign w:val="bottom"/>
          </w:tcPr>
          <w:p>
            <w:pPr>
              <w:ind w:left="180"/>
              <w:spacing w:after="0"/>
              <w:rPr>
                <w:sz w:val="20"/>
                <w:szCs w:val="20"/>
                <w:color w:val="auto"/>
              </w:rPr>
            </w:pPr>
            <w:r>
              <w:rPr>
                <w:rFonts w:ascii="Arial" w:cs="Arial" w:eastAsia="Arial" w:hAnsi="Arial"/>
                <w:sz w:val="36"/>
                <w:szCs w:val="36"/>
                <w:b w:val="1"/>
                <w:bCs w:val="1"/>
                <w:color w:val="auto"/>
                <w:w w:val="95"/>
                <w:vertAlign w:val="subscript"/>
              </w:rPr>
              <w:t>|</w:t>
            </w:r>
            <w:r>
              <w:rPr>
                <w:rFonts w:ascii="Arial" w:cs="Arial" w:eastAsia="Arial" w:hAnsi="Arial"/>
                <w:sz w:val="18"/>
                <w:szCs w:val="18"/>
                <w:color w:val="auto"/>
                <w:w w:val="95"/>
              </w:rPr>
              <w:t xml:space="preserve">  2017 Proxy Statement  5</w:t>
            </w:r>
          </w:p>
        </w:tc>
      </w:tr>
      <w:tr>
        <w:trPr>
          <w:trHeight w:val="171"/>
        </w:trPr>
        <w:tc>
          <w:tcPr>
            <w:tcW w:w="2300" w:type="dxa"/>
            <w:vAlign w:val="bottom"/>
            <w:tcBorders>
              <w:bottom w:val="single" w:sz="8" w:color="808080"/>
            </w:tcBorders>
          </w:tcPr>
          <w:p>
            <w:pPr>
              <w:spacing w:after="0"/>
              <w:rPr>
                <w:sz w:val="14"/>
                <w:szCs w:val="14"/>
                <w:color w:val="auto"/>
              </w:rPr>
            </w:pPr>
          </w:p>
        </w:tc>
        <w:tc>
          <w:tcPr>
            <w:tcW w:w="66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happens if additional matters are presented at the Annual Meeting?</w:t>
      </w:r>
    </w:p>
    <w:p>
      <w:pPr>
        <w:spacing w:after="0" w:line="23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Can I change my vote after I have voted?</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Annual Meeting. A shareholder may revoke a proxy, whether submitted via telephone, the Internet or mail, at any time prior to its exercise by (i) filing with our Corporate Secretary a duly executed revocation of proxy, (ii) properly submitting, either by telephone, mail or Internet, a proxy to our Corporate Secretary bearing a later date or (iii) appearing at the Annual Meeting and voting in person. Attendance at the meeting will not itself constitute revocation of a proxy.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If I plan to attend the Annual Meeting, should I still vote by proxy?</w:t>
      </w:r>
    </w:p>
    <w:p>
      <w:pPr>
        <w:spacing w:after="0" w:line="231" w:lineRule="exact"/>
        <w:rPr>
          <w:sz w:val="20"/>
          <w:szCs w:val="20"/>
          <w:color w:val="auto"/>
        </w:rPr>
      </w:pPr>
    </w:p>
    <w:p>
      <w:pPr>
        <w:ind w:right="240" w:firstLine="608"/>
        <w:spacing w:after="0" w:line="268" w:lineRule="auto"/>
        <w:rPr>
          <w:sz w:val="20"/>
          <w:szCs w:val="20"/>
          <w:color w:val="auto"/>
        </w:rPr>
      </w:pPr>
      <w:r>
        <w:rPr>
          <w:rFonts w:ascii="Arial" w:cs="Arial" w:eastAsia="Arial" w:hAnsi="Arial"/>
          <w:sz w:val="18"/>
          <w:szCs w:val="18"/>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do I need to bring with me in order to attend the Annual Meeting?</w:t>
      </w:r>
    </w:p>
    <w:p>
      <w:pPr>
        <w:spacing w:after="0" w:line="231" w:lineRule="exact"/>
        <w:rPr>
          <w:sz w:val="20"/>
          <w:szCs w:val="20"/>
          <w:color w:val="auto"/>
        </w:rPr>
      </w:pPr>
    </w:p>
    <w:p>
      <w:pPr>
        <w:ind w:right="1000" w:firstLine="615"/>
        <w:spacing w:after="0" w:line="332" w:lineRule="auto"/>
        <w:rPr>
          <w:sz w:val="20"/>
          <w:szCs w:val="20"/>
          <w:color w:val="auto"/>
        </w:rPr>
      </w:pPr>
      <w:r>
        <w:rPr>
          <w:rFonts w:ascii="Arial" w:cs="Arial" w:eastAsia="Arial" w:hAnsi="Arial"/>
          <w:sz w:val="16"/>
          <w:szCs w:val="16"/>
          <w:color w:val="auto"/>
        </w:rPr>
        <w:t>If you are a shareholder of record, you will need to bring with you to the Annual Meeting any proxy card that is sent to you and valid photo identification. Otherwise, you will be admitted only upon other verification of record ownership at the admission counter.</w:t>
      </w:r>
    </w:p>
    <w:p>
      <w:pPr>
        <w:spacing w:after="0" w:line="139"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 xml:space="preserve">If you are the beneficial owner of shares held in street name, bring with you to the Annual Meeting your most recent brokerage statement or a letter from your bank, broker, trustee, agent or other record holder indicating that you beneficially owned shares of our common stock on March 29, 2017 and valid photo identification. We can use that to verify your beneficial ownership of common stock and admit you to the Annual Meeting. </w:t>
      </w:r>
      <w:r>
        <w:rPr>
          <w:rFonts w:ascii="Arial" w:cs="Arial" w:eastAsia="Arial" w:hAnsi="Arial"/>
          <w:sz w:val="18"/>
          <w:szCs w:val="18"/>
          <w:i w:val="1"/>
          <w:iCs w:val="1"/>
          <w:color w:val="auto"/>
        </w:rPr>
        <w:t>If you intend to vote at the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you also will need to bring to the Annual Meeting a legal proxy from your bank, broker, trustee, agent or other holder of record that authorizes you to vote the shares that the record holder holds for you in its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Where can I find voting results of the Annual Meeting?</w:t>
      </w:r>
    </w:p>
    <w:p>
      <w:pPr>
        <w:spacing w:after="0" w:line="231" w:lineRule="exact"/>
        <w:rPr>
          <w:sz w:val="20"/>
          <w:szCs w:val="20"/>
          <w:color w:val="auto"/>
        </w:rPr>
      </w:pPr>
    </w:p>
    <w:p>
      <w:pPr>
        <w:ind w:right="260" w:firstLine="611"/>
        <w:spacing w:after="0" w:line="268" w:lineRule="auto"/>
        <w:rPr>
          <w:sz w:val="20"/>
          <w:szCs w:val="20"/>
          <w:color w:val="auto"/>
        </w:rPr>
      </w:pPr>
      <w:r>
        <w:rPr>
          <w:rFonts w:ascii="Arial" w:cs="Arial" w:eastAsia="Arial" w:hAnsi="Arial"/>
          <w:sz w:val="18"/>
          <w:szCs w:val="18"/>
          <w:color w:val="auto"/>
        </w:rPr>
        <w:t>We will announce the results for the proposals voted upon at the Annual Meeting and publish final detailed voting results in a Form 8-K filed with the SEC within four business days after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can I nominate directors at an Annual Meeting?</w:t>
      </w:r>
    </w:p>
    <w:p>
      <w:pPr>
        <w:spacing w:after="0" w:line="231" w:lineRule="exact"/>
        <w:rPr>
          <w:sz w:val="20"/>
          <w:szCs w:val="20"/>
          <w:color w:val="auto"/>
        </w:rPr>
      </w:pPr>
    </w:p>
    <w:p>
      <w:pPr>
        <w:ind w:right="60" w:firstLine="615"/>
        <w:spacing w:after="0" w:line="283" w:lineRule="auto"/>
        <w:rPr>
          <w:sz w:val="20"/>
          <w:szCs w:val="20"/>
          <w:color w:val="auto"/>
        </w:rPr>
      </w:pPr>
      <w:r>
        <w:rPr>
          <w:rFonts w:ascii="Arial" w:cs="Arial" w:eastAsia="Arial" w:hAnsi="Arial"/>
          <w:sz w:val="16"/>
          <w:szCs w:val="16"/>
          <w:color w:val="auto"/>
        </w:rPr>
        <w:t>Our By-Laws provide that a shareholder wishing to nominate a director at a shareholders' meeting must deliver written notice to our Corporate Secretary that meets the procedural and disclosure requirements set forth in our By-Laws,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w:t>
      </w:r>
    </w:p>
    <w:p>
      <w:pPr>
        <w:spacing w:after="0" w:line="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was the deadline to nominate a director for the Annual Meeting?</w:t>
      </w:r>
    </w:p>
    <w:p>
      <w:pPr>
        <w:spacing w:after="0" w:line="231" w:lineRule="exact"/>
        <w:rPr>
          <w:sz w:val="20"/>
          <w:szCs w:val="20"/>
          <w:color w:val="auto"/>
        </w:rPr>
      </w:pPr>
    </w:p>
    <w:p>
      <w:pPr>
        <w:ind w:right="160" w:firstLine="605"/>
        <w:spacing w:after="0" w:line="298" w:lineRule="auto"/>
        <w:rPr>
          <w:sz w:val="20"/>
          <w:szCs w:val="20"/>
          <w:color w:val="auto"/>
        </w:rPr>
      </w:pPr>
      <w:r>
        <w:rPr>
          <w:rFonts w:ascii="Arial" w:cs="Arial" w:eastAsia="Arial" w:hAnsi="Arial"/>
          <w:sz w:val="16"/>
          <w:szCs w:val="16"/>
          <w:color w:val="auto"/>
        </w:rPr>
        <w:t>According to the advance notice provisions contained in our By-Laws, any shareholder who intended to nominate a director at the Annual Meeting was required to deliver a notice to our Corporate Secretary at World Fuel Services Corporation, 9800 Northwest 41st Street, Miami, FL 33178 not less than 90 days (February 27, 2017) nor more than 120 days (January 26, 2017) prior to the anniversary date of the 2016 annual meeting of shareholders (May 26, 2017). A nomination not made in accordance with the procedures set forth in our By-Laws is void.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Who should I call with other questions?</w:t>
      </w:r>
    </w:p>
    <w:p>
      <w:pPr>
        <w:spacing w:after="0" w:line="231" w:lineRule="exact"/>
        <w:rPr>
          <w:sz w:val="20"/>
          <w:szCs w:val="20"/>
          <w:color w:val="auto"/>
        </w:rPr>
      </w:pPr>
    </w:p>
    <w:p>
      <w:pPr>
        <w:ind w:right="140" w:firstLine="615"/>
        <w:spacing w:after="0" w:line="253" w:lineRule="auto"/>
        <w:rPr>
          <w:sz w:val="20"/>
          <w:szCs w:val="20"/>
          <w:color w:val="auto"/>
        </w:rPr>
      </w:pPr>
      <w:r>
        <w:rPr>
          <w:rFonts w:ascii="Arial" w:cs="Arial" w:eastAsia="Arial" w:hAnsi="Arial"/>
          <w:sz w:val="18"/>
          <w:szCs w:val="18"/>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 (305) 428-8000.</w:t>
      </w: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0048E0"/>
        </w:rPr>
      </w:pPr>
      <w:r>
        <w:rPr>
          <w:rFonts w:ascii="Arial" w:cs="Arial" w:eastAsia="Arial" w:hAnsi="Arial"/>
          <w:sz w:val="18"/>
          <w:szCs w:val="18"/>
          <w:b w:val="1"/>
          <w:bCs w:val="1"/>
          <w:color w:val="0048E0"/>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Eight individuals have been nominated to serve as our directors for the ensuing year and until their successors shall have been duly elected and qualified.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All of such persons are presently directors. One individual who is presently serving as a director, Mr. Myles Klein, will not be seeking another term.</w:t>
      </w:r>
    </w:p>
    <w:p>
      <w:pPr>
        <w:spacing w:after="0" w:line="242"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In accordance with our By-Laws, the Board may consist of four to ten directors, and the Board may increase or decrease the number of directors by amending our By-Laws. The Board presently consists of nine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31" w:lineRule="exact"/>
        <w:rPr>
          <w:sz w:val="20"/>
          <w:szCs w:val="20"/>
          <w:color w:val="auto"/>
        </w:rPr>
      </w:pPr>
    </w:p>
    <w:p>
      <w:pPr>
        <w:ind w:right="40" w:firstLine="611"/>
        <w:spacing w:after="0" w:line="287" w:lineRule="auto"/>
        <w:rPr>
          <w:sz w:val="20"/>
          <w:szCs w:val="20"/>
          <w:color w:val="auto"/>
        </w:rPr>
      </w:pPr>
      <w:r>
        <w:rPr>
          <w:rFonts w:ascii="Arial" w:cs="Arial" w:eastAsia="Arial" w:hAnsi="Arial"/>
          <w:sz w:val="16"/>
          <w:szCs w:val="16"/>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 Our website and information contained on our website are not part of this proxy statement and are not incorporated by reference in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believe that each of our nominees possesses the experience, skills and qualities to fully perform his duties as a director and to contribute to our success. In addition, each of our nominees is being nominated because they each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and qualities. For an additional discussion of the nomination process, see "The Governance Committee and Nominating Subcommittee" beginning on page 19 of this proxy statement.</w:t>
      </w:r>
    </w:p>
    <w:p>
      <w:pPr>
        <w:spacing w:after="0" w:line="170" w:lineRule="exact"/>
        <w:rPr>
          <w:sz w:val="20"/>
          <w:szCs w:val="20"/>
          <w:color w:val="auto"/>
        </w:rPr>
      </w:pPr>
    </w:p>
    <w:p>
      <w:pPr>
        <w:jc w:val="both"/>
        <w:ind w:right="240" w:firstLine="611"/>
        <w:spacing w:after="0" w:line="284"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The biographies of each of the nominees and directors contain information regarding the individual's service as a director, business experience, director positions held currently or within the last five years, and the experience, qualifications, attributes or skills that led to the conclusion that the individual should serve as a director of the Company.</w:t>
      </w:r>
    </w:p>
    <w:p>
      <w:pPr>
        <w:spacing w:after="0" w:line="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440" w:type="dxa"/>
            <w:vAlign w:val="bottom"/>
          </w:tcPr>
          <w:p>
            <w:pPr>
              <w:spacing w:after="0"/>
              <w:rPr>
                <w:sz w:val="17"/>
                <w:szCs w:val="17"/>
                <w:color w:val="auto"/>
              </w:rPr>
            </w:pPr>
          </w:p>
        </w:tc>
        <w:tc>
          <w:tcPr>
            <w:tcW w:w="9660" w:type="dxa"/>
            <w:vAlign w:val="bottom"/>
          </w:tcPr>
          <w:p>
            <w:pPr>
              <w:spacing w:after="0"/>
              <w:rPr>
                <w:sz w:val="17"/>
                <w:szCs w:val="17"/>
                <w:color w:val="auto"/>
              </w:rPr>
            </w:pPr>
          </w:p>
        </w:tc>
      </w:tr>
      <w:tr>
        <w:trPr>
          <w:trHeight w:val="438"/>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MICHAEL J.</w:t>
            </w:r>
          </w:p>
        </w:tc>
        <w:tc>
          <w:tcPr>
            <w:tcW w:w="96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KASBAR</w:t>
            </w:r>
          </w:p>
        </w:tc>
        <w:tc>
          <w:tcPr>
            <w:tcW w:w="96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tcPr>
          <w:p>
            <w:pPr>
              <w:spacing w:after="0" w:line="203" w:lineRule="exact"/>
              <w:rPr>
                <w:sz w:val="20"/>
                <w:szCs w:val="20"/>
                <w:color w:val="auto"/>
              </w:rPr>
            </w:pPr>
            <w:r>
              <w:rPr>
                <w:rFonts w:ascii="Arial" w:cs="Arial" w:eastAsia="Arial" w:hAnsi="Arial"/>
                <w:sz w:val="18"/>
                <w:szCs w:val="18"/>
                <w:b w:val="1"/>
                <w:bCs w:val="1"/>
                <w:i w:val="1"/>
                <w:iCs w:val="1"/>
                <w:color w:val="auto"/>
                <w:w w:val="94"/>
              </w:rPr>
              <w:t>Chairman, President</w:t>
            </w:r>
          </w:p>
        </w:tc>
        <w:tc>
          <w:tcPr>
            <w:tcW w:w="9660" w:type="dxa"/>
            <w:vAlign w:val="bottom"/>
          </w:tcPr>
          <w:p>
            <w:pPr>
              <w:ind w:left="180"/>
              <w:spacing w:after="0" w:line="203" w:lineRule="exact"/>
              <w:rPr>
                <w:sz w:val="20"/>
                <w:szCs w:val="20"/>
                <w:color w:val="auto"/>
              </w:rPr>
            </w:pPr>
            <w:r>
              <w:rPr>
                <w:rFonts w:ascii="Arial" w:cs="Arial" w:eastAsia="Arial" w:hAnsi="Arial"/>
                <w:sz w:val="18"/>
                <w:szCs w:val="18"/>
                <w:color w:val="auto"/>
                <w:w w:val="91"/>
              </w:rPr>
              <w:t>Mr. Kasbar has served as Chairman of the Board since May 2014 and has served as President and Chief Executive Officer of the</w:t>
            </w:r>
          </w:p>
        </w:tc>
      </w:tr>
      <w:tr>
        <w:trPr>
          <w:trHeight w:val="216"/>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87"/>
              </w:rPr>
              <w:t>and Chief Executive</w:t>
            </w:r>
          </w:p>
        </w:tc>
        <w:tc>
          <w:tcPr>
            <w:tcW w:w="9660" w:type="dxa"/>
            <w:vAlign w:val="bottom"/>
          </w:tcPr>
          <w:p>
            <w:pPr>
              <w:ind w:left="180"/>
              <w:spacing w:after="0"/>
              <w:rPr>
                <w:sz w:val="20"/>
                <w:szCs w:val="20"/>
                <w:color w:val="auto"/>
              </w:rPr>
            </w:pPr>
            <w:r>
              <w:rPr>
                <w:rFonts w:ascii="Arial" w:cs="Arial" w:eastAsia="Arial" w:hAnsi="Arial"/>
                <w:sz w:val="18"/>
                <w:szCs w:val="18"/>
                <w:color w:val="auto"/>
                <w:w w:val="87"/>
              </w:rPr>
              <w:t>Company since January 2012. From July 2002 to December 2011, he served as President and Chief Operating Officer of the Company.</w:t>
            </w:r>
          </w:p>
        </w:tc>
      </w:tr>
      <w:tr>
        <w:trPr>
          <w:trHeight w:val="210"/>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Officer</w:t>
            </w:r>
          </w:p>
        </w:tc>
        <w:tc>
          <w:tcPr>
            <w:tcW w:w="9660" w:type="dxa"/>
            <w:vAlign w:val="bottom"/>
          </w:tcPr>
          <w:p>
            <w:pPr>
              <w:ind w:left="180"/>
              <w:spacing w:after="0"/>
              <w:rPr>
                <w:sz w:val="20"/>
                <w:szCs w:val="20"/>
                <w:color w:val="auto"/>
              </w:rPr>
            </w:pPr>
            <w:r>
              <w:rPr>
                <w:rFonts w:ascii="Arial" w:cs="Arial" w:eastAsia="Arial" w:hAnsi="Arial"/>
                <w:sz w:val="18"/>
                <w:szCs w:val="18"/>
                <w:color w:val="auto"/>
                <w:w w:val="92"/>
              </w:rPr>
              <w:t>From January 1995 to July 2002, he served as Chief Executive Officer of World Fuel Services Americas, Inc. (formerly Trans-Tec</w:t>
            </w:r>
          </w:p>
        </w:tc>
      </w:tr>
      <w:tr>
        <w:trPr>
          <w:trHeight w:val="216"/>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 60</w:t>
            </w:r>
          </w:p>
        </w:tc>
        <w:tc>
          <w:tcPr>
            <w:tcW w:w="9660" w:type="dxa"/>
            <w:vAlign w:val="bottom"/>
          </w:tcPr>
          <w:p>
            <w:pPr>
              <w:ind w:left="180"/>
              <w:spacing w:after="0"/>
              <w:rPr>
                <w:sz w:val="20"/>
                <w:szCs w:val="20"/>
                <w:color w:val="auto"/>
              </w:rPr>
            </w:pPr>
            <w:r>
              <w:rPr>
                <w:rFonts w:ascii="Arial" w:cs="Arial" w:eastAsia="Arial" w:hAnsi="Arial"/>
                <w:sz w:val="18"/>
                <w:szCs w:val="18"/>
                <w:color w:val="auto"/>
                <w:w w:val="89"/>
              </w:rPr>
              <w:t>Services, Inc.), at the time our principal subsidiary engaged in the marine fuel services business. From September 1985 to December</w:t>
            </w:r>
          </w:p>
        </w:tc>
      </w:tr>
      <w:tr>
        <w:trPr>
          <w:trHeight w:val="216"/>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Director Since:</w:t>
            </w:r>
          </w:p>
        </w:tc>
        <w:tc>
          <w:tcPr>
            <w:tcW w:w="9660" w:type="dxa"/>
            <w:vAlign w:val="bottom"/>
          </w:tcPr>
          <w:p>
            <w:pPr>
              <w:ind w:left="180"/>
              <w:spacing w:after="0"/>
              <w:rPr>
                <w:sz w:val="20"/>
                <w:szCs w:val="20"/>
                <w:color w:val="auto"/>
              </w:rPr>
            </w:pPr>
            <w:r>
              <w:rPr>
                <w:rFonts w:ascii="Arial" w:cs="Arial" w:eastAsia="Arial" w:hAnsi="Arial"/>
                <w:sz w:val="18"/>
                <w:szCs w:val="18"/>
                <w:color w:val="auto"/>
                <w:w w:val="89"/>
              </w:rPr>
              <w:t>1994, Mr. Kasbar was an officer, shareholder and director of Trans-Tec Services, Inc., a global marine fuel services company, and its</w:t>
            </w:r>
          </w:p>
        </w:tc>
      </w:tr>
      <w:tr>
        <w:trPr>
          <w:trHeight w:val="222"/>
        </w:trPr>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1995</w:t>
            </w:r>
          </w:p>
        </w:tc>
        <w:tc>
          <w:tcPr>
            <w:tcW w:w="440" w:type="dxa"/>
            <w:vAlign w:val="bottom"/>
          </w:tcPr>
          <w:p>
            <w:pPr>
              <w:spacing w:after="0"/>
              <w:rPr>
                <w:sz w:val="19"/>
                <w:szCs w:val="19"/>
                <w:color w:val="auto"/>
              </w:rPr>
            </w:pPr>
          </w:p>
        </w:tc>
        <w:tc>
          <w:tcPr>
            <w:tcW w:w="9660" w:type="dxa"/>
            <w:vAlign w:val="bottom"/>
          </w:tcPr>
          <w:p>
            <w:pPr>
              <w:ind w:left="180"/>
              <w:spacing w:after="0"/>
              <w:rPr>
                <w:sz w:val="20"/>
                <w:szCs w:val="20"/>
                <w:color w:val="auto"/>
              </w:rPr>
            </w:pPr>
            <w:r>
              <w:rPr>
                <w:rFonts w:ascii="Arial" w:cs="Arial" w:eastAsia="Arial" w:hAnsi="Arial"/>
                <w:sz w:val="18"/>
                <w:szCs w:val="18"/>
                <w:color w:val="auto"/>
                <w:w w:val="92"/>
              </w:rPr>
              <w:t>affiliated companies. Mr. Kasbar co-founded Trans-Tec Services, Inc. in 1985 and has extensive executive experience in the fuel</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80"/>
              <w:spacing w:after="0"/>
              <w:rPr>
                <w:sz w:val="20"/>
                <w:szCs w:val="20"/>
                <w:color w:val="auto"/>
              </w:rPr>
            </w:pPr>
            <w:r>
              <w:rPr>
                <w:rFonts w:ascii="Arial" w:cs="Arial" w:eastAsia="Arial" w:hAnsi="Arial"/>
                <w:sz w:val="18"/>
                <w:szCs w:val="18"/>
                <w:color w:val="auto"/>
                <w:w w:val="91"/>
              </w:rPr>
              <w:t>services business. Mr. Kasbar is also a member of the Business Roundtable. Mr. Kasbar is the first cousin of Richard A. Kassar, a</w:t>
            </w: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tcPr>
          <w:p>
            <w:pPr>
              <w:ind w:left="180"/>
              <w:spacing w:after="0"/>
              <w:rPr>
                <w:sz w:val="20"/>
                <w:szCs w:val="20"/>
                <w:color w:val="auto"/>
              </w:rPr>
            </w:pPr>
            <w:r>
              <w:rPr>
                <w:rFonts w:ascii="Arial" w:cs="Arial" w:eastAsia="Arial" w:hAnsi="Arial"/>
                <w:sz w:val="18"/>
                <w:szCs w:val="18"/>
                <w:color w:val="auto"/>
              </w:rPr>
              <w:t>director of the Company.</w:t>
            </w:r>
          </w:p>
        </w:tc>
      </w:tr>
      <w:tr>
        <w:trPr>
          <w:trHeight w:val="35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180"/>
              <w:spacing w:after="0"/>
              <w:rPr>
                <w:sz w:val="20"/>
                <w:szCs w:val="20"/>
                <w:color w:val="auto"/>
              </w:rPr>
            </w:pPr>
            <w:r>
              <w:rPr>
                <w:rFonts w:ascii="Arial" w:cs="Arial" w:eastAsia="Arial" w:hAnsi="Arial"/>
                <w:sz w:val="18"/>
                <w:szCs w:val="18"/>
                <w:i w:val="1"/>
                <w:iCs w:val="1"/>
                <w:color w:val="auto"/>
                <w:w w:val="93"/>
              </w:rPr>
              <w:t>Mr. Kasbar brings to the Board a unique understanding of our strategies and operations through over 20 years of service to our</w:t>
            </w:r>
          </w:p>
        </w:tc>
      </w:tr>
      <w:tr>
        <w:trPr>
          <w:trHeight w:val="223"/>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60" w:type="dxa"/>
            <w:vAlign w:val="bottom"/>
          </w:tcPr>
          <w:p>
            <w:pPr>
              <w:ind w:left="180"/>
              <w:spacing w:after="0"/>
              <w:rPr>
                <w:sz w:val="20"/>
                <w:szCs w:val="20"/>
                <w:color w:val="auto"/>
              </w:rPr>
            </w:pPr>
            <w:r>
              <w:rPr>
                <w:rFonts w:ascii="Arial" w:cs="Arial" w:eastAsia="Arial" w:hAnsi="Arial"/>
                <w:sz w:val="18"/>
                <w:szCs w:val="18"/>
                <w:i w:val="1"/>
                <w:iCs w:val="1"/>
                <w:color w:val="auto"/>
              </w:rPr>
              <w:t>Company and 30 years of experience in the fuel services business.</w:t>
            </w:r>
          </w:p>
        </w:tc>
      </w:tr>
    </w:tbl>
    <w:p>
      <w:pPr>
        <w:spacing w:after="0" w:line="148"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rPr>
          <w:sz w:val="20"/>
          <w:szCs w:val="20"/>
          <w:color w:val="auto"/>
        </w:rPr>
      </w:pPr>
      <w:r>
        <w:rPr>
          <w:rFonts w:ascii="Arial" w:cs="Arial" w:eastAsia="Arial" w:hAnsi="Arial"/>
          <w:sz w:val="18"/>
          <w:szCs w:val="18"/>
          <w:b w:val="1"/>
          <w:bCs w:val="1"/>
          <w:color w:val="auto"/>
        </w:rPr>
        <w:t>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0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700" w:hanging="332"/>
        <w:spacing w:after="0" w:line="361"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Compensation (Chairman)</w:t>
      </w:r>
    </w:p>
    <w:p>
      <w:pPr>
        <w:spacing w:after="0" w:line="123" w:lineRule="exact"/>
        <w:rPr>
          <w:rFonts w:ascii="Arial" w:cs="Arial" w:eastAsia="Arial" w:hAnsi="Arial"/>
          <w:sz w:val="15"/>
          <w:szCs w:val="15"/>
          <w:color w:val="auto"/>
        </w:rPr>
      </w:pPr>
    </w:p>
    <w:p>
      <w:pPr>
        <w:ind w:left="700" w:hanging="332"/>
        <w:spacing w:after="0" w:line="335"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Nominating Subcommittee (Chairman)</w:t>
      </w:r>
    </w:p>
    <w:p>
      <w:pPr>
        <w:spacing w:after="0" w:line="142" w:lineRule="exact"/>
        <w:rPr>
          <w:rFonts w:ascii="Arial" w:cs="Arial" w:eastAsia="Arial" w:hAnsi="Arial"/>
          <w:sz w:val="15"/>
          <w:szCs w:val="15"/>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25" w:lineRule="exact"/>
        <w:rPr>
          <w:rFonts w:ascii="Arial" w:cs="Arial" w:eastAsia="Arial" w:hAnsi="Arial"/>
          <w:sz w:val="18"/>
          <w:szCs w:val="18"/>
          <w:color w:val="auto"/>
        </w:rPr>
      </w:pPr>
    </w:p>
    <w:p>
      <w:pPr>
        <w:ind w:left="700" w:right="180" w:hanging="332"/>
        <w:spacing w:after="0" w:line="335"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080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Mr. Bakshi has served as a director of the Company since 2002. Since June 2003, Mr. Bakshi has also been managing partner of Trishul Capital Group LLC and Trishul Advisory Group LLC, two privately-owned equity investment and consulting companies. From July 2013 to June 2015, Mr. Bakshi served as Executive Chairman of the board of directors of Amala Inc., a skin care products company. Prior to that, from April 2008 to July 2013, he was Chairman of the board of directors and Chief Executive Officer of Amala Inc.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with American Home Products Corp. and American Cyanamid Company, which was acquired by American Home Products Corp. in 1994.</w:t>
      </w:r>
    </w:p>
    <w:p>
      <w:pPr>
        <w:spacing w:after="0" w:line="163"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i w:val="1"/>
          <w:iCs w:val="1"/>
          <w:color w:val="auto"/>
        </w:rPr>
        <w:t>Mr. Bakshi brings to the Board extensive experience in private equity investments, management consulting and technology and significant executive experience running operating units within large multinational publicly-traded corporations.</w:t>
      </w: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147955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700" w:space="180"/>
            <w:col w:w="9540"/>
          </w:cols>
          <w:pgMar w:left="240" w:top="108"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JORGE L. BENITEZ</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18" w:lineRule="exact"/>
        <w:rPr>
          <w:rFonts w:ascii="Arial" w:cs="Arial" w:eastAsia="Arial" w:hAnsi="Arial"/>
          <w:sz w:val="18"/>
          <w:szCs w:val="18"/>
          <w:color w:val="auto"/>
        </w:rPr>
      </w:pPr>
    </w:p>
    <w:p>
      <w:pPr>
        <w:ind w:left="700" w:right="180" w:hanging="332"/>
        <w:spacing w:after="0" w:line="323" w:lineRule="auto"/>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Technology and Operations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080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80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w:t>
      </w:r>
    </w:p>
    <w:p>
      <w:pPr>
        <w:spacing w:after="0" w:line="218"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Compensation</w:t>
      </w:r>
    </w:p>
    <w:p>
      <w:pPr>
        <w:spacing w:after="0" w:line="259" w:lineRule="exact"/>
        <w:rPr>
          <w:rFonts w:ascii="Arial" w:cs="Arial" w:eastAsia="Arial" w:hAnsi="Arial"/>
          <w:sz w:val="15"/>
          <w:szCs w:val="15"/>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25" w:lineRule="exact"/>
        <w:rPr>
          <w:rFonts w:ascii="Arial" w:cs="Arial" w:eastAsia="Arial" w:hAnsi="Arial"/>
          <w:sz w:val="18"/>
          <w:szCs w:val="18"/>
          <w:color w:val="auto"/>
        </w:rPr>
      </w:pPr>
    </w:p>
    <w:p>
      <w:pPr>
        <w:ind w:left="700" w:right="180" w:hanging="332"/>
        <w:spacing w:after="0" w:line="335" w:lineRule="auto"/>
        <w:tabs>
          <w:tab w:leader="none" w:pos="7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1080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Mr. Benitez has served as a director of the Company since January 2015. Mr. Benitez retired from Accenture plc in September 2014 after more than 33 years of service, the last three years of which Mr. Benitez served as Chief Executive Officer of North America, where he had primary responsibility for Accenture's business and operations in North America. From September 2006 to August 2011, Mr. Benitez served as Chief Operating Officer, Products Operating Group, the largest of Accenture's five operating groups, where he was responsible for executing the business strategy and ensuring operational excellence across a wide set of consumer industry groups, including: automotive; air, freight and travel services; industrial equipment; and infrastructure and transportation services. Prior to that, Mr. Benitez held various senior leadership roles and other positions since joining Accenture in 1981. Mr. Benitez now serves as a director and member of the risk and compliance committee of Fifth Third Bancorp, a NASDAQ company.</w:t>
      </w:r>
    </w:p>
    <w:p>
      <w:pPr>
        <w:spacing w:after="0" w:line="17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publicly-traded corporation.</w:t>
      </w:r>
    </w:p>
    <w:p>
      <w:pPr>
        <w:spacing w:after="0" w:line="200" w:lineRule="exact"/>
        <w:rPr>
          <w:sz w:val="20"/>
          <w:szCs w:val="20"/>
          <w:color w:val="auto"/>
        </w:rPr>
      </w:pPr>
    </w:p>
    <w:p>
      <w:pPr>
        <w:spacing w:after="0" w:line="3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Mr. Kassar has served as a director of the Company since 2002. Mr. Kassar is the Chief Financial Officer of Freshpet Company, a NASDAQ company [FRPT] since July 2014 and is currently a principal of Go7Brands, LLC, a brand management company, where he also serves as Senior Vice-President and Chief Financial Officer. Previously, Mr. Kassar had served as President of Freshpet Company from January 2011 to July 2014 and as Chief Executive Officer from October 2006 to December 2010.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which was sold in October 2011. Until March 2010, Mr. Kassar also served as a director, member of the compensation committee and chairman of the audit committee of Velocity Express, Inc., a NASDAQ company until August 2009, which was sold in November 2009. Mr. Kassar is the first cousin of Michael J. Kasbar, our Chairman, President and Chief Executive Officer.</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Mr. Kassar brings to the Board his extensive executive experience in brand management, consumer products and corporate finance and has significant experience as a senior finance executive.</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147955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700" w:space="180"/>
            <w:col w:w="9540"/>
          </w:cols>
          <w:pgMar w:left="240" w:top="13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440" w:type="dxa"/>
            <w:vAlign w:val="bottom"/>
          </w:tcPr>
          <w:p>
            <w:pPr>
              <w:spacing w:after="0"/>
              <w:rPr>
                <w:sz w:val="17"/>
                <w:szCs w:val="17"/>
                <w:color w:val="auto"/>
              </w:rPr>
            </w:pPr>
          </w:p>
        </w:tc>
        <w:tc>
          <w:tcPr>
            <w:tcW w:w="9720" w:type="dxa"/>
            <w:vAlign w:val="bottom"/>
          </w:tcPr>
          <w:p>
            <w:pPr>
              <w:spacing w:after="0"/>
              <w:rPr>
                <w:sz w:val="17"/>
                <w:szCs w:val="17"/>
                <w:color w:val="auto"/>
              </w:rPr>
            </w:pPr>
          </w:p>
        </w:tc>
      </w:tr>
      <w:tr>
        <w:trPr>
          <w:trHeight w:val="451"/>
        </w:trPr>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JOHN L. MANLEY</w:t>
            </w:r>
          </w:p>
        </w:tc>
        <w:tc>
          <w:tcPr>
            <w:tcW w:w="9720" w:type="dxa"/>
            <w:vAlign w:val="bottom"/>
          </w:tcPr>
          <w:p>
            <w:pPr>
              <w:spacing w:after="0"/>
              <w:rPr>
                <w:sz w:val="24"/>
                <w:szCs w:val="24"/>
                <w:color w:val="auto"/>
              </w:rPr>
            </w:pPr>
          </w:p>
        </w:tc>
      </w:tr>
      <w:tr>
        <w:trPr>
          <w:trHeight w:val="197"/>
        </w:trPr>
        <w:tc>
          <w:tcPr>
            <w:tcW w:w="660" w:type="dxa"/>
            <w:vAlign w:val="bottom"/>
          </w:tcPr>
          <w:p>
            <w:pPr>
              <w:spacing w:after="0" w:line="197" w:lineRule="exact"/>
              <w:rPr>
                <w:sz w:val="20"/>
                <w:szCs w:val="20"/>
                <w:color w:val="auto"/>
              </w:rPr>
            </w:pPr>
            <w:r>
              <w:rPr>
                <w:rFonts w:ascii="Arial" w:cs="Arial" w:eastAsia="Arial" w:hAnsi="Arial"/>
                <w:sz w:val="18"/>
                <w:szCs w:val="18"/>
                <w:b w:val="1"/>
                <w:bCs w:val="1"/>
                <w:i w:val="1"/>
                <w:iCs w:val="1"/>
                <w:color w:val="auto"/>
                <w:w w:val="92"/>
              </w:rPr>
              <w:t>Director</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20" w:type="dxa"/>
            <w:vAlign w:val="bottom"/>
          </w:tcPr>
          <w:p>
            <w:pPr>
              <w:ind w:left="180"/>
              <w:spacing w:after="0" w:line="197" w:lineRule="exact"/>
              <w:rPr>
                <w:sz w:val="20"/>
                <w:szCs w:val="20"/>
                <w:color w:val="auto"/>
              </w:rPr>
            </w:pPr>
            <w:r>
              <w:rPr>
                <w:rFonts w:ascii="Arial" w:cs="Arial" w:eastAsia="Arial" w:hAnsi="Arial"/>
                <w:sz w:val="18"/>
                <w:szCs w:val="18"/>
                <w:color w:val="auto"/>
                <w:w w:val="89"/>
              </w:rPr>
              <w:t>Mr. Manley has served as a director of the Company since October 2010. Mr. Manley retired from Deloitte &amp; Touche LLP in 2009 after</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w w:val="98"/>
              </w:rPr>
              <w:t>Age: 68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20" w:type="dxa"/>
            <w:vAlign w:val="bottom"/>
          </w:tcPr>
          <w:p>
            <w:pPr>
              <w:ind w:left="180"/>
              <w:spacing w:after="0"/>
              <w:rPr>
                <w:sz w:val="20"/>
                <w:szCs w:val="20"/>
                <w:color w:val="auto"/>
              </w:rPr>
            </w:pPr>
            <w:r>
              <w:rPr>
                <w:rFonts w:ascii="Arial" w:cs="Arial" w:eastAsia="Arial" w:hAnsi="Arial"/>
                <w:sz w:val="18"/>
                <w:szCs w:val="18"/>
                <w:color w:val="auto"/>
                <w:w w:val="89"/>
              </w:rPr>
              <w:t>more than 27 years as a partner, the last three years of which Mr. Manley was Managing Partner of Deloitte's Northeast Region Audit</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7"/>
              </w:rPr>
              <w:t>Director Since: 2010</w:t>
            </w:r>
          </w:p>
        </w:tc>
        <w:tc>
          <w:tcPr>
            <w:tcW w:w="9720" w:type="dxa"/>
            <w:vAlign w:val="bottom"/>
          </w:tcPr>
          <w:p>
            <w:pPr>
              <w:ind w:left="180"/>
              <w:spacing w:after="0"/>
              <w:rPr>
                <w:sz w:val="20"/>
                <w:szCs w:val="20"/>
                <w:color w:val="auto"/>
              </w:rPr>
            </w:pPr>
            <w:r>
              <w:rPr>
                <w:rFonts w:ascii="Arial" w:cs="Arial" w:eastAsia="Arial" w:hAnsi="Arial"/>
                <w:sz w:val="18"/>
                <w:szCs w:val="18"/>
                <w:color w:val="auto"/>
                <w:w w:val="89"/>
              </w:rPr>
              <w:t>and Enterprise Risk Services Practice. Mr. Manley founded and was the National Director of Deloitte's Regulatory Consulting Practice,</w:t>
            </w:r>
          </w:p>
        </w:tc>
      </w:tr>
      <w:tr>
        <w:trPr>
          <w:trHeight w:val="22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Committees:</w:t>
            </w:r>
          </w:p>
        </w:tc>
        <w:tc>
          <w:tcPr>
            <w:tcW w:w="9720" w:type="dxa"/>
            <w:vAlign w:val="bottom"/>
          </w:tcPr>
          <w:p>
            <w:pPr>
              <w:ind w:left="180"/>
              <w:spacing w:after="0"/>
              <w:rPr>
                <w:sz w:val="20"/>
                <w:szCs w:val="20"/>
                <w:color w:val="auto"/>
              </w:rPr>
            </w:pPr>
            <w:r>
              <w:rPr>
                <w:rFonts w:ascii="Arial" w:cs="Arial" w:eastAsia="Arial" w:hAnsi="Arial"/>
                <w:sz w:val="18"/>
                <w:szCs w:val="18"/>
                <w:color w:val="auto"/>
                <w:w w:val="94"/>
              </w:rPr>
              <w:t>which included practices in financial services, health care, government contracting, energy and utilities. Before joining Deloitte,</w:t>
            </w:r>
          </w:p>
        </w:tc>
      </w:tr>
      <w:tr>
        <w:trPr>
          <w:trHeight w:val="216"/>
        </w:trPr>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Audit</w:t>
            </w:r>
          </w:p>
        </w:tc>
        <w:tc>
          <w:tcPr>
            <w:tcW w:w="9720" w:type="dxa"/>
            <w:vAlign w:val="bottom"/>
          </w:tcPr>
          <w:p>
            <w:pPr>
              <w:ind w:left="180"/>
              <w:spacing w:after="0"/>
              <w:rPr>
                <w:sz w:val="20"/>
                <w:szCs w:val="20"/>
                <w:color w:val="auto"/>
              </w:rPr>
            </w:pPr>
            <w:r>
              <w:rPr>
                <w:rFonts w:ascii="Arial" w:cs="Arial" w:eastAsia="Arial" w:hAnsi="Arial"/>
                <w:sz w:val="18"/>
                <w:szCs w:val="18"/>
                <w:color w:val="auto"/>
                <w:w w:val="92"/>
              </w:rPr>
              <w:t>Mr. Manley had seven years of regulatory experience with the SEC and the Commodity Futures Trading Commission, or CFTC, in</w:t>
            </w:r>
          </w:p>
        </w:tc>
      </w:tr>
      <w:tr>
        <w:trPr>
          <w:trHeight w:val="216"/>
        </w:trPr>
        <w:tc>
          <w:tcPr>
            <w:tcW w:w="6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(Chairman)</w:t>
            </w:r>
          </w:p>
        </w:tc>
        <w:tc>
          <w:tcPr>
            <w:tcW w:w="9720" w:type="dxa"/>
            <w:vAlign w:val="bottom"/>
          </w:tcPr>
          <w:p>
            <w:pPr>
              <w:ind w:left="180"/>
              <w:spacing w:after="0"/>
              <w:rPr>
                <w:sz w:val="20"/>
                <w:szCs w:val="20"/>
                <w:color w:val="auto"/>
              </w:rPr>
            </w:pPr>
            <w:r>
              <w:rPr>
                <w:rFonts w:ascii="Arial" w:cs="Arial" w:eastAsia="Arial" w:hAnsi="Arial"/>
                <w:sz w:val="18"/>
                <w:szCs w:val="18"/>
                <w:color w:val="auto"/>
                <w:w w:val="95"/>
              </w:rPr>
              <w:t>various positions, including serving as the Chief Accountant and Director of the Division of Trading and Markets of the CFTC.</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20" w:type="dxa"/>
            <w:vAlign w:val="bottom"/>
          </w:tcPr>
          <w:p>
            <w:pPr>
              <w:ind w:left="180"/>
              <w:spacing w:after="0"/>
              <w:rPr>
                <w:sz w:val="20"/>
                <w:szCs w:val="20"/>
                <w:color w:val="auto"/>
              </w:rPr>
            </w:pPr>
            <w:r>
              <w:rPr>
                <w:rFonts w:ascii="Arial" w:cs="Arial" w:eastAsia="Arial" w:hAnsi="Arial"/>
                <w:sz w:val="18"/>
                <w:szCs w:val="18"/>
                <w:color w:val="auto"/>
                <w:w w:val="95"/>
              </w:rPr>
              <w:t>Mr. Manley served as a director and Chairman of the audit committee of UBS Trust Company N.A. from 2013 to August 2015.</w:t>
            </w:r>
          </w:p>
        </w:tc>
      </w:tr>
      <w:tr>
        <w:trPr>
          <w:trHeight w:val="222"/>
        </w:trPr>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w w:val="99"/>
              </w:rPr>
              <w:t>Governance</w:t>
            </w:r>
          </w:p>
        </w:tc>
        <w:tc>
          <w:tcPr>
            <w:tcW w:w="9720" w:type="dxa"/>
            <w:vAlign w:val="bottom"/>
          </w:tcPr>
          <w:p>
            <w:pPr>
              <w:ind w:left="180"/>
              <w:spacing w:after="0"/>
              <w:rPr>
                <w:sz w:val="20"/>
                <w:szCs w:val="20"/>
                <w:color w:val="auto"/>
              </w:rPr>
            </w:pPr>
            <w:r>
              <w:rPr>
                <w:rFonts w:ascii="Arial" w:cs="Arial" w:eastAsia="Arial" w:hAnsi="Arial"/>
                <w:sz w:val="18"/>
                <w:szCs w:val="18"/>
                <w:color w:val="auto"/>
              </w:rPr>
              <w:t>Mr. Manley is a Certified Public Accountant, on inactive status.</w:t>
            </w:r>
          </w:p>
        </w:tc>
      </w:tr>
    </w:tbl>
    <w:p>
      <w:pPr>
        <w:spacing w:after="0" w:line="210" w:lineRule="exact"/>
        <w:rPr>
          <w:sz w:val="20"/>
          <w:szCs w:val="20"/>
          <w:color w:val="auto"/>
        </w:rPr>
      </w:pPr>
    </w:p>
    <w:p>
      <w:pPr>
        <w:ind w:left="700" w:right="360" w:hanging="332"/>
        <w:spacing w:after="0" w:line="254"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Technology </w:t>
      </w:r>
      <w:r>
        <w:rPr>
          <w:rFonts w:ascii="Arial" w:cs="Arial" w:eastAsia="Arial" w:hAnsi="Arial"/>
          <w:sz w:val="18"/>
          <w:szCs w:val="18"/>
          <w:i w:val="1"/>
          <w:iCs w:val="1"/>
          <w:color w:val="auto"/>
        </w:rPr>
        <w:t>Mr. Manley brings to the Board extensive executive management, financial reporting, risk management and regulatory experience.</w:t>
      </w:r>
      <w:r>
        <w:rPr>
          <w:rFonts w:ascii="Arial" w:cs="Arial" w:eastAsia="Arial" w:hAnsi="Arial"/>
          <w:sz w:val="18"/>
          <w:szCs w:val="18"/>
          <w:color w:val="auto"/>
        </w:rPr>
        <w:t xml:space="preserve"> and</w:t>
      </w:r>
    </w:p>
    <w:p>
      <w:pPr>
        <w:ind w:left="700"/>
        <w:spacing w:after="0"/>
        <w:rPr>
          <w:rFonts w:ascii="Arial" w:cs="Arial" w:eastAsia="Arial" w:hAnsi="Arial"/>
          <w:sz w:val="18"/>
          <w:szCs w:val="18"/>
          <w:color w:val="auto"/>
        </w:rPr>
      </w:pPr>
      <w:r>
        <w:rPr>
          <w:rFonts w:ascii="Arial" w:cs="Arial" w:eastAsia="Arial" w:hAnsi="Arial"/>
          <w:sz w:val="18"/>
          <w:szCs w:val="18"/>
          <w:color w:val="auto"/>
        </w:rPr>
        <w:t>Operations</w:t>
      </w:r>
    </w:p>
    <w:p>
      <w:pPr>
        <w:spacing w:after="0" w:line="172"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THOMAS PRESBY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080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i w:val="1"/>
                <w:iCs w:val="1"/>
                <w:color w:val="auto"/>
                <w:w w:val="86"/>
              </w:rPr>
              <w:t>Director,</w:t>
            </w:r>
          </w:p>
        </w:tc>
        <w:tc>
          <w:tcPr>
            <w:tcW w:w="1040" w:type="dxa"/>
            <w:vAlign w:val="bottom"/>
            <w:tcBorders>
              <w:top w:val="single" w:sz="8" w:color="auto"/>
            </w:tcBorders>
          </w:tcPr>
          <w:p>
            <w:pPr>
              <w:spacing w:after="0"/>
              <w:rPr>
                <w:sz w:val="17"/>
                <w:szCs w:val="17"/>
                <w:color w:val="auto"/>
              </w:rPr>
            </w:pPr>
          </w:p>
        </w:tc>
        <w:tc>
          <w:tcPr>
            <w:tcW w:w="9700" w:type="dxa"/>
            <w:vAlign w:val="bottom"/>
          </w:tcPr>
          <w:p>
            <w:pPr>
              <w:ind w:left="180"/>
              <w:spacing w:after="0" w:line="203" w:lineRule="exact"/>
              <w:rPr>
                <w:sz w:val="20"/>
                <w:szCs w:val="20"/>
                <w:color w:val="auto"/>
              </w:rPr>
            </w:pPr>
            <w:r>
              <w:rPr>
                <w:rFonts w:ascii="Arial" w:cs="Arial" w:eastAsia="Arial" w:hAnsi="Arial"/>
                <w:sz w:val="18"/>
                <w:szCs w:val="18"/>
                <w:color w:val="auto"/>
                <w:w w:val="90"/>
              </w:rPr>
              <w:t>Mr. Presby has served as a director of the Company since February 2003. Mr. Presby retired in 2002 as a partner in Deloitte Touche</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Lead Independent</w:t>
            </w: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Tohmatsu, an accounting and consulting firm. At Deloitte, Mr. Presby held numerous positions in the U.S. and abroad, including the</w:t>
            </w:r>
          </w:p>
        </w:tc>
      </w:tr>
      <w:tr>
        <w:trPr>
          <w:trHeight w:val="210"/>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w w:val="92"/>
              </w:rPr>
              <w:t>Director</w:t>
            </w:r>
          </w:p>
        </w:tc>
        <w:tc>
          <w:tcPr>
            <w:tcW w:w="104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posts of Deputy Chairman and Chief Operating Officer. Mr. Presby now serves as a director of First Solar, Inc., where he chaired the</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w w:val="98"/>
              </w:rPr>
              <w:t>Age: 77</w:t>
            </w:r>
          </w:p>
        </w:tc>
        <w:tc>
          <w:tcPr>
            <w:tcW w:w="104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4"/>
              </w:rPr>
              <w:t>audit committee for ten years. In addition, Mr. Presby served as a director and chairman of the audit committee of Exam Works</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7"/>
              </w:rPr>
              <w:t>Director Since: 2003</w:t>
            </w: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Group, Inc. from June 2009 to July 2016, of Invesco Ltd. from November 2005 to May 2015, of Tiffany &amp; Co. from November 2003 to</w:t>
            </w:r>
          </w:p>
        </w:tc>
      </w:tr>
      <w:tr>
        <w:trPr>
          <w:trHeight w:val="222"/>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Committees:</w:t>
            </w:r>
          </w:p>
        </w:tc>
        <w:tc>
          <w:tcPr>
            <w:tcW w:w="9700" w:type="dxa"/>
            <w:vAlign w:val="bottom"/>
          </w:tcPr>
          <w:p>
            <w:pPr>
              <w:ind w:left="180"/>
              <w:spacing w:after="0"/>
              <w:rPr>
                <w:sz w:val="20"/>
                <w:szCs w:val="20"/>
                <w:color w:val="auto"/>
              </w:rPr>
            </w:pPr>
            <w:r>
              <w:rPr>
                <w:rFonts w:ascii="Arial" w:cs="Arial" w:eastAsia="Arial" w:hAnsi="Arial"/>
                <w:sz w:val="18"/>
                <w:szCs w:val="18"/>
                <w:color w:val="auto"/>
                <w:w w:val="89"/>
              </w:rPr>
              <w:t>May 2012, and of American Eagle Outfitters from December 2005 until January 2011. Mr. Presby also previously served as a director</w:t>
            </w:r>
          </w:p>
        </w:tc>
      </w:tr>
      <w:tr>
        <w:trPr>
          <w:trHeight w:val="216"/>
        </w:trPr>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tcPr>
          <w:p>
            <w:pPr>
              <w:ind w:left="40"/>
              <w:spacing w:after="0"/>
              <w:rPr>
                <w:sz w:val="20"/>
                <w:szCs w:val="20"/>
                <w:color w:val="auto"/>
              </w:rPr>
            </w:pPr>
            <w:r>
              <w:rPr>
                <w:rFonts w:ascii="Arial" w:cs="Arial" w:eastAsia="Arial" w:hAnsi="Arial"/>
                <w:sz w:val="18"/>
                <w:szCs w:val="18"/>
                <w:color w:val="auto"/>
              </w:rPr>
              <w:t>Audit</w:t>
            </w:r>
          </w:p>
        </w:tc>
        <w:tc>
          <w:tcPr>
            <w:tcW w:w="9700" w:type="dxa"/>
            <w:vAlign w:val="bottom"/>
          </w:tcPr>
          <w:p>
            <w:pPr>
              <w:ind w:left="180"/>
              <w:spacing w:after="0"/>
              <w:rPr>
                <w:sz w:val="20"/>
                <w:szCs w:val="20"/>
                <w:color w:val="auto"/>
              </w:rPr>
            </w:pPr>
            <w:r>
              <w:rPr>
                <w:rFonts w:ascii="Arial" w:cs="Arial" w:eastAsia="Arial" w:hAnsi="Arial"/>
                <w:sz w:val="18"/>
                <w:szCs w:val="18"/>
                <w:color w:val="auto"/>
                <w:w w:val="93"/>
              </w:rPr>
              <w:t>and chairman of the audit committees of Greenpoint Financial Corp., Practice Works Inc., TurboChef Technologies, Inc. and the</w:t>
            </w:r>
          </w:p>
        </w:tc>
      </w:tr>
      <w:tr>
        <w:trPr>
          <w:trHeight w:val="216"/>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German Marshall Fund of the United States. He previously served as a trustee of Rutgers University and Montclair State University.</w:t>
            </w:r>
          </w:p>
        </w:tc>
      </w:tr>
      <w:tr>
        <w:trPr>
          <w:trHeight w:val="216"/>
        </w:trPr>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tcPr>
          <w:p>
            <w:pPr>
              <w:ind w:left="40"/>
              <w:spacing w:after="0"/>
              <w:rPr>
                <w:sz w:val="20"/>
                <w:szCs w:val="20"/>
                <w:color w:val="auto"/>
              </w:rPr>
            </w:pPr>
            <w:r>
              <w:rPr>
                <w:rFonts w:ascii="Arial" w:cs="Arial" w:eastAsia="Arial" w:hAnsi="Arial"/>
                <w:sz w:val="18"/>
                <w:szCs w:val="18"/>
                <w:color w:val="auto"/>
                <w:w w:val="99"/>
              </w:rPr>
              <w:t>Governance</w:t>
            </w:r>
          </w:p>
        </w:tc>
        <w:tc>
          <w:tcPr>
            <w:tcW w:w="9700" w:type="dxa"/>
            <w:vAlign w:val="bottom"/>
          </w:tcPr>
          <w:p>
            <w:pPr>
              <w:ind w:left="180"/>
              <w:spacing w:after="0"/>
              <w:rPr>
                <w:sz w:val="20"/>
                <w:szCs w:val="20"/>
                <w:color w:val="auto"/>
              </w:rPr>
            </w:pPr>
            <w:r>
              <w:rPr>
                <w:rFonts w:ascii="Arial" w:cs="Arial" w:eastAsia="Arial" w:hAnsi="Arial"/>
                <w:sz w:val="18"/>
                <w:szCs w:val="18"/>
                <w:color w:val="auto"/>
                <w:w w:val="89"/>
              </w:rPr>
              <w:t>Mr. Presby is a Certified Public Accountant and a holder of the NACD Certificate of Director Education. Mr. Presby was named one of</w:t>
            </w:r>
          </w:p>
        </w:tc>
      </w:tr>
      <w:tr>
        <w:trPr>
          <w:trHeight w:val="222"/>
        </w:trPr>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the top 100 directors of 2011 by the NACD.</w:t>
            </w:r>
          </w:p>
        </w:tc>
      </w:tr>
    </w:tbl>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Nominating</w:t>
      </w:r>
    </w:p>
    <w:p>
      <w:pPr>
        <w:spacing w:after="0" w:line="9" w:lineRule="exact"/>
        <w:rPr>
          <w:rFonts w:ascii="Arial" w:cs="Arial" w:eastAsia="Arial" w:hAnsi="Arial"/>
          <w:sz w:val="18"/>
          <w:szCs w:val="18"/>
          <w:color w:val="auto"/>
        </w:rPr>
      </w:pPr>
    </w:p>
    <w:p>
      <w:pPr>
        <w:ind w:left="1880" w:right="300" w:hanging="118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Subcommittee </w:t>
      </w:r>
      <w:r>
        <w:rPr>
          <w:rFonts w:ascii="Arial" w:cs="Arial" w:eastAsia="Arial" w:hAnsi="Arial"/>
          <w:sz w:val="18"/>
          <w:szCs w:val="18"/>
          <w:i w:val="1"/>
          <w:iCs w:val="1"/>
          <w:color w:val="auto"/>
        </w:rPr>
        <w:t>Mr. Presby brings to the Board extensive experience in finance and accounting as well as significant management experience in the</w:t>
      </w:r>
      <w:r>
        <w:rPr>
          <w:rFonts w:ascii="Arial" w:cs="Arial" w:eastAsia="Arial" w:hAnsi="Arial"/>
          <w:sz w:val="18"/>
          <w:szCs w:val="18"/>
          <w:color w:val="auto"/>
        </w:rPr>
        <w:t xml:space="preserve"> </w:t>
      </w:r>
      <w:r>
        <w:rPr>
          <w:rFonts w:ascii="Arial" w:cs="Arial" w:eastAsia="Arial" w:hAnsi="Arial"/>
          <w:sz w:val="18"/>
          <w:szCs w:val="18"/>
          <w:i w:val="1"/>
          <w:iCs w:val="1"/>
          <w:color w:val="auto"/>
        </w:rPr>
        <w:t>U.S. and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80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jc w:val="right"/>
        <w:spacing w:after="0"/>
        <w:tabs>
          <w:tab w:leader="none" w:pos="2140" w:val="left"/>
          <w:tab w:leader="none" w:pos="188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80" w:right="140" w:hanging="179"/>
        <w:spacing w:after="0" w:line="294" w:lineRule="auto"/>
        <w:rPr>
          <w:sz w:val="20"/>
          <w:szCs w:val="20"/>
          <w:color w:val="auto"/>
        </w:rPr>
      </w:pPr>
      <w:r>
        <w:rPr>
          <w:rFonts w:ascii="Arial" w:cs="Arial" w:eastAsia="Arial" w:hAnsi="Arial"/>
          <w:sz w:val="16"/>
          <w:szCs w:val="16"/>
          <w:b w:val="1"/>
          <w:bCs w:val="1"/>
          <w:color w:val="auto"/>
        </w:rPr>
        <w:t>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80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700" w:right="160" w:hanging="332"/>
        <w:spacing w:after="0" w:line="320" w:lineRule="auto"/>
        <w:tabs>
          <w:tab w:leader="none" w:pos="7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Governance (Chairman; Presiding Director)</w:t>
      </w:r>
    </w:p>
    <w:p>
      <w:pPr>
        <w:spacing w:after="0" w:line="154" w:lineRule="exact"/>
        <w:rPr>
          <w:rFonts w:ascii="Arial" w:cs="Arial" w:eastAsia="Arial" w:hAnsi="Arial"/>
          <w:sz w:val="15"/>
          <w:szCs w:val="15"/>
          <w:color w:val="auto"/>
        </w:rPr>
      </w:pPr>
    </w:p>
    <w:p>
      <w:pPr>
        <w:ind w:left="700" w:hanging="332"/>
        <w:spacing w:after="0"/>
        <w:tabs>
          <w:tab w:leader="none" w:pos="7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080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 Emeritus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Age: 60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Since: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1080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Mr. Roddenberry has served as a director of the Company since June 2006. Mr. Roddenberry is a partner in the law firm of Akerman LLP where he has been employed as an attorney since 1988.</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Mr. Roddenberry brings to the Board extensive experience in private equity mergers and acquisitions, investment management, venture capital, public finance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Stebbins has served as Chairman Emeritus since May 2014 and has served as a director of the Company since June 1995. Prior to his appointment as Chairman Emeritus, from January 2012 to May 2014, Mr. Stebbins served as Executive Chairman of the Board. From July 2002 to December 2011, he served as Chairman of the Board and Chief Executive Officer of the Company and, from August 2000 to July 2002, he served as President and Chief Operating Officer. From January 1995 to August 2000, Mr. Stebbins served 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which Mr. Stebbins co-founded in 1985. In December 2006, Mr. Stebbins joined the board of directors of First Solar, Inc., a NASDAQ company, and currently serves as the chairman of the nominating and governance committee and a member of the audit and compensation committees. Mr. Stebbins is a member of the Board of Trustees of the Amigos de las Americas Foundation of Houston, Texas (amigosinternational.org) and Board of Directors of The Silk Road Project founded by Yo-Yo Ma (silkroadproject.org). Mr. Stebbins is also a member of the leadership council of Fix The Debt Campaign (fixthedebt.org) and the Council on Foreign Relations, as well as the Energy Security Leadership Council of S.A.F.E. (Securing America's Future Energy—secureenergy.org).</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Mr. Stebbins brings to the Board a unique understanding of our strategies and operations through over 20 years of service to our Company and 30 years of experience in the fuel services business.</w:t>
      </w:r>
    </w:p>
    <w:p>
      <w:pPr>
        <w:spacing w:after="0" w:line="193" w:lineRule="exact"/>
        <w:rPr>
          <w:sz w:val="20"/>
          <w:szCs w:val="20"/>
          <w:color w:val="auto"/>
        </w:rPr>
      </w:pPr>
    </w:p>
    <w:p>
      <w:pPr>
        <w:sectPr>
          <w:pgSz w:w="11900" w:h="16838" w:orient="portrait"/>
          <w:cols w:equalWidth="0" w:num="2">
            <w:col w:w="1700" w:space="180"/>
            <w:col w:w="9540"/>
          </w:cols>
          <w:pgMar w:left="240" w:top="131" w:right="239" w:bottom="1440" w:gutter="0" w:footer="0" w:header="0"/>
        </w:sectPr>
      </w:pPr>
    </w:p>
    <w:p>
      <w:pPr>
        <w:jc w:val="center"/>
        <w:ind w:left="200" w:right="180"/>
        <w:spacing w:after="0" w:line="257"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THE ABOVE DIRECTOR NOMINEES.</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380" w:firstLine="8"/>
        <w:spacing w:after="0" w:line="585" w:lineRule="auto"/>
        <w:tabs>
          <w:tab w:leader="none" w:pos="619" w:val="left"/>
        </w:tabs>
        <w:numPr>
          <w:ilvl w:val="0"/>
          <w:numId w:val="18"/>
        </w:numPr>
        <w:rPr>
          <w:rFonts w:ascii="Arial" w:cs="Arial" w:eastAsia="Arial" w:hAnsi="Arial"/>
          <w:sz w:val="16"/>
          <w:szCs w:val="16"/>
          <w:b w:val="1"/>
          <w:bCs w:val="1"/>
          <w:color w:val="0048E0"/>
        </w:rPr>
      </w:pPr>
      <w:r>
        <w:rPr>
          <w:rFonts w:ascii="Arial" w:cs="Arial" w:eastAsia="Arial" w:hAnsi="Arial"/>
          <w:sz w:val="16"/>
          <w:szCs w:val="16"/>
          <w:b w:val="1"/>
          <w:bCs w:val="1"/>
          <w:color w:val="0048E0"/>
        </w:rPr>
        <w:t xml:space="preserve">CORPORATE GOVERNANCE </w:t>
      </w:r>
      <w:r>
        <w:rPr>
          <w:rFonts w:ascii="Arial" w:cs="Arial" w:eastAsia="Arial" w:hAnsi="Arial"/>
          <w:sz w:val="16"/>
          <w:szCs w:val="16"/>
          <w:b w:val="1"/>
          <w:bCs w:val="1"/>
          <w:color w:val="000000"/>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140" w:firstLine="611"/>
        <w:spacing w:after="0" w:line="256" w:lineRule="auto"/>
        <w:rPr>
          <w:sz w:val="20"/>
          <w:szCs w:val="20"/>
          <w:color w:val="auto"/>
        </w:rPr>
      </w:pPr>
      <w:r>
        <w:rPr>
          <w:rFonts w:ascii="Arial" w:cs="Arial" w:eastAsia="Arial" w:hAnsi="Arial"/>
          <w:sz w:val="18"/>
          <w:szCs w:val="18"/>
          <w:color w:val="auto"/>
        </w:rPr>
        <w:t>The Board regularly considers the appropriate leadership structure for the Company and does not have a formal policy with respect to the separation of the positions of Chief Executive Officer and Chairman of the Board. Rather, the Board believes that different Board leadership structures may be appropriate for the Company at different times, and that it should have the flexibility to make this decision based on its evaluation of current circumstances. When making this decision, the Board considers factors such as:</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 filling each role;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presence of a lead independent director and the person in that role;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composition, independence, and effectiveness of the entire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corporate governance structures in place;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management succession plan.</w:t>
      </w:r>
    </w:p>
    <w:p>
      <w:pPr>
        <w:spacing w:after="0" w:line="225"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the Company's day-to-day operations and therefore has a detailed and in-depth knowledge of the issues, opportunities and challenges facing the Company and its businesses. The Board also believes that the Chief Executive Officer serving as Chairman of the Board further promotes information flow between management and the Board and enhances the quality of the Board's overall decision-making process.</w:t>
      </w:r>
    </w:p>
    <w:p>
      <w:pPr>
        <w:spacing w:after="0" w:line="170"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In making its decision to combine the roles of Chief Executive Officer and Chairman of the Board, the Board considered that its leadership structure was appropriate given the following strong governance structures and processes that are in place to ensure the independence of the Board, eliminate conflicts of interest and prevent the dominance of the Board by senior management:</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presence of, and the responsibilities and authority of, the Board's strong lead independent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composition of the Board which includes a super-majority of independent non-management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composition of the Board's standing committees which are comprised of and chaired solely by independent non-management directors;</w:t>
      </w:r>
    </w:p>
    <w:p>
      <w:pPr>
        <w:spacing w:after="0" w:line="261" w:lineRule="exact"/>
        <w:rPr>
          <w:rFonts w:ascii="Arial" w:cs="Arial" w:eastAsia="Arial" w:hAnsi="Arial"/>
          <w:sz w:val="16"/>
          <w:szCs w:val="16"/>
          <w:color w:val="auto"/>
        </w:rPr>
      </w:pPr>
    </w:p>
    <w:p>
      <w:pPr>
        <w:ind w:left="1080" w:right="92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that all Board members have unrestricted access to management and outside advisors.</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lead independent director is elected annually by the independent directors and has duties consistent with best practices, including:</w:t>
      </w:r>
    </w:p>
    <w:p>
      <w:pPr>
        <w:spacing w:after="0" w:line="239" w:lineRule="exact"/>
        <w:rPr>
          <w:sz w:val="20"/>
          <w:szCs w:val="20"/>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of the Board is not present, including executive sessions of the independent directors at which the Chairman of the Governance Committee is not present;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serving as a liaison between the Chairman of the Board and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meeting agendas for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meeting schedules to assure that there is sufficient time for discussion of all agenda items;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requested by major shareholders, ensuring that he or she is available for consultations and direct communication;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the authority to retain outside advisors and consultants who report directly to the Board;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consulting with and assisting the Chief Executive Officer in accomplishing his objectives as the Chief Executive Officer deems appropriate.</w:t>
      </w:r>
    </w:p>
    <w:p>
      <w:pPr>
        <w:spacing w:after="0" w:line="248"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Currently, Mr. Presby serves as our lead independent director. Assuming that both Messrs. Roddenberry and Presby are re-elected to the Board, immediately after the Annual Meeting, Mr. Presby will step down as our lead independent director and the independent directors intend to elect Mr. Rodenberry as our lead independent director. The Board believes that having a lead independent director benefits us and our shareholders by providing leadership and an organizational structure for the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31" w:lineRule="exact"/>
        <w:rPr>
          <w:sz w:val="20"/>
          <w:szCs w:val="20"/>
          <w:color w:val="auto"/>
        </w:rPr>
      </w:pPr>
    </w:p>
    <w:p>
      <w:pPr>
        <w:ind w:right="120" w:firstLine="611"/>
        <w:spacing w:after="0" w:line="314" w:lineRule="auto"/>
        <w:rPr>
          <w:sz w:val="20"/>
          <w:szCs w:val="20"/>
          <w:color w:val="auto"/>
        </w:rPr>
      </w:pPr>
      <w:r>
        <w:rPr>
          <w:rFonts w:ascii="Arial" w:cs="Arial" w:eastAsia="Arial" w:hAnsi="Arial"/>
          <w:sz w:val="15"/>
          <w:szCs w:val="15"/>
          <w:color w:val="auto"/>
        </w:rPr>
        <w:t>We regularly engage with our shareholders to understand better their perspectives on our Company, including our strategies, performance, matters of corporate governance and executive compensation. This dialogue has helped inform the Board's decision-making and ensure our interests remain well-aligned with those of our shareholders. In recent years, these engagements covered governance issues, such as majority voting, board leadership and director nomination processes, and compensation and capital allocation policies. During 2016, we interacted with 17 of the 25 largest active shareholders of our common stock, representing approximately 50% percent of our shares. We believe that all these engagements provide valuable feedback and this feedback is shared regularly with the Board and its relevant committees. As a result of the feedback we received from our shareholders in the past few years, we have, among other things:</w:t>
      </w:r>
    </w:p>
    <w:p>
      <w:pPr>
        <w:spacing w:after="0" w:line="17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adopted a director resignation policy for all directors in uncontested elections;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enhanced our disclosure regarding our director nomination process and the combined skills of our board;</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modified our compensation programs for our segment executives so that their compensation is more closely aligned with the company's aggregate financial performance; 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modified our 2016 long-term incentive compensation programs to enhance predictability and shareholder alignment.</w:t>
      </w:r>
    </w:p>
    <w:p>
      <w:pPr>
        <w:spacing w:after="0" w:line="603" w:lineRule="exact"/>
        <w:rPr>
          <w:sz w:val="20"/>
          <w:szCs w:val="20"/>
          <w:color w:val="auto"/>
        </w:rPr>
      </w:pPr>
    </w:p>
    <w:p>
      <w:pPr>
        <w:sectPr>
          <w:pgSz w:w="11900" w:h="16838" w:orient="portrait"/>
          <w:cols w:equalWidth="0" w:num="2">
            <w:col w:w="700" w:space="380"/>
            <w:col w:w="10340"/>
          </w:cols>
          <w:pgMar w:left="240" w:top="131" w:right="239" w:bottom="1440" w:gutter="0" w:footer="0" w:header="0"/>
          <w:type w:val="continuous"/>
        </w:sectPr>
      </w:pPr>
    </w:p>
    <w:p>
      <w:pPr>
        <w:spacing w:after="0" w:line="54" w:lineRule="exact"/>
        <w:rPr>
          <w:sz w:val="20"/>
          <w:szCs w:val="20"/>
          <w:color w:val="auto"/>
        </w:rPr>
      </w:pPr>
    </w:p>
    <w:p>
      <w:pPr>
        <w:jc w:val="both"/>
        <w:ind w:right="180" w:firstLine="615"/>
        <w:spacing w:after="0" w:line="306" w:lineRule="auto"/>
        <w:rPr>
          <w:sz w:val="20"/>
          <w:szCs w:val="20"/>
          <w:color w:val="auto"/>
        </w:rPr>
      </w:pPr>
      <w:r>
        <w:rPr>
          <w:rFonts w:ascii="Arial" w:cs="Arial" w:eastAsia="Arial" w:hAnsi="Arial"/>
          <w:sz w:val="16"/>
          <w:szCs w:val="16"/>
          <w:color w:val="auto"/>
        </w:rPr>
        <w:t>During 2016, the Board met seven times. Each current director attended at least 75% of the total number of meetings of the Board and the total number of meetings held by each of the Board committees on which he served. In addition, it is our policy that each director should attend all meetings of shareholders, absent extenuating circumstances. All of our directors attended the 2016 annual meeting of shareholders.</w:t>
      </w:r>
    </w:p>
    <w:p>
      <w:pPr>
        <w:spacing w:after="0" w:line="161" w:lineRule="exact"/>
        <w:rPr>
          <w:sz w:val="20"/>
          <w:szCs w:val="20"/>
          <w:color w:val="auto"/>
        </w:rPr>
      </w:pPr>
    </w:p>
    <w:p>
      <w:pPr>
        <w:ind w:right="280" w:firstLine="605"/>
        <w:spacing w:after="0" w:line="332" w:lineRule="auto"/>
        <w:rPr>
          <w:sz w:val="20"/>
          <w:szCs w:val="20"/>
          <w:color w:val="auto"/>
        </w:rPr>
      </w:pPr>
      <w:r>
        <w:rPr>
          <w:rFonts w:ascii="Arial" w:cs="Arial" w:eastAsia="Arial" w:hAnsi="Arial"/>
          <w:sz w:val="16"/>
          <w:szCs w:val="16"/>
          <w:color w:val="auto"/>
        </w:rPr>
        <w:t>All of our independent directors meet in executive session (without management present) prior to each scheduled Board meeting and at other times as they may deem necessary. Mr. Roddenberry currently serves as the Presiding Director over all executive sessions of the independent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"Exchange Act"), the NYSE listing standards and Section 162(m) of the Internal Revenue Code (the "Code"). The Board may also consider other factors in making its determination that a director has no material relationship with us that could compromise that director's independence.</w:t>
      </w:r>
    </w:p>
    <w:p>
      <w:pPr>
        <w:spacing w:after="0" w:line="174"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Our Corporate Governance Principles provide that no more than two members of management shall serve on the Board. Our Board affirmatively determined that seven of the eight existing non-management directors, Messrs. Bakshi, Benitez, Kassar, Klein,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 Additionally, although Mr. Stebbins is a non-management director, he is not deemed to be independent because of his recent employment relationship with us, which existed within the last three years. As a result, Messrs. Kasbar and Stebbins are precluded from sitting on our Audit, Compensation, Governance and Technology and Operations Committees.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Our Board has four standing committees: the Governance Committee, the Audit Committee, the Compensation Committee and the Technology and Operations Committee. The following table</w:t>
      </w:r>
    </w:p>
    <w:p>
      <w:pPr>
        <w:spacing w:after="0" w:line="180"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illustrates the current membership of each of our Board's committees, which are composed entirely of independent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60" w:type="dxa"/>
            <w:vAlign w:val="bottom"/>
            <w:vMerge w:val="restart"/>
          </w:tcPr>
          <w:p>
            <w:pPr>
              <w:jc w:val="center"/>
              <w:ind w:left="6"/>
              <w:spacing w:after="0"/>
              <w:rPr>
                <w:sz w:val="20"/>
                <w:szCs w:val="20"/>
                <w:color w:val="auto"/>
              </w:rPr>
            </w:pPr>
            <w:r>
              <w:rPr>
                <w:rFonts w:ascii="Arial" w:cs="Arial" w:eastAsia="Arial" w:hAnsi="Arial"/>
                <w:sz w:val="14"/>
                <w:szCs w:val="14"/>
                <w:b w:val="1"/>
                <w:bCs w:val="1"/>
                <w:color w:val="auto"/>
                <w:w w:val="83"/>
              </w:rPr>
              <w:t>Technology and</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60" w:type="dxa"/>
            <w:vAlign w:val="bottom"/>
          </w:tcPr>
          <w:p>
            <w:pPr>
              <w:jc w:val="center"/>
              <w:ind w:left="1542"/>
              <w:spacing w:after="0"/>
              <w:rPr>
                <w:sz w:val="20"/>
                <w:szCs w:val="20"/>
                <w:color w:val="auto"/>
              </w:rPr>
            </w:pPr>
            <w:r>
              <w:rPr>
                <w:rFonts w:ascii="Arial" w:cs="Arial" w:eastAsia="Arial" w:hAnsi="Arial"/>
                <w:sz w:val="14"/>
                <w:szCs w:val="14"/>
                <w:b w:val="1"/>
                <w:bCs w:val="1"/>
                <w:color w:val="auto"/>
                <w:w w:val="94"/>
              </w:rPr>
              <w:t>Audit</w:t>
            </w:r>
          </w:p>
        </w:tc>
        <w:tc>
          <w:tcPr>
            <w:tcW w:w="2020" w:type="dxa"/>
            <w:vAlign w:val="bottom"/>
          </w:tcPr>
          <w:p>
            <w:pPr>
              <w:jc w:val="right"/>
              <w:ind w:right="59"/>
              <w:spacing w:after="0"/>
              <w:rPr>
                <w:sz w:val="20"/>
                <w:szCs w:val="20"/>
                <w:color w:val="auto"/>
              </w:rPr>
            </w:pPr>
            <w:r>
              <w:rPr>
                <w:rFonts w:ascii="Arial" w:cs="Arial" w:eastAsia="Arial" w:hAnsi="Arial"/>
                <w:sz w:val="14"/>
                <w:szCs w:val="14"/>
                <w:b w:val="1"/>
                <w:bCs w:val="1"/>
                <w:color w:val="auto"/>
                <w:w w:val="95"/>
              </w:rPr>
              <w:t>Compensation    Governance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Ken Bakshi</w:t>
            </w:r>
          </w:p>
        </w:tc>
        <w:tc>
          <w:tcPr>
            <w:tcW w:w="25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rPr>
              <w:t>Chairman</w:t>
            </w: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rPr>
                <w:sz w:val="20"/>
                <w:szCs w:val="20"/>
                <w:color w:val="auto"/>
              </w:rPr>
            </w:pPr>
            <w:r>
              <w:rPr>
                <w:rFonts w:ascii="Arial" w:cs="Arial" w:eastAsia="Arial" w:hAnsi="Arial"/>
                <w:sz w:val="18"/>
                <w:szCs w:val="18"/>
                <w:color w:val="auto"/>
              </w:rPr>
              <w:t>Jorge L. Benitez</w:t>
            </w:r>
          </w:p>
        </w:tc>
        <w:tc>
          <w:tcPr>
            <w:tcW w:w="2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60" w:type="dxa"/>
            <w:vAlign w:val="bottom"/>
          </w:tcPr>
          <w:p>
            <w:pPr>
              <w:jc w:val="center"/>
              <w:ind w:left="6"/>
              <w:spacing w:after="0"/>
              <w:rPr>
                <w:sz w:val="20"/>
                <w:szCs w:val="20"/>
                <w:color w:val="auto"/>
              </w:rPr>
            </w:pPr>
            <w:r>
              <w:rPr>
                <w:rFonts w:ascii="Arial" w:cs="Arial" w:eastAsia="Arial" w:hAnsi="Arial"/>
                <w:sz w:val="18"/>
                <w:szCs w:val="18"/>
                <w:color w:val="auto"/>
                <w:w w:val="89"/>
              </w:rPr>
              <w:t>Chairman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2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rPr>
                <w:sz w:val="20"/>
                <w:szCs w:val="20"/>
                <w:color w:val="auto"/>
              </w:rPr>
            </w:pPr>
            <w:r>
              <w:rPr>
                <w:rFonts w:ascii="Arial" w:cs="Arial" w:eastAsia="Arial" w:hAnsi="Arial"/>
                <w:sz w:val="18"/>
                <w:szCs w:val="18"/>
                <w:color w:val="auto"/>
              </w:rPr>
              <w:t>Myles Klein</w:t>
            </w:r>
          </w:p>
        </w:tc>
        <w:tc>
          <w:tcPr>
            <w:tcW w:w="2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John L. Manley</w:t>
            </w:r>
          </w:p>
        </w:tc>
        <w:tc>
          <w:tcPr>
            <w:tcW w:w="2560" w:type="dxa"/>
            <w:vAlign w:val="bottom"/>
            <w:shd w:val="clear" w:color="auto" w:fill="CCEEFF"/>
          </w:tcPr>
          <w:p>
            <w:pPr>
              <w:jc w:val="center"/>
              <w:ind w:left="1542"/>
              <w:spacing w:after="0"/>
              <w:rPr>
                <w:sz w:val="20"/>
                <w:szCs w:val="20"/>
                <w:color w:val="auto"/>
              </w:rPr>
            </w:pPr>
            <w:r>
              <w:rPr>
                <w:rFonts w:ascii="Arial" w:cs="Arial" w:eastAsia="Arial" w:hAnsi="Arial"/>
                <w:sz w:val="18"/>
                <w:szCs w:val="18"/>
                <w:color w:val="auto"/>
                <w:w w:val="89"/>
              </w:rPr>
              <w:t>Chairman</w:t>
            </w:r>
          </w:p>
        </w:tc>
        <w:tc>
          <w:tcPr>
            <w:tcW w:w="20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2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25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Chairman</w:t>
            </w: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-1080135</wp:posOffset>
            </wp:positionV>
            <wp:extent cx="2109470" cy="1080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9470" cy="1080770"/>
                    </a:xfrm>
                    <a:prstGeom prst="rect">
                      <a:avLst/>
                    </a:prstGeom>
                    <a:noFill/>
                  </pic:spPr>
                </pic:pic>
              </a:graphicData>
            </a:graphic>
          </wp:anchor>
        </w:drawing>
      </w:r>
    </w:p>
    <w:p>
      <w:pPr>
        <w:spacing w:after="0" w:line="188"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As discussed above, Mr. Klein is not seeking another term on the Board, thus the size of the Audit Committee will be reduced to three members and the Governance Committee will be reduced to six members.</w:t>
      </w:r>
    </w:p>
    <w:p>
      <w:pPr>
        <w:spacing w:after="0" w:line="186" w:lineRule="exact"/>
        <w:rPr>
          <w:sz w:val="20"/>
          <w:szCs w:val="20"/>
          <w:color w:val="auto"/>
        </w:rPr>
      </w:pPr>
    </w:p>
    <w:p>
      <w:pPr>
        <w:ind w:right="220" w:firstLine="615"/>
        <w:spacing w:after="0" w:line="254" w:lineRule="auto"/>
        <w:rPr>
          <w:sz w:val="20"/>
          <w:szCs w:val="20"/>
          <w:color w:val="auto"/>
        </w:rPr>
      </w:pPr>
      <w:r>
        <w:rPr>
          <w:rFonts w:ascii="Arial" w:cs="Arial" w:eastAsia="Arial" w:hAnsi="Arial"/>
          <w:sz w:val="18"/>
          <w:szCs w:val="18"/>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2016, each of the committees reviewed its charter, and the Audit Committee and Technology and Operations Committee revised their charters. A current copy of each committee charter can be found on our website at www.wfscorp.com by clicking on Investor Relations and then Corporate Governance. In 2016, members of each of the committees conducted evaluations of their respective committee's performance during 2016 in accordance with the requirements of their respective committee charters.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Audit Committee consists of Messrs. Kassar, Klein, Presby and Manley, who serves as Chairman. The Audit Committee held nine meetings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 and Financial Expertise</w:t>
      </w:r>
    </w:p>
    <w:p>
      <w:pPr>
        <w:spacing w:after="0" w:line="225" w:lineRule="exact"/>
        <w:rPr>
          <w:sz w:val="20"/>
          <w:szCs w:val="20"/>
          <w:color w:val="auto"/>
        </w:rPr>
      </w:pPr>
    </w:p>
    <w:p>
      <w:pPr>
        <w:jc w:val="both"/>
        <w:ind w:right="100" w:firstLine="611"/>
        <w:spacing w:after="0" w:line="306" w:lineRule="auto"/>
        <w:rPr>
          <w:sz w:val="20"/>
          <w:szCs w:val="20"/>
          <w:color w:val="auto"/>
        </w:rPr>
      </w:pPr>
      <w:r>
        <w:rPr>
          <w:rFonts w:ascii="Arial" w:cs="Arial" w:eastAsia="Arial" w:hAnsi="Arial"/>
          <w:sz w:val="16"/>
          <w:szCs w:val="16"/>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61" w:lineRule="exact"/>
        <w:rPr>
          <w:sz w:val="20"/>
          <w:szCs w:val="20"/>
          <w:color w:val="auto"/>
        </w:rPr>
      </w:pPr>
    </w:p>
    <w:p>
      <w:pPr>
        <w:ind w:right="140" w:firstLine="611"/>
        <w:spacing w:after="0" w:line="306" w:lineRule="auto"/>
        <w:rPr>
          <w:sz w:val="20"/>
          <w:szCs w:val="20"/>
          <w:color w:val="auto"/>
        </w:rPr>
      </w:pPr>
      <w:r>
        <w:rPr>
          <w:rFonts w:ascii="Arial" w:cs="Arial" w:eastAsia="Arial" w:hAnsi="Arial"/>
          <w:sz w:val="16"/>
          <w:szCs w:val="16"/>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right="240" w:firstLine="615"/>
        <w:spacing w:after="0" w:line="286" w:lineRule="auto"/>
        <w:rPr>
          <w:sz w:val="20"/>
          <w:szCs w:val="20"/>
          <w:color w:val="auto"/>
        </w:rPr>
      </w:pPr>
      <w:r>
        <w:rPr>
          <w:rFonts w:ascii="Arial" w:cs="Arial" w:eastAsia="Arial" w:hAnsi="Arial"/>
          <w:sz w:val="16"/>
          <w:szCs w:val="16"/>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principles generally accepted in the United States. Acting for the Board, the Audit Committee provides oversight of the financial reporting process and the internal control system. The Audit Committee is responsible for:</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qualifications, independence and performance of our independent registered certified public accounting firm;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the appointment of our independent registered certified public accounting firm for the ensuing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scope and budget for the annual audit;</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the independent registered certified public accounting firm the results of the audit engagement, including a review of the consolidated financial statements;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all audit and non-audit services to be provided by the independent registered certified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scope of, and compliance with, our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effectiveness of our internal audit function;</w:t>
      </w:r>
    </w:p>
    <w:p>
      <w:pPr>
        <w:spacing w:after="0" w:line="25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auditors our major financial risk exposures and the steps management has taken to monitor and control such exposures, including the Company's risk assessment, risk management programs, and information security;</w:t>
      </w:r>
    </w:p>
    <w:p>
      <w:pPr>
        <w:spacing w:after="0" w:line="152" w:lineRule="exact"/>
        <w:rPr>
          <w:rFonts w:ascii="Arial" w:cs="Arial" w:eastAsia="Arial" w:hAnsi="Arial"/>
          <w:sz w:val="16"/>
          <w:szCs w:val="16"/>
          <w:color w:val="auto"/>
        </w:rPr>
      </w:pPr>
    </w:p>
    <w:p>
      <w:pPr>
        <w:jc w:val="both"/>
        <w:ind w:left="1080" w:right="6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procedures for: (i) the receipt, retention, and treatment of complaints received by the Company from our employees regarding accounting, internal accounting controls, and auditing matters; and (ii) the confidential, anonymous submission by employees of concerns regarding questionable accounting or auditing matters;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and reviewing annually our compliance with our Code of Conduct;</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annually, reviewing with Company counsel any legal matters that could have significant impact on our financial statements or our compliance with applicable laws and regulations;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to the Board that the audited consolidated financial statements be included in our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225" w:lineRule="exact"/>
        <w:rPr>
          <w:sz w:val="20"/>
          <w:szCs w:val="20"/>
          <w:color w:val="auto"/>
        </w:rPr>
      </w:pPr>
    </w:p>
    <w:p>
      <w:pPr>
        <w:ind w:right="780" w:firstLine="611"/>
        <w:spacing w:after="0" w:line="268" w:lineRule="auto"/>
        <w:rPr>
          <w:sz w:val="20"/>
          <w:szCs w:val="20"/>
          <w:color w:val="auto"/>
        </w:rPr>
      </w:pPr>
      <w:r>
        <w:rPr>
          <w:rFonts w:ascii="Arial" w:cs="Arial" w:eastAsia="Arial" w:hAnsi="Arial"/>
          <w:sz w:val="18"/>
          <w:szCs w:val="18"/>
          <w:color w:val="auto"/>
        </w:rPr>
        <w:t>The Compensation Committee consists of Messrs. Kassar, Roddenberry and Bakshi, who serves as Chairman. During 2016, the Compensation Committee held seven meetings.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w:t>
      </w:r>
    </w:p>
    <w:p>
      <w:pPr>
        <w:spacing w:after="0" w:line="225" w:lineRule="exact"/>
        <w:rPr>
          <w:sz w:val="20"/>
          <w:szCs w:val="20"/>
          <w:color w:val="auto"/>
        </w:rPr>
      </w:pPr>
    </w:p>
    <w:p>
      <w:pPr>
        <w:ind w:right="420" w:firstLine="611"/>
        <w:spacing w:after="0" w:line="286" w:lineRule="auto"/>
        <w:rPr>
          <w:sz w:val="20"/>
          <w:szCs w:val="20"/>
          <w:color w:val="auto"/>
        </w:rPr>
      </w:pPr>
      <w:r>
        <w:rPr>
          <w:rFonts w:ascii="Arial" w:cs="Arial" w:eastAsia="Arial" w:hAnsi="Arial"/>
          <w:sz w:val="16"/>
          <w:szCs w:val="16"/>
          <w:color w:val="auto"/>
        </w:rPr>
        <w:t>The Board has determined that each member of the Compensation Committee is independent pursuant to NYSE listing standards, Rule 16b-3 of the Exchange Act and Section 162(m) of the Code. In affirmatively determining the independence of each Compensation Committee member, the Board</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considers all factors specifically relevant to determining whether such director has a relationship with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 The Compensation Committee may form and delegate authority to subcommittees when appropriate.</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role of the Compensation Committee is to establish and oversee the compensation plans, policies and programs applicable to our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responsible for:</w:t>
      </w:r>
    </w:p>
    <w:p>
      <w:pPr>
        <w:spacing w:after="0" w:line="232" w:lineRule="exact"/>
        <w:rPr>
          <w:sz w:val="20"/>
          <w:szCs w:val="20"/>
          <w:color w:val="auto"/>
        </w:rPr>
      </w:pPr>
    </w:p>
    <w:p>
      <w:pPr>
        <w:ind w:left="1080" w:right="4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determining the goals and objectives relevant to the compensation of our Chief Executive Officer and Chairman of the Board (if an officer of the Company);</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Chairman of the Board (if an officer of the Company) in light of such goals and objectives;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the compensation levels of our Chief Executive Officer and Chairman of the Board (if an officer of the Company), including long-term incentive compensation, based on this evaluation;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reviewing and approving goals and objectives relevant to the other named executive officers, based upon recommendations of our Chief Executive Officer;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performance of each named executive officer in light of such goals and objectives;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the named executive officers' compensation levels, including long-term incentive compensation, based on this evaluation and the recommendations of our Chief Executive Officer;</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reviewing and approving the compensation of other executive officers, if any, based upon recommendations of our Chief Executive Officer;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stock option, equity-based and incentive compensation plans and the administration of such plans;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monitoring compliance with stock retention and ownership requirements for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approving employment, severance and consulting contracts with executive officers;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conducting a risk assessment of our compensation policies and practices with respect to all employees, including named executive officers on an annual basis;</w:t>
      </w:r>
    </w:p>
    <w:p>
      <w:pPr>
        <w:spacing w:after="0" w:line="199" w:lineRule="exact"/>
        <w:rPr>
          <w:rFonts w:ascii="Arial" w:cs="Arial" w:eastAsia="Arial" w:hAnsi="Arial"/>
          <w:sz w:val="18"/>
          <w:szCs w:val="18"/>
          <w:color w:val="auto"/>
        </w:rPr>
      </w:pPr>
    </w:p>
    <w:p>
      <w:pPr>
        <w:ind w:left="1080" w:right="220" w:hanging="532"/>
        <w:spacing w:after="0" w:line="25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included in our annual proxy statement or annual report on Form 10-K and recommending such inclusion to the Board;</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results of any advisory shareholder votes on executive compensation and considering whether to recommend adjustments to our executive compensation policies and practices as a result of such votes;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Governance Committee, considering management development and succession;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on non-management director compensation, including stock ownership requirements.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During the 2016 fiscal year, Messrs. Bakshi, Kassar and Roddenberry served as members of our Compensation Committee. None of these directors was employed by us during that time and there were no "compensation committee interlocks" as described under the SEC rules.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Governance Committee and Nominating Subcommittee</w:t>
      </w:r>
    </w:p>
    <w:p>
      <w:pPr>
        <w:spacing w:after="0" w:line="225"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Currently, the Governance Committee consists of seven independent directors: Messrs. Bakshi, Benitez, Kassar, Klein, Manley, Presby and Roddenberry, who serves as Chairman. The Governance Committee meets in executive session (without management present) prior to each scheduled Board meeting and at other times as it deems necessary. The Governance Committee held five meetings during 2016.</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Board has determined that each member of the Governance Committee is independent pursuant to NYSE listing standards.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Governance Committee is responsible for:</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to the Board the corporate governance principles and polices applicable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leading the Board in its annual performance evaluation of the Board and its individual members;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qualifications of, and recommending to the Board, the director nominees for the annual meeting of shareholders and to fill vacancies and newly created directorships;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to the Board the members to serve on the Board's committees;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to the Board criteria for Board membership and the size and composition of the Board;</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recommending performance criteria for the Board and reviewing the procedures, effectiveness and performance of the Board as a whole, the individual directors and the Board's committees;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recommending to the Board whether to accept or reject a director resignation, or take other action, where a director receives a greater number of "withheld" than "for" votes in an uncontested election;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recommending overall compensation for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Compensation Committee, considering management development and succession; and</w:t>
      </w:r>
    </w:p>
    <w:p>
      <w:pPr>
        <w:spacing w:after="0" w:line="238" w:lineRule="exact"/>
        <w:rPr>
          <w:rFonts w:ascii="Arial" w:cs="Arial" w:eastAsia="Arial" w:hAnsi="Arial"/>
          <w:sz w:val="18"/>
          <w:szCs w:val="18"/>
          <w:color w:val="auto"/>
        </w:rPr>
      </w:pPr>
    </w:p>
    <w:p>
      <w:pPr>
        <w:ind w:left="1080" w:right="200" w:hanging="532"/>
        <w:spacing w:after="0" w:line="501"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annually evaluating the performance of the named executive officers and discussing any changes to the named executive officers' compensation. </w:t>
      </w:r>
      <w:r>
        <w:rPr>
          <w:rFonts w:ascii="Arial" w:cs="Arial" w:eastAsia="Arial" w:hAnsi="Arial"/>
          <w:sz w:val="18"/>
          <w:szCs w:val="18"/>
          <w:i w:val="1"/>
          <w:iCs w:val="1"/>
          <w:color w:val="auto"/>
        </w:rPr>
        <w:t>Nominating Subcommittee</w:t>
      </w:r>
    </w:p>
    <w:p>
      <w:pPr>
        <w:jc w:val="both"/>
        <w:ind w:right="80" w:firstLine="611"/>
        <w:spacing w:after="0" w:line="253" w:lineRule="auto"/>
        <w:rPr>
          <w:sz w:val="20"/>
          <w:szCs w:val="20"/>
          <w:color w:val="auto"/>
        </w:rPr>
      </w:pPr>
      <w:r>
        <w:rPr>
          <w:rFonts w:ascii="Arial" w:cs="Arial" w:eastAsia="Arial" w:hAnsi="Arial"/>
          <w:sz w:val="18"/>
          <w:szCs w:val="18"/>
          <w:color w:val="auto"/>
        </w:rPr>
        <w:t>The Nominating Subcommittee was formed by the Governance Committee to assist the Governance Committee with identifying and recruiting qualified candidates for Board membership. The Nominating Subcommittee, which does not have a separate committee charter, consists of two of the members at large of the Governance Committee, currently Messrs. Presby and Bakshi, who serves as Chairman.</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Director Nominee Qualifications and the Nomination Process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Governance Committee believes that the Board should collectively possess a broad range of skills, knowledge, business experience and diversity of backgrounds that provides effective oversight of our business. The Governance Committee has established a matrix of skills and experience which it has determined would be beneficial to have represented on our Board based on a number of factors, including the Company's current operating requirements, business strategy, and the long-term interests of our shareholders. The following table highlights certain of the skills and experience of our Board (additional details are set forth in their individual biographies beginning on page 9 of this proxy statement):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right w:val="single" w:sz="8" w:color="FFFFFE"/>
            </w:tcBorders>
            <w:shd w:val="clear" w:color="auto" w:fill="0048E0"/>
          </w:tcPr>
          <w:p>
            <w:pPr>
              <w:spacing w:after="0"/>
              <w:rPr>
                <w:sz w:val="17"/>
                <w:szCs w:val="17"/>
                <w:color w:val="auto"/>
              </w:rPr>
            </w:pPr>
          </w:p>
        </w:tc>
        <w:tc>
          <w:tcPr>
            <w:tcW w:w="80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Michael</w:t>
            </w:r>
          </w:p>
        </w:tc>
        <w:tc>
          <w:tcPr>
            <w:tcW w:w="700" w:type="dxa"/>
            <w:vAlign w:val="bottom"/>
            <w:tcBorders>
              <w:right w:val="single" w:sz="8" w:color="FFFFFE"/>
            </w:tcBorders>
            <w:vMerge w:val="restart"/>
            <w:shd w:val="clear" w:color="auto" w:fill="0048E0"/>
          </w:tcPr>
          <w:p>
            <w:pPr>
              <w:spacing w:after="0"/>
              <w:rPr>
                <w:sz w:val="20"/>
                <w:szCs w:val="20"/>
                <w:color w:val="auto"/>
              </w:rPr>
            </w:pPr>
            <w:r>
              <w:rPr>
                <w:rFonts w:ascii="Arial" w:cs="Arial" w:eastAsia="Arial" w:hAnsi="Arial"/>
                <w:sz w:val="18"/>
                <w:szCs w:val="18"/>
                <w:b w:val="1"/>
                <w:bCs w:val="1"/>
                <w:color w:val="FFFFFE"/>
              </w:rPr>
              <w:t>Ken</w:t>
            </w:r>
          </w:p>
        </w:tc>
        <w:tc>
          <w:tcPr>
            <w:tcW w:w="74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Jorge</w:t>
            </w:r>
          </w:p>
        </w:tc>
        <w:tc>
          <w:tcPr>
            <w:tcW w:w="80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Richard</w:t>
            </w:r>
          </w:p>
        </w:tc>
        <w:tc>
          <w:tcPr>
            <w:tcW w:w="640" w:type="dxa"/>
            <w:vAlign w:val="bottom"/>
            <w:tcBorders>
              <w:right w:val="single" w:sz="8" w:color="FFFFFE"/>
            </w:tcBorders>
            <w:vMerge w:val="restart"/>
            <w:shd w:val="clear" w:color="auto" w:fill="0048E0"/>
          </w:tcPr>
          <w:p>
            <w:pPr>
              <w:spacing w:after="0"/>
              <w:rPr>
                <w:sz w:val="20"/>
                <w:szCs w:val="20"/>
                <w:color w:val="auto"/>
              </w:rPr>
            </w:pPr>
            <w:r>
              <w:rPr>
                <w:rFonts w:ascii="Arial" w:cs="Arial" w:eastAsia="Arial" w:hAnsi="Arial"/>
                <w:sz w:val="18"/>
                <w:szCs w:val="18"/>
                <w:b w:val="1"/>
                <w:bCs w:val="1"/>
                <w:color w:val="FFFFFE"/>
              </w:rPr>
              <w:t>Myles</w:t>
            </w:r>
          </w:p>
        </w:tc>
        <w:tc>
          <w:tcPr>
            <w:tcW w:w="760" w:type="dxa"/>
            <w:vAlign w:val="bottom"/>
            <w:tcBorders>
              <w:right w:val="single" w:sz="8" w:color="FFFFFE"/>
            </w:tcBorders>
            <w:vMerge w:val="restart"/>
            <w:shd w:val="clear" w:color="auto" w:fill="0048E0"/>
          </w:tcPr>
          <w:p>
            <w:pPr>
              <w:spacing w:after="0"/>
              <w:rPr>
                <w:sz w:val="20"/>
                <w:szCs w:val="20"/>
                <w:color w:val="auto"/>
              </w:rPr>
            </w:pPr>
            <w:r>
              <w:rPr>
                <w:rFonts w:ascii="Arial" w:cs="Arial" w:eastAsia="Arial" w:hAnsi="Arial"/>
                <w:sz w:val="18"/>
                <w:szCs w:val="18"/>
                <w:b w:val="1"/>
                <w:bCs w:val="1"/>
                <w:color w:val="FFFFFE"/>
              </w:rPr>
              <w:t>John L.</w:t>
            </w:r>
          </w:p>
        </w:tc>
        <w:tc>
          <w:tcPr>
            <w:tcW w:w="78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J.</w:t>
            </w:r>
          </w:p>
        </w:tc>
        <w:tc>
          <w:tcPr>
            <w:tcW w:w="1200" w:type="dxa"/>
            <w:vAlign w:val="bottom"/>
            <w:tcBorders>
              <w:right w:val="single" w:sz="8" w:color="FFFFFE"/>
            </w:tcBorders>
            <w:vMerge w:val="restart"/>
            <w:shd w:val="clear" w:color="auto" w:fill="0048E0"/>
          </w:tcPr>
          <w:p>
            <w:pPr>
              <w:ind w:left="20"/>
              <w:spacing w:after="0"/>
              <w:rPr>
                <w:sz w:val="20"/>
                <w:szCs w:val="20"/>
                <w:color w:val="auto"/>
              </w:rPr>
            </w:pPr>
            <w:r>
              <w:rPr>
                <w:rFonts w:ascii="Arial" w:cs="Arial" w:eastAsia="Arial" w:hAnsi="Arial"/>
                <w:sz w:val="18"/>
                <w:szCs w:val="18"/>
                <w:b w:val="1"/>
                <w:bCs w:val="1"/>
                <w:color w:val="FFFFFE"/>
              </w:rPr>
              <w:t>Stephen K.</w:t>
            </w:r>
          </w:p>
        </w:tc>
        <w:tc>
          <w:tcPr>
            <w:tcW w:w="660" w:type="dxa"/>
            <w:vAlign w:val="bottom"/>
            <w:vMerge w:val="restart"/>
            <w:shd w:val="clear" w:color="auto" w:fill="0048E0"/>
          </w:tcPr>
          <w:p>
            <w:pPr>
              <w:spacing w:after="0"/>
              <w:rPr>
                <w:sz w:val="20"/>
                <w:szCs w:val="20"/>
                <w:color w:val="auto"/>
              </w:rPr>
            </w:pPr>
            <w:r>
              <w:rPr>
                <w:rFonts w:ascii="Arial" w:cs="Arial" w:eastAsia="Arial" w:hAnsi="Arial"/>
                <w:sz w:val="18"/>
                <w:szCs w:val="18"/>
                <w:b w:val="1"/>
                <w:bCs w:val="1"/>
                <w:color w:val="FFFFFE"/>
              </w:rPr>
              <w:t>Paul H.</w:t>
            </w:r>
          </w:p>
        </w:tc>
        <w:tc>
          <w:tcPr>
            <w:tcW w:w="0" w:type="dxa"/>
            <w:vAlign w:val="bottom"/>
          </w:tcPr>
          <w:p>
            <w:pPr>
              <w:spacing w:after="0"/>
              <w:rPr>
                <w:sz w:val="1"/>
                <w:szCs w:val="1"/>
                <w:color w:val="auto"/>
              </w:rPr>
            </w:pPr>
          </w:p>
        </w:tc>
      </w:tr>
      <w:tr>
        <w:trPr>
          <w:trHeight w:val="176"/>
        </w:trPr>
        <w:tc>
          <w:tcPr>
            <w:tcW w:w="4340" w:type="dxa"/>
            <w:vAlign w:val="bottom"/>
            <w:tcBorders>
              <w:right w:val="single" w:sz="8" w:color="FFFFFE"/>
            </w:tcBorders>
            <w:shd w:val="clear" w:color="auto" w:fill="0048E0"/>
          </w:tcPr>
          <w:p>
            <w:pPr>
              <w:spacing w:after="0" w:line="176" w:lineRule="exact"/>
              <w:rPr>
                <w:sz w:val="20"/>
                <w:szCs w:val="20"/>
                <w:color w:val="auto"/>
              </w:rPr>
            </w:pPr>
            <w:r>
              <w:rPr>
                <w:rFonts w:ascii="Arial" w:cs="Arial" w:eastAsia="Arial" w:hAnsi="Arial"/>
                <w:sz w:val="18"/>
                <w:szCs w:val="18"/>
                <w:b w:val="1"/>
                <w:bCs w:val="1"/>
                <w:color w:val="FFFFFE"/>
              </w:rPr>
              <w:t>Skills and Qualifications</w:t>
            </w:r>
          </w:p>
        </w:tc>
        <w:tc>
          <w:tcPr>
            <w:tcW w:w="800" w:type="dxa"/>
            <w:vAlign w:val="bottom"/>
            <w:tcBorders>
              <w:right w:val="single" w:sz="8" w:color="FFFFFE"/>
            </w:tcBorders>
            <w:shd w:val="clear" w:color="auto" w:fill="0048E0"/>
          </w:tcPr>
          <w:p>
            <w:pPr>
              <w:spacing w:after="0" w:line="176" w:lineRule="exact"/>
              <w:rPr>
                <w:sz w:val="20"/>
                <w:szCs w:val="20"/>
                <w:color w:val="auto"/>
              </w:rPr>
            </w:pPr>
            <w:r>
              <w:rPr>
                <w:rFonts w:ascii="Arial" w:cs="Arial" w:eastAsia="Arial" w:hAnsi="Arial"/>
                <w:sz w:val="18"/>
                <w:szCs w:val="18"/>
                <w:b w:val="1"/>
                <w:bCs w:val="1"/>
                <w:color w:val="FFFFFE"/>
              </w:rPr>
              <w:t>J.</w:t>
            </w:r>
          </w:p>
        </w:tc>
        <w:tc>
          <w:tcPr>
            <w:tcW w:w="700" w:type="dxa"/>
            <w:vAlign w:val="bottom"/>
            <w:tcBorders>
              <w:right w:val="single" w:sz="8" w:color="FFFFFE"/>
            </w:tcBorders>
            <w:vMerge w:val="continue"/>
            <w:shd w:val="clear" w:color="auto" w:fill="0048E0"/>
          </w:tcPr>
          <w:p>
            <w:pPr>
              <w:spacing w:after="0"/>
              <w:rPr>
                <w:sz w:val="15"/>
                <w:szCs w:val="15"/>
                <w:color w:val="auto"/>
              </w:rPr>
            </w:pPr>
          </w:p>
        </w:tc>
        <w:tc>
          <w:tcPr>
            <w:tcW w:w="740" w:type="dxa"/>
            <w:vAlign w:val="bottom"/>
            <w:shd w:val="clear" w:color="auto" w:fill="0048E0"/>
          </w:tcPr>
          <w:p>
            <w:pPr>
              <w:spacing w:after="0" w:line="176" w:lineRule="exact"/>
              <w:rPr>
                <w:sz w:val="20"/>
                <w:szCs w:val="20"/>
                <w:color w:val="auto"/>
              </w:rPr>
            </w:pPr>
            <w:r>
              <w:rPr>
                <w:rFonts w:ascii="Arial" w:cs="Arial" w:eastAsia="Arial" w:hAnsi="Arial"/>
                <w:sz w:val="18"/>
                <w:szCs w:val="18"/>
                <w:b w:val="1"/>
                <w:bCs w:val="1"/>
                <w:color w:val="FFFFFE"/>
              </w:rPr>
              <w:t>L.</w:t>
            </w:r>
          </w:p>
        </w:tc>
        <w:tc>
          <w:tcPr>
            <w:tcW w:w="800" w:type="dxa"/>
            <w:vAlign w:val="bottom"/>
            <w:tcBorders>
              <w:right w:val="single" w:sz="8" w:color="FFFFFE"/>
            </w:tcBorders>
            <w:shd w:val="clear" w:color="auto" w:fill="0048E0"/>
          </w:tcPr>
          <w:p>
            <w:pPr>
              <w:spacing w:after="0" w:line="176" w:lineRule="exact"/>
              <w:rPr>
                <w:sz w:val="20"/>
                <w:szCs w:val="20"/>
                <w:color w:val="auto"/>
              </w:rPr>
            </w:pPr>
            <w:r>
              <w:rPr>
                <w:rFonts w:ascii="Arial" w:cs="Arial" w:eastAsia="Arial" w:hAnsi="Arial"/>
                <w:sz w:val="18"/>
                <w:szCs w:val="18"/>
                <w:b w:val="1"/>
                <w:bCs w:val="1"/>
                <w:color w:val="FFFFFE"/>
              </w:rPr>
              <w:t>A.</w:t>
            </w:r>
          </w:p>
        </w:tc>
        <w:tc>
          <w:tcPr>
            <w:tcW w:w="640" w:type="dxa"/>
            <w:vAlign w:val="bottom"/>
            <w:tcBorders>
              <w:right w:val="single" w:sz="8" w:color="FFFFFE"/>
            </w:tcBorders>
            <w:vMerge w:val="continue"/>
            <w:shd w:val="clear" w:color="auto" w:fill="0048E0"/>
          </w:tcPr>
          <w:p>
            <w:pPr>
              <w:spacing w:after="0"/>
              <w:rPr>
                <w:sz w:val="15"/>
                <w:szCs w:val="15"/>
                <w:color w:val="auto"/>
              </w:rPr>
            </w:pPr>
          </w:p>
        </w:tc>
        <w:tc>
          <w:tcPr>
            <w:tcW w:w="760" w:type="dxa"/>
            <w:vAlign w:val="bottom"/>
            <w:tcBorders>
              <w:right w:val="single" w:sz="8" w:color="FFFFFE"/>
            </w:tcBorders>
            <w:vMerge w:val="continue"/>
            <w:shd w:val="clear" w:color="auto" w:fill="0048E0"/>
          </w:tcPr>
          <w:p>
            <w:pPr>
              <w:spacing w:after="0"/>
              <w:rPr>
                <w:sz w:val="15"/>
                <w:szCs w:val="15"/>
                <w:color w:val="auto"/>
              </w:rPr>
            </w:pPr>
          </w:p>
        </w:tc>
        <w:tc>
          <w:tcPr>
            <w:tcW w:w="780" w:type="dxa"/>
            <w:vAlign w:val="bottom"/>
            <w:shd w:val="clear" w:color="auto" w:fill="0048E0"/>
          </w:tcPr>
          <w:p>
            <w:pPr>
              <w:spacing w:after="0" w:line="176" w:lineRule="exact"/>
              <w:rPr>
                <w:sz w:val="20"/>
                <w:szCs w:val="20"/>
                <w:color w:val="auto"/>
              </w:rPr>
            </w:pPr>
            <w:r>
              <w:rPr>
                <w:rFonts w:ascii="Arial" w:cs="Arial" w:eastAsia="Arial" w:hAnsi="Arial"/>
                <w:sz w:val="18"/>
                <w:szCs w:val="18"/>
                <w:b w:val="1"/>
                <w:bCs w:val="1"/>
                <w:color w:val="FFFFFE"/>
              </w:rPr>
              <w:t>Thomas</w:t>
            </w:r>
          </w:p>
        </w:tc>
        <w:tc>
          <w:tcPr>
            <w:tcW w:w="1200" w:type="dxa"/>
            <w:vAlign w:val="bottom"/>
            <w:tcBorders>
              <w:right w:val="single" w:sz="8" w:color="FFFFFE"/>
            </w:tcBorders>
            <w:vMerge w:val="continue"/>
            <w:shd w:val="clear" w:color="auto" w:fill="0048E0"/>
          </w:tcPr>
          <w:p>
            <w:pPr>
              <w:spacing w:after="0"/>
              <w:rPr>
                <w:sz w:val="15"/>
                <w:szCs w:val="15"/>
                <w:color w:val="auto"/>
              </w:rPr>
            </w:pPr>
          </w:p>
        </w:tc>
        <w:tc>
          <w:tcPr>
            <w:tcW w:w="660" w:type="dxa"/>
            <w:vAlign w:val="bottom"/>
            <w:vMerge w:val="continue"/>
            <w:shd w:val="clear" w:color="auto" w:fill="0048E0"/>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340" w:type="dxa"/>
            <w:vAlign w:val="bottom"/>
            <w:tcBorders>
              <w:right w:val="single" w:sz="8" w:color="FFFFFE"/>
            </w:tcBorders>
            <w:shd w:val="clear" w:color="auto" w:fill="0048E0"/>
          </w:tcPr>
          <w:p>
            <w:pPr>
              <w:spacing w:after="0"/>
              <w:rPr>
                <w:sz w:val="23"/>
                <w:szCs w:val="23"/>
                <w:color w:val="auto"/>
              </w:rPr>
            </w:pPr>
          </w:p>
        </w:tc>
        <w:tc>
          <w:tcPr>
            <w:tcW w:w="80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Kasbar</w:t>
            </w:r>
          </w:p>
        </w:tc>
        <w:tc>
          <w:tcPr>
            <w:tcW w:w="70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Bakshi</w:t>
            </w:r>
          </w:p>
        </w:tc>
        <w:tc>
          <w:tcPr>
            <w:tcW w:w="74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Benitez</w:t>
            </w:r>
          </w:p>
        </w:tc>
        <w:tc>
          <w:tcPr>
            <w:tcW w:w="80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Kassar</w:t>
            </w:r>
          </w:p>
        </w:tc>
        <w:tc>
          <w:tcPr>
            <w:tcW w:w="64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Klein</w:t>
            </w:r>
          </w:p>
        </w:tc>
        <w:tc>
          <w:tcPr>
            <w:tcW w:w="760" w:type="dxa"/>
            <w:vAlign w:val="bottom"/>
            <w:tcBorders>
              <w:right w:val="single" w:sz="8" w:color="FFFFFE"/>
            </w:tcBorders>
            <w:shd w:val="clear" w:color="auto" w:fill="0048E0"/>
          </w:tcPr>
          <w:p>
            <w:pPr>
              <w:spacing w:after="0"/>
              <w:rPr>
                <w:sz w:val="20"/>
                <w:szCs w:val="20"/>
                <w:color w:val="auto"/>
              </w:rPr>
            </w:pPr>
            <w:r>
              <w:rPr>
                <w:rFonts w:ascii="Arial" w:cs="Arial" w:eastAsia="Arial" w:hAnsi="Arial"/>
                <w:sz w:val="18"/>
                <w:szCs w:val="18"/>
                <w:b w:val="1"/>
                <w:bCs w:val="1"/>
                <w:color w:val="FFFFFE"/>
              </w:rPr>
              <w:t>Manley</w:t>
            </w:r>
          </w:p>
        </w:tc>
        <w:tc>
          <w:tcPr>
            <w:tcW w:w="78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Presby</w:t>
            </w:r>
          </w:p>
        </w:tc>
        <w:tc>
          <w:tcPr>
            <w:tcW w:w="1200" w:type="dxa"/>
            <w:vAlign w:val="bottom"/>
            <w:tcBorders>
              <w:right w:val="single" w:sz="8" w:color="FFFFFE"/>
            </w:tcBorders>
            <w:shd w:val="clear" w:color="auto" w:fill="0048E0"/>
          </w:tcPr>
          <w:p>
            <w:pPr>
              <w:ind w:left="20"/>
              <w:spacing w:after="0"/>
              <w:rPr>
                <w:sz w:val="20"/>
                <w:szCs w:val="20"/>
                <w:color w:val="auto"/>
              </w:rPr>
            </w:pPr>
            <w:r>
              <w:rPr>
                <w:rFonts w:ascii="Arial" w:cs="Arial" w:eastAsia="Arial" w:hAnsi="Arial"/>
                <w:sz w:val="18"/>
                <w:szCs w:val="18"/>
                <w:b w:val="1"/>
                <w:bCs w:val="1"/>
                <w:color w:val="FFFFFE"/>
              </w:rPr>
              <w:t>Roddenberry</w:t>
            </w:r>
          </w:p>
        </w:tc>
        <w:tc>
          <w:tcPr>
            <w:tcW w:w="66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w w:val="84"/>
              </w:rPr>
              <w:t>Stebbins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31" w:right="239" w:bottom="1440" w:gutter="0" w:footer="0" w:header="0"/>
        </w:sectPr>
      </w:pPr>
    </w:p>
    <w:p>
      <w:pPr>
        <w:jc w:val="both"/>
        <w:ind w:right="80"/>
        <w:spacing w:after="0" w:line="254" w:lineRule="auto"/>
        <w:rPr>
          <w:sz w:val="20"/>
          <w:szCs w:val="20"/>
          <w:color w:val="auto"/>
        </w:rPr>
      </w:pPr>
      <w:r>
        <w:rPr>
          <w:rFonts w:ascii="Arial" w:cs="Arial" w:eastAsia="Arial" w:hAnsi="Arial"/>
          <w:sz w:val="18"/>
          <w:szCs w:val="18"/>
          <w:b w:val="1"/>
          <w:bCs w:val="1"/>
          <w:color w:val="auto"/>
        </w:rPr>
        <w:t xml:space="preserve">Accounting/Finance </w:t>
      </w:r>
      <w:r>
        <w:rPr>
          <w:rFonts w:ascii="Arial" w:cs="Arial" w:eastAsia="Arial" w:hAnsi="Arial"/>
          <w:sz w:val="18"/>
          <w:szCs w:val="18"/>
          <w:color w:val="auto"/>
        </w:rPr>
        <w:t>to provide insight and guidance on</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internal controls, our capital structure and financial transactions</w:t>
      </w:r>
    </w:p>
    <w:p>
      <w:pPr>
        <w:spacing w:after="0" w:line="220" w:lineRule="exact"/>
        <w:rPr>
          <w:sz w:val="20"/>
          <w:szCs w:val="20"/>
          <w:color w:val="auto"/>
        </w:rPr>
      </w:pPr>
    </w:p>
    <w:p>
      <w:pPr>
        <w:ind w:right="200"/>
        <w:spacing w:after="0" w:line="378" w:lineRule="auto"/>
        <w:rPr>
          <w:sz w:val="20"/>
          <w:szCs w:val="20"/>
          <w:color w:val="auto"/>
        </w:rPr>
      </w:pPr>
      <w:r>
        <w:rPr>
          <w:rFonts w:ascii="Arial" w:cs="Arial" w:eastAsia="Arial" w:hAnsi="Arial"/>
          <w:sz w:val="15"/>
          <w:szCs w:val="15"/>
          <w:b w:val="1"/>
          <w:bCs w:val="1"/>
          <w:color w:val="auto"/>
        </w:rPr>
        <w:t xml:space="preserve">Commodities Trading </w:t>
      </w:r>
      <w:r>
        <w:rPr>
          <w:rFonts w:ascii="Arial" w:cs="Arial" w:eastAsia="Arial" w:hAnsi="Arial"/>
          <w:sz w:val="15"/>
          <w:szCs w:val="15"/>
          <w:color w:val="auto"/>
        </w:rPr>
        <w:t>to understand and advise on the</w:t>
      </w:r>
      <w:r>
        <w:rPr>
          <w:rFonts w:ascii="Arial" w:cs="Arial" w:eastAsia="Arial" w:hAnsi="Arial"/>
          <w:sz w:val="15"/>
          <w:szCs w:val="15"/>
          <w:b w:val="1"/>
          <w:bCs w:val="1"/>
          <w:color w:val="auto"/>
        </w:rPr>
        <w:t xml:space="preserve"> </w:t>
      </w:r>
      <w:r>
        <w:rPr>
          <w:rFonts w:ascii="Arial" w:cs="Arial" w:eastAsia="Arial" w:hAnsi="Arial"/>
          <w:sz w:val="15"/>
          <w:szCs w:val="15"/>
          <w:color w:val="auto"/>
        </w:rPr>
        <w:t>fuel price risk management aspect of our operations</w:t>
      </w:r>
    </w:p>
    <w:p>
      <w:pPr>
        <w:spacing w:after="0" w:line="132"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 xml:space="preserve">Corporate Governance / Other Public Company Directorship </w:t>
      </w:r>
      <w:r>
        <w:rPr>
          <w:rFonts w:ascii="Arial" w:cs="Arial" w:eastAsia="Arial" w:hAnsi="Arial"/>
          <w:sz w:val="15"/>
          <w:szCs w:val="15"/>
          <w:color w:val="auto"/>
        </w:rPr>
        <w:t>to ensure a solid background and knowledge</w:t>
      </w:r>
      <w:r>
        <w:rPr>
          <w:rFonts w:ascii="Arial" w:cs="Arial" w:eastAsia="Arial" w:hAnsi="Arial"/>
          <w:sz w:val="15"/>
          <w:szCs w:val="15"/>
          <w:b w:val="1"/>
          <w:bCs w:val="1"/>
          <w:color w:val="auto"/>
        </w:rPr>
        <w:t xml:space="preserve"> </w:t>
      </w:r>
      <w:r>
        <w:rPr>
          <w:rFonts w:ascii="Arial" w:cs="Arial" w:eastAsia="Arial" w:hAnsi="Arial"/>
          <w:sz w:val="15"/>
          <w:szCs w:val="15"/>
          <w:color w:val="auto"/>
        </w:rPr>
        <w:t>necessary to understand oversight and governance roles</w:t>
      </w:r>
    </w:p>
    <w:p>
      <w:pPr>
        <w:spacing w:after="0" w:line="160" w:lineRule="exact"/>
        <w:rPr>
          <w:sz w:val="20"/>
          <w:szCs w:val="20"/>
          <w:color w:val="auto"/>
        </w:rPr>
      </w:pPr>
    </w:p>
    <w:p>
      <w:pPr>
        <w:ind w:right="340"/>
        <w:spacing w:after="0" w:line="378" w:lineRule="auto"/>
        <w:rPr>
          <w:sz w:val="20"/>
          <w:szCs w:val="20"/>
          <w:color w:val="auto"/>
        </w:rPr>
      </w:pPr>
      <w:r>
        <w:rPr>
          <w:rFonts w:ascii="Arial" w:cs="Arial" w:eastAsia="Arial" w:hAnsi="Arial"/>
          <w:sz w:val="15"/>
          <w:szCs w:val="15"/>
          <w:b w:val="1"/>
          <w:bCs w:val="1"/>
          <w:color w:val="auto"/>
        </w:rPr>
        <w:t xml:space="preserve">Information Technology </w:t>
      </w:r>
      <w:r>
        <w:rPr>
          <w:rFonts w:ascii="Arial" w:cs="Arial" w:eastAsia="Arial" w:hAnsi="Arial"/>
          <w:sz w:val="15"/>
          <w:szCs w:val="15"/>
          <w:color w:val="auto"/>
        </w:rPr>
        <w:t>to assess the best tools to</w:t>
      </w:r>
      <w:r>
        <w:rPr>
          <w:rFonts w:ascii="Arial" w:cs="Arial" w:eastAsia="Arial" w:hAnsi="Arial"/>
          <w:sz w:val="15"/>
          <w:szCs w:val="15"/>
          <w:b w:val="1"/>
          <w:bCs w:val="1"/>
          <w:color w:val="auto"/>
        </w:rPr>
        <w:t xml:space="preserve"> </w:t>
      </w:r>
      <w:r>
        <w:rPr>
          <w:rFonts w:ascii="Arial" w:cs="Arial" w:eastAsia="Arial" w:hAnsi="Arial"/>
          <w:sz w:val="15"/>
          <w:szCs w:val="15"/>
          <w:color w:val="auto"/>
        </w:rPr>
        <w:t>enhance business operations and customer experience</w:t>
      </w:r>
    </w:p>
    <w:p>
      <w:pPr>
        <w:spacing w:after="0" w:line="13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International Operations </w:t>
      </w:r>
      <w:r>
        <w:rPr>
          <w:rFonts w:ascii="Arial" w:cs="Arial" w:eastAsia="Arial" w:hAnsi="Arial"/>
          <w:sz w:val="18"/>
          <w:szCs w:val="18"/>
          <w:color w:val="auto"/>
        </w:rPr>
        <w:t>to aid in the oversight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global operations</w:t>
      </w:r>
    </w:p>
    <w:p>
      <w:pPr>
        <w:spacing w:after="0" w:line="201" w:lineRule="exact"/>
        <w:rPr>
          <w:sz w:val="20"/>
          <w:szCs w:val="20"/>
          <w:color w:val="auto"/>
        </w:rPr>
      </w:pPr>
    </w:p>
    <w:p>
      <w:pPr>
        <w:jc w:val="both"/>
        <w:ind w:right="220"/>
        <w:spacing w:after="0" w:line="339" w:lineRule="auto"/>
        <w:rPr>
          <w:sz w:val="20"/>
          <w:szCs w:val="20"/>
          <w:color w:val="auto"/>
        </w:rPr>
      </w:pPr>
      <w:r>
        <w:rPr>
          <w:rFonts w:ascii="Arial" w:cs="Arial" w:eastAsia="Arial" w:hAnsi="Arial"/>
          <w:sz w:val="16"/>
          <w:szCs w:val="16"/>
          <w:b w:val="1"/>
          <w:bCs w:val="1"/>
          <w:color w:val="auto"/>
        </w:rPr>
        <w:t xml:space="preserve">Investment Banking/Capital Markets </w:t>
      </w:r>
      <w:r>
        <w:rPr>
          <w:rFonts w:ascii="Arial" w:cs="Arial" w:eastAsia="Arial" w:hAnsi="Arial"/>
          <w:sz w:val="16"/>
          <w:szCs w:val="16"/>
          <w:color w:val="auto"/>
        </w:rPr>
        <w:t>to evaluate our</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capital raising strategies</w:t>
      </w:r>
    </w:p>
    <w:p>
      <w:pPr>
        <w:spacing w:after="0" w:line="156"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 xml:space="preserve">Legal and Regulatory </w:t>
      </w:r>
      <w:r>
        <w:rPr>
          <w:rFonts w:ascii="Arial" w:cs="Arial" w:eastAsia="Arial" w:hAnsi="Arial"/>
          <w:sz w:val="16"/>
          <w:szCs w:val="16"/>
          <w:color w:val="auto"/>
        </w:rPr>
        <w:t>to understand and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regulatory environment in which our business operates and our legal risks and obligations</w:t>
      </w:r>
    </w:p>
    <w:p>
      <w:pPr>
        <w:spacing w:after="0" w:line="17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Management </w:t>
      </w:r>
      <w:r>
        <w:rPr>
          <w:rFonts w:ascii="Arial" w:cs="Arial" w:eastAsia="Arial" w:hAnsi="Arial"/>
          <w:sz w:val="18"/>
          <w:szCs w:val="18"/>
          <w:color w:val="auto"/>
        </w:rPr>
        <w:t>to oversee the leadership and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senior management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jc w:val="right"/>
              <w:ind w:right="216"/>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5"/>
        </w:trPr>
        <w:tc>
          <w:tcPr>
            <w:tcW w:w="500" w:type="dxa"/>
            <w:vAlign w:val="bottom"/>
            <w:vMerge w:val="continue"/>
          </w:tcPr>
          <w:p>
            <w:pPr>
              <w:spacing w:after="0"/>
              <w:rPr>
                <w:sz w:val="24"/>
                <w:szCs w:val="24"/>
                <w:color w:val="auto"/>
              </w:rPr>
            </w:pPr>
          </w:p>
        </w:tc>
        <w:tc>
          <w:tcPr>
            <w:tcW w:w="720" w:type="dxa"/>
            <w:vAlign w:val="bottom"/>
            <w:tcBorders>
              <w:left w:val="single" w:sz="8" w:color="FFFFFE"/>
              <w:right w:val="single" w:sz="8" w:color="FFFFFE"/>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right w:val="single" w:sz="8" w:color="FFFFFE"/>
            </w:tcBorders>
          </w:tcPr>
          <w:p>
            <w:pPr>
              <w:spacing w:after="0"/>
              <w:rPr>
                <w:sz w:val="24"/>
                <w:szCs w:val="24"/>
                <w:color w:val="auto"/>
              </w:rPr>
            </w:pPr>
          </w:p>
        </w:tc>
        <w:tc>
          <w:tcPr>
            <w:tcW w:w="780" w:type="dxa"/>
            <w:vAlign w:val="bottom"/>
            <w:tcBorders>
              <w:right w:val="single" w:sz="8" w:color="FFFFFE"/>
            </w:tcBorders>
          </w:tcPr>
          <w:p>
            <w:pPr>
              <w:spacing w:after="0"/>
              <w:rPr>
                <w:sz w:val="24"/>
                <w:szCs w:val="24"/>
                <w:color w:val="auto"/>
              </w:rPr>
            </w:pPr>
          </w:p>
        </w:tc>
        <w:tc>
          <w:tcPr>
            <w:tcW w:w="640" w:type="dxa"/>
            <w:vAlign w:val="bottom"/>
            <w:tcBorders>
              <w:right w:val="single" w:sz="8" w:color="FFFFFE"/>
            </w:tcBorders>
          </w:tcPr>
          <w:p>
            <w:pPr>
              <w:spacing w:after="0"/>
              <w:rPr>
                <w:sz w:val="24"/>
                <w:szCs w:val="24"/>
                <w:color w:val="auto"/>
              </w:rPr>
            </w:pPr>
          </w:p>
        </w:tc>
        <w:tc>
          <w:tcPr>
            <w:tcW w:w="740" w:type="dxa"/>
            <w:vAlign w:val="bottom"/>
            <w:vMerge w:val="continue"/>
          </w:tcPr>
          <w:p>
            <w:pPr>
              <w:spacing w:after="0"/>
              <w:rPr>
                <w:sz w:val="24"/>
                <w:szCs w:val="24"/>
                <w:color w:val="auto"/>
              </w:rPr>
            </w:pPr>
          </w:p>
        </w:tc>
        <w:tc>
          <w:tcPr>
            <w:tcW w:w="280" w:type="dxa"/>
            <w:vAlign w:val="bottom"/>
            <w:tcBorders>
              <w:left w:val="single" w:sz="8" w:color="FFFFF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FFFFFE"/>
            </w:tcBorders>
          </w:tcPr>
          <w:p>
            <w:pPr>
              <w:spacing w:after="0"/>
              <w:rPr>
                <w:sz w:val="24"/>
                <w:szCs w:val="24"/>
                <w:color w:val="auto"/>
              </w:rPr>
            </w:pPr>
          </w:p>
        </w:tc>
        <w:tc>
          <w:tcPr>
            <w:tcW w:w="1180" w:type="dxa"/>
            <w:vAlign w:val="bottom"/>
            <w:tcBorders>
              <w:right w:val="single" w:sz="8" w:color="FFFFFE"/>
            </w:tcBorders>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720" w:type="dxa"/>
            <w:vAlign w:val="bottom"/>
            <w:tcBorders>
              <w:left w:val="single" w:sz="8" w:color="FFFFFE"/>
              <w:right w:val="single" w:sz="8" w:color="FFFFFE"/>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right w:val="single" w:sz="8" w:color="FFFFFE"/>
            </w:tcBorders>
          </w:tcPr>
          <w:p>
            <w:pPr>
              <w:spacing w:after="0"/>
              <w:rPr>
                <w:sz w:val="9"/>
                <w:szCs w:val="9"/>
                <w:color w:val="auto"/>
              </w:rPr>
            </w:pPr>
          </w:p>
        </w:tc>
        <w:tc>
          <w:tcPr>
            <w:tcW w:w="780" w:type="dxa"/>
            <w:vAlign w:val="bottom"/>
            <w:tcBorders>
              <w:right w:val="single" w:sz="8" w:color="FFFFFE"/>
            </w:tcBorders>
          </w:tcPr>
          <w:p>
            <w:pPr>
              <w:spacing w:after="0"/>
              <w:rPr>
                <w:sz w:val="9"/>
                <w:szCs w:val="9"/>
                <w:color w:val="auto"/>
              </w:rPr>
            </w:pPr>
          </w:p>
        </w:tc>
        <w:tc>
          <w:tcPr>
            <w:tcW w:w="640" w:type="dxa"/>
            <w:vAlign w:val="bottom"/>
            <w:tcBorders>
              <w:right w:val="single" w:sz="8" w:color="FFFFFE"/>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left w:val="single" w:sz="8" w:color="FFFFFE"/>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right w:val="single" w:sz="8" w:color="FFFFFE"/>
            </w:tcBorders>
          </w:tcPr>
          <w:p>
            <w:pPr>
              <w:spacing w:after="0"/>
              <w:rPr>
                <w:sz w:val="9"/>
                <w:szCs w:val="9"/>
                <w:color w:val="auto"/>
              </w:rPr>
            </w:pPr>
          </w:p>
        </w:tc>
        <w:tc>
          <w:tcPr>
            <w:tcW w:w="1180" w:type="dxa"/>
            <w:vAlign w:val="bottom"/>
            <w:tcBorders>
              <w:right w:val="single" w:sz="8" w:color="FFFFFE"/>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Arial" w:cs="Arial" w:eastAsia="Arial" w:hAnsi="Arial"/>
                <w:sz w:val="16"/>
                <w:szCs w:val="16"/>
                <w:color w:val="auto"/>
                <w:w w:val="74"/>
              </w:rPr>
              <w:t>·</w:t>
            </w:r>
          </w:p>
        </w:tc>
        <w:tc>
          <w:tcPr>
            <w:tcW w:w="13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500" w:type="dxa"/>
            <w:vAlign w:val="bottom"/>
            <w:vMerge w:val="continue"/>
          </w:tcPr>
          <w:p>
            <w:pPr>
              <w:spacing w:after="0"/>
              <w:rPr>
                <w:sz w:val="24"/>
                <w:szCs w:val="24"/>
                <w:color w:val="auto"/>
              </w:rPr>
            </w:pPr>
          </w:p>
        </w:tc>
        <w:tc>
          <w:tcPr>
            <w:tcW w:w="720" w:type="dxa"/>
            <w:vAlign w:val="bottom"/>
            <w:tcBorders>
              <w:left w:val="single" w:sz="8" w:color="FFFFFE"/>
              <w:right w:val="single" w:sz="8" w:color="FFFFFE"/>
            </w:tcBorders>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FFFFFE"/>
            </w:tcBorders>
          </w:tcPr>
          <w:p>
            <w:pPr>
              <w:spacing w:after="0"/>
              <w:rPr>
                <w:sz w:val="24"/>
                <w:szCs w:val="24"/>
                <w:color w:val="auto"/>
              </w:rPr>
            </w:pPr>
          </w:p>
        </w:tc>
        <w:tc>
          <w:tcPr>
            <w:tcW w:w="780" w:type="dxa"/>
            <w:vAlign w:val="bottom"/>
            <w:tcBorders>
              <w:right w:val="single" w:sz="8" w:color="FFFFFE"/>
            </w:tcBorders>
          </w:tcPr>
          <w:p>
            <w:pPr>
              <w:spacing w:after="0"/>
              <w:rPr>
                <w:sz w:val="24"/>
                <w:szCs w:val="24"/>
                <w:color w:val="auto"/>
              </w:rPr>
            </w:pPr>
          </w:p>
        </w:tc>
        <w:tc>
          <w:tcPr>
            <w:tcW w:w="640" w:type="dxa"/>
            <w:vAlign w:val="bottom"/>
            <w:tcBorders>
              <w:right w:val="single" w:sz="8" w:color="FFFFFE"/>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left w:val="single" w:sz="8" w:color="FFFFF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FFFFFE"/>
            </w:tcBorders>
          </w:tcPr>
          <w:p>
            <w:pPr>
              <w:spacing w:after="0"/>
              <w:rPr>
                <w:sz w:val="24"/>
                <w:szCs w:val="24"/>
                <w:color w:val="auto"/>
              </w:rPr>
            </w:pPr>
          </w:p>
        </w:tc>
        <w:tc>
          <w:tcPr>
            <w:tcW w:w="1180" w:type="dxa"/>
            <w:vAlign w:val="bottom"/>
            <w:tcBorders>
              <w:right w:val="single" w:sz="8" w:color="FFFFFE"/>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720" w:type="dxa"/>
            <w:vAlign w:val="bottom"/>
            <w:tcBorders>
              <w:left w:val="single" w:sz="8" w:color="FFFFFE"/>
              <w:right w:val="single" w:sz="8" w:color="FFFFFE"/>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right w:val="single" w:sz="8" w:color="FFFFFE"/>
            </w:tcBorders>
          </w:tcPr>
          <w:p>
            <w:pPr>
              <w:spacing w:after="0"/>
              <w:rPr>
                <w:sz w:val="9"/>
                <w:szCs w:val="9"/>
                <w:color w:val="auto"/>
              </w:rPr>
            </w:pPr>
          </w:p>
        </w:tc>
        <w:tc>
          <w:tcPr>
            <w:tcW w:w="780" w:type="dxa"/>
            <w:vAlign w:val="bottom"/>
            <w:tcBorders>
              <w:right w:val="single" w:sz="8" w:color="FFFFFE"/>
            </w:tcBorders>
          </w:tcPr>
          <w:p>
            <w:pPr>
              <w:spacing w:after="0"/>
              <w:rPr>
                <w:sz w:val="9"/>
                <w:szCs w:val="9"/>
                <w:color w:val="auto"/>
              </w:rPr>
            </w:pPr>
          </w:p>
        </w:tc>
        <w:tc>
          <w:tcPr>
            <w:tcW w:w="640" w:type="dxa"/>
            <w:vAlign w:val="bottom"/>
            <w:tcBorders>
              <w:right w:val="single" w:sz="8" w:color="FFFFFE"/>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left w:val="single" w:sz="8" w:color="FFFFFE"/>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right w:val="single" w:sz="8" w:color="FFFFFE"/>
            </w:tcBorders>
          </w:tcPr>
          <w:p>
            <w:pPr>
              <w:spacing w:after="0"/>
              <w:rPr>
                <w:sz w:val="9"/>
                <w:szCs w:val="9"/>
                <w:color w:val="auto"/>
              </w:rPr>
            </w:pPr>
          </w:p>
        </w:tc>
        <w:tc>
          <w:tcPr>
            <w:tcW w:w="1180" w:type="dxa"/>
            <w:vAlign w:val="bottom"/>
            <w:tcBorders>
              <w:right w:val="single" w:sz="8" w:color="FFFFFE"/>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5"/>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5"/>
        </w:trPr>
        <w:tc>
          <w:tcPr>
            <w:tcW w:w="500" w:type="dxa"/>
            <w:vAlign w:val="bottom"/>
          </w:tcPr>
          <w:p>
            <w:pPr>
              <w:spacing w:after="0"/>
              <w:rPr>
                <w:sz w:val="24"/>
                <w:szCs w:val="24"/>
                <w:color w:val="auto"/>
              </w:rPr>
            </w:pPr>
          </w:p>
        </w:tc>
        <w:tc>
          <w:tcPr>
            <w:tcW w:w="720" w:type="dxa"/>
            <w:vAlign w:val="bottom"/>
            <w:tcBorders>
              <w:left w:val="single" w:sz="8" w:color="FFFFFE"/>
              <w:right w:val="single" w:sz="8" w:color="FFFFFE"/>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right w:val="single" w:sz="8" w:color="FFFFFE"/>
            </w:tcBorders>
          </w:tcPr>
          <w:p>
            <w:pPr>
              <w:spacing w:after="0"/>
              <w:rPr>
                <w:sz w:val="24"/>
                <w:szCs w:val="24"/>
                <w:color w:val="auto"/>
              </w:rPr>
            </w:pPr>
          </w:p>
        </w:tc>
        <w:tc>
          <w:tcPr>
            <w:tcW w:w="780" w:type="dxa"/>
            <w:vAlign w:val="bottom"/>
            <w:tcBorders>
              <w:right w:val="single" w:sz="8" w:color="FFFFFE"/>
            </w:tcBorders>
          </w:tcPr>
          <w:p>
            <w:pPr>
              <w:jc w:val="right"/>
              <w:ind w:right="372"/>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FFFFFE"/>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left w:val="single" w:sz="8" w:color="FFFFF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FFFFFE"/>
            </w:tcBorders>
          </w:tcPr>
          <w:p>
            <w:pPr>
              <w:spacing w:after="0"/>
              <w:rPr>
                <w:sz w:val="24"/>
                <w:szCs w:val="24"/>
                <w:color w:val="auto"/>
              </w:rPr>
            </w:pPr>
          </w:p>
        </w:tc>
        <w:tc>
          <w:tcPr>
            <w:tcW w:w="1180" w:type="dxa"/>
            <w:vAlign w:val="bottom"/>
            <w:tcBorders>
              <w:right w:val="single" w:sz="8" w:color="FFFFFE"/>
            </w:tcBorders>
          </w:tcPr>
          <w:p>
            <w:pPr>
              <w:jc w:val="right"/>
              <w:ind w:right="5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720" w:type="dxa"/>
            <w:vAlign w:val="bottom"/>
            <w:tcBorders>
              <w:left w:val="single" w:sz="8" w:color="FFFFFE"/>
              <w:right w:val="single" w:sz="8" w:color="FFFFFE"/>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right w:val="single" w:sz="8" w:color="FFFFFE"/>
            </w:tcBorders>
          </w:tcPr>
          <w:p>
            <w:pPr>
              <w:spacing w:after="0"/>
              <w:rPr>
                <w:sz w:val="9"/>
                <w:szCs w:val="9"/>
                <w:color w:val="auto"/>
              </w:rPr>
            </w:pPr>
          </w:p>
        </w:tc>
        <w:tc>
          <w:tcPr>
            <w:tcW w:w="780" w:type="dxa"/>
            <w:vAlign w:val="bottom"/>
            <w:tcBorders>
              <w:right w:val="single" w:sz="8" w:color="FFFFFE"/>
            </w:tcBorders>
          </w:tcPr>
          <w:p>
            <w:pPr>
              <w:spacing w:after="0"/>
              <w:rPr>
                <w:sz w:val="9"/>
                <w:szCs w:val="9"/>
                <w:color w:val="auto"/>
              </w:rPr>
            </w:pPr>
          </w:p>
        </w:tc>
        <w:tc>
          <w:tcPr>
            <w:tcW w:w="640" w:type="dxa"/>
            <w:vAlign w:val="bottom"/>
            <w:tcBorders>
              <w:right w:val="single" w:sz="8" w:color="FFFFFE"/>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left w:val="single" w:sz="8" w:color="FFFFFE"/>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right w:val="single" w:sz="8" w:color="FFFFFE"/>
            </w:tcBorders>
          </w:tcPr>
          <w:p>
            <w:pPr>
              <w:spacing w:after="0"/>
              <w:rPr>
                <w:sz w:val="9"/>
                <w:szCs w:val="9"/>
                <w:color w:val="auto"/>
              </w:rPr>
            </w:pPr>
          </w:p>
        </w:tc>
        <w:tc>
          <w:tcPr>
            <w:tcW w:w="1180" w:type="dxa"/>
            <w:vAlign w:val="bottom"/>
            <w:tcBorders>
              <w:right w:val="single" w:sz="8" w:color="FFFFFE"/>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vMerge w:val="restart"/>
          </w:tcPr>
          <w:p>
            <w:pPr>
              <w:jc w:val="right"/>
              <w:ind w:right="216"/>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500" w:type="dxa"/>
            <w:vAlign w:val="bottom"/>
            <w:vMerge w:val="continue"/>
          </w:tcPr>
          <w:p>
            <w:pPr>
              <w:spacing w:after="0"/>
              <w:rPr>
                <w:sz w:val="24"/>
                <w:szCs w:val="24"/>
                <w:color w:val="auto"/>
              </w:rPr>
            </w:pPr>
          </w:p>
        </w:tc>
        <w:tc>
          <w:tcPr>
            <w:tcW w:w="720" w:type="dxa"/>
            <w:vAlign w:val="bottom"/>
            <w:tcBorders>
              <w:left w:val="single" w:sz="8" w:color="FFFFFE"/>
              <w:right w:val="single" w:sz="8" w:color="FFFFFE"/>
            </w:tcBorders>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FFFFFE"/>
            </w:tcBorders>
          </w:tcPr>
          <w:p>
            <w:pPr>
              <w:spacing w:after="0"/>
              <w:rPr>
                <w:sz w:val="24"/>
                <w:szCs w:val="24"/>
                <w:color w:val="auto"/>
              </w:rPr>
            </w:pPr>
          </w:p>
        </w:tc>
        <w:tc>
          <w:tcPr>
            <w:tcW w:w="780" w:type="dxa"/>
            <w:vAlign w:val="bottom"/>
            <w:tcBorders>
              <w:right w:val="single" w:sz="8" w:color="FFFFFE"/>
            </w:tcBorders>
          </w:tcPr>
          <w:p>
            <w:pPr>
              <w:spacing w:after="0"/>
              <w:rPr>
                <w:sz w:val="24"/>
                <w:szCs w:val="24"/>
                <w:color w:val="auto"/>
              </w:rPr>
            </w:pPr>
          </w:p>
        </w:tc>
        <w:tc>
          <w:tcPr>
            <w:tcW w:w="640" w:type="dxa"/>
            <w:vAlign w:val="bottom"/>
            <w:tcBorders>
              <w:right w:val="single" w:sz="8" w:color="FFFFFE"/>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left w:val="single" w:sz="8" w:color="FFFFFE"/>
            </w:tcBorders>
          </w:tcPr>
          <w:p>
            <w:pPr>
              <w:spacing w:after="0"/>
              <w:rPr>
                <w:sz w:val="24"/>
                <w:szCs w:val="24"/>
                <w:color w:val="auto"/>
              </w:rPr>
            </w:pPr>
          </w:p>
        </w:tc>
        <w:tc>
          <w:tcPr>
            <w:tcW w:w="360" w:type="dxa"/>
            <w:vAlign w:val="bottom"/>
            <w:vMerge w:val="continue"/>
          </w:tcPr>
          <w:p>
            <w:pPr>
              <w:spacing w:after="0"/>
              <w:rPr>
                <w:sz w:val="24"/>
                <w:szCs w:val="24"/>
                <w:color w:val="auto"/>
              </w:rPr>
            </w:pPr>
          </w:p>
        </w:tc>
        <w:tc>
          <w:tcPr>
            <w:tcW w:w="180" w:type="dxa"/>
            <w:vAlign w:val="bottom"/>
            <w:tcBorders>
              <w:right w:val="single" w:sz="8" w:color="FFFFFE"/>
            </w:tcBorders>
          </w:tcPr>
          <w:p>
            <w:pPr>
              <w:spacing w:after="0"/>
              <w:rPr>
                <w:sz w:val="24"/>
                <w:szCs w:val="24"/>
                <w:color w:val="auto"/>
              </w:rPr>
            </w:pPr>
          </w:p>
        </w:tc>
        <w:tc>
          <w:tcPr>
            <w:tcW w:w="1180" w:type="dxa"/>
            <w:vAlign w:val="bottom"/>
            <w:tcBorders>
              <w:right w:val="single" w:sz="8" w:color="FFFFFE"/>
            </w:tcBorders>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720" w:type="dxa"/>
            <w:vAlign w:val="bottom"/>
            <w:tcBorders>
              <w:left w:val="single" w:sz="8" w:color="FFFFFE"/>
              <w:right w:val="single" w:sz="8" w:color="FFFFFE"/>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right w:val="single" w:sz="8" w:color="FFFFFE"/>
            </w:tcBorders>
          </w:tcPr>
          <w:p>
            <w:pPr>
              <w:spacing w:after="0"/>
              <w:rPr>
                <w:sz w:val="9"/>
                <w:szCs w:val="9"/>
                <w:color w:val="auto"/>
              </w:rPr>
            </w:pPr>
          </w:p>
        </w:tc>
        <w:tc>
          <w:tcPr>
            <w:tcW w:w="780" w:type="dxa"/>
            <w:vAlign w:val="bottom"/>
            <w:tcBorders>
              <w:right w:val="single" w:sz="8" w:color="FFFFFE"/>
            </w:tcBorders>
          </w:tcPr>
          <w:p>
            <w:pPr>
              <w:spacing w:after="0"/>
              <w:rPr>
                <w:sz w:val="9"/>
                <w:szCs w:val="9"/>
                <w:color w:val="auto"/>
              </w:rPr>
            </w:pPr>
          </w:p>
        </w:tc>
        <w:tc>
          <w:tcPr>
            <w:tcW w:w="640" w:type="dxa"/>
            <w:vAlign w:val="bottom"/>
            <w:tcBorders>
              <w:right w:val="single" w:sz="8" w:color="FFFFFE"/>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left w:val="single" w:sz="8" w:color="FFFFFE"/>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right w:val="single" w:sz="8" w:color="FFFFFE"/>
            </w:tcBorders>
          </w:tcPr>
          <w:p>
            <w:pPr>
              <w:spacing w:after="0"/>
              <w:rPr>
                <w:sz w:val="9"/>
                <w:szCs w:val="9"/>
                <w:color w:val="auto"/>
              </w:rPr>
            </w:pPr>
          </w:p>
        </w:tc>
        <w:tc>
          <w:tcPr>
            <w:tcW w:w="1180" w:type="dxa"/>
            <w:vAlign w:val="bottom"/>
            <w:tcBorders>
              <w:right w:val="single" w:sz="8" w:color="FFFFFE"/>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gridSpan w:val="5"/>
          </w:tcPr>
          <w:p>
            <w:pPr>
              <w:ind w:left="200"/>
              <w:spacing w:after="0"/>
              <w:rPr>
                <w:sz w:val="20"/>
                <w:szCs w:val="20"/>
                <w:color w:val="auto"/>
              </w:rPr>
            </w:pPr>
            <w:r>
              <w:rPr>
                <w:rFonts w:ascii="Arial" w:cs="Arial" w:eastAsia="Arial" w:hAnsi="Arial"/>
                <w:sz w:val="18"/>
                <w:szCs w:val="18"/>
                <w:b w:val="1"/>
                <w:bCs w:val="1"/>
                <w:color w:val="0048E0"/>
                <w:w w:val="88"/>
              </w:rPr>
              <w:t>World Fuel Services Corporation</w:t>
            </w:r>
          </w:p>
        </w:tc>
        <w:tc>
          <w:tcPr>
            <w:tcW w:w="36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w w:val="96"/>
              </w:rPr>
              <w:t>2017 Proxy Statement  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109220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-3575685</wp:posOffset>
            </wp:positionV>
            <wp:extent cx="724662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-2580640</wp:posOffset>
            </wp:positionV>
            <wp:extent cx="7246620"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-1723390</wp:posOffset>
            </wp:positionV>
            <wp:extent cx="724662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-728345</wp:posOffset>
            </wp:positionV>
            <wp:extent cx="7246620" cy="428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ectPr>
          <w:pgSz w:w="11900" w:h="16838" w:orient="portrait"/>
          <w:cols w:equalWidth="0" w:num="2">
            <w:col w:w="4120" w:space="500"/>
            <w:col w:w="6800"/>
          </w:cols>
          <w:pgMar w:left="240" w:top="131"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11"/>
        <w:spacing w:after="0" w:line="290" w:lineRule="auto"/>
        <w:rPr>
          <w:sz w:val="20"/>
          <w:szCs w:val="20"/>
          <w:color w:val="auto"/>
        </w:rPr>
      </w:pPr>
      <w:r>
        <w:rPr>
          <w:rFonts w:ascii="Arial" w:cs="Arial" w:eastAsia="Arial" w:hAnsi="Arial"/>
          <w:sz w:val="16"/>
          <w:szCs w:val="16"/>
          <w:color w:val="auto"/>
        </w:rPr>
        <w:t>The Governance Committee periodically assesses the skills and experience required of directors, comparing the Company's needs in Board composition and the individual skills and experience of our directors. This assessment enables the Governance Committee to update the skills and experience it seeks in the Board, as a whole and in individual directors, as the Company's needs evolve over time in order to maintain a balance of knowledge, experience and capabilities. As a result of such periodic assessment, the Governance Committee evaluates current directors and potential director nominees and will recommend any changes to Board size or composition that it believes is necessary to create a balanced and effective Board. To the extent that the Governance Committee believes that specific skills or experience needs to be added to the Board, the Governance Committee initiates a search for a Board nominee, seeking input from board members and senior management, and hiring a search firm, if deemed necessary.</w:t>
      </w:r>
    </w:p>
    <w:p>
      <w:pPr>
        <w:spacing w:after="0" w:line="172" w:lineRule="exact"/>
        <w:rPr>
          <w:sz w:val="20"/>
          <w:szCs w:val="20"/>
          <w:color w:val="auto"/>
        </w:rPr>
      </w:pPr>
    </w:p>
    <w:p>
      <w:pPr>
        <w:ind w:right="60" w:firstLine="611"/>
        <w:spacing w:after="0" w:line="254" w:lineRule="auto"/>
        <w:rPr>
          <w:sz w:val="20"/>
          <w:szCs w:val="20"/>
          <w:color w:val="auto"/>
        </w:rPr>
      </w:pPr>
      <w:r>
        <w:rPr>
          <w:rFonts w:ascii="Arial" w:cs="Arial" w:eastAsia="Arial" w:hAnsi="Arial"/>
          <w:sz w:val="18"/>
          <w:szCs w:val="18"/>
          <w:color w:val="auto"/>
        </w:rPr>
        <w:t>The Governance Committee believes that its goal is to assemble the best Board possible that will bring to us a variety of perspectives and skills derived from high quality business and professional experience. There are no specific, minimum qualifications that must be met by each nominee, however, the Governance Committee evaluates a candidate's intellect, integrity and judgment as well other factors deemed appropriate in adding value to the composition of the Board, such as public service. In addition, the Governance Committee evaluates a nominee based on his or her diversity of background, skills, experience and viewpoints. The Governance Committee believes that it has been able to attract and appoint directors of diverse backgrounds in the past using the criteria such as that described above.</w:t>
      </w:r>
    </w:p>
    <w:p>
      <w:pPr>
        <w:spacing w:after="0" w:line="19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Finally, in order to ensure that our independent directors have sufficient time to devote to overseeing the Company, our Corporate Governance Principles prohibit such directors from serving on the board of directors of more than three other publicly-traded companies, unless the Board determines that such service will not impair the ability of such director to effectively perform his or her obligations as our director.</w:t>
      </w:r>
    </w:p>
    <w:p>
      <w:pPr>
        <w:spacing w:after="0" w:line="161" w:lineRule="exact"/>
        <w:rPr>
          <w:sz w:val="20"/>
          <w:szCs w:val="20"/>
          <w:color w:val="auto"/>
        </w:rPr>
      </w:pPr>
    </w:p>
    <w:p>
      <w:pPr>
        <w:ind w:right="240" w:firstLine="611"/>
        <w:spacing w:after="0" w:line="294" w:lineRule="auto"/>
        <w:rPr>
          <w:sz w:val="20"/>
          <w:szCs w:val="20"/>
          <w:color w:val="auto"/>
        </w:rPr>
      </w:pPr>
      <w:r>
        <w:rPr>
          <w:rFonts w:ascii="Arial" w:cs="Arial" w:eastAsia="Arial" w:hAnsi="Arial"/>
          <w:sz w:val="16"/>
          <w:szCs w:val="16"/>
          <w:color w:val="auto"/>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Governance Committee may also retain professional search firms to identify director candidates and maintains the authority to approve the fees and other retention terms of any such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Technology and Operations Committee</w:t>
      </w:r>
    </w:p>
    <w:p>
      <w:pPr>
        <w:spacing w:after="0" w:line="225"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Technology and Operations Committee currently consists of four independent directors, Messrs. Bakshi, Manley, Kassar and Benitez, who serves as Chairman. The Technology and Operations Committee held four meetings during 2016.</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right="300" w:firstLine="611"/>
        <w:spacing w:after="0" w:line="253" w:lineRule="auto"/>
        <w:rPr>
          <w:sz w:val="20"/>
          <w:szCs w:val="20"/>
          <w:color w:val="auto"/>
        </w:rPr>
      </w:pPr>
      <w:r>
        <w:rPr>
          <w:rFonts w:ascii="Arial" w:cs="Arial" w:eastAsia="Arial" w:hAnsi="Arial"/>
          <w:sz w:val="18"/>
          <w:szCs w:val="18"/>
          <w:color w:val="auto"/>
        </w:rPr>
        <w:t>The primary purpose of the Technology and Operations Committee is to oversee our significant technology and operations initiatives. In addition, the Technology and Operations Committee is responsible for oversight of risks associated with information technology operations, including matters relating to business continuity, disaster recovery and other technology-related risks.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231" w:lineRule="exact"/>
        <w:rPr>
          <w:sz w:val="20"/>
          <w:szCs w:val="20"/>
          <w:color w:val="auto"/>
        </w:rPr>
      </w:pPr>
    </w:p>
    <w:p>
      <w:pPr>
        <w:jc w:val="both"/>
        <w:ind w:right="100" w:firstLine="611"/>
        <w:spacing w:after="0" w:line="259" w:lineRule="auto"/>
        <w:rPr>
          <w:sz w:val="20"/>
          <w:szCs w:val="20"/>
          <w:color w:val="auto"/>
        </w:rPr>
      </w:pPr>
      <w:r>
        <w:rPr>
          <w:rFonts w:ascii="Arial" w:cs="Arial" w:eastAsia="Arial" w:hAnsi="Arial"/>
          <w:sz w:val="18"/>
          <w:szCs w:val="18"/>
          <w:color w:val="auto"/>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Role of the lead independent director;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qualifications, functions and tenure;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Committees of the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development and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resignation policy in uncontested elections;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sz w:val="20"/>
          <w:szCs w:val="20"/>
          <w:color w:val="auto"/>
        </w:rPr>
      </w:pPr>
    </w:p>
    <w:p>
      <w:pPr>
        <w:ind w:right="360" w:firstLine="615"/>
        <w:spacing w:after="0" w:line="259" w:lineRule="auto"/>
        <w:rPr>
          <w:sz w:val="20"/>
          <w:szCs w:val="20"/>
          <w:color w:val="auto"/>
        </w:rPr>
      </w:pPr>
      <w:r>
        <w:rPr>
          <w:rFonts w:ascii="Arial" w:cs="Arial" w:eastAsia="Arial" w:hAnsi="Arial"/>
          <w:sz w:val="18"/>
          <w:szCs w:val="18"/>
          <w:color w:val="auto"/>
        </w:rPr>
        <w:t>Our Corporate Governance Principles are available on our website at www.wfscorp.com by clicking on Investor Relations and then Corporate Governance. Copies of this document may also be obtained by any shareholder, without charge, by writing to our Corporate Secretary at World Fuel Services Corporation, 9800 Northwest 41st Street, Miami, Florida 33178.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40" w:firstLine="605"/>
        <w:spacing w:after="0" w:line="287" w:lineRule="auto"/>
        <w:rPr>
          <w:sz w:val="20"/>
          <w:szCs w:val="20"/>
          <w:color w:val="auto"/>
        </w:rPr>
      </w:pPr>
      <w:r>
        <w:rPr>
          <w:rFonts w:ascii="Arial" w:cs="Arial" w:eastAsia="Arial" w:hAnsi="Arial"/>
          <w:sz w:val="16"/>
          <w:szCs w:val="16"/>
          <w:color w:val="auto"/>
        </w:rPr>
        <w:t>All of our employees, officers (including our principal executive, financial and accounting officers) and directors are held accountable for adherence to our Code of Conduct. Our Code of Conduct is available in multiple languages on our website at www.wfscorp.com, either by clicking on About Us and then Ethics &amp; Compliance, or by clicking on Investor Relations and then Corporate Governance. The Code of Conduct is intended to provide guidance to all of our employees, officers and directors as to conduct over a wide range 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the environment, human rights and modern slavery),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our behalf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 website at www.wfscorp.com.</w:t>
      </w:r>
    </w:p>
    <w:p>
      <w:pPr>
        <w:spacing w:after="0" w:line="177" w:lineRule="exact"/>
        <w:rPr>
          <w:sz w:val="20"/>
          <w:szCs w:val="20"/>
          <w:color w:val="auto"/>
        </w:rPr>
      </w:pPr>
    </w:p>
    <w:p>
      <w:pPr>
        <w:ind w:right="100" w:firstLine="611"/>
        <w:spacing w:after="0" w:line="332" w:lineRule="auto"/>
        <w:rPr>
          <w:sz w:val="20"/>
          <w:szCs w:val="20"/>
          <w:color w:val="auto"/>
        </w:rPr>
      </w:pPr>
      <w:r>
        <w:rPr>
          <w:rFonts w:ascii="Arial" w:cs="Arial" w:eastAsia="Arial" w:hAnsi="Arial"/>
          <w:sz w:val="16"/>
          <w:szCs w:val="16"/>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w:t>
      </w:r>
    </w:p>
    <w:p>
      <w:pPr>
        <w:spacing w:after="0" w:line="13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practices. In addition, the Audit Committee has established procedures to receive, retain and address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 forth in the Code of Conduct. We have advised employees of our policy not to retaliate or take any other detrimental action against employees who submit such complaints in good faith.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31"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and executive officers, including persons who have at any time since the beginning of our last fiscal year served in that role and any nominees to become a director;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we know to be the beneficial owner of more than 5% of any class of our voting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ind w:right="60" w:firstLine="615"/>
        <w:spacing w:after="0" w:line="312" w:lineRule="auto"/>
        <w:rPr>
          <w:sz w:val="20"/>
          <w:szCs w:val="20"/>
          <w:color w:val="auto"/>
        </w:rPr>
      </w:pPr>
      <w:r>
        <w:rPr>
          <w:rFonts w:ascii="Arial" w:cs="Arial" w:eastAsia="Arial" w:hAnsi="Arial"/>
          <w:sz w:val="15"/>
          <w:szCs w:val="15"/>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(e.g. dividends).</w:t>
      </w:r>
    </w:p>
    <w:p>
      <w:pPr>
        <w:spacing w:after="0" w:line="159"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benefits to us;</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on a director's independence, if relevant;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available to unrelated third parties or to employees generally.</w:t>
      </w:r>
    </w:p>
    <w:p>
      <w:pPr>
        <w:spacing w:after="0" w:line="225" w:lineRule="exact"/>
        <w:rPr>
          <w:sz w:val="20"/>
          <w:szCs w:val="20"/>
          <w:color w:val="auto"/>
        </w:rPr>
      </w:pPr>
    </w:p>
    <w:p>
      <w:pPr>
        <w:ind w:right="80" w:firstLine="605"/>
        <w:spacing w:after="0" w:line="255" w:lineRule="auto"/>
        <w:rPr>
          <w:sz w:val="20"/>
          <w:szCs w:val="20"/>
          <w:color w:val="auto"/>
        </w:rPr>
      </w:pPr>
      <w:r>
        <w:rPr>
          <w:rFonts w:ascii="Arial" w:cs="Arial" w:eastAsia="Arial" w:hAnsi="Arial"/>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reportable transactions in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Board and each of its committees oversee the risks pertaining to their principal areas of focus as described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Board or</w:t>
            </w:r>
          </w:p>
        </w:tc>
        <w:tc>
          <w:tcPr>
            <w:tcW w:w="280" w:type="dxa"/>
            <w:vAlign w:val="bottom"/>
            <w:shd w:val="clear" w:color="auto" w:fill="0048E0"/>
          </w:tcPr>
          <w:p>
            <w:pPr>
              <w:spacing w:after="0"/>
              <w:rPr>
                <w:sz w:val="17"/>
                <w:szCs w:val="17"/>
                <w:color w:val="auto"/>
              </w:rPr>
            </w:pPr>
          </w:p>
        </w:tc>
        <w:tc>
          <w:tcPr>
            <w:tcW w:w="10020" w:type="dxa"/>
            <w:vAlign w:val="bottom"/>
            <w:vMerge w:val="restart"/>
            <w:shd w:val="clear" w:color="auto" w:fill="0048E0"/>
          </w:tcPr>
          <w:p>
            <w:pPr>
              <w:ind w:left="4060"/>
              <w:spacing w:after="0"/>
              <w:rPr>
                <w:sz w:val="20"/>
                <w:szCs w:val="20"/>
                <w:color w:val="auto"/>
              </w:rPr>
            </w:pPr>
            <w:r>
              <w:rPr>
                <w:rFonts w:ascii="Arial" w:cs="Arial" w:eastAsia="Arial" w:hAnsi="Arial"/>
                <w:sz w:val="18"/>
                <w:szCs w:val="18"/>
                <w:b w:val="1"/>
                <w:bCs w:val="1"/>
                <w:color w:val="FFFFFE"/>
              </w:rPr>
              <w:t>Area of Risk Oversight</w:t>
            </w:r>
          </w:p>
        </w:tc>
        <w:tc>
          <w:tcPr>
            <w:tcW w:w="0" w:type="dxa"/>
            <w:vAlign w:val="bottom"/>
          </w:tcPr>
          <w:p>
            <w:pPr>
              <w:spacing w:after="0"/>
              <w:rPr>
                <w:sz w:val="1"/>
                <w:szCs w:val="1"/>
                <w:color w:val="auto"/>
              </w:rPr>
            </w:pPr>
          </w:p>
        </w:tc>
      </w:tr>
      <w:tr>
        <w:trPr>
          <w:trHeight w:val="120"/>
        </w:trPr>
        <w:tc>
          <w:tcPr>
            <w:tcW w:w="1120" w:type="dxa"/>
            <w:vAlign w:val="bottom"/>
            <w:vMerge w:val="restart"/>
            <w:shd w:val="clear" w:color="auto" w:fill="0048E0"/>
          </w:tcPr>
          <w:p>
            <w:pPr>
              <w:ind w:left="180"/>
              <w:spacing w:after="0"/>
              <w:rPr>
                <w:sz w:val="20"/>
                <w:szCs w:val="20"/>
                <w:color w:val="auto"/>
              </w:rPr>
            </w:pPr>
            <w:r>
              <w:rPr>
                <w:rFonts w:ascii="Arial" w:cs="Arial" w:eastAsia="Arial" w:hAnsi="Arial"/>
                <w:sz w:val="18"/>
                <w:szCs w:val="18"/>
                <w:b w:val="1"/>
                <w:bCs w:val="1"/>
                <w:color w:val="FFFFFE"/>
                <w:w w:val="98"/>
              </w:rPr>
              <w:t>Committee</w:t>
            </w:r>
          </w:p>
        </w:tc>
        <w:tc>
          <w:tcPr>
            <w:tcW w:w="280" w:type="dxa"/>
            <w:vAlign w:val="bottom"/>
            <w:shd w:val="clear" w:color="auto" w:fill="0048E0"/>
          </w:tcPr>
          <w:p>
            <w:pPr>
              <w:spacing w:after="0"/>
              <w:rPr>
                <w:sz w:val="10"/>
                <w:szCs w:val="10"/>
                <w:color w:val="auto"/>
              </w:rPr>
            </w:pPr>
          </w:p>
        </w:tc>
        <w:tc>
          <w:tcPr>
            <w:tcW w:w="10020" w:type="dxa"/>
            <w:vAlign w:val="bottom"/>
            <w:vMerge w:val="continue"/>
            <w:shd w:val="clear" w:color="auto" w:fill="0048E0"/>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20" w:type="dxa"/>
            <w:vAlign w:val="bottom"/>
            <w:vMerge w:val="continue"/>
            <w:shd w:val="clear" w:color="auto" w:fill="0048E0"/>
          </w:tcPr>
          <w:p>
            <w:pPr>
              <w:spacing w:after="0"/>
              <w:rPr>
                <w:sz w:val="9"/>
                <w:szCs w:val="9"/>
                <w:color w:val="auto"/>
              </w:rPr>
            </w:pPr>
          </w:p>
        </w:tc>
        <w:tc>
          <w:tcPr>
            <w:tcW w:w="280" w:type="dxa"/>
            <w:vAlign w:val="bottom"/>
            <w:shd w:val="clear" w:color="auto" w:fill="0048E0"/>
          </w:tcPr>
          <w:p>
            <w:pPr>
              <w:spacing w:after="0"/>
              <w:rPr>
                <w:sz w:val="9"/>
                <w:szCs w:val="9"/>
                <w:color w:val="auto"/>
              </w:rPr>
            </w:pPr>
          </w:p>
        </w:tc>
        <w:tc>
          <w:tcPr>
            <w:tcW w:w="10020" w:type="dxa"/>
            <w:vAlign w:val="bottom"/>
            <w:shd w:val="clear" w:color="auto" w:fill="0048E0"/>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20"/>
                <w:szCs w:val="20"/>
                <w:color w:val="auto"/>
              </w:rPr>
            </w:pPr>
            <w:r>
              <w:rPr>
                <w:rFonts w:ascii="Arial" w:cs="Arial" w:eastAsia="Arial" w:hAnsi="Arial"/>
                <w:sz w:val="18"/>
                <w:szCs w:val="18"/>
                <w:color w:val="auto"/>
              </w:rPr>
              <w:t>Board</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020" w:type="dxa"/>
            <w:vAlign w:val="bottom"/>
          </w:tcPr>
          <w:p>
            <w:pPr>
              <w:ind w:left="140"/>
              <w:spacing w:after="0"/>
              <w:rPr>
                <w:sz w:val="20"/>
                <w:szCs w:val="20"/>
                <w:color w:val="auto"/>
              </w:rPr>
            </w:pPr>
            <w:r>
              <w:rPr>
                <w:rFonts w:ascii="Arial" w:cs="Arial" w:eastAsia="Arial" w:hAnsi="Arial"/>
                <w:sz w:val="18"/>
                <w:szCs w:val="18"/>
                <w:color w:val="auto"/>
                <w:w w:val="88"/>
              </w:rPr>
              <w:t>Considers strategic and operational risks associated with the annual operating plan and other current matters that may present material risks</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to our operations, plans, prospects or reputation and risks associated with acquisitions.</w:t>
            </w:r>
          </w:p>
        </w:tc>
        <w:tc>
          <w:tcPr>
            <w:tcW w:w="0" w:type="dxa"/>
            <w:vAlign w:val="bottom"/>
          </w:tcPr>
          <w:p>
            <w:pPr>
              <w:spacing w:after="0"/>
              <w:rPr>
                <w:sz w:val="1"/>
                <w:szCs w:val="1"/>
                <w:color w:val="auto"/>
              </w:rPr>
            </w:pPr>
          </w:p>
        </w:tc>
      </w:tr>
      <w:tr>
        <w:trPr>
          <w:trHeight w:val="210"/>
        </w:trPr>
        <w:tc>
          <w:tcPr>
            <w:tcW w:w="1120" w:type="dxa"/>
            <w:vAlign w:val="bottom"/>
            <w:shd w:val="clear" w:color="auto" w:fill="B3E0FF"/>
          </w:tcPr>
          <w:p>
            <w:pPr>
              <w:spacing w:after="0"/>
              <w:rPr>
                <w:sz w:val="20"/>
                <w:szCs w:val="20"/>
                <w:color w:val="auto"/>
              </w:rPr>
            </w:pPr>
            <w:r>
              <w:rPr>
                <w:rFonts w:ascii="Arial" w:cs="Arial" w:eastAsia="Arial" w:hAnsi="Arial"/>
                <w:sz w:val="18"/>
                <w:szCs w:val="18"/>
                <w:color w:val="auto"/>
              </w:rPr>
              <w:t>Audit</w:t>
            </w:r>
          </w:p>
        </w:tc>
        <w:tc>
          <w:tcPr>
            <w:tcW w:w="280" w:type="dxa"/>
            <w:vAlign w:val="bottom"/>
            <w:shd w:val="clear" w:color="auto" w:fill="B3E0FF"/>
          </w:tcPr>
          <w:p>
            <w:pPr>
              <w:ind w:left="100"/>
              <w:spacing w:after="0"/>
              <w:rPr>
                <w:sz w:val="20"/>
                <w:szCs w:val="20"/>
                <w:color w:val="auto"/>
              </w:rPr>
            </w:pPr>
            <w:r>
              <w:rPr>
                <w:rFonts w:ascii="Arial" w:cs="Arial" w:eastAsia="Arial" w:hAnsi="Arial"/>
                <w:sz w:val="18"/>
                <w:szCs w:val="18"/>
                <w:color w:val="auto"/>
              </w:rPr>
              <w:t>•</w:t>
            </w:r>
          </w:p>
        </w:tc>
        <w:tc>
          <w:tcPr>
            <w:tcW w:w="10020" w:type="dxa"/>
            <w:vAlign w:val="bottom"/>
            <w:shd w:val="clear" w:color="auto" w:fill="B3E0FF"/>
          </w:tcPr>
          <w:p>
            <w:pPr>
              <w:ind w:left="140"/>
              <w:spacing w:after="0"/>
              <w:rPr>
                <w:sz w:val="20"/>
                <w:szCs w:val="20"/>
                <w:color w:val="auto"/>
              </w:rPr>
            </w:pPr>
            <w:r>
              <w:rPr>
                <w:rFonts w:ascii="Arial" w:cs="Arial" w:eastAsia="Arial" w:hAnsi="Arial"/>
                <w:sz w:val="18"/>
                <w:szCs w:val="18"/>
                <w:color w:val="auto"/>
                <w:w w:val="92"/>
              </w:rPr>
              <w:t>Considers risks associated with the financial reporting and disclosure process, major litigation and regulation and legal compliance and</w:t>
            </w:r>
          </w:p>
        </w:tc>
        <w:tc>
          <w:tcPr>
            <w:tcW w:w="0" w:type="dxa"/>
            <w:vAlign w:val="bottom"/>
          </w:tcPr>
          <w:p>
            <w:pPr>
              <w:spacing w:after="0"/>
              <w:rPr>
                <w:sz w:val="1"/>
                <w:szCs w:val="1"/>
                <w:color w:val="auto"/>
              </w:rPr>
            </w:pPr>
          </w:p>
        </w:tc>
      </w:tr>
      <w:tr>
        <w:trPr>
          <w:trHeight w:val="216"/>
        </w:trPr>
        <w:tc>
          <w:tcPr>
            <w:tcW w:w="1120" w:type="dxa"/>
            <w:vAlign w:val="bottom"/>
            <w:shd w:val="clear" w:color="auto" w:fill="B3E0FF"/>
          </w:tcPr>
          <w:p>
            <w:pPr>
              <w:spacing w:after="0"/>
              <w:rPr>
                <w:sz w:val="18"/>
                <w:szCs w:val="18"/>
                <w:color w:val="auto"/>
              </w:rPr>
            </w:pPr>
          </w:p>
        </w:tc>
        <w:tc>
          <w:tcPr>
            <w:tcW w:w="280" w:type="dxa"/>
            <w:vAlign w:val="bottom"/>
            <w:shd w:val="clear" w:color="auto" w:fill="B3E0FF"/>
          </w:tcPr>
          <w:p>
            <w:pPr>
              <w:spacing w:after="0"/>
              <w:rPr>
                <w:sz w:val="18"/>
                <w:szCs w:val="18"/>
                <w:color w:val="auto"/>
              </w:rPr>
            </w:pPr>
          </w:p>
        </w:tc>
        <w:tc>
          <w:tcPr>
            <w:tcW w:w="10020" w:type="dxa"/>
            <w:vAlign w:val="bottom"/>
            <w:shd w:val="clear" w:color="auto" w:fill="B3E0FF"/>
          </w:tcPr>
          <w:p>
            <w:pPr>
              <w:ind w:left="140"/>
              <w:spacing w:after="0"/>
              <w:rPr>
                <w:sz w:val="20"/>
                <w:szCs w:val="20"/>
                <w:color w:val="auto"/>
              </w:rPr>
            </w:pPr>
            <w:r>
              <w:rPr>
                <w:rFonts w:ascii="Arial" w:cs="Arial" w:eastAsia="Arial" w:hAnsi="Arial"/>
                <w:sz w:val="18"/>
                <w:szCs w:val="18"/>
                <w:color w:val="auto"/>
                <w:w w:val="87"/>
              </w:rPr>
              <w:t>discusses the guidelines and policies that govern the process by which risk assessment and management is undertaken in accordance with its</w:t>
            </w:r>
          </w:p>
        </w:tc>
        <w:tc>
          <w:tcPr>
            <w:tcW w:w="0" w:type="dxa"/>
            <w:vAlign w:val="bottom"/>
          </w:tcPr>
          <w:p>
            <w:pPr>
              <w:spacing w:after="0"/>
              <w:rPr>
                <w:sz w:val="1"/>
                <w:szCs w:val="1"/>
                <w:color w:val="auto"/>
              </w:rPr>
            </w:pPr>
          </w:p>
        </w:tc>
      </w:tr>
      <w:tr>
        <w:trPr>
          <w:trHeight w:val="224"/>
        </w:trPr>
        <w:tc>
          <w:tcPr>
            <w:tcW w:w="1120" w:type="dxa"/>
            <w:vAlign w:val="bottom"/>
            <w:shd w:val="clear" w:color="auto" w:fill="B3E0FF"/>
          </w:tcPr>
          <w:p>
            <w:pPr>
              <w:spacing w:after="0"/>
              <w:rPr>
                <w:sz w:val="19"/>
                <w:szCs w:val="19"/>
                <w:color w:val="auto"/>
              </w:rPr>
            </w:pPr>
          </w:p>
        </w:tc>
        <w:tc>
          <w:tcPr>
            <w:tcW w:w="280" w:type="dxa"/>
            <w:vAlign w:val="bottom"/>
            <w:shd w:val="clear" w:color="auto" w:fill="B3E0FF"/>
          </w:tcPr>
          <w:p>
            <w:pPr>
              <w:spacing w:after="0"/>
              <w:rPr>
                <w:sz w:val="19"/>
                <w:szCs w:val="19"/>
                <w:color w:val="auto"/>
              </w:rPr>
            </w:pPr>
          </w:p>
        </w:tc>
        <w:tc>
          <w:tcPr>
            <w:tcW w:w="10020" w:type="dxa"/>
            <w:vAlign w:val="bottom"/>
            <w:shd w:val="clear" w:color="auto" w:fill="B3E0FF"/>
          </w:tcPr>
          <w:p>
            <w:pPr>
              <w:ind w:left="140"/>
              <w:spacing w:after="0"/>
              <w:rPr>
                <w:sz w:val="20"/>
                <w:szCs w:val="20"/>
                <w:color w:val="auto"/>
              </w:rPr>
            </w:pPr>
            <w:r>
              <w:rPr>
                <w:rFonts w:ascii="Arial" w:cs="Arial" w:eastAsia="Arial" w:hAnsi="Arial"/>
                <w:sz w:val="18"/>
                <w:szCs w:val="18"/>
                <w:color w:val="auto"/>
              </w:rPr>
              <w:t>charter and NYSE rules.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4"/>
              </w:rPr>
              <w:t>Compensation</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020" w:type="dxa"/>
            <w:vAlign w:val="bottom"/>
          </w:tcPr>
          <w:p>
            <w:pPr>
              <w:ind w:left="140"/>
              <w:spacing w:after="0"/>
              <w:rPr>
                <w:sz w:val="20"/>
                <w:szCs w:val="20"/>
                <w:color w:val="auto"/>
              </w:rPr>
            </w:pPr>
            <w:r>
              <w:rPr>
                <w:rFonts w:ascii="Arial" w:cs="Arial" w:eastAsia="Arial" w:hAnsi="Arial"/>
                <w:sz w:val="18"/>
                <w:szCs w:val="18"/>
                <w:color w:val="auto"/>
              </w:rPr>
              <w:t>Considers risks associated with our compensation programs, policies and practices.</w:t>
            </w:r>
          </w:p>
        </w:tc>
        <w:tc>
          <w:tcPr>
            <w:tcW w:w="0" w:type="dxa"/>
            <w:vAlign w:val="bottom"/>
          </w:tcPr>
          <w:p>
            <w:pPr>
              <w:spacing w:after="0"/>
              <w:rPr>
                <w:sz w:val="1"/>
                <w:szCs w:val="1"/>
                <w:color w:val="auto"/>
              </w:rPr>
            </w:pPr>
          </w:p>
        </w:tc>
      </w:tr>
      <w:tr>
        <w:trPr>
          <w:trHeight w:val="216"/>
        </w:trPr>
        <w:tc>
          <w:tcPr>
            <w:tcW w:w="1120" w:type="dxa"/>
            <w:vAlign w:val="bottom"/>
            <w:shd w:val="clear" w:color="auto" w:fill="B3E0FF"/>
          </w:tcPr>
          <w:p>
            <w:pPr>
              <w:spacing w:after="0"/>
              <w:rPr>
                <w:sz w:val="20"/>
                <w:szCs w:val="20"/>
                <w:color w:val="auto"/>
              </w:rPr>
            </w:pPr>
            <w:r>
              <w:rPr>
                <w:rFonts w:ascii="Arial" w:cs="Arial" w:eastAsia="Arial" w:hAnsi="Arial"/>
                <w:sz w:val="18"/>
                <w:szCs w:val="18"/>
                <w:color w:val="auto"/>
              </w:rPr>
              <w:t>Governance</w:t>
            </w:r>
          </w:p>
        </w:tc>
        <w:tc>
          <w:tcPr>
            <w:tcW w:w="280" w:type="dxa"/>
            <w:vAlign w:val="bottom"/>
            <w:shd w:val="clear" w:color="auto" w:fill="B3E0FF"/>
          </w:tcPr>
          <w:p>
            <w:pPr>
              <w:ind w:left="100"/>
              <w:spacing w:after="0"/>
              <w:rPr>
                <w:sz w:val="20"/>
                <w:szCs w:val="20"/>
                <w:color w:val="auto"/>
              </w:rPr>
            </w:pPr>
            <w:r>
              <w:rPr>
                <w:rFonts w:ascii="Arial" w:cs="Arial" w:eastAsia="Arial" w:hAnsi="Arial"/>
                <w:sz w:val="18"/>
                <w:szCs w:val="18"/>
                <w:color w:val="auto"/>
              </w:rPr>
              <w:t>•</w:t>
            </w:r>
          </w:p>
        </w:tc>
        <w:tc>
          <w:tcPr>
            <w:tcW w:w="10020" w:type="dxa"/>
            <w:vAlign w:val="bottom"/>
            <w:shd w:val="clear" w:color="auto" w:fill="B3E0FF"/>
          </w:tcPr>
          <w:p>
            <w:pPr>
              <w:ind w:left="140"/>
              <w:spacing w:after="0"/>
              <w:rPr>
                <w:sz w:val="20"/>
                <w:szCs w:val="20"/>
                <w:color w:val="auto"/>
              </w:rPr>
            </w:pPr>
            <w:r>
              <w:rPr>
                <w:rFonts w:ascii="Arial" w:cs="Arial" w:eastAsia="Arial" w:hAnsi="Arial"/>
                <w:sz w:val="18"/>
                <w:szCs w:val="18"/>
                <w:color w:val="auto"/>
                <w:w w:val="98"/>
              </w:rPr>
              <w:t>In conjunction with the Compensation Committee, considers risks associated with management development and succession.</w:t>
            </w:r>
          </w:p>
        </w:tc>
        <w:tc>
          <w:tcPr>
            <w:tcW w:w="0" w:type="dxa"/>
            <w:vAlign w:val="bottom"/>
          </w:tcPr>
          <w:p>
            <w:pPr>
              <w:spacing w:after="0"/>
              <w:rPr>
                <w:sz w:val="1"/>
                <w:szCs w:val="1"/>
                <w:color w:val="auto"/>
              </w:rPr>
            </w:pPr>
          </w:p>
        </w:tc>
      </w:tr>
      <w:tr>
        <w:trPr>
          <w:trHeight w:val="208"/>
        </w:trPr>
        <w:tc>
          <w:tcPr>
            <w:tcW w:w="1120" w:type="dxa"/>
            <w:vAlign w:val="bottom"/>
          </w:tcPr>
          <w:p>
            <w:pPr>
              <w:spacing w:after="0"/>
              <w:rPr>
                <w:sz w:val="20"/>
                <w:szCs w:val="20"/>
                <w:color w:val="auto"/>
              </w:rPr>
            </w:pPr>
            <w:r>
              <w:rPr>
                <w:rFonts w:ascii="Arial" w:cs="Arial" w:eastAsia="Arial" w:hAnsi="Arial"/>
                <w:sz w:val="18"/>
                <w:szCs w:val="18"/>
                <w:color w:val="auto"/>
              </w:rPr>
              <w:t>Technology</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020" w:type="dxa"/>
            <w:vAlign w:val="bottom"/>
          </w:tcPr>
          <w:p>
            <w:pPr>
              <w:ind w:left="140"/>
              <w:spacing w:after="0"/>
              <w:rPr>
                <w:sz w:val="20"/>
                <w:szCs w:val="20"/>
                <w:color w:val="auto"/>
              </w:rPr>
            </w:pPr>
            <w:r>
              <w:rPr>
                <w:rFonts w:ascii="Arial" w:cs="Arial" w:eastAsia="Arial" w:hAnsi="Arial"/>
                <w:sz w:val="18"/>
                <w:szCs w:val="18"/>
                <w:color w:val="auto"/>
              </w:rPr>
              <w:t>Considers risks associated with information technology operations.</w:t>
            </w:r>
          </w:p>
        </w:tc>
        <w:tc>
          <w:tcPr>
            <w:tcW w:w="0" w:type="dxa"/>
            <w:vAlign w:val="bottom"/>
          </w:tcPr>
          <w:p>
            <w:pPr>
              <w:spacing w:after="0"/>
              <w:rPr>
                <w:sz w:val="1"/>
                <w:szCs w:val="1"/>
                <w:color w:val="auto"/>
              </w:rPr>
            </w:pPr>
          </w:p>
        </w:tc>
      </w:tr>
      <w:tr>
        <w:trPr>
          <w:trHeight w:val="216"/>
        </w:trPr>
        <w:tc>
          <w:tcPr>
            <w:tcW w:w="1120" w:type="dxa"/>
            <w:vAlign w:val="bottom"/>
          </w:tcPr>
          <w:p>
            <w:pPr>
              <w:ind w:left="180"/>
              <w:spacing w:after="0"/>
              <w:rPr>
                <w:sz w:val="20"/>
                <w:szCs w:val="20"/>
                <w:color w:val="auto"/>
              </w:rPr>
            </w:pPr>
            <w:r>
              <w:rPr>
                <w:rFonts w:ascii="Arial" w:cs="Arial" w:eastAsia="Arial" w:hAnsi="Arial"/>
                <w:sz w:val="18"/>
                <w:szCs w:val="18"/>
                <w:color w:val="auto"/>
              </w:rPr>
              <w:t>and</w:t>
            </w:r>
          </w:p>
        </w:tc>
        <w:tc>
          <w:tcPr>
            <w:tcW w:w="2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19"/>
                <w:szCs w:val="19"/>
                <w:color w:val="auto"/>
              </w:rPr>
            </w:pPr>
          </w:p>
        </w:tc>
        <w:tc>
          <w:tcPr>
            <w:tcW w:w="10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20" w:type="dxa"/>
            <w:vAlign w:val="bottom"/>
          </w:tcPr>
          <w:p>
            <w:pPr>
              <w:ind w:left="5140"/>
              <w:spacing w:after="0"/>
              <w:rPr>
                <w:sz w:val="20"/>
                <w:szCs w:val="20"/>
                <w:color w:val="auto"/>
              </w:rPr>
            </w:pPr>
            <w:r>
              <w:rPr>
                <w:rFonts w:ascii="Arial" w:cs="Arial" w:eastAsia="Arial" w:hAnsi="Arial"/>
                <w:sz w:val="18"/>
                <w:szCs w:val="18"/>
                <w:b w:val="1"/>
                <w:bCs w:val="1"/>
                <w:color w:val="0048E0"/>
                <w:w w:val="93"/>
              </w:rPr>
              <w:t xml:space="preserve">World Fuel Services Corporation   </w:t>
            </w:r>
            <w:r>
              <w:rPr>
                <w:rFonts w:ascii="Arial" w:cs="Arial" w:eastAsia="Arial" w:hAnsi="Arial"/>
                <w:sz w:val="36"/>
                <w:szCs w:val="36"/>
                <w:b w:val="1"/>
                <w:bCs w:val="1"/>
                <w:color w:val="000000"/>
                <w:w w:val="93"/>
                <w:vertAlign w:val="subscript"/>
              </w:rPr>
              <w:t>|</w:t>
            </w:r>
            <w:r>
              <w:rPr>
                <w:rFonts w:ascii="Arial" w:cs="Arial" w:eastAsia="Arial" w:hAnsi="Arial"/>
                <w:sz w:val="18"/>
                <w:szCs w:val="18"/>
                <w:b w:val="1"/>
                <w:bCs w:val="1"/>
                <w:color w:val="0048E0"/>
                <w:w w:val="93"/>
              </w:rPr>
              <w:t xml:space="preserve">  </w:t>
            </w:r>
            <w:r>
              <w:rPr>
                <w:rFonts w:ascii="Arial" w:cs="Arial" w:eastAsia="Arial" w:hAnsi="Arial"/>
                <w:sz w:val="18"/>
                <w:szCs w:val="18"/>
                <w:color w:val="000000"/>
                <w:w w:val="93"/>
              </w:rPr>
              <w:t>2017 Proxy Statement  25</w:t>
            </w:r>
          </w:p>
        </w:tc>
        <w:tc>
          <w:tcPr>
            <w:tcW w:w="0" w:type="dxa"/>
            <w:vAlign w:val="bottom"/>
          </w:tcPr>
          <w:p>
            <w:pPr>
              <w:spacing w:after="0"/>
              <w:rPr>
                <w:sz w:val="1"/>
                <w:szCs w:val="1"/>
                <w:color w:val="auto"/>
              </w:rPr>
            </w:pPr>
          </w:p>
        </w:tc>
      </w:tr>
      <w:tr>
        <w:trPr>
          <w:trHeight w:val="186"/>
        </w:trPr>
        <w:tc>
          <w:tcPr>
            <w:tcW w:w="11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00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Each committee also provides periodic reports to the Board on the risks pertaining to their principal areas of focus so that the Board is informed of our risk profile.</w:t>
      </w:r>
    </w:p>
    <w:p>
      <w:pPr>
        <w:spacing w:after="0" w:line="186"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Periodically, we also perform risk management assessments, both in specific areas of our business or on an enterprise-wide basis. The principal purposes of these assessments are to (i) ensure that risk management efforts are focused and directly linked to the underlying strategy of the organization; (ii) implement a sustainable and scalable framework to identify, manage and monitor risk; (iii) assign responsibility for each risk, put mitigation plans in place and assess the effectiveness of such mitigation plans; and (iv) enhance our risk management capabilities for priority risks and continue the development of risk management policies and action plans. The results of these risk assessments are regularly communicated to the Board.</w:t>
      </w:r>
    </w:p>
    <w:p>
      <w:pPr>
        <w:spacing w:after="0" w:line="170" w:lineRule="exact"/>
        <w:rPr>
          <w:sz w:val="20"/>
          <w:szCs w:val="20"/>
          <w:color w:val="auto"/>
        </w:rPr>
      </w:pPr>
    </w:p>
    <w:p>
      <w:pPr>
        <w:ind w:right="20" w:firstLine="615"/>
        <w:spacing w:after="0" w:line="302" w:lineRule="auto"/>
        <w:rPr>
          <w:sz w:val="20"/>
          <w:szCs w:val="20"/>
          <w:color w:val="auto"/>
        </w:rPr>
      </w:pPr>
      <w:r>
        <w:rPr>
          <w:rFonts w:ascii="Arial" w:cs="Arial" w:eastAsia="Arial" w:hAnsi="Arial"/>
          <w:sz w:val="15"/>
          <w:szCs w:val="15"/>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w:t>
      </w:r>
    </w:p>
    <w:p>
      <w:pPr>
        <w:spacing w:after="0" w:line="2" w:lineRule="exact"/>
        <w:rPr>
          <w:sz w:val="20"/>
          <w:szCs w:val="20"/>
          <w:color w:val="auto"/>
        </w:rPr>
      </w:pPr>
    </w:p>
    <w:p>
      <w:pPr>
        <w:ind w:right="160" w:firstLine="8"/>
        <w:spacing w:after="0" w:line="261"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any inadvertent incentives for employees to take inappropriate business risks by making decisions that may be in their best interests but not in the best interests of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Earned or Paid in Cash</w:t>
      </w:r>
    </w:p>
    <w:p>
      <w:pPr>
        <w:spacing w:after="0" w:line="225"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is as follows:</w:t>
      </w:r>
    </w:p>
    <w:p>
      <w:pPr>
        <w:spacing w:after="0" w:line="153"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fee payable to non-management directors for their service on the Board is $75,000;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additional fee payable to the lead independent director is $40,000 per year;</w:t>
      </w:r>
    </w:p>
    <w:p>
      <w:pPr>
        <w:spacing w:after="0" w:line="238" w:lineRule="exact"/>
        <w:rPr>
          <w:rFonts w:ascii="Arial" w:cs="Arial" w:eastAsia="Arial" w:hAnsi="Arial"/>
          <w:sz w:val="18"/>
          <w:szCs w:val="18"/>
          <w:color w:val="auto"/>
        </w:rPr>
      </w:pPr>
    </w:p>
    <w:p>
      <w:pPr>
        <w:ind w:left="1080" w:right="54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additional fee payable to members of the Audit Committee is $12,000, while the additional fee payable to members of each of the Compensation Committee and Technology and Operations Committee is $10,000 per year for each committee served and the additional fee payable to members of the Nominating Subcommittee is $4,000 per year; and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additional fee payable to the Chairman of each of the Audit Committee, Compensation Committee and Technology and Operations Committee is $20,000 per year, while the additional fee payable to the Chairman of the Governance Committee is $15,000 per year and the additional fee payable to the Chairman of the Nominating Subcommittee is $12,000 per year.</w:t>
      </w:r>
    </w:p>
    <w:p>
      <w:pPr>
        <w:spacing w:after="0" w:line="194" w:lineRule="exact"/>
        <w:rPr>
          <w:sz w:val="20"/>
          <w:szCs w:val="20"/>
          <w:color w:val="auto"/>
        </w:rPr>
      </w:pPr>
    </w:p>
    <w:p>
      <w:pPr>
        <w:ind w:right="500" w:firstLine="615"/>
        <w:spacing w:after="0" w:line="254" w:lineRule="auto"/>
        <w:rPr>
          <w:sz w:val="20"/>
          <w:szCs w:val="20"/>
          <w:color w:val="auto"/>
        </w:rPr>
      </w:pPr>
      <w:r>
        <w:rPr>
          <w:rFonts w:ascii="Arial" w:cs="Arial" w:eastAsia="Arial" w:hAnsi="Arial"/>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280" w:firstLine="615"/>
        <w:spacing w:after="0" w:line="286" w:lineRule="auto"/>
        <w:rPr>
          <w:sz w:val="20"/>
          <w:szCs w:val="20"/>
          <w:color w:val="auto"/>
        </w:rPr>
      </w:pPr>
      <w:r>
        <w:rPr>
          <w:rFonts w:ascii="Arial" w:cs="Arial" w:eastAsia="Arial" w:hAnsi="Arial"/>
          <w:sz w:val="16"/>
          <w:szCs w:val="16"/>
          <w:color w:val="auto"/>
        </w:rPr>
        <w:t>In 2016, the Board elected to grant each non-management director approximately $145,000 worth of restricted stock units ("RSUs") for board service and an additional $10,000 worth of RSUs as the fee for service on the Governance Committee. This resulted in each non-management director (other than</w:t>
      </w:r>
    </w:p>
    <w:p>
      <w:pPr>
        <w:ind w:right="100"/>
        <w:spacing w:after="0" w:line="261" w:lineRule="auto"/>
        <w:rPr>
          <w:sz w:val="20"/>
          <w:szCs w:val="20"/>
          <w:color w:val="auto"/>
        </w:rPr>
      </w:pPr>
      <w:r>
        <w:rPr>
          <w:rFonts w:ascii="Arial" w:cs="Arial" w:eastAsia="Arial" w:hAnsi="Arial"/>
          <w:sz w:val="18"/>
          <w:szCs w:val="18"/>
          <w:color w:val="auto"/>
        </w:rPr>
        <w:t>Mr. Stebbins) receiving 3,355 RSUs. Mr. Stebbins, a non-management director, received 3,139 RSUs, which is the portion of the RSUs granted for board service only since he is not independent and is, therefore, currently ineligible to serve on the Governance Committee.</w:t>
      </w:r>
    </w:p>
    <w:p>
      <w:pPr>
        <w:spacing w:after="0" w:line="192" w:lineRule="exact"/>
        <w:rPr>
          <w:sz w:val="20"/>
          <w:szCs w:val="20"/>
          <w:color w:val="auto"/>
        </w:rPr>
      </w:pPr>
    </w:p>
    <w:p>
      <w:pPr>
        <w:jc w:val="both"/>
        <w:ind w:right="20" w:firstLine="611"/>
        <w:spacing w:after="0" w:line="259" w:lineRule="auto"/>
        <w:rPr>
          <w:sz w:val="20"/>
          <w:szCs w:val="20"/>
          <w:color w:val="auto"/>
        </w:rPr>
      </w:pPr>
      <w:r>
        <w:rPr>
          <w:rFonts w:ascii="Arial" w:cs="Arial" w:eastAsia="Arial" w:hAnsi="Arial"/>
          <w:sz w:val="18"/>
          <w:szCs w:val="18"/>
          <w:color w:val="auto"/>
        </w:rPr>
        <w:t>The RSUs vest on the earlier of: (i) the day prior to the Annual Meeting that next follows the grant date or (ii) one year from the grant date. Upon vesting of the RSUs, 50% of the underlying shares will be issued. The issuance of the remaining 50% of the shares will be deferred for three years from the grant date or until the director ceases to be a member of the Board, whichever occurs first.</w:t>
      </w:r>
    </w:p>
    <w:p>
      <w:pPr>
        <w:spacing w:after="0" w:line="194" w:lineRule="exact"/>
        <w:rPr>
          <w:sz w:val="20"/>
          <w:szCs w:val="20"/>
          <w:color w:val="auto"/>
        </w:rPr>
      </w:pPr>
    </w:p>
    <w:p>
      <w:pPr>
        <w:jc w:val="both"/>
        <w:ind w:right="880" w:firstLine="615"/>
        <w:spacing w:after="0" w:line="259" w:lineRule="auto"/>
        <w:rPr>
          <w:sz w:val="20"/>
          <w:szCs w:val="20"/>
          <w:color w:val="auto"/>
        </w:rPr>
      </w:pPr>
      <w:r>
        <w:rPr>
          <w:rFonts w:ascii="Arial" w:cs="Arial" w:eastAsia="Arial" w:hAnsi="Arial"/>
          <w:sz w:val="18"/>
          <w:szCs w:val="18"/>
          <w:color w:val="auto"/>
        </w:rPr>
        <w:t>Our 2016 Omnibus Plan includes limits on equity awards that may be granted to non-management directors. The table below summarizes the compensation paid by us to our non-management directors for services rendered in 2016. Directors who are employed by us do not receive additional compensation for serving as directors.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520" w:type="dxa"/>
            <w:vAlign w:val="bottom"/>
            <w:gridSpan w:val="7"/>
          </w:tcPr>
          <w:p>
            <w:pPr>
              <w:jc w:val="right"/>
              <w:ind w:right="532"/>
              <w:spacing w:after="0"/>
              <w:rPr>
                <w:sz w:val="20"/>
                <w:szCs w:val="20"/>
                <w:color w:val="auto"/>
              </w:rPr>
            </w:pPr>
            <w:r>
              <w:rPr>
                <w:rFonts w:ascii="Arial" w:cs="Arial" w:eastAsia="Arial" w:hAnsi="Arial"/>
                <w:sz w:val="18"/>
                <w:szCs w:val="18"/>
                <w:b w:val="1"/>
                <w:bCs w:val="1"/>
                <w:color w:val="auto"/>
              </w:rPr>
              <w:t>DIRECTOR COMPENSATION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72"/>
              <w:spacing w:after="0"/>
              <w:rPr>
                <w:sz w:val="20"/>
                <w:szCs w:val="20"/>
                <w:color w:val="auto"/>
              </w:rPr>
            </w:pPr>
            <w:r>
              <w:rPr>
                <w:rFonts w:ascii="Arial" w:cs="Arial" w:eastAsia="Arial" w:hAnsi="Arial"/>
                <w:sz w:val="18"/>
                <w:szCs w:val="18"/>
                <w:b w:val="1"/>
                <w:bCs w:val="1"/>
                <w:color w:val="auto"/>
                <w:w w:val="77"/>
              </w:rPr>
              <w:t>Fees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Earned 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2"/>
              <w:spacing w:after="0" w:line="179" w:lineRule="exact"/>
              <w:rPr>
                <w:sz w:val="20"/>
                <w:szCs w:val="20"/>
                <w:color w:val="auto"/>
              </w:rPr>
            </w:pPr>
            <w:r>
              <w:rPr>
                <w:rFonts w:ascii="Arial" w:cs="Arial" w:eastAsia="Arial" w:hAnsi="Arial"/>
                <w:sz w:val="18"/>
                <w:szCs w:val="18"/>
                <w:b w:val="1"/>
                <w:bCs w:val="1"/>
                <w:color w:val="auto"/>
                <w:w w:val="88"/>
              </w:rPr>
              <w:t>Paid 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112"/>
              <w:spacing w:after="0" w:line="267" w:lineRule="exact"/>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9"/>
                <w:szCs w:val="29"/>
                <w:b w:val="1"/>
                <w:bCs w:val="1"/>
                <w:color w:val="auto"/>
                <w:w w:val="83"/>
                <w:vertAlign w:val="superscript"/>
              </w:rPr>
              <w:t>(1)(2)</w:t>
            </w:r>
          </w:p>
        </w:tc>
        <w:tc>
          <w:tcPr>
            <w:tcW w:w="160" w:type="dxa"/>
            <w:vAlign w:val="bottom"/>
          </w:tcPr>
          <w:p>
            <w:pPr>
              <w:spacing w:after="0"/>
              <w:rPr>
                <w:sz w:val="23"/>
                <w:szCs w:val="23"/>
                <w:color w:val="auto"/>
              </w:rPr>
            </w:pPr>
          </w:p>
        </w:tc>
        <w:tc>
          <w:tcPr>
            <w:tcW w:w="1360" w:type="dxa"/>
            <w:vAlign w:val="bottom"/>
            <w:gridSpan w:val="2"/>
          </w:tcPr>
          <w:p>
            <w:pPr>
              <w:jc w:val="right"/>
              <w:spacing w:after="0" w:line="267"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9"/>
                <w:szCs w:val="29"/>
                <w:b w:val="1"/>
                <w:bCs w:val="1"/>
                <w:color w:val="auto"/>
                <w:w w:val="86"/>
                <w:vertAlign w:val="superscript"/>
              </w:rPr>
              <w:t>(3)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Ken Bakshi</w:t>
            </w:r>
          </w:p>
        </w:tc>
        <w:tc>
          <w:tcPr>
            <w:tcW w:w="1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155,001</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Jorge L. Benitez</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252,356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Myles Klein</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 Thomas Presby</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2"/>
              </w:rPr>
              <w:t>Stephen K. Roddenberry</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Paul H. Stebbins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214,411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302" w:lineRule="auto"/>
        <w:tabs>
          <w:tab w:leader="none" w:pos="16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amounts shown in this column represent the estimated aggregate grant date fair value of the RSU awards granted to the non-management independent directors in 2016. The estimated aggregate grant date fair value of these awards is based on the grant date fair market value of our common stock, as defined in the 2006 Omnibus Plan, as amended and restated, and is computed in accordance with FASB ASC Topic 718. Assumptions used in determining the aggregate grant date fair value of RSU awards are set forth in Note 9 to the notes to the consolidated financial statements in Item 15 of our annual report on Form 10-K for the year ended December 31, 2016.</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number of RSUs and stock units held by each non-management director serving as at December 31, 2016 was as follows: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r>
      <w:tr>
        <w:trPr>
          <w:trHeight w:val="268"/>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3"/>
                <w:szCs w:val="23"/>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RSUs</w:t>
            </w:r>
          </w:p>
        </w:tc>
        <w:tc>
          <w:tcPr>
            <w:tcW w:w="160" w:type="dxa"/>
            <w:vAlign w:val="bottom"/>
          </w:tcPr>
          <w:p>
            <w:pPr>
              <w:spacing w:after="0"/>
              <w:rPr>
                <w:sz w:val="23"/>
                <w:szCs w:val="23"/>
                <w:color w:val="auto"/>
              </w:rPr>
            </w:pPr>
          </w:p>
        </w:tc>
        <w:tc>
          <w:tcPr>
            <w:tcW w:w="1340" w:type="dxa"/>
            <w:vAlign w:val="bottom"/>
            <w:gridSpan w:val="2"/>
          </w:tcPr>
          <w:p>
            <w:pPr>
              <w:jc w:val="center"/>
              <w:ind w:right="180"/>
              <w:spacing w:after="0" w:line="267" w:lineRule="exact"/>
              <w:rPr>
                <w:sz w:val="20"/>
                <w:szCs w:val="20"/>
                <w:color w:val="auto"/>
              </w:rPr>
            </w:pPr>
            <w:r>
              <w:rPr>
                <w:rFonts w:ascii="Arial" w:cs="Arial" w:eastAsia="Arial" w:hAnsi="Arial"/>
                <w:sz w:val="18"/>
                <w:szCs w:val="18"/>
                <w:b w:val="1"/>
                <w:bCs w:val="1"/>
                <w:color w:val="auto"/>
                <w:w w:val="81"/>
              </w:rPr>
              <w:t>Units</w:t>
            </w:r>
            <w:r>
              <w:rPr>
                <w:rFonts w:ascii="Arial" w:cs="Arial" w:eastAsia="Arial" w:hAnsi="Arial"/>
                <w:sz w:val="29"/>
                <w:szCs w:val="29"/>
                <w:b w:val="1"/>
                <w:bCs w:val="1"/>
                <w:color w:val="auto"/>
                <w:w w:val="81"/>
                <w:vertAlign w:val="superscript"/>
              </w:rPr>
              <w:t>(a)</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35,640</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Jorge L. Benitez</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5,371</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Myles Klein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22,950</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27,171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Paul H. Stebbins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5,011</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680" w:right="120" w:hanging="531"/>
        <w:spacing w:after="0" w:line="268"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stock units represent stock awards made to non-management independent directors prior to 2010 that the directors elected to defer pursuant to our Non-Employee Director Stock Deferral Plan.</w:t>
      </w:r>
    </w:p>
    <w:p>
      <w:pPr>
        <w:spacing w:after="0" w:line="199"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shown in the column represent dividends paid to directors with respect to outstanding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Stock Ownership Guidelines</w:t>
      </w:r>
    </w:p>
    <w:p>
      <w:pPr>
        <w:spacing w:after="0" w:line="225" w:lineRule="exact"/>
        <w:rPr>
          <w:sz w:val="20"/>
          <w:szCs w:val="20"/>
          <w:color w:val="auto"/>
        </w:rPr>
      </w:pPr>
    </w:p>
    <w:p>
      <w:pPr>
        <w:ind w:right="20" w:firstLine="615"/>
        <w:spacing w:after="0" w:line="283"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$300,000, in our common stock. All of our non-management directors, with the exception of Mr. Benitez, who joined the Board on January 1, 2015,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0048E0"/>
        </w:rPr>
      </w:pPr>
      <w:r>
        <w:rPr>
          <w:rFonts w:ascii="Arial" w:cs="Arial" w:eastAsia="Arial" w:hAnsi="Arial"/>
          <w:sz w:val="18"/>
          <w:szCs w:val="18"/>
          <w:b w:val="1"/>
          <w:bCs w:val="1"/>
          <w:color w:val="0048E0"/>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600" w:firstLine="611"/>
        <w:spacing w:after="0" w:line="306" w:lineRule="auto"/>
        <w:rPr>
          <w:sz w:val="20"/>
          <w:szCs w:val="20"/>
          <w:color w:val="auto"/>
        </w:rPr>
      </w:pPr>
      <w:r>
        <w:rPr>
          <w:rFonts w:ascii="Arial" w:cs="Arial" w:eastAsia="Arial" w:hAnsi="Arial"/>
          <w:sz w:val="16"/>
          <w:szCs w:val="16"/>
          <w:color w:val="auto"/>
        </w:rPr>
        <w:t>The following table sets forth certain information with respect to our current executive officers and lists their current titles. A summary of the background and experience of Messrs. Birns, Crosby, Rau and Lake are set forth in the paragraphs following the table. The background and experience of Mr. Kasbar is described above in the section titled "Proposal No. 1—Election of Directors." All executive officers serve at the discretion of the Board.</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Year First</w:t>
            </w:r>
          </w:p>
        </w:tc>
      </w:tr>
      <w:tr>
        <w:trPr>
          <w:trHeight w:val="216"/>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3"/>
              </w:rPr>
              <w:t>Became</w:t>
            </w:r>
          </w:p>
        </w:tc>
      </w:tr>
      <w:tr>
        <w:trPr>
          <w:trHeight w:val="229"/>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Current Position</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Age</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Executive Officer</w:t>
            </w:r>
          </w:p>
        </w:tc>
      </w:tr>
      <w:tr>
        <w:trPr>
          <w:trHeight w:val="202"/>
        </w:trPr>
        <w:tc>
          <w:tcPr>
            <w:tcW w:w="6840" w:type="dxa"/>
            <w:vAlign w:val="bottom"/>
          </w:tcPr>
          <w:p>
            <w:pPr>
              <w:spacing w:after="0" w:line="202" w:lineRule="exact"/>
              <w:rPr>
                <w:sz w:val="20"/>
                <w:szCs w:val="20"/>
                <w:color w:val="auto"/>
              </w:rPr>
            </w:pPr>
            <w:r>
              <w:rPr>
                <w:rFonts w:ascii="Arial" w:cs="Arial" w:eastAsia="Arial" w:hAnsi="Arial"/>
                <w:sz w:val="18"/>
                <w:szCs w:val="18"/>
                <w:color w:val="auto"/>
              </w:rPr>
              <w:t>Michael J. Kasbar</w:t>
            </w:r>
          </w:p>
        </w:tc>
        <w:tc>
          <w:tcPr>
            <w:tcW w:w="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1995</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Ira M. Birns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Michael J. Crosby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Global Land</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John P. Rau</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Global Aviation and Marine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 Alexander Lake, Jr.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2017</w:t>
            </w:r>
          </w:p>
        </w:tc>
      </w:tr>
      <w:tr>
        <w:trPr>
          <w:trHeight w:val="222"/>
        </w:trPr>
        <w:tc>
          <w:tcPr>
            <w:tcW w:w="684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Chief Legal Officer and Corporate Secretary</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4"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b w:val="1"/>
          <w:bCs w:val="1"/>
          <w:color w:val="auto"/>
        </w:rPr>
        <w:t xml:space="preserve">IRA M. BIRNS </w:t>
      </w:r>
      <w:r>
        <w:rPr>
          <w:rFonts w:ascii="Arial" w:cs="Arial" w:eastAsia="Arial" w:hAnsi="Arial"/>
          <w:sz w:val="18"/>
          <w:szCs w:val="18"/>
          <w:color w:val="auto"/>
        </w:rPr>
        <w:t>has served as our Executive Vice President and Chief Financial Officer since April 2007. From August 2004 to March 2007, Mr. Birns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 Mr. Birns is a member of the Board of Trustees of the New World Symphony of Miami, Florida.</w:t>
      </w:r>
    </w:p>
    <w:p>
      <w:pPr>
        <w:spacing w:after="0" w:line="193"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b w:val="1"/>
          <w:bCs w:val="1"/>
          <w:color w:val="auto"/>
        </w:rPr>
        <w:t xml:space="preserve">MICHAEL J. CROSBY </w:t>
      </w:r>
      <w:r>
        <w:rPr>
          <w:rFonts w:ascii="Arial" w:cs="Arial" w:eastAsia="Arial" w:hAnsi="Arial"/>
          <w:sz w:val="16"/>
          <w:szCs w:val="16"/>
          <w:color w:val="auto"/>
        </w:rPr>
        <w:t>has served as our Executive Vice President of Global Land since March 2016. Previously, he served as our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Land Americas since April 2015. From January 2014 to March 2015, Mr. Crosby was the Chief Operating Officer of Next Generation Energy Logistics, a private equity-backed fuel and lubes distribution business, where he was instrumental in raising capital and executing the company's acquisition and consolidation strategy. Prior to that, from June 2011 to July 2013, Mr. Crosby served as President of Maxum Petroleum, Inc.'s industrial business, including the marine and rail segments, and as President, Commercial Fuel &amp; Lubricants of SC Fuels Trading, LLC from July 2013 to December 2013 following its acquisition of Maxum Petroleum. From January 2009 to December 2010, Mr. Crosby served as Chief Executive Officer of Highlands Override Inc., a new business venture owned by Irving Oil Corporation, a company specializing in finished energy products. From June 2004 to December 2008, Mr. Crosby served as Chief Operating Officer at Irving Oil Corporation, prior to which he was its Chief Resource Officer from November 1999 to May 2004.</w:t>
      </w:r>
    </w:p>
    <w:p>
      <w:pPr>
        <w:spacing w:after="0" w:line="166"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b w:val="1"/>
          <w:bCs w:val="1"/>
          <w:color w:val="auto"/>
        </w:rPr>
        <w:t xml:space="preserve">JOHN P. RAU </w:t>
      </w:r>
      <w:r>
        <w:rPr>
          <w:rFonts w:ascii="Arial" w:cs="Arial" w:eastAsia="Arial" w:hAnsi="Arial"/>
          <w:sz w:val="18"/>
          <w:szCs w:val="18"/>
          <w:color w:val="auto"/>
        </w:rPr>
        <w:t>has served as our Executive Vice President of Global Aviation and Marine since March 2016. Previously, he served as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Airlines' Operations Manager from January 1987 to November 1988. From May 1985 to January 1987, Mr. Rau was a Supply, Marketing and Distribution representative for Koch Industries.</w:t>
      </w:r>
    </w:p>
    <w:p>
      <w:pPr>
        <w:spacing w:after="0" w:line="180" w:lineRule="exact"/>
        <w:rPr>
          <w:sz w:val="20"/>
          <w:szCs w:val="20"/>
          <w:color w:val="auto"/>
        </w:rPr>
      </w:pPr>
    </w:p>
    <w:p>
      <w:pPr>
        <w:ind w:right="140" w:firstLine="615"/>
        <w:spacing w:after="0" w:line="285" w:lineRule="auto"/>
        <w:rPr>
          <w:sz w:val="20"/>
          <w:szCs w:val="20"/>
          <w:color w:val="auto"/>
        </w:rPr>
      </w:pPr>
      <w:r>
        <w:rPr>
          <w:rFonts w:ascii="Arial" w:cs="Arial" w:eastAsia="Arial" w:hAnsi="Arial"/>
          <w:sz w:val="16"/>
          <w:szCs w:val="16"/>
          <w:b w:val="1"/>
          <w:bCs w:val="1"/>
          <w:color w:val="auto"/>
        </w:rPr>
        <w:t xml:space="preserve">R. ALEXANDER LAKE, JR. </w:t>
      </w:r>
      <w:r>
        <w:rPr>
          <w:rFonts w:ascii="Arial" w:cs="Arial" w:eastAsia="Arial" w:hAnsi="Arial"/>
          <w:sz w:val="16"/>
          <w:szCs w:val="16"/>
          <w:color w:val="auto"/>
        </w:rPr>
        <w:t>has served as our Executive Vice President, Chief Legal Officer and Corporate Secretary since March 2017.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he served as our Senior Vice President, General Counsel and Corporate Secretary since May 2010 and as our General Counsel and Corporate Secretary from January 2004 to May 2010. Prior to joining the Company, Mr. Lake served as Assistant General Counsel of America Online Latin America, Inc., a leading interactive service provider in Latin America. Prior to that, from September 1996 to January 2001, Mr. Lake served in private practice as a corporate attorney with the law firms of White &amp; Case, Winston &amp; Strawn and Curtis Mallet-Prevost, Colt &amp; Mosle.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048E0"/>
        </w:rPr>
        <w:t>IV.</w:t>
      </w:r>
      <w:r>
        <w:rPr>
          <w:sz w:val="20"/>
          <w:szCs w:val="20"/>
          <w:color w:val="auto"/>
        </w:rPr>
        <w:tab/>
      </w:r>
      <w:r>
        <w:rPr>
          <w:rFonts w:ascii="Arial" w:cs="Arial" w:eastAsia="Arial" w:hAnsi="Arial"/>
          <w:sz w:val="18"/>
          <w:szCs w:val="18"/>
          <w:b w:val="1"/>
          <w:bCs w:val="1"/>
          <w:color w:val="0048E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240" w:firstLine="615"/>
        <w:spacing w:after="0" w:line="306"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61"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This Compensation Discussion and Analysis is designed to provide our shareholders with a clear understanding of our compensation philosophy and objectives, compensation-setting process, and the 2016 compensation of our named executive officers, or NEOs. As discussed in Proposal 2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contribute to our financial performance.</w:t>
      </w:r>
    </w:p>
    <w:p>
      <w:pPr>
        <w:spacing w:after="0" w:line="198"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For 2016, our NEOs were:</w:t>
            </w:r>
          </w:p>
        </w:tc>
        <w:tc>
          <w:tcPr>
            <w:tcW w:w="1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66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w:t>
            </w:r>
          </w:p>
        </w:tc>
        <w:tc>
          <w:tcPr>
            <w:tcW w:w="7000" w:type="dxa"/>
            <w:vAlign w:val="bottom"/>
            <w:gridSpan w:val="2"/>
          </w:tcPr>
          <w:p>
            <w:pPr>
              <w:ind w:left="1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Ira M. Birns</w:t>
            </w: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Global Land</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John P. Rau</w:t>
            </w: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Global Aviation and Marine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605"/>
        <w:spacing w:after="0" w:line="290" w:lineRule="auto"/>
        <w:rPr>
          <w:sz w:val="20"/>
          <w:szCs w:val="20"/>
          <w:color w:val="auto"/>
        </w:rPr>
      </w:pPr>
      <w:r>
        <w:rPr>
          <w:rFonts w:ascii="Arial" w:cs="Arial" w:eastAsia="Arial" w:hAnsi="Arial"/>
          <w:sz w:val="16"/>
          <w:szCs w:val="16"/>
          <w:color w:val="auto"/>
        </w:rPr>
        <w:t>As part of an organizational change to further strengthen management and strategic execution across our aviation, marine and land businesses, we created two new expanded leadership positions which are responsible for managing our principal businesses. The Board appointed Mr. Crosby to the newly created position of Executive Vice President, Global Land and Mr. Rau to the newly created position of Executive Vice President, Global Aviation and Marine. In their new roles, each of these executives is responsible for overseeing all aspects of the businesses they manage, including operations, sales and the development and implementation of our strategy in each of these key business areas. In connection with their respective promotions, the Compensation Committee, or the Committee, approved certain compensation actions for Messrs. Crosby and Rau commensurate with their new roles, including equity awards, which actions are described below under "2016 Compensation Program—2016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31" w:lineRule="exact"/>
        <w:rPr>
          <w:sz w:val="20"/>
          <w:szCs w:val="20"/>
          <w:color w:val="auto"/>
        </w:rPr>
      </w:pPr>
    </w:p>
    <w:p>
      <w:pPr>
        <w:ind w:right="140" w:firstLine="615"/>
        <w:spacing w:after="0" w:line="283" w:lineRule="auto"/>
        <w:rPr>
          <w:sz w:val="20"/>
          <w:szCs w:val="20"/>
          <w:color w:val="auto"/>
        </w:rPr>
      </w:pPr>
      <w:r>
        <w:rPr>
          <w:rFonts w:ascii="Arial" w:cs="Arial" w:eastAsia="Arial" w:hAnsi="Arial"/>
          <w:sz w:val="16"/>
          <w:szCs w:val="16"/>
          <w:color w:val="auto"/>
        </w:rPr>
        <w:t>Our compensation program is designed to attract and retain executives and motivate them to deliver strong financial results. We structure our compensation program to directly align our compensation levels with our current and future performance that creates value for shareholders. For example, a significant percentage of the total compensation opportunities for our Chief Executive Officer for 2016 was a combination of short- and long-term performance-based or equity-based awards such that the ultimate realizable value would be highly contingent upon our future operating results and stock price. For 2016, approximately 86% of the total target direct compensation of our Chief Executive Officer was variable or "at-risk."</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CEO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148590</wp:posOffset>
            </wp:positionV>
            <wp:extent cx="3524885" cy="2066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2488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Despite significant accomplishments in implementing our strategic plan, our financial results during 2016 were impacted by challenging market conditions that affected our business and that of our customers. Thus, our executive compensation reflected these results and demonstrated that, as designed, our compensation program pays for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 Alignment</w:t>
      </w:r>
    </w:p>
    <w:p>
      <w:pPr>
        <w:spacing w:after="0" w:line="225" w:lineRule="exact"/>
        <w:rPr>
          <w:sz w:val="20"/>
          <w:szCs w:val="20"/>
          <w:color w:val="auto"/>
        </w:rPr>
      </w:pPr>
    </w:p>
    <w:p>
      <w:pPr>
        <w:ind w:right="140" w:firstLine="605"/>
        <w:spacing w:after="0" w:line="283" w:lineRule="auto"/>
        <w:rPr>
          <w:sz w:val="20"/>
          <w:szCs w:val="20"/>
          <w:color w:val="auto"/>
        </w:rPr>
      </w:pPr>
      <w:r>
        <w:rPr>
          <w:rFonts w:ascii="Arial" w:cs="Arial" w:eastAsia="Arial" w:hAnsi="Arial"/>
          <w:sz w:val="16"/>
          <w:szCs w:val="16"/>
          <w:color w:val="auto"/>
        </w:rPr>
        <w:t>A guiding principle of our compensation philosophy is that the compensation of our NEOs should be closely linked with, and reasonable in relation to, the level of shareholder value created through the Company's financial, operating and strategic performance. The Committee believes that the use of incentive compensation, particularly equity-based awards, together with stock ownership and retention guidelines are effective methods for motivating our executives and aligning their interests with those of our shareholders. As demonstrated in the chart below, since establishing our comprehensive incentive compensation award program in 2009, we believe the Total Realizable Compensation of our named executive officers, Messrs. Kasbar, Birns, Crosby and Rau, has been in alignment with our total shareholder return, or TSR, over the relevant period.</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Total Realizable Compensation of Named Executive Officers vs. Indexed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152400</wp:posOffset>
            </wp:positionV>
            <wp:extent cx="5299710" cy="4098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9971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80" w:firstLine="611"/>
        <w:spacing w:after="0" w:line="306" w:lineRule="auto"/>
        <w:rPr>
          <w:sz w:val="20"/>
          <w:szCs w:val="20"/>
          <w:color w:val="auto"/>
        </w:rPr>
      </w:pPr>
      <w:r>
        <w:rPr>
          <w:rFonts w:ascii="Arial" w:cs="Arial" w:eastAsia="Arial" w:hAnsi="Arial"/>
          <w:sz w:val="16"/>
          <w:szCs w:val="16"/>
          <w:color w:val="auto"/>
        </w:rPr>
        <w:t>This illustration is made using the named executive officers' "Total Realizable Compensation" for their performance in each of fiscal years 2009 through 2016 for Messrs. Kasbar and Birns and fiscal year 2016 for Messrs. Crosby and Rau as they became executive officers during this year (see "Alternate Summary Compensation Table" beginning on page 46 for more information regarding fiscal year 2016 and the calculation of "Total Realizable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Metrics Aligned with Value Creation</w:t>
      </w:r>
    </w:p>
    <w:p>
      <w:pPr>
        <w:spacing w:after="0" w:line="225" w:lineRule="exact"/>
        <w:rPr>
          <w:sz w:val="20"/>
          <w:szCs w:val="20"/>
          <w:color w:val="auto"/>
        </w:rPr>
      </w:pPr>
    </w:p>
    <w:p>
      <w:pPr>
        <w:ind w:right="60" w:firstLine="615"/>
        <w:spacing w:after="0" w:line="283" w:lineRule="auto"/>
        <w:rPr>
          <w:sz w:val="20"/>
          <w:szCs w:val="20"/>
          <w:color w:val="auto"/>
        </w:rPr>
      </w:pPr>
      <w:r>
        <w:rPr>
          <w:rFonts w:ascii="Arial" w:cs="Arial" w:eastAsia="Arial" w:hAnsi="Arial"/>
          <w:sz w:val="16"/>
          <w:szCs w:val="16"/>
          <w:color w:val="auto"/>
        </w:rPr>
        <w:t>Consistent with our objective of rewarding shareholder value creation, we select performance metrics that we believe, if achieved, will most directly translate into both strong short-term financial performance and long-term value thereby resulting in higher share prices. As a result, we principally use annual financial metrics, such as growth of our consolidated net after-tax income ("Net Income"), the level of our business units' operating income ("Operating Income") and, commencing in 2016, our three-year compound annual growth ("CAGR") in earnings per share ("EPS") to reward our named executive officers. In addition, to a lesser extent, we reward achievement of individual performance metrics that we believe will help us achieve our strategic objectives. Due to the variability in business conditions within the industries in which we operate, we believe it is important that our compensation program is designed to measure and reward both annual and multi-year performance.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Ensuring Retention and Continued Engagement through Multi-Year Vesting Requirements</w:t>
      </w:r>
    </w:p>
    <w:p>
      <w:pPr>
        <w:spacing w:after="0" w:line="225"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order to promote retention of our named executive officers and provide further incentive for creating shareholder value, we believe executives should be required to provide services over multi-year periods in order to vest in equity-based awards. Consequently, all of the equity awards granted to our named executive officers in 2016 vest over a three or five-year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Compensation-Related Corporate Governance Policies</w:t>
      </w:r>
    </w:p>
    <w:p>
      <w:pPr>
        <w:spacing w:after="0" w:line="225"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To ensure continued alignment of compensation with Company performance and the creation of shareholder value without encouraging excessive risk-taking, our Committee has adopted strong compensation-related corporate governance policies, including the following:</w:t>
      </w:r>
    </w:p>
    <w:p>
      <w:pPr>
        <w:spacing w:after="0" w:line="153" w:lineRule="exact"/>
        <w:rPr>
          <w:sz w:val="20"/>
          <w:szCs w:val="20"/>
          <w:color w:val="auto"/>
        </w:rPr>
      </w:pPr>
    </w:p>
    <w:p>
      <w:pPr>
        <w:ind w:left="1080" w:right="2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Negative Discretion on Annual Compensation</w:t>
      </w:r>
      <w:r>
        <w:rPr>
          <w:rFonts w:ascii="Arial" w:cs="Arial" w:eastAsia="Arial" w:hAnsi="Arial"/>
          <w:sz w:val="18"/>
          <w:szCs w:val="18"/>
          <w:color w:val="auto"/>
        </w:rPr>
        <w:t>—The Committee can use "negative discretion" to reduce payouts in order to align with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 performance.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Cap on Annual Incentive Awards</w:t>
      </w:r>
      <w:r>
        <w:rPr>
          <w:rFonts w:ascii="Arial" w:cs="Arial" w:eastAsia="Arial" w:hAnsi="Arial"/>
          <w:sz w:val="18"/>
          <w:szCs w:val="18"/>
          <w:color w:val="auto"/>
        </w:rPr>
        <w:t>—Annual cash incentive awards and annual equity performance-based awards under our comprehensive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or Annual Incentive Program, are subject to a maximum, and the total direct compensation that can be earned by any of our named executive officers under the Annual Incentive Program is capped.</w:t>
      </w:r>
    </w:p>
    <w:p>
      <w:pPr>
        <w:spacing w:after="0" w:line="207"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Stock Ownership and Retention Guidelines</w:t>
      </w:r>
      <w:r>
        <w:rPr>
          <w:rFonts w:ascii="Arial" w:cs="Arial" w:eastAsia="Arial" w:hAnsi="Arial"/>
          <w:sz w:val="16"/>
          <w:szCs w:val="16"/>
          <w:color w:val="auto"/>
        </w:rPr>
        <w:t>—Our executive officers are subject to stock ownership guidelines. Our current stock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range from 7x base salary for our Chief Executive Officer to 5x for our Chief Financial Officer and 3x for all other executive officers. The stock ownership guidelines provide that executive officers must attain the applicable ownership requirement within five years of the date such individual becomes an executive officer. Shares that are pledged as collateral are excluded from such calculations. Furthermore, our executive officers are required to retain 50% of any net shares acquired pursuant to any equity award for three years after the shares are delivered (or until the individual ceases to be a named executive officer, if earlier). As of April 12, 2017, all of our named executive officers are in compliance with the stock ownership requirements.</w:t>
      </w:r>
    </w:p>
    <w:p>
      <w:pPr>
        <w:spacing w:after="0" w:line="185" w:lineRule="exact"/>
        <w:rPr>
          <w:rFonts w:ascii="Arial" w:cs="Arial" w:eastAsia="Arial" w:hAnsi="Arial"/>
          <w:sz w:val="16"/>
          <w:szCs w:val="16"/>
          <w:color w:val="auto"/>
        </w:rPr>
      </w:pPr>
    </w:p>
    <w:p>
      <w:pPr>
        <w:jc w:val="both"/>
        <w:ind w:left="1080" w:right="2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Anti-Hedging Policy</w:t>
      </w:r>
      <w:r>
        <w:rPr>
          <w:rFonts w:ascii="Arial" w:cs="Arial" w:eastAsia="Arial" w:hAnsi="Arial"/>
          <w:sz w:val="18"/>
          <w:szCs w:val="18"/>
          <w:color w:val="auto"/>
        </w:rPr>
        <w:t>—We have a robust anti-hedging policy that prohibits all of our directors, executive officers and employees from (1) engaging</w:t>
      </w:r>
      <w:r>
        <w:rPr>
          <w:rFonts w:ascii="Arial" w:cs="Arial" w:eastAsia="Arial" w:hAnsi="Arial"/>
          <w:sz w:val="18"/>
          <w:szCs w:val="18"/>
          <w:i w:val="1"/>
          <w:iCs w:val="1"/>
          <w:color w:val="auto"/>
        </w:rPr>
        <w:t xml:space="preserve"> </w:t>
      </w:r>
      <w:r>
        <w:rPr>
          <w:rFonts w:ascii="Arial" w:cs="Arial" w:eastAsia="Arial" w:hAnsi="Arial"/>
          <w:sz w:val="18"/>
          <w:szCs w:val="18"/>
          <w:color w:val="auto"/>
        </w:rPr>
        <w:t>in hedging or monetization transactions, such as 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Compensation-Setting Process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Annually, the Committee reviews and assesses:</w:t>
      </w:r>
    </w:p>
    <w:p>
      <w:pPr>
        <w:spacing w:after="0" w:line="252" w:lineRule="exact"/>
        <w:rPr>
          <w:sz w:val="20"/>
          <w:szCs w:val="20"/>
          <w:color w:val="auto"/>
        </w:rPr>
      </w:pPr>
    </w:p>
    <w:p>
      <w:pPr>
        <w:ind w:left="1080" w:right="80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each named executive officer, his responsibilities and roles with respect to overall corporate policy-making and strategy, management, operations and administration, the importance of retaining the executive and his individual performance;</w:t>
      </w:r>
    </w:p>
    <w:p>
      <w:pPr>
        <w:spacing w:after="0" w:line="152" w:lineRule="exact"/>
        <w:rPr>
          <w:rFonts w:ascii="Arial" w:cs="Arial" w:eastAsia="Arial" w:hAnsi="Arial"/>
          <w:sz w:val="16"/>
          <w:szCs w:val="16"/>
          <w:color w:val="auto"/>
        </w:rPr>
      </w:pPr>
    </w:p>
    <w:p>
      <w:pPr>
        <w:ind w:left="1080" w:right="320" w:hanging="532"/>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recent and historical financial performance and forecasts for the upcoming years, recent stock price movements, current and expected business conditions and cost of capital; and</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nature, amounts, award terms and mix of all elements of the named executive officers' compensation, both individually, for internal consistency, and in the aggregate, to ensure that our executive compensation programs adhere to the core principles as described above under "Executive Compensation Philosophy and Objectives."</w:t>
      </w:r>
    </w:p>
    <w:p>
      <w:pPr>
        <w:spacing w:after="0" w:line="194"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Committee also reviews comprehensive detailed historical compensation analysis to ensure that it is fully informed of all the compensation and benefits each named executive officer has received as an employee of the Company. This analysis includes information such as the aggregate amounts realized from prior years' compensation, the potential future payout scenarios at various levels of growth taking into account any outstanding unearned performance-based awards, and the current value (as compared to the grant date fair value) of outstanding equity awards and of each named executive officer's shareholdings in the Company (what some commentators call an "accumulated wealth analysis"). However, the Committee does not specifically use the accumulated wealth analysis as a material factor in determining the named executive officer's compensation for a given year.</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Committee strongly believes that:</w:t>
      </w:r>
    </w:p>
    <w:p>
      <w:pPr>
        <w:spacing w:after="0" w:line="252" w:lineRule="exact"/>
        <w:rPr>
          <w:sz w:val="20"/>
          <w:szCs w:val="20"/>
          <w:color w:val="auto"/>
        </w:rPr>
      </w:pPr>
    </w:p>
    <w:p>
      <w:pPr>
        <w:ind w:left="1080" w:right="1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realized on prior years' compensation from stock appreciation is the reward for the named executive officer's work over that period and the achievement of our long-term goals;</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86"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Committee also considers the recommendations of our Chief Executive Officer with respect to the compensation of our other executive officers. Following these reviews and assessments, the Committee determines the compensation packages for each named executive officer. This process is subjective and involves the exercise of discretion and judgment. While the Committee will review detailed financial models showing variations in compensation at differing levels of growth, the Committee does not rely on a fixed formula but rather, it establishes the compensation packages based on the Committee's judgment as to what it believes are reasonable in relation to the levels of shareholder value created at each level of Company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Evaluating Compensation Program Design Using Compensation Comparison Companies</w:t>
      </w:r>
    </w:p>
    <w:p>
      <w:pPr>
        <w:spacing w:after="0" w:line="225"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We believe we have a unique business model and that there is no other company of a similar size engaged in our same lines of business on a global scale. However, in order to ensure that the Committee has a comprehensive view of market trends in executive compensation, in November 2015, the Committee approved a group of compensation comparison companies that it would use to benchmark our executive compensation program commencing in 2016. The Committee, with assistance from its independent compensation consultant, developed a group of compensation comparison companies that reflects multiple aspects of our complex business model. In forming the group, we considered companies in the industry sectors listed below, taking into account their relative financial size (with a specific focus on net income and market capitalization), and maintaining a reasonable expectation these companies will have some consistency in terms of ongoing group membership.</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Asset-light demand aggregators;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Energy commodity trading organizations;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Wholesale diversified distributors;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Marine, land, and aviation services providers;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Freight forwarding and logistics services providers;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Systems/payment processing services providers.</w:t>
      </w:r>
    </w:p>
    <w:p>
      <w:pPr>
        <w:spacing w:after="0" w:line="225"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Compensation Committee used data derived from the compensation comparison companies group shown below to inform its decisions about NEO compensation including amounts, design, and mix of pay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Anixter International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Noble Energy,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Arrow Electronics,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Owens &amp; Minor,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Atlas Air Worldwide Holdings,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88"/>
              </w:rPr>
              <w:t>Performance Food Group,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C.H. Robinson Worldwide,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Ryder System,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Expeditors International of Washington,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Sysco Corporation</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FleetCor Technologies,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Tech Data Corporation</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Henry Schein,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United Natural Foods,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Hub Group,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UTi Worldwide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J.B. Hunt Transport Services,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W.W. Grainger,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Jones Lang LaSalle Incorporated</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WESCO International,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Kirby Corporation</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WEX Inc.</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Landstar System, Inc.</w:t>
            </w:r>
          </w:p>
        </w:tc>
        <w:tc>
          <w:tcPr>
            <w:tcW w:w="1560" w:type="dxa"/>
            <w:vAlign w:val="bottom"/>
          </w:tcPr>
          <w:p>
            <w:pPr>
              <w:ind w:left="1360"/>
              <w:spacing w:after="0"/>
              <w:rPr>
                <w:sz w:val="20"/>
                <w:szCs w:val="20"/>
                <w:color w:val="auto"/>
              </w:rPr>
            </w:pPr>
            <w:r>
              <w:rPr>
                <w:rFonts w:ascii="Arial" w:cs="Arial" w:eastAsia="Arial" w:hAnsi="Arial"/>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XPO Logistics, Inc.</w:t>
            </w:r>
          </w:p>
        </w:tc>
      </w:tr>
    </w:tbl>
    <w:p>
      <w:pPr>
        <w:spacing w:after="0" w:line="210" w:lineRule="exact"/>
        <w:rPr>
          <w:sz w:val="20"/>
          <w:szCs w:val="20"/>
          <w:color w:val="auto"/>
        </w:rPr>
      </w:pPr>
    </w:p>
    <w:p>
      <w:pPr>
        <w:ind w:right="60" w:firstLine="605"/>
        <w:spacing w:after="0" w:line="299" w:lineRule="auto"/>
        <w:rPr>
          <w:sz w:val="20"/>
          <w:szCs w:val="20"/>
          <w:color w:val="auto"/>
        </w:rPr>
      </w:pPr>
      <w:r>
        <w:rPr>
          <w:rFonts w:ascii="Arial" w:cs="Arial" w:eastAsia="Arial" w:hAnsi="Arial"/>
          <w:sz w:val="16"/>
          <w:szCs w:val="16"/>
          <w:color w:val="auto"/>
        </w:rPr>
        <w:t>Although the Committee believes comparison compensation and performance data can be useful, the Committee does not believe that any peer group, whose composition is based solely on our industry classification, revenues, net income and/or market capitalization, is fully reflective of the markets in which we compete for talent. Consequently, the Committee does not set the executives' target total direct compensation, or any of the target components of such compensation, at any specific percentile of the comparison group. Rather, it considers, as part of the overall compensation discussion, the target and actual (1) base salary, (2) short-term incentive compensation and (3) long-term compensation of the NEOs against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comparison group.</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Compensation Consultants</w:t>
      </w:r>
    </w:p>
    <w:p>
      <w:pPr>
        <w:spacing w:after="0" w:line="231" w:lineRule="exact"/>
        <w:rPr>
          <w:sz w:val="20"/>
          <w:szCs w:val="20"/>
          <w:color w:val="auto"/>
        </w:rPr>
      </w:pPr>
    </w:p>
    <w:p>
      <w:pPr>
        <w:ind w:right="200" w:firstLine="615"/>
        <w:spacing w:after="0" w:line="252" w:lineRule="auto"/>
        <w:rPr>
          <w:sz w:val="20"/>
          <w:szCs w:val="20"/>
          <w:color w:val="auto"/>
        </w:rPr>
      </w:pPr>
      <w:r>
        <w:rPr>
          <w:rFonts w:ascii="Arial" w:cs="Arial" w:eastAsia="Arial" w:hAnsi="Arial"/>
          <w:sz w:val="18"/>
          <w:szCs w:val="18"/>
          <w:color w:val="auto"/>
        </w:rPr>
        <w:t>In connection with the setting of 2016 executive compensation, the Committee engaged and received advice and assistance from Compensation Strategies, Inc. ("Compensation Strategies"), its independent compensation consultant. Compensation Strategies provides services solely to the Committee and reports directly and exclusively to the Committee. The Committee has assessed the independence of Compensation Strategies pursuant to SEC and NYSE rules and the guidelines of the Compensation Committee Charter and concluded that its work for the Committee does not raise any conflict of interest and that it is independent.</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2016, Compensation Strategies provided assistance to the Committee as follows: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assisted in the preparation and review of quantitative analysis used in the compensation setting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assisted the Committee in developing a competitive analysis of our NEO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recommendations for the 2016 compensation for our NEOs;</w:t>
      </w:r>
    </w:p>
    <w:p>
      <w:pPr>
        <w:spacing w:after="0" w:line="238"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performed a competitive analysis of compensation levels for non-employee directors and provided recommendations for our director compensation program;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reviewed the Compensation Discussion and Analysis in the annual proxy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general advice on the plans, agreements or other documents the Committee was asked to adopt or approve;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updates on regulatory developments and market trends related to executive compensation.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addition, Compensation Strategies assisted the Committee with the design of the 2016 Omnibus Plan and the design of the new PSP (defined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Say-on-Pay Vote</w:t>
      </w:r>
    </w:p>
    <w:p>
      <w:pPr>
        <w:spacing w:after="0" w:line="231" w:lineRule="exact"/>
        <w:rPr>
          <w:sz w:val="20"/>
          <w:szCs w:val="20"/>
          <w:color w:val="auto"/>
        </w:rPr>
      </w:pPr>
    </w:p>
    <w:p>
      <w:pPr>
        <w:ind w:right="180" w:firstLine="605"/>
        <w:spacing w:after="0" w:line="310" w:lineRule="auto"/>
        <w:rPr>
          <w:sz w:val="20"/>
          <w:szCs w:val="20"/>
          <w:color w:val="auto"/>
        </w:rPr>
      </w:pPr>
      <w:r>
        <w:rPr>
          <w:rFonts w:ascii="Arial" w:cs="Arial" w:eastAsia="Arial" w:hAnsi="Arial"/>
          <w:sz w:val="15"/>
          <w:szCs w:val="15"/>
          <w:color w:val="auto"/>
        </w:rPr>
        <w:t>At our 2016 annual meeting of shareholders, we sought and received approval from 97% of votes cast (excluding abstentions), on a non-binding, advisory basis, of the 2015 compensation of our named executive officers. We regularly engage with our shareholders to understand better their perspectives on our compensation programs. As discussed above under "Shareholder Engagement" on page 14, during 2016 we interacted with 17 of our 25 largest active shareholders of our common stock, representing approximately 49% percent of our shares outstanding. Based on previous shareholder feedback, the Committee made certain changes to our 2016 long-term incentive compensation program payable to our executive officers to enhance predictability, add a long-term performance metric and enhance shareholder alignment. Specifically, we adopted a performance-based long-term incentive share program (the "Performance Share Plan" or "PSP") to complement the existing annual incentive compensation program. As discussed below, on an annual basis, executives are granted an opportunity to earn equity, with the actual number of shares earned determined based on the Company's CAGR in EPS over the subsequent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Compensation Program</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right="320" w:firstLine="611"/>
        <w:spacing w:after="0" w:line="286" w:lineRule="auto"/>
        <w:rPr>
          <w:sz w:val="20"/>
          <w:szCs w:val="20"/>
          <w:color w:val="auto"/>
        </w:rPr>
      </w:pPr>
      <w:r>
        <w:rPr>
          <w:rFonts w:ascii="Arial" w:cs="Arial" w:eastAsia="Arial" w:hAnsi="Arial"/>
          <w:sz w:val="16"/>
          <w:szCs w:val="16"/>
          <w:color w:val="auto"/>
        </w:rPr>
        <w:t>The Committee uses a variety of compensation elements to establish individual compensation programs for each of its named executive officers. The table below sets forth the compensation elements that the Committee uses in its programs and the objective of each of these elements.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6791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679196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2100" w:type="dxa"/>
            <w:vAlign w:val="bottom"/>
            <w:gridSpan w:val="2"/>
            <w:shd w:val="clear" w:color="auto" w:fill="BDD6EE"/>
          </w:tcPr>
          <w:p>
            <w:pPr>
              <w:ind w:left="300"/>
              <w:spacing w:after="0"/>
              <w:rPr>
                <w:sz w:val="20"/>
                <w:szCs w:val="20"/>
                <w:color w:val="auto"/>
              </w:rPr>
            </w:pPr>
            <w:r>
              <w:rPr>
                <w:rFonts w:ascii="Arial" w:cs="Arial" w:eastAsia="Arial" w:hAnsi="Arial"/>
                <w:sz w:val="18"/>
                <w:szCs w:val="18"/>
                <w:b w:val="1"/>
                <w:bCs w:val="1"/>
                <w:color w:val="auto"/>
                <w:w w:val="88"/>
              </w:rPr>
              <w:t>Compensation Element</w:t>
            </w:r>
          </w:p>
        </w:tc>
        <w:tc>
          <w:tcPr>
            <w:tcW w:w="160" w:type="dxa"/>
            <w:vAlign w:val="bottom"/>
            <w:shd w:val="clear" w:color="auto" w:fill="BDD6EE"/>
          </w:tcPr>
          <w:p>
            <w:pPr>
              <w:spacing w:after="0"/>
              <w:rPr>
                <w:sz w:val="24"/>
                <w:szCs w:val="24"/>
                <w:color w:val="auto"/>
              </w:rPr>
            </w:pPr>
          </w:p>
        </w:tc>
        <w:tc>
          <w:tcPr>
            <w:tcW w:w="3080" w:type="dxa"/>
            <w:vAlign w:val="bottom"/>
            <w:shd w:val="clear" w:color="auto" w:fill="BDD6EE"/>
          </w:tcPr>
          <w:p>
            <w:pPr>
              <w:ind w:left="1140"/>
              <w:spacing w:after="0"/>
              <w:rPr>
                <w:sz w:val="20"/>
                <w:szCs w:val="20"/>
                <w:color w:val="auto"/>
              </w:rPr>
            </w:pPr>
            <w:r>
              <w:rPr>
                <w:rFonts w:ascii="Arial" w:cs="Arial" w:eastAsia="Arial" w:hAnsi="Arial"/>
                <w:sz w:val="18"/>
                <w:szCs w:val="18"/>
                <w:b w:val="1"/>
                <w:bCs w:val="1"/>
                <w:color w:val="auto"/>
              </w:rPr>
              <w:t>Objective</w:t>
            </w:r>
          </w:p>
        </w:tc>
        <w:tc>
          <w:tcPr>
            <w:tcW w:w="160" w:type="dxa"/>
            <w:vAlign w:val="bottom"/>
            <w:shd w:val="clear" w:color="auto" w:fill="BDD6EE"/>
          </w:tcPr>
          <w:p>
            <w:pPr>
              <w:spacing w:after="0"/>
              <w:rPr>
                <w:sz w:val="24"/>
                <w:szCs w:val="24"/>
                <w:color w:val="auto"/>
              </w:rPr>
            </w:pPr>
          </w:p>
        </w:tc>
        <w:tc>
          <w:tcPr>
            <w:tcW w:w="3080" w:type="dxa"/>
            <w:vAlign w:val="bottom"/>
            <w:shd w:val="clear" w:color="auto" w:fill="BDD6EE"/>
          </w:tcPr>
          <w:p>
            <w:pPr>
              <w:ind w:left="1000"/>
              <w:spacing w:after="0"/>
              <w:rPr>
                <w:sz w:val="20"/>
                <w:szCs w:val="20"/>
                <w:color w:val="auto"/>
              </w:rPr>
            </w:pPr>
            <w:r>
              <w:rPr>
                <w:rFonts w:ascii="Arial" w:cs="Arial" w:eastAsia="Arial" w:hAnsi="Arial"/>
                <w:sz w:val="18"/>
                <w:szCs w:val="18"/>
                <w:b w:val="1"/>
                <w:bCs w:val="1"/>
                <w:color w:val="auto"/>
              </w:rPr>
              <w:t>Key Features</w:t>
            </w:r>
          </w:p>
        </w:tc>
        <w:tc>
          <w:tcPr>
            <w:tcW w:w="160" w:type="dxa"/>
            <w:vAlign w:val="bottom"/>
            <w:shd w:val="clear" w:color="auto" w:fill="BDD6EE"/>
          </w:tcPr>
          <w:p>
            <w:pPr>
              <w:spacing w:after="0"/>
              <w:rPr>
                <w:sz w:val="24"/>
                <w:szCs w:val="24"/>
                <w:color w:val="auto"/>
              </w:rPr>
            </w:pPr>
          </w:p>
        </w:tc>
        <w:tc>
          <w:tcPr>
            <w:tcW w:w="2680" w:type="dxa"/>
            <w:vAlign w:val="bottom"/>
            <w:gridSpan w:val="2"/>
            <w:shd w:val="clear" w:color="auto" w:fill="BDD6EE"/>
          </w:tcPr>
          <w:p>
            <w:pPr>
              <w:ind w:left="440"/>
              <w:spacing w:after="0"/>
              <w:rPr>
                <w:sz w:val="20"/>
                <w:szCs w:val="20"/>
                <w:color w:val="auto"/>
              </w:rPr>
            </w:pPr>
            <w:r>
              <w:rPr>
                <w:rFonts w:ascii="Arial" w:cs="Arial" w:eastAsia="Arial" w:hAnsi="Arial"/>
                <w:sz w:val="18"/>
                <w:szCs w:val="18"/>
                <w:b w:val="1"/>
                <w:bCs w:val="1"/>
                <w:color w:val="auto"/>
              </w:rPr>
              <w:t>Frequency/Payable</w:t>
            </w:r>
          </w:p>
        </w:tc>
        <w:tc>
          <w:tcPr>
            <w:tcW w:w="0" w:type="dxa"/>
            <w:vAlign w:val="bottom"/>
          </w:tcPr>
          <w:p>
            <w:pPr>
              <w:spacing w:after="0"/>
              <w:rPr>
                <w:sz w:val="1"/>
                <w:szCs w:val="1"/>
                <w:color w:val="auto"/>
              </w:rPr>
            </w:pPr>
          </w:p>
        </w:tc>
      </w:tr>
      <w:tr>
        <w:trPr>
          <w:trHeight w:val="20"/>
        </w:trPr>
        <w:tc>
          <w:tcPr>
            <w:tcW w:w="300" w:type="dxa"/>
            <w:vAlign w:val="bottom"/>
            <w:shd w:val="clear" w:color="auto" w:fill="BDD6EE"/>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BDD6EE"/>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0" w:type="dxa"/>
            <w:vAlign w:val="bottom"/>
            <w:shd w:val="clear" w:color="auto" w:fill="BDD6EE"/>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0" w:type="dxa"/>
            <w:vAlign w:val="bottom"/>
            <w:shd w:val="clear" w:color="auto" w:fill="BDD6EE"/>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80" w:type="dxa"/>
            <w:vAlign w:val="bottom"/>
            <w:shd w:val="clear" w:color="auto" w:fill="BDD6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0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Base Salary</w:t>
            </w:r>
          </w:p>
        </w:tc>
        <w:tc>
          <w:tcPr>
            <w:tcW w:w="32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Provide cash compensation for</w:t>
            </w:r>
          </w:p>
        </w:tc>
        <w:tc>
          <w:tcPr>
            <w:tcW w:w="32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Based on an individual's experience,</w:t>
            </w:r>
          </w:p>
        </w:tc>
        <w:tc>
          <w:tcPr>
            <w:tcW w:w="160" w:type="dxa"/>
            <w:vAlign w:val="bottom"/>
          </w:tcPr>
          <w:p>
            <w:pPr>
              <w:spacing w:after="0"/>
              <w:rPr>
                <w:sz w:val="17"/>
                <w:szCs w:val="17"/>
                <w:color w:val="auto"/>
              </w:rPr>
            </w:pPr>
          </w:p>
        </w:tc>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 Annual Performance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performing management job</w:t>
            </w:r>
          </w:p>
        </w:tc>
        <w:tc>
          <w:tcPr>
            <w:tcW w:w="16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tenure and capacity for growth</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responsibilities</w:t>
            </w: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00" w:type="dxa"/>
            <w:vAlign w:val="bottom"/>
            <w:gridSpan w:val="2"/>
          </w:tcPr>
          <w:p>
            <w:pPr>
              <w:spacing w:after="0"/>
              <w:rPr>
                <w:sz w:val="18"/>
                <w:szCs w:val="18"/>
                <w:color w:val="auto"/>
              </w:rPr>
            </w:pPr>
          </w:p>
        </w:tc>
        <w:tc>
          <w:tcPr>
            <w:tcW w:w="3240" w:type="dxa"/>
            <w:vAlign w:val="bottom"/>
            <w:gridSpan w:val="2"/>
          </w:tcPr>
          <w:p>
            <w:pPr>
              <w:spacing w:after="0"/>
              <w:rPr>
                <w:sz w:val="18"/>
                <w:szCs w:val="18"/>
                <w:color w:val="auto"/>
              </w:rPr>
            </w:pPr>
          </w:p>
        </w:tc>
        <w:tc>
          <w:tcPr>
            <w:tcW w:w="3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B3E0FF"/>
          </w:tcPr>
          <w:p>
            <w:pPr>
              <w:spacing w:after="0"/>
              <w:rPr>
                <w:sz w:val="17"/>
                <w:szCs w:val="17"/>
                <w:color w:val="auto"/>
              </w:rPr>
            </w:pPr>
          </w:p>
        </w:tc>
        <w:tc>
          <w:tcPr>
            <w:tcW w:w="1800" w:type="dxa"/>
            <w:vAlign w:val="bottom"/>
            <w:shd w:val="clear" w:color="auto" w:fill="B3E0FF"/>
          </w:tcPr>
          <w:p>
            <w:pPr>
              <w:spacing w:after="0" w:line="201" w:lineRule="exact"/>
              <w:rPr>
                <w:sz w:val="20"/>
                <w:szCs w:val="20"/>
                <w:color w:val="auto"/>
              </w:rPr>
            </w:pPr>
            <w:r>
              <w:rPr>
                <w:rFonts w:ascii="Arial" w:cs="Arial" w:eastAsia="Arial" w:hAnsi="Arial"/>
                <w:sz w:val="18"/>
                <w:szCs w:val="18"/>
                <w:b w:val="1"/>
                <w:bCs w:val="1"/>
                <w:color w:val="auto"/>
                <w:w w:val="98"/>
              </w:rPr>
              <w:t>Performance-Related</w:t>
            </w:r>
          </w:p>
        </w:tc>
        <w:tc>
          <w:tcPr>
            <w:tcW w:w="3240" w:type="dxa"/>
            <w:vAlign w:val="bottom"/>
            <w:gridSpan w:val="2"/>
            <w:shd w:val="clear" w:color="auto" w:fill="B3E0FF"/>
          </w:tcPr>
          <w:p>
            <w:pPr>
              <w:ind w:left="160"/>
              <w:spacing w:after="0" w:line="201" w:lineRule="exact"/>
              <w:rPr>
                <w:sz w:val="20"/>
                <w:szCs w:val="20"/>
                <w:color w:val="auto"/>
              </w:rPr>
            </w:pPr>
            <w:r>
              <w:rPr>
                <w:rFonts w:ascii="Arial" w:cs="Arial" w:eastAsia="Arial" w:hAnsi="Arial"/>
                <w:sz w:val="18"/>
                <w:szCs w:val="18"/>
                <w:color w:val="auto"/>
              </w:rPr>
              <w:t>• Motivate and reward management's</w:t>
            </w:r>
          </w:p>
        </w:tc>
        <w:tc>
          <w:tcPr>
            <w:tcW w:w="3240" w:type="dxa"/>
            <w:vAlign w:val="bottom"/>
            <w:gridSpan w:val="2"/>
            <w:shd w:val="clear" w:color="auto" w:fill="B3E0FF"/>
          </w:tcPr>
          <w:p>
            <w:pPr>
              <w:ind w:left="160"/>
              <w:spacing w:after="0" w:line="201" w:lineRule="exact"/>
              <w:rPr>
                <w:sz w:val="20"/>
                <w:szCs w:val="20"/>
                <w:color w:val="auto"/>
              </w:rPr>
            </w:pPr>
            <w:r>
              <w:rPr>
                <w:rFonts w:ascii="Arial" w:cs="Arial" w:eastAsia="Arial" w:hAnsi="Arial"/>
                <w:sz w:val="18"/>
                <w:szCs w:val="18"/>
                <w:color w:val="auto"/>
                <w:w w:val="96"/>
              </w:rPr>
              <w:t>• Rewards annual growth in Net Income</w:t>
            </w:r>
          </w:p>
        </w:tc>
        <w:tc>
          <w:tcPr>
            <w:tcW w:w="160" w:type="dxa"/>
            <w:vAlign w:val="bottom"/>
            <w:shd w:val="clear" w:color="auto" w:fill="B3E0FF"/>
          </w:tcPr>
          <w:p>
            <w:pPr>
              <w:spacing w:after="0"/>
              <w:rPr>
                <w:sz w:val="17"/>
                <w:szCs w:val="17"/>
                <w:color w:val="auto"/>
              </w:rPr>
            </w:pPr>
          </w:p>
        </w:tc>
        <w:tc>
          <w:tcPr>
            <w:tcW w:w="2680" w:type="dxa"/>
            <w:vAlign w:val="bottom"/>
            <w:gridSpan w:val="2"/>
            <w:shd w:val="clear" w:color="auto" w:fill="B3E0FF"/>
          </w:tcPr>
          <w:p>
            <w:pPr>
              <w:spacing w:after="0" w:line="201" w:lineRule="exact"/>
              <w:rPr>
                <w:sz w:val="20"/>
                <w:szCs w:val="20"/>
                <w:color w:val="auto"/>
              </w:rPr>
            </w:pPr>
            <w:r>
              <w:rPr>
                <w:rFonts w:ascii="Arial" w:cs="Arial" w:eastAsia="Arial" w:hAnsi="Arial"/>
                <w:sz w:val="18"/>
                <w:szCs w:val="18"/>
                <w:color w:val="auto"/>
              </w:rPr>
              <w:t>• Annual Performance</w:t>
            </w:r>
          </w:p>
        </w:tc>
        <w:tc>
          <w:tcPr>
            <w:tcW w:w="0" w:type="dxa"/>
            <w:vAlign w:val="bottom"/>
          </w:tcPr>
          <w:p>
            <w:pPr>
              <w:spacing w:after="0"/>
              <w:rPr>
                <w:sz w:val="1"/>
                <w:szCs w:val="1"/>
                <w:color w:val="auto"/>
              </w:rPr>
            </w:pPr>
          </w:p>
        </w:tc>
      </w:tr>
      <w:tr>
        <w:trPr>
          <w:trHeight w:val="222"/>
        </w:trPr>
        <w:tc>
          <w:tcPr>
            <w:tcW w:w="300" w:type="dxa"/>
            <w:vAlign w:val="bottom"/>
            <w:shd w:val="clear" w:color="auto" w:fill="B3E0FF"/>
          </w:tcPr>
          <w:p>
            <w:pPr>
              <w:spacing w:after="0"/>
              <w:rPr>
                <w:sz w:val="19"/>
                <w:szCs w:val="19"/>
                <w:color w:val="auto"/>
              </w:rPr>
            </w:pPr>
          </w:p>
        </w:tc>
        <w:tc>
          <w:tcPr>
            <w:tcW w:w="1800" w:type="dxa"/>
            <w:vAlign w:val="bottom"/>
            <w:shd w:val="clear" w:color="auto" w:fill="B3E0FF"/>
          </w:tcPr>
          <w:p>
            <w:pPr>
              <w:spacing w:after="0"/>
              <w:rPr>
                <w:sz w:val="20"/>
                <w:szCs w:val="20"/>
                <w:color w:val="auto"/>
              </w:rPr>
            </w:pPr>
            <w:r>
              <w:rPr>
                <w:rFonts w:ascii="Arial" w:cs="Arial" w:eastAsia="Arial" w:hAnsi="Arial"/>
                <w:sz w:val="18"/>
                <w:szCs w:val="18"/>
                <w:b w:val="1"/>
                <w:bCs w:val="1"/>
                <w:color w:val="auto"/>
                <w:w w:val="90"/>
              </w:rPr>
              <w:t>Cash Incentive Awards</w:t>
            </w: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achievement of annual growth in</w:t>
            </w: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and, for the business unit leaders,</w:t>
            </w:r>
          </w:p>
        </w:tc>
        <w:tc>
          <w:tcPr>
            <w:tcW w:w="160" w:type="dxa"/>
            <w:vAlign w:val="bottom"/>
            <w:shd w:val="clear" w:color="auto" w:fill="B3E0FF"/>
          </w:tcPr>
          <w:p>
            <w:pPr>
              <w:spacing w:after="0"/>
              <w:rPr>
                <w:sz w:val="19"/>
                <w:szCs w:val="19"/>
                <w:color w:val="auto"/>
              </w:rPr>
            </w:pPr>
          </w:p>
        </w:tc>
        <w:tc>
          <w:tcPr>
            <w:tcW w:w="2400" w:type="dxa"/>
            <w:vAlign w:val="bottom"/>
            <w:shd w:val="clear" w:color="auto" w:fill="B3E0FF"/>
          </w:tcPr>
          <w:p>
            <w:pPr>
              <w:spacing w:after="0"/>
              <w:rPr>
                <w:sz w:val="19"/>
                <w:szCs w:val="19"/>
                <w:color w:val="auto"/>
              </w:rPr>
            </w:pPr>
          </w:p>
        </w:tc>
        <w:tc>
          <w:tcPr>
            <w:tcW w:w="280" w:type="dxa"/>
            <w:vAlign w:val="bottom"/>
            <w:shd w:val="clear" w:color="auto" w:fill="B3E0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B3E0FF"/>
          </w:tcPr>
          <w:p>
            <w:pPr>
              <w:spacing w:after="0"/>
              <w:rPr>
                <w:sz w:val="18"/>
                <w:szCs w:val="18"/>
                <w:color w:val="auto"/>
              </w:rPr>
            </w:pPr>
          </w:p>
        </w:tc>
        <w:tc>
          <w:tcPr>
            <w:tcW w:w="180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profitability</w:t>
            </w: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achievement of Operating Income</w:t>
            </w:r>
          </w:p>
        </w:tc>
        <w:tc>
          <w:tcPr>
            <w:tcW w:w="160" w:type="dxa"/>
            <w:vAlign w:val="bottom"/>
            <w:shd w:val="clear" w:color="auto" w:fill="B3E0FF"/>
          </w:tcPr>
          <w:p>
            <w:pPr>
              <w:spacing w:after="0"/>
              <w:rPr>
                <w:sz w:val="18"/>
                <w:szCs w:val="18"/>
                <w:color w:val="auto"/>
              </w:rPr>
            </w:pPr>
          </w:p>
        </w:tc>
        <w:tc>
          <w:tcPr>
            <w:tcW w:w="2680" w:type="dxa"/>
            <w:vAlign w:val="bottom"/>
            <w:gridSpan w:val="2"/>
            <w:shd w:val="clear" w:color="auto" w:fill="B3E0FF"/>
          </w:tcPr>
          <w:p>
            <w:pPr>
              <w:spacing w:after="0"/>
              <w:rPr>
                <w:sz w:val="20"/>
                <w:szCs w:val="20"/>
                <w:color w:val="auto"/>
              </w:rPr>
            </w:pPr>
            <w:r>
              <w:rPr>
                <w:rFonts w:ascii="Arial" w:cs="Arial" w:eastAsia="Arial" w:hAnsi="Arial"/>
                <w:sz w:val="18"/>
                <w:szCs w:val="18"/>
                <w:color w:val="auto"/>
              </w:rPr>
              <w:t>• Paid in March of the next year,</w:t>
            </w:r>
          </w:p>
        </w:tc>
        <w:tc>
          <w:tcPr>
            <w:tcW w:w="0" w:type="dxa"/>
            <w:vAlign w:val="bottom"/>
          </w:tcPr>
          <w:p>
            <w:pPr>
              <w:spacing w:after="0"/>
              <w:rPr>
                <w:sz w:val="1"/>
                <w:szCs w:val="1"/>
                <w:color w:val="auto"/>
              </w:rPr>
            </w:pPr>
          </w:p>
        </w:tc>
      </w:tr>
      <w:tr>
        <w:trPr>
          <w:trHeight w:val="216"/>
        </w:trPr>
        <w:tc>
          <w:tcPr>
            <w:tcW w:w="300" w:type="dxa"/>
            <w:vAlign w:val="bottom"/>
            <w:shd w:val="clear" w:color="auto" w:fill="B3E0FF"/>
          </w:tcPr>
          <w:p>
            <w:pPr>
              <w:spacing w:after="0"/>
              <w:rPr>
                <w:sz w:val="18"/>
                <w:szCs w:val="18"/>
                <w:color w:val="auto"/>
              </w:rPr>
            </w:pPr>
          </w:p>
        </w:tc>
        <w:tc>
          <w:tcPr>
            <w:tcW w:w="180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w w:val="88"/>
              </w:rPr>
              <w:t>performance of the relevant business unit</w:t>
            </w:r>
          </w:p>
        </w:tc>
        <w:tc>
          <w:tcPr>
            <w:tcW w:w="160" w:type="dxa"/>
            <w:vAlign w:val="bottom"/>
            <w:shd w:val="clear" w:color="auto" w:fill="B3E0FF"/>
          </w:tcPr>
          <w:p>
            <w:pPr>
              <w:spacing w:after="0"/>
              <w:rPr>
                <w:sz w:val="18"/>
                <w:szCs w:val="18"/>
                <w:color w:val="auto"/>
              </w:rPr>
            </w:pPr>
          </w:p>
        </w:tc>
        <w:tc>
          <w:tcPr>
            <w:tcW w:w="2680" w:type="dxa"/>
            <w:vAlign w:val="bottom"/>
            <w:gridSpan w:val="2"/>
            <w:shd w:val="clear" w:color="auto" w:fill="B3E0FF"/>
          </w:tcPr>
          <w:p>
            <w:pPr>
              <w:ind w:left="140"/>
              <w:spacing w:after="0"/>
              <w:rPr>
                <w:sz w:val="20"/>
                <w:szCs w:val="20"/>
                <w:color w:val="auto"/>
              </w:rPr>
            </w:pPr>
            <w:r>
              <w:rPr>
                <w:rFonts w:ascii="Arial" w:cs="Arial" w:eastAsia="Arial" w:hAnsi="Arial"/>
                <w:sz w:val="18"/>
                <w:szCs w:val="18"/>
                <w:color w:val="auto"/>
              </w:rPr>
              <w:t>but included in the SCT in the</w:t>
            </w:r>
          </w:p>
        </w:tc>
        <w:tc>
          <w:tcPr>
            <w:tcW w:w="0" w:type="dxa"/>
            <w:vAlign w:val="bottom"/>
          </w:tcPr>
          <w:p>
            <w:pPr>
              <w:spacing w:after="0"/>
              <w:rPr>
                <w:sz w:val="1"/>
                <w:szCs w:val="1"/>
                <w:color w:val="auto"/>
              </w:rPr>
            </w:pPr>
          </w:p>
        </w:tc>
      </w:tr>
      <w:tr>
        <w:trPr>
          <w:trHeight w:val="222"/>
        </w:trPr>
        <w:tc>
          <w:tcPr>
            <w:tcW w:w="300" w:type="dxa"/>
            <w:vAlign w:val="bottom"/>
            <w:shd w:val="clear" w:color="auto" w:fill="B3E0FF"/>
          </w:tcPr>
          <w:p>
            <w:pPr>
              <w:spacing w:after="0"/>
              <w:rPr>
                <w:sz w:val="19"/>
                <w:szCs w:val="19"/>
                <w:color w:val="auto"/>
              </w:rPr>
            </w:pPr>
          </w:p>
        </w:tc>
        <w:tc>
          <w:tcPr>
            <w:tcW w:w="1800" w:type="dxa"/>
            <w:vAlign w:val="bottom"/>
            <w:shd w:val="clear" w:color="auto" w:fill="B3E0FF"/>
          </w:tcPr>
          <w:p>
            <w:pPr>
              <w:spacing w:after="0"/>
              <w:rPr>
                <w:sz w:val="19"/>
                <w:szCs w:val="19"/>
                <w:color w:val="auto"/>
              </w:rPr>
            </w:pP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spacing w:after="0"/>
              <w:rPr>
                <w:sz w:val="19"/>
                <w:szCs w:val="19"/>
                <w:color w:val="auto"/>
              </w:rPr>
            </w:pPr>
          </w:p>
        </w:tc>
        <w:tc>
          <w:tcPr>
            <w:tcW w:w="3240" w:type="dxa"/>
            <w:vAlign w:val="bottom"/>
            <w:gridSpan w:val="2"/>
            <w:vMerge w:val="restart"/>
            <w:shd w:val="clear" w:color="auto" w:fill="B3E0FF"/>
          </w:tcPr>
          <w:p>
            <w:pPr>
              <w:ind w:left="160"/>
              <w:spacing w:after="0"/>
              <w:rPr>
                <w:sz w:val="20"/>
                <w:szCs w:val="20"/>
                <w:color w:val="auto"/>
              </w:rPr>
            </w:pPr>
            <w:r>
              <w:rPr>
                <w:rFonts w:ascii="Arial" w:cs="Arial" w:eastAsia="Arial" w:hAnsi="Arial"/>
                <w:sz w:val="18"/>
                <w:szCs w:val="18"/>
                <w:color w:val="auto"/>
              </w:rPr>
              <w:t>• Award is calculated as a % of the</w:t>
            </w:r>
          </w:p>
        </w:tc>
        <w:tc>
          <w:tcPr>
            <w:tcW w:w="160" w:type="dxa"/>
            <w:vAlign w:val="bottom"/>
            <w:shd w:val="clear" w:color="auto" w:fill="B3E0FF"/>
          </w:tcPr>
          <w:p>
            <w:pPr>
              <w:spacing w:after="0"/>
              <w:rPr>
                <w:sz w:val="19"/>
                <w:szCs w:val="19"/>
                <w:color w:val="auto"/>
              </w:rPr>
            </w:pPr>
          </w:p>
        </w:tc>
        <w:tc>
          <w:tcPr>
            <w:tcW w:w="2680" w:type="dxa"/>
            <w:vAlign w:val="bottom"/>
            <w:gridSpan w:val="2"/>
            <w:shd w:val="clear" w:color="auto" w:fill="B3E0FF"/>
          </w:tcPr>
          <w:p>
            <w:pPr>
              <w:ind w:left="140"/>
              <w:spacing w:after="0"/>
              <w:rPr>
                <w:sz w:val="20"/>
                <w:szCs w:val="20"/>
                <w:color w:val="auto"/>
              </w:rPr>
            </w:pPr>
            <w:r>
              <w:rPr>
                <w:rFonts w:ascii="Arial" w:cs="Arial" w:eastAsia="Arial" w:hAnsi="Arial"/>
                <w:sz w:val="18"/>
                <w:szCs w:val="18"/>
                <w:color w:val="auto"/>
              </w:rPr>
              <w:t>year for which it was earned</w:t>
            </w:r>
          </w:p>
        </w:tc>
        <w:tc>
          <w:tcPr>
            <w:tcW w:w="0" w:type="dxa"/>
            <w:vAlign w:val="bottom"/>
          </w:tcPr>
          <w:p>
            <w:pPr>
              <w:spacing w:after="0"/>
              <w:rPr>
                <w:sz w:val="1"/>
                <w:szCs w:val="1"/>
                <w:color w:val="auto"/>
              </w:rPr>
            </w:pPr>
          </w:p>
        </w:tc>
      </w:tr>
      <w:tr>
        <w:trPr>
          <w:trHeight w:val="210"/>
        </w:trPr>
        <w:tc>
          <w:tcPr>
            <w:tcW w:w="300" w:type="dxa"/>
            <w:vAlign w:val="bottom"/>
            <w:shd w:val="clear" w:color="auto" w:fill="B3E0FF"/>
          </w:tcPr>
          <w:p>
            <w:pPr>
              <w:spacing w:after="0"/>
              <w:rPr>
                <w:sz w:val="18"/>
                <w:szCs w:val="18"/>
                <w:color w:val="auto"/>
              </w:rPr>
            </w:pPr>
          </w:p>
        </w:tc>
        <w:tc>
          <w:tcPr>
            <w:tcW w:w="180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spacing w:after="0"/>
              <w:rPr>
                <w:sz w:val="18"/>
                <w:szCs w:val="18"/>
                <w:color w:val="auto"/>
              </w:rPr>
            </w:pPr>
          </w:p>
        </w:tc>
        <w:tc>
          <w:tcPr>
            <w:tcW w:w="3240" w:type="dxa"/>
            <w:vAlign w:val="bottom"/>
            <w:gridSpan w:val="2"/>
            <w:vMerge w:val="continue"/>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2400" w:type="dxa"/>
            <w:vAlign w:val="bottom"/>
            <w:shd w:val="clear" w:color="auto" w:fill="B3E0FF"/>
          </w:tcPr>
          <w:p>
            <w:pPr>
              <w:spacing w:after="0"/>
              <w:rPr>
                <w:sz w:val="18"/>
                <w:szCs w:val="18"/>
                <w:color w:val="auto"/>
              </w:rPr>
            </w:pPr>
          </w:p>
        </w:tc>
        <w:tc>
          <w:tcPr>
            <w:tcW w:w="280" w:type="dxa"/>
            <w:vAlign w:val="bottom"/>
            <w:shd w:val="clear" w:color="auto" w:fill="B3E0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shd w:val="clear" w:color="auto" w:fill="B3E0FF"/>
          </w:tcPr>
          <w:p>
            <w:pPr>
              <w:spacing w:after="0"/>
              <w:rPr>
                <w:sz w:val="19"/>
                <w:szCs w:val="19"/>
                <w:color w:val="auto"/>
              </w:rPr>
            </w:pPr>
          </w:p>
        </w:tc>
        <w:tc>
          <w:tcPr>
            <w:tcW w:w="1800" w:type="dxa"/>
            <w:vAlign w:val="bottom"/>
            <w:shd w:val="clear" w:color="auto" w:fill="B3E0FF"/>
          </w:tcPr>
          <w:p>
            <w:pPr>
              <w:spacing w:after="0"/>
              <w:rPr>
                <w:sz w:val="19"/>
                <w:szCs w:val="19"/>
                <w:color w:val="auto"/>
              </w:rPr>
            </w:pP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spacing w:after="0"/>
              <w:rPr>
                <w:sz w:val="19"/>
                <w:szCs w:val="19"/>
                <w:color w:val="auto"/>
              </w:rPr>
            </w:pP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relevant metric, subject to a cap.</w:t>
            </w:r>
          </w:p>
        </w:tc>
        <w:tc>
          <w:tcPr>
            <w:tcW w:w="160" w:type="dxa"/>
            <w:vAlign w:val="bottom"/>
            <w:shd w:val="clear" w:color="auto" w:fill="B3E0FF"/>
          </w:tcPr>
          <w:p>
            <w:pPr>
              <w:spacing w:after="0"/>
              <w:rPr>
                <w:sz w:val="19"/>
                <w:szCs w:val="19"/>
                <w:color w:val="auto"/>
              </w:rPr>
            </w:pPr>
          </w:p>
        </w:tc>
        <w:tc>
          <w:tcPr>
            <w:tcW w:w="2400" w:type="dxa"/>
            <w:vAlign w:val="bottom"/>
            <w:shd w:val="clear" w:color="auto" w:fill="B3E0FF"/>
          </w:tcPr>
          <w:p>
            <w:pPr>
              <w:spacing w:after="0"/>
              <w:rPr>
                <w:sz w:val="19"/>
                <w:szCs w:val="19"/>
                <w:color w:val="auto"/>
              </w:rPr>
            </w:pPr>
          </w:p>
        </w:tc>
        <w:tc>
          <w:tcPr>
            <w:tcW w:w="280" w:type="dxa"/>
            <w:vAlign w:val="bottom"/>
            <w:shd w:val="clear" w:color="auto" w:fill="B3E0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shd w:val="clear" w:color="auto" w:fill="B3E0FF"/>
          </w:tcPr>
          <w:p>
            <w:pPr>
              <w:spacing w:after="0"/>
              <w:rPr>
                <w:sz w:val="18"/>
                <w:szCs w:val="18"/>
                <w:color w:val="auto"/>
              </w:rPr>
            </w:pPr>
          </w:p>
        </w:tc>
        <w:tc>
          <w:tcPr>
            <w:tcW w:w="180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2400" w:type="dxa"/>
            <w:vAlign w:val="bottom"/>
            <w:shd w:val="clear" w:color="auto" w:fill="B3E0FF"/>
          </w:tcPr>
          <w:p>
            <w:pPr>
              <w:spacing w:after="0"/>
              <w:rPr>
                <w:sz w:val="18"/>
                <w:szCs w:val="18"/>
                <w:color w:val="auto"/>
              </w:rPr>
            </w:pPr>
          </w:p>
        </w:tc>
        <w:tc>
          <w:tcPr>
            <w:tcW w:w="280" w:type="dxa"/>
            <w:vAlign w:val="bottom"/>
            <w:shd w:val="clear" w:color="auto" w:fill="B3E0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31" w:right="239" w:bottom="1440" w:gutter="0" w:footer="0" w:header="0"/>
        </w:sectPr>
      </w:pPr>
    </w:p>
    <w:p>
      <w:pPr>
        <w:ind w:left="300"/>
        <w:spacing w:after="0"/>
        <w:tabs>
          <w:tab w:leader="none" w:pos="2240" w:val="left"/>
        </w:tabs>
        <w:rPr>
          <w:sz w:val="20"/>
          <w:szCs w:val="20"/>
          <w:color w:val="auto"/>
        </w:rPr>
      </w:pPr>
      <w:r>
        <w:rPr>
          <w:rFonts w:ascii="Arial" w:cs="Arial" w:eastAsia="Arial" w:hAnsi="Arial"/>
          <w:sz w:val="18"/>
          <w:szCs w:val="18"/>
          <w:b w:val="1"/>
          <w:bCs w:val="1"/>
          <w:color w:val="auto"/>
        </w:rPr>
        <w:t>Strategic Objective</w:t>
      </w:r>
      <w:r>
        <w:rPr>
          <w:sz w:val="20"/>
          <w:szCs w:val="20"/>
          <w:color w:val="auto"/>
        </w:rPr>
        <w:tab/>
      </w:r>
      <w:r>
        <w:rPr>
          <w:rFonts w:ascii="Arial" w:cs="Arial" w:eastAsia="Arial" w:hAnsi="Arial"/>
          <w:sz w:val="16"/>
          <w:szCs w:val="16"/>
          <w:color w:val="auto"/>
        </w:rPr>
        <w:t>• Motivate and reward management's</w:t>
      </w:r>
    </w:p>
    <w:p>
      <w:pPr>
        <w:spacing w:after="0" w:line="7" w:lineRule="exact"/>
        <w:rPr>
          <w:sz w:val="20"/>
          <w:szCs w:val="20"/>
          <w:color w:val="auto"/>
        </w:rPr>
      </w:pPr>
    </w:p>
    <w:p>
      <w:pPr>
        <w:ind w:left="2400" w:hanging="2115"/>
        <w:spacing w:after="0" w:line="302" w:lineRule="auto"/>
        <w:tabs>
          <w:tab w:leader="none" w:pos="2380" w:val="left"/>
        </w:tabs>
        <w:rPr>
          <w:sz w:val="20"/>
          <w:szCs w:val="20"/>
          <w:color w:val="auto"/>
        </w:rPr>
      </w:pPr>
      <w:r>
        <w:rPr>
          <w:rFonts w:ascii="Arial" w:cs="Arial" w:eastAsia="Arial" w:hAnsi="Arial"/>
          <w:sz w:val="18"/>
          <w:szCs w:val="18"/>
          <w:b w:val="1"/>
          <w:bCs w:val="1"/>
          <w:color w:val="auto"/>
        </w:rPr>
        <w:t>Cash Incentive Awards</w:t>
      </w:r>
      <w:r>
        <w:rPr>
          <w:sz w:val="20"/>
          <w:szCs w:val="20"/>
          <w:color w:val="auto"/>
        </w:rPr>
        <w:tab/>
      </w:r>
      <w:r>
        <w:rPr>
          <w:rFonts w:ascii="Arial" w:cs="Arial" w:eastAsia="Arial" w:hAnsi="Arial"/>
          <w:sz w:val="16"/>
          <w:szCs w:val="16"/>
          <w:color w:val="auto"/>
        </w:rPr>
        <w:t>achievement of strategic goals that contribute to the Company's long-term growth and operational excellence</w:t>
      </w:r>
    </w:p>
    <w:p>
      <w:pPr>
        <w:spacing w:after="0" w:line="20" w:lineRule="exact"/>
        <w:rPr>
          <w:sz w:val="20"/>
          <w:szCs w:val="20"/>
          <w:color w:val="auto"/>
        </w:rPr>
      </w:pPr>
      <w:r>
        <w:rPr>
          <w:sz w:val="20"/>
          <w:szCs w:val="20"/>
          <w:color w:val="auto"/>
        </w:rPr>
        <w:br w:type="column"/>
      </w:r>
    </w:p>
    <w:p>
      <w:pPr>
        <w:ind w:left="135" w:hanging="135"/>
        <w:spacing w:after="0" w:line="301" w:lineRule="auto"/>
        <w:tabs>
          <w:tab w:leader="none" w:pos="1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Rewards achievement of pre-established performance goals tied to operational and strategic objectives</w:t>
      </w:r>
    </w:p>
    <w:p>
      <w:pPr>
        <w:spacing w:after="0" w:line="163" w:lineRule="exact"/>
        <w:rPr>
          <w:rFonts w:ascii="Arial" w:cs="Arial" w:eastAsia="Arial" w:hAnsi="Arial"/>
          <w:sz w:val="16"/>
          <w:szCs w:val="16"/>
          <w:color w:val="auto"/>
        </w:rPr>
      </w:pPr>
    </w:p>
    <w:p>
      <w:pPr>
        <w:ind w:left="135" w:right="80" w:hanging="135"/>
        <w:spacing w:after="0" w:line="256" w:lineRule="auto"/>
        <w:tabs>
          <w:tab w:leader="none" w:pos="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Payable only if our consolidated net revenues is equal or greater than 75% of consolidated net revenues for the prior year</w:t>
      </w:r>
    </w:p>
    <w:p>
      <w:pPr>
        <w:spacing w:after="0" w:line="20" w:lineRule="exact"/>
        <w:rPr>
          <w:sz w:val="20"/>
          <w:szCs w:val="20"/>
          <w:color w:val="auto"/>
        </w:rPr>
      </w:pPr>
      <w:r>
        <w:rPr>
          <w:sz w:val="20"/>
          <w:szCs w:val="20"/>
          <w:color w:val="auto"/>
        </w:rPr>
        <w:br w:type="column"/>
      </w:r>
    </w:p>
    <w:p>
      <w:pPr>
        <w:ind w:left="134" w:hanging="134"/>
        <w:spacing w:after="0"/>
        <w:tabs>
          <w:tab w:leader="none" w:pos="1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Performance</w:t>
      </w:r>
    </w:p>
    <w:p>
      <w:pPr>
        <w:spacing w:after="0" w:line="216" w:lineRule="exact"/>
        <w:rPr>
          <w:rFonts w:ascii="Arial" w:cs="Arial" w:eastAsia="Arial" w:hAnsi="Arial"/>
          <w:sz w:val="18"/>
          <w:szCs w:val="18"/>
          <w:color w:val="auto"/>
        </w:rPr>
      </w:pPr>
    </w:p>
    <w:p>
      <w:pPr>
        <w:jc w:val="both"/>
        <w:ind w:left="134" w:right="360" w:hanging="134"/>
        <w:spacing w:after="0" w:line="306" w:lineRule="auto"/>
        <w:tabs>
          <w:tab w:leader="none" w:pos="134"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Paid in March of the next year, but included in the SCT in the year for which it was earned</w:t>
      </w:r>
    </w:p>
    <w:p>
      <w:pPr>
        <w:spacing w:after="0" w:line="811" w:lineRule="exact"/>
        <w:rPr>
          <w:sz w:val="20"/>
          <w:szCs w:val="20"/>
          <w:color w:val="auto"/>
        </w:rPr>
      </w:pPr>
    </w:p>
    <w:p>
      <w:pPr>
        <w:sectPr>
          <w:pgSz w:w="11900" w:h="16838" w:orient="portrait"/>
          <w:cols w:equalWidth="0" w:num="3">
            <w:col w:w="5120" w:space="385"/>
            <w:col w:w="3055" w:space="186"/>
            <w:col w:w="2674"/>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100" w:type="dxa"/>
            <w:vAlign w:val="bottom"/>
            <w:shd w:val="clear" w:color="auto" w:fill="B3E0FF"/>
          </w:tcPr>
          <w:p>
            <w:pPr>
              <w:ind w:left="300"/>
              <w:spacing w:after="0"/>
              <w:rPr>
                <w:sz w:val="20"/>
                <w:szCs w:val="20"/>
                <w:color w:val="auto"/>
              </w:rPr>
            </w:pPr>
            <w:r>
              <w:rPr>
                <w:rFonts w:ascii="Arial" w:cs="Arial" w:eastAsia="Arial" w:hAnsi="Arial"/>
                <w:sz w:val="18"/>
                <w:szCs w:val="18"/>
                <w:b w:val="1"/>
                <w:bCs w:val="1"/>
                <w:color w:val="auto"/>
                <w:w w:val="98"/>
              </w:rPr>
              <w:t>Performance-Related</w:t>
            </w:r>
          </w:p>
        </w:tc>
        <w:tc>
          <w:tcPr>
            <w:tcW w:w="3320" w:type="dxa"/>
            <w:vAlign w:val="bottom"/>
            <w:gridSpan w:val="2"/>
            <w:shd w:val="clear" w:color="auto" w:fill="B3E0FF"/>
          </w:tcPr>
          <w:p>
            <w:pPr>
              <w:ind w:left="160"/>
              <w:spacing w:after="0"/>
              <w:rPr>
                <w:sz w:val="20"/>
                <w:szCs w:val="20"/>
                <w:color w:val="auto"/>
              </w:rPr>
            </w:pPr>
            <w:r>
              <w:rPr>
                <w:rFonts w:ascii="Arial" w:cs="Arial" w:eastAsia="Arial" w:hAnsi="Arial"/>
                <w:sz w:val="18"/>
                <w:szCs w:val="18"/>
                <w:color w:val="auto"/>
              </w:rPr>
              <w:t>• Directly align management and</w:t>
            </w:r>
          </w:p>
        </w:tc>
        <w:tc>
          <w:tcPr>
            <w:tcW w:w="3220" w:type="dxa"/>
            <w:vAlign w:val="bottom"/>
            <w:shd w:val="clear" w:color="auto" w:fill="B3E0FF"/>
          </w:tcPr>
          <w:p>
            <w:pPr>
              <w:ind w:left="80"/>
              <w:spacing w:after="0"/>
              <w:rPr>
                <w:sz w:val="20"/>
                <w:szCs w:val="20"/>
                <w:color w:val="auto"/>
              </w:rPr>
            </w:pPr>
            <w:r>
              <w:rPr>
                <w:rFonts w:ascii="Arial" w:cs="Arial" w:eastAsia="Arial" w:hAnsi="Arial"/>
                <w:sz w:val="18"/>
                <w:szCs w:val="18"/>
                <w:color w:val="auto"/>
                <w:w w:val="98"/>
              </w:rPr>
              <w:t>• Rewards annual growth in Net Income</w:t>
            </w:r>
          </w:p>
        </w:tc>
        <w:tc>
          <w:tcPr>
            <w:tcW w:w="2780" w:type="dxa"/>
            <w:vAlign w:val="bottom"/>
            <w:shd w:val="clear" w:color="auto" w:fill="B3E0FF"/>
          </w:tcPr>
          <w:p>
            <w:pPr>
              <w:ind w:left="100"/>
              <w:spacing w:after="0"/>
              <w:rPr>
                <w:sz w:val="20"/>
                <w:szCs w:val="20"/>
                <w:color w:val="auto"/>
              </w:rPr>
            </w:pPr>
            <w:r>
              <w:rPr>
                <w:rFonts w:ascii="Arial" w:cs="Arial" w:eastAsia="Arial" w:hAnsi="Arial"/>
                <w:sz w:val="18"/>
                <w:szCs w:val="18"/>
                <w:color w:val="auto"/>
              </w:rPr>
              <w:t>• Annual Performance</w:t>
            </w:r>
          </w:p>
        </w:tc>
        <w:tc>
          <w:tcPr>
            <w:tcW w:w="0" w:type="dxa"/>
            <w:vAlign w:val="bottom"/>
          </w:tcPr>
          <w:p>
            <w:pPr>
              <w:spacing w:after="0"/>
              <w:rPr>
                <w:sz w:val="1"/>
                <w:szCs w:val="1"/>
                <w:color w:val="auto"/>
              </w:rPr>
            </w:pPr>
          </w:p>
        </w:tc>
      </w:tr>
      <w:tr>
        <w:trPr>
          <w:trHeight w:val="222"/>
        </w:trPr>
        <w:tc>
          <w:tcPr>
            <w:tcW w:w="2100" w:type="dxa"/>
            <w:vAlign w:val="bottom"/>
            <w:shd w:val="clear" w:color="auto" w:fill="B3E0FF"/>
          </w:tcPr>
          <w:p>
            <w:pPr>
              <w:ind w:left="300"/>
              <w:spacing w:after="0"/>
              <w:rPr>
                <w:sz w:val="20"/>
                <w:szCs w:val="20"/>
                <w:color w:val="auto"/>
              </w:rPr>
            </w:pPr>
            <w:r>
              <w:rPr>
                <w:rFonts w:ascii="Arial" w:cs="Arial" w:eastAsia="Arial" w:hAnsi="Arial"/>
                <w:sz w:val="18"/>
                <w:szCs w:val="18"/>
                <w:b w:val="1"/>
                <w:bCs w:val="1"/>
                <w:color w:val="auto"/>
                <w:w w:val="96"/>
              </w:rPr>
              <w:t>Equity-Based Awards</w:t>
            </w:r>
          </w:p>
        </w:tc>
        <w:tc>
          <w:tcPr>
            <w:tcW w:w="260" w:type="dxa"/>
            <w:vAlign w:val="bottom"/>
            <w:shd w:val="clear" w:color="auto" w:fill="B3E0FF"/>
          </w:tcPr>
          <w:p>
            <w:pPr>
              <w:spacing w:after="0"/>
              <w:rPr>
                <w:sz w:val="19"/>
                <w:szCs w:val="19"/>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shareholder interests</w:t>
            </w:r>
          </w:p>
        </w:tc>
        <w:tc>
          <w:tcPr>
            <w:tcW w:w="3220" w:type="dxa"/>
            <w:vAlign w:val="bottom"/>
            <w:shd w:val="clear" w:color="auto" w:fill="B3E0FF"/>
          </w:tcPr>
          <w:p>
            <w:pPr>
              <w:ind w:left="220"/>
              <w:spacing w:after="0"/>
              <w:rPr>
                <w:sz w:val="20"/>
                <w:szCs w:val="20"/>
                <w:color w:val="auto"/>
              </w:rPr>
            </w:pPr>
            <w:r>
              <w:rPr>
                <w:rFonts w:ascii="Arial" w:cs="Arial" w:eastAsia="Arial" w:hAnsi="Arial"/>
                <w:sz w:val="18"/>
                <w:szCs w:val="18"/>
                <w:color w:val="auto"/>
                <w:w w:val="96"/>
              </w:rPr>
              <w:t>and, for the business unit leaders, also</w:t>
            </w:r>
          </w:p>
        </w:tc>
        <w:tc>
          <w:tcPr>
            <w:tcW w:w="2780" w:type="dxa"/>
            <w:vAlign w:val="bottom"/>
            <w:shd w:val="clear" w:color="auto" w:fill="B3E0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260" w:type="dxa"/>
            <w:vAlign w:val="bottom"/>
            <w:shd w:val="clear" w:color="auto" w:fill="B3E0FF"/>
          </w:tcPr>
          <w:p>
            <w:pPr>
              <w:spacing w:after="0"/>
              <w:rPr>
                <w:sz w:val="18"/>
                <w:szCs w:val="18"/>
                <w:color w:val="auto"/>
              </w:rPr>
            </w:pPr>
          </w:p>
        </w:tc>
        <w:tc>
          <w:tcPr>
            <w:tcW w:w="3060" w:type="dxa"/>
            <w:vAlign w:val="bottom"/>
            <w:shd w:val="clear" w:color="auto" w:fill="B3E0FF"/>
          </w:tcPr>
          <w:p>
            <w:pPr>
              <w:spacing w:after="0"/>
              <w:rPr>
                <w:sz w:val="18"/>
                <w:szCs w:val="18"/>
                <w:color w:val="auto"/>
              </w:rPr>
            </w:pPr>
          </w:p>
        </w:tc>
        <w:tc>
          <w:tcPr>
            <w:tcW w:w="3220" w:type="dxa"/>
            <w:vAlign w:val="bottom"/>
            <w:shd w:val="clear" w:color="auto" w:fill="B3E0FF"/>
          </w:tcPr>
          <w:p>
            <w:pPr>
              <w:ind w:left="220"/>
              <w:spacing w:after="0"/>
              <w:rPr>
                <w:sz w:val="20"/>
                <w:szCs w:val="20"/>
                <w:color w:val="auto"/>
              </w:rPr>
            </w:pPr>
            <w:r>
              <w:rPr>
                <w:rFonts w:ascii="Arial" w:cs="Arial" w:eastAsia="Arial" w:hAnsi="Arial"/>
                <w:sz w:val="18"/>
                <w:szCs w:val="18"/>
                <w:color w:val="auto"/>
              </w:rPr>
              <w:t>achievement of Operating Income</w:t>
            </w:r>
          </w:p>
        </w:tc>
        <w:tc>
          <w:tcPr>
            <w:tcW w:w="2780" w:type="dxa"/>
            <w:vAlign w:val="bottom"/>
            <w:shd w:val="clear" w:color="auto" w:fill="B3E0FF"/>
          </w:tcPr>
          <w:p>
            <w:pPr>
              <w:ind w:left="100"/>
              <w:spacing w:after="0"/>
              <w:rPr>
                <w:sz w:val="20"/>
                <w:szCs w:val="20"/>
                <w:color w:val="auto"/>
              </w:rPr>
            </w:pPr>
            <w:r>
              <w:rPr>
                <w:rFonts w:ascii="Arial" w:cs="Arial" w:eastAsia="Arial" w:hAnsi="Arial"/>
                <w:sz w:val="18"/>
                <w:szCs w:val="18"/>
                <w:color w:val="auto"/>
              </w:rPr>
              <w:t>• Issued in March of the next</w:t>
            </w: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3320" w:type="dxa"/>
            <w:vAlign w:val="bottom"/>
            <w:gridSpan w:val="2"/>
            <w:shd w:val="clear" w:color="auto" w:fill="B3E0FF"/>
          </w:tcPr>
          <w:p>
            <w:pPr>
              <w:ind w:left="160"/>
              <w:spacing w:after="0"/>
              <w:rPr>
                <w:sz w:val="20"/>
                <w:szCs w:val="20"/>
                <w:color w:val="auto"/>
              </w:rPr>
            </w:pPr>
            <w:r>
              <w:rPr>
                <w:rFonts w:ascii="Arial" w:cs="Arial" w:eastAsia="Arial" w:hAnsi="Arial"/>
                <w:sz w:val="18"/>
                <w:szCs w:val="18"/>
                <w:color w:val="auto"/>
              </w:rPr>
              <w:t>• Motivate and reward achievement of</w:t>
            </w:r>
          </w:p>
        </w:tc>
        <w:tc>
          <w:tcPr>
            <w:tcW w:w="3220" w:type="dxa"/>
            <w:vAlign w:val="bottom"/>
            <w:shd w:val="clear" w:color="auto" w:fill="B3E0FF"/>
          </w:tcPr>
          <w:p>
            <w:pPr>
              <w:ind w:left="220"/>
              <w:spacing w:after="0"/>
              <w:rPr>
                <w:sz w:val="20"/>
                <w:szCs w:val="20"/>
                <w:color w:val="auto"/>
              </w:rPr>
            </w:pPr>
            <w:r>
              <w:rPr>
                <w:rFonts w:ascii="Arial" w:cs="Arial" w:eastAsia="Arial" w:hAnsi="Arial"/>
                <w:sz w:val="18"/>
                <w:szCs w:val="18"/>
                <w:color w:val="auto"/>
                <w:w w:val="90"/>
              </w:rPr>
              <w:t>performance of the relevant business unit</w:t>
            </w:r>
          </w:p>
        </w:tc>
        <w:tc>
          <w:tcPr>
            <w:tcW w:w="2780" w:type="dxa"/>
            <w:vAlign w:val="bottom"/>
            <w:shd w:val="clear" w:color="auto" w:fill="B3E0FF"/>
          </w:tcPr>
          <w:p>
            <w:pPr>
              <w:ind w:left="240"/>
              <w:spacing w:after="0"/>
              <w:rPr>
                <w:sz w:val="20"/>
                <w:szCs w:val="20"/>
                <w:color w:val="auto"/>
              </w:rPr>
            </w:pPr>
            <w:r>
              <w:rPr>
                <w:rFonts w:ascii="Arial" w:cs="Arial" w:eastAsia="Arial" w:hAnsi="Arial"/>
                <w:sz w:val="18"/>
                <w:szCs w:val="18"/>
                <w:color w:val="auto"/>
              </w:rPr>
              <w:t>year, and the value of any</w:t>
            </w: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260" w:type="dxa"/>
            <w:vAlign w:val="bottom"/>
            <w:shd w:val="clear" w:color="auto" w:fill="B3E0FF"/>
          </w:tcPr>
          <w:p>
            <w:pPr>
              <w:spacing w:after="0"/>
              <w:rPr>
                <w:sz w:val="18"/>
                <w:szCs w:val="18"/>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sustainable earnings growth as a</w:t>
            </w:r>
          </w:p>
        </w:tc>
        <w:tc>
          <w:tcPr>
            <w:tcW w:w="3220" w:type="dxa"/>
            <w:vAlign w:val="bottom"/>
            <w:shd w:val="clear" w:color="auto" w:fill="B3E0FF"/>
          </w:tcPr>
          <w:p>
            <w:pPr>
              <w:spacing w:after="0"/>
              <w:rPr>
                <w:sz w:val="18"/>
                <w:szCs w:val="18"/>
                <w:color w:val="auto"/>
              </w:rPr>
            </w:pPr>
          </w:p>
        </w:tc>
        <w:tc>
          <w:tcPr>
            <w:tcW w:w="2780" w:type="dxa"/>
            <w:vAlign w:val="bottom"/>
            <w:shd w:val="clear" w:color="auto" w:fill="B3E0FF"/>
          </w:tcPr>
          <w:p>
            <w:pPr>
              <w:ind w:left="240"/>
              <w:spacing w:after="0"/>
              <w:rPr>
                <w:sz w:val="20"/>
                <w:szCs w:val="20"/>
                <w:color w:val="auto"/>
              </w:rPr>
            </w:pPr>
            <w:r>
              <w:rPr>
                <w:rFonts w:ascii="Arial" w:cs="Arial" w:eastAsia="Arial" w:hAnsi="Arial"/>
                <w:sz w:val="18"/>
                <w:szCs w:val="18"/>
                <w:color w:val="auto"/>
              </w:rPr>
              <w:t>issued RSUs will be included</w:t>
            </w: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260" w:type="dxa"/>
            <w:vAlign w:val="bottom"/>
            <w:shd w:val="clear" w:color="auto" w:fill="B3E0FF"/>
          </w:tcPr>
          <w:p>
            <w:pPr>
              <w:spacing w:after="0"/>
              <w:rPr>
                <w:sz w:val="18"/>
                <w:szCs w:val="18"/>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w w:val="98"/>
              </w:rPr>
              <w:t>significant portion of pay is at risk until</w:t>
            </w:r>
          </w:p>
        </w:tc>
        <w:tc>
          <w:tcPr>
            <w:tcW w:w="3220" w:type="dxa"/>
            <w:vAlign w:val="bottom"/>
            <w:shd w:val="clear" w:color="auto" w:fill="B3E0FF"/>
          </w:tcPr>
          <w:p>
            <w:pPr>
              <w:ind w:left="80"/>
              <w:spacing w:after="0"/>
              <w:rPr>
                <w:sz w:val="20"/>
                <w:szCs w:val="20"/>
                <w:color w:val="auto"/>
              </w:rPr>
            </w:pPr>
            <w:r>
              <w:rPr>
                <w:rFonts w:ascii="Arial" w:cs="Arial" w:eastAsia="Arial" w:hAnsi="Arial"/>
                <w:sz w:val="18"/>
                <w:szCs w:val="18"/>
                <w:color w:val="auto"/>
              </w:rPr>
              <w:t>• Awarded in the form of performance-</w:t>
            </w:r>
          </w:p>
        </w:tc>
        <w:tc>
          <w:tcPr>
            <w:tcW w:w="2780" w:type="dxa"/>
            <w:vAlign w:val="bottom"/>
            <w:shd w:val="clear" w:color="auto" w:fill="B3E0FF"/>
          </w:tcPr>
          <w:p>
            <w:pPr>
              <w:ind w:left="240"/>
              <w:spacing w:after="0"/>
              <w:rPr>
                <w:sz w:val="20"/>
                <w:szCs w:val="20"/>
                <w:color w:val="auto"/>
              </w:rPr>
            </w:pPr>
            <w:r>
              <w:rPr>
                <w:rFonts w:ascii="Arial" w:cs="Arial" w:eastAsia="Arial" w:hAnsi="Arial"/>
                <w:sz w:val="18"/>
                <w:szCs w:val="18"/>
                <w:color w:val="auto"/>
              </w:rPr>
              <w:t>in the SCT in the year in which</w:t>
            </w: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260" w:type="dxa"/>
            <w:vAlign w:val="bottom"/>
            <w:shd w:val="clear" w:color="auto" w:fill="B3E0FF"/>
          </w:tcPr>
          <w:p>
            <w:pPr>
              <w:spacing w:after="0"/>
              <w:rPr>
                <w:sz w:val="18"/>
                <w:szCs w:val="18"/>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the sustainability of Company</w:t>
            </w:r>
          </w:p>
        </w:tc>
        <w:tc>
          <w:tcPr>
            <w:tcW w:w="3220" w:type="dxa"/>
            <w:vAlign w:val="bottom"/>
            <w:shd w:val="clear" w:color="auto" w:fill="B3E0FF"/>
          </w:tcPr>
          <w:p>
            <w:pPr>
              <w:ind w:left="220"/>
              <w:spacing w:after="0"/>
              <w:rPr>
                <w:sz w:val="20"/>
                <w:szCs w:val="20"/>
                <w:color w:val="auto"/>
              </w:rPr>
            </w:pPr>
            <w:r>
              <w:rPr>
                <w:rFonts w:ascii="Arial" w:cs="Arial" w:eastAsia="Arial" w:hAnsi="Arial"/>
                <w:sz w:val="18"/>
                <w:szCs w:val="18"/>
                <w:color w:val="auto"/>
                <w:w w:val="93"/>
              </w:rPr>
              <w:t>based RSUs or in certain cases, SSARs</w:t>
            </w:r>
          </w:p>
        </w:tc>
        <w:tc>
          <w:tcPr>
            <w:tcW w:w="2780" w:type="dxa"/>
            <w:vAlign w:val="bottom"/>
            <w:shd w:val="clear" w:color="auto" w:fill="B3E0FF"/>
          </w:tcPr>
          <w:p>
            <w:pPr>
              <w:ind w:left="240"/>
              <w:spacing w:after="0"/>
              <w:rPr>
                <w:sz w:val="20"/>
                <w:szCs w:val="20"/>
                <w:color w:val="auto"/>
              </w:rPr>
            </w:pPr>
            <w:r>
              <w:rPr>
                <w:rFonts w:ascii="Arial" w:cs="Arial" w:eastAsia="Arial" w:hAnsi="Arial"/>
                <w:sz w:val="18"/>
                <w:szCs w:val="18"/>
                <w:color w:val="auto"/>
              </w:rPr>
              <w:t>they are issued (i.e. the year</w:t>
            </w:r>
          </w:p>
        </w:tc>
        <w:tc>
          <w:tcPr>
            <w:tcW w:w="0" w:type="dxa"/>
            <w:vAlign w:val="bottom"/>
          </w:tcPr>
          <w:p>
            <w:pPr>
              <w:spacing w:after="0"/>
              <w:rPr>
                <w:sz w:val="1"/>
                <w:szCs w:val="1"/>
                <w:color w:val="auto"/>
              </w:rPr>
            </w:pPr>
          </w:p>
        </w:tc>
      </w:tr>
      <w:tr>
        <w:trPr>
          <w:trHeight w:val="216"/>
        </w:trPr>
        <w:tc>
          <w:tcPr>
            <w:tcW w:w="2100" w:type="dxa"/>
            <w:vAlign w:val="bottom"/>
            <w:shd w:val="clear" w:color="auto" w:fill="B3E0FF"/>
          </w:tcPr>
          <w:p>
            <w:pPr>
              <w:spacing w:after="0"/>
              <w:rPr>
                <w:sz w:val="18"/>
                <w:szCs w:val="18"/>
                <w:color w:val="auto"/>
              </w:rPr>
            </w:pPr>
          </w:p>
        </w:tc>
        <w:tc>
          <w:tcPr>
            <w:tcW w:w="260" w:type="dxa"/>
            <w:vAlign w:val="bottom"/>
            <w:shd w:val="clear" w:color="auto" w:fill="B3E0FF"/>
          </w:tcPr>
          <w:p>
            <w:pPr>
              <w:spacing w:after="0"/>
              <w:rPr>
                <w:sz w:val="18"/>
                <w:szCs w:val="18"/>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performance has been tested over a</w:t>
            </w:r>
          </w:p>
        </w:tc>
        <w:tc>
          <w:tcPr>
            <w:tcW w:w="3220" w:type="dxa"/>
            <w:vAlign w:val="bottom"/>
            <w:shd w:val="clear" w:color="auto" w:fill="B3E0FF"/>
          </w:tcPr>
          <w:p>
            <w:pPr>
              <w:ind w:left="220"/>
              <w:spacing w:after="0"/>
              <w:rPr>
                <w:sz w:val="20"/>
                <w:szCs w:val="20"/>
                <w:color w:val="auto"/>
              </w:rPr>
            </w:pPr>
            <w:r>
              <w:rPr>
                <w:rFonts w:ascii="Arial" w:cs="Arial" w:eastAsia="Arial" w:hAnsi="Arial"/>
                <w:sz w:val="18"/>
                <w:szCs w:val="18"/>
                <w:color w:val="auto"/>
                <w:w w:val="90"/>
              </w:rPr>
              <w:t>which vest three years after being earned</w:t>
            </w:r>
          </w:p>
        </w:tc>
        <w:tc>
          <w:tcPr>
            <w:tcW w:w="2780" w:type="dxa"/>
            <w:vAlign w:val="bottom"/>
            <w:shd w:val="clear" w:color="auto" w:fill="B3E0FF"/>
          </w:tcPr>
          <w:p>
            <w:pPr>
              <w:ind w:left="240"/>
              <w:spacing w:after="0"/>
              <w:rPr>
                <w:sz w:val="20"/>
                <w:szCs w:val="20"/>
                <w:color w:val="auto"/>
              </w:rPr>
            </w:pPr>
            <w:r>
              <w:rPr>
                <w:rFonts w:ascii="Arial" w:cs="Arial" w:eastAsia="Arial" w:hAnsi="Arial"/>
                <w:sz w:val="18"/>
                <w:szCs w:val="18"/>
                <w:color w:val="auto"/>
              </w:rPr>
              <w:t>after they are earned)</w:t>
            </w:r>
          </w:p>
        </w:tc>
        <w:tc>
          <w:tcPr>
            <w:tcW w:w="0" w:type="dxa"/>
            <w:vAlign w:val="bottom"/>
          </w:tcPr>
          <w:p>
            <w:pPr>
              <w:spacing w:after="0"/>
              <w:rPr>
                <w:sz w:val="1"/>
                <w:szCs w:val="1"/>
                <w:color w:val="auto"/>
              </w:rPr>
            </w:pPr>
          </w:p>
        </w:tc>
      </w:tr>
      <w:tr>
        <w:trPr>
          <w:trHeight w:val="222"/>
        </w:trPr>
        <w:tc>
          <w:tcPr>
            <w:tcW w:w="2100" w:type="dxa"/>
            <w:vAlign w:val="bottom"/>
            <w:shd w:val="clear" w:color="auto" w:fill="B3E0FF"/>
          </w:tcPr>
          <w:p>
            <w:pPr>
              <w:spacing w:after="0"/>
              <w:rPr>
                <w:sz w:val="19"/>
                <w:szCs w:val="19"/>
                <w:color w:val="auto"/>
              </w:rPr>
            </w:pPr>
          </w:p>
        </w:tc>
        <w:tc>
          <w:tcPr>
            <w:tcW w:w="260" w:type="dxa"/>
            <w:vAlign w:val="bottom"/>
            <w:shd w:val="clear" w:color="auto" w:fill="B3E0FF"/>
          </w:tcPr>
          <w:p>
            <w:pPr>
              <w:spacing w:after="0"/>
              <w:rPr>
                <w:sz w:val="19"/>
                <w:szCs w:val="19"/>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reasonable period of time</w:t>
            </w:r>
          </w:p>
        </w:tc>
        <w:tc>
          <w:tcPr>
            <w:tcW w:w="3220" w:type="dxa"/>
            <w:vAlign w:val="bottom"/>
            <w:shd w:val="clear" w:color="auto" w:fill="B3E0FF"/>
          </w:tcPr>
          <w:p>
            <w:pPr>
              <w:spacing w:after="0"/>
              <w:rPr>
                <w:sz w:val="19"/>
                <w:szCs w:val="19"/>
                <w:color w:val="auto"/>
              </w:rPr>
            </w:pPr>
          </w:p>
        </w:tc>
        <w:tc>
          <w:tcPr>
            <w:tcW w:w="2780" w:type="dxa"/>
            <w:vAlign w:val="bottom"/>
            <w:shd w:val="clear" w:color="auto" w:fill="B3E0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100" w:type="dxa"/>
            <w:vAlign w:val="bottom"/>
            <w:shd w:val="clear" w:color="auto" w:fill="B3E0FF"/>
          </w:tcPr>
          <w:p>
            <w:pPr>
              <w:spacing w:after="0"/>
              <w:rPr>
                <w:sz w:val="24"/>
                <w:szCs w:val="24"/>
                <w:color w:val="auto"/>
              </w:rPr>
            </w:pPr>
          </w:p>
        </w:tc>
        <w:tc>
          <w:tcPr>
            <w:tcW w:w="260" w:type="dxa"/>
            <w:vAlign w:val="bottom"/>
            <w:shd w:val="clear" w:color="auto" w:fill="B3E0FF"/>
          </w:tcPr>
          <w:p>
            <w:pPr>
              <w:ind w:left="160"/>
              <w:spacing w:after="0"/>
              <w:rPr>
                <w:sz w:val="20"/>
                <w:szCs w:val="20"/>
                <w:color w:val="auto"/>
              </w:rPr>
            </w:pPr>
            <w:r>
              <w:rPr>
                <w:rFonts w:ascii="Arial" w:cs="Arial" w:eastAsia="Arial" w:hAnsi="Arial"/>
                <w:sz w:val="18"/>
                <w:szCs w:val="18"/>
                <w:color w:val="auto"/>
              </w:rPr>
              <w:t>•</w:t>
            </w: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w w:val="96"/>
              </w:rPr>
              <w:t>Provide further long-term incentives for</w:t>
            </w:r>
          </w:p>
        </w:tc>
        <w:tc>
          <w:tcPr>
            <w:tcW w:w="3220" w:type="dxa"/>
            <w:vAlign w:val="bottom"/>
            <w:shd w:val="clear" w:color="auto" w:fill="B3E0FF"/>
          </w:tcPr>
          <w:p>
            <w:pPr>
              <w:spacing w:after="0"/>
              <w:rPr>
                <w:sz w:val="24"/>
                <w:szCs w:val="24"/>
                <w:color w:val="auto"/>
              </w:rPr>
            </w:pPr>
          </w:p>
        </w:tc>
        <w:tc>
          <w:tcPr>
            <w:tcW w:w="2780" w:type="dxa"/>
            <w:vAlign w:val="bottom"/>
            <w:shd w:val="clear" w:color="auto" w:fill="B3E0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00" w:type="dxa"/>
            <w:vAlign w:val="bottom"/>
            <w:shd w:val="clear" w:color="auto" w:fill="B3E0FF"/>
          </w:tcPr>
          <w:p>
            <w:pPr>
              <w:spacing w:after="0"/>
              <w:rPr>
                <w:sz w:val="19"/>
                <w:szCs w:val="19"/>
                <w:color w:val="auto"/>
              </w:rPr>
            </w:pPr>
          </w:p>
        </w:tc>
        <w:tc>
          <w:tcPr>
            <w:tcW w:w="260" w:type="dxa"/>
            <w:vAlign w:val="bottom"/>
            <w:shd w:val="clear" w:color="auto" w:fill="B3E0FF"/>
          </w:tcPr>
          <w:p>
            <w:pPr>
              <w:spacing w:after="0"/>
              <w:rPr>
                <w:sz w:val="19"/>
                <w:szCs w:val="19"/>
                <w:color w:val="auto"/>
              </w:rPr>
            </w:pPr>
          </w:p>
        </w:tc>
        <w:tc>
          <w:tcPr>
            <w:tcW w:w="3060" w:type="dxa"/>
            <w:vAlign w:val="bottom"/>
            <w:shd w:val="clear" w:color="auto" w:fill="B3E0FF"/>
          </w:tcPr>
          <w:p>
            <w:pPr>
              <w:ind w:left="40"/>
              <w:spacing w:after="0"/>
              <w:rPr>
                <w:sz w:val="20"/>
                <w:szCs w:val="20"/>
                <w:color w:val="auto"/>
              </w:rPr>
            </w:pPr>
            <w:r>
              <w:rPr>
                <w:rFonts w:ascii="Arial" w:cs="Arial" w:eastAsia="Arial" w:hAnsi="Arial"/>
                <w:sz w:val="18"/>
                <w:szCs w:val="18"/>
                <w:color w:val="auto"/>
              </w:rPr>
              <w:t>creating shareholder value</w:t>
            </w:r>
          </w:p>
        </w:tc>
        <w:tc>
          <w:tcPr>
            <w:tcW w:w="3220" w:type="dxa"/>
            <w:vAlign w:val="bottom"/>
            <w:shd w:val="clear" w:color="auto" w:fill="B3E0FF"/>
          </w:tcPr>
          <w:p>
            <w:pPr>
              <w:spacing w:after="0"/>
              <w:rPr>
                <w:sz w:val="19"/>
                <w:szCs w:val="19"/>
                <w:color w:val="auto"/>
              </w:rPr>
            </w:pPr>
          </w:p>
        </w:tc>
        <w:tc>
          <w:tcPr>
            <w:tcW w:w="2780" w:type="dxa"/>
            <w:vAlign w:val="bottom"/>
            <w:shd w:val="clear" w:color="auto" w:fill="B3E0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B3E0FF"/>
          </w:tcPr>
          <w:p>
            <w:pPr>
              <w:spacing w:after="0"/>
              <w:rPr>
                <w:sz w:val="18"/>
                <w:szCs w:val="18"/>
                <w:color w:val="auto"/>
              </w:rPr>
            </w:pPr>
          </w:p>
        </w:tc>
        <w:tc>
          <w:tcPr>
            <w:tcW w:w="3320" w:type="dxa"/>
            <w:vAlign w:val="bottom"/>
            <w:gridSpan w:val="2"/>
            <w:shd w:val="clear" w:color="auto" w:fill="B3E0FF"/>
          </w:tcPr>
          <w:p>
            <w:pPr>
              <w:spacing w:after="0"/>
              <w:rPr>
                <w:sz w:val="18"/>
                <w:szCs w:val="18"/>
                <w:color w:val="auto"/>
              </w:rPr>
            </w:pPr>
          </w:p>
        </w:tc>
        <w:tc>
          <w:tcPr>
            <w:tcW w:w="3220" w:type="dxa"/>
            <w:vAlign w:val="bottom"/>
            <w:shd w:val="clear" w:color="auto" w:fill="B3E0FF"/>
          </w:tcPr>
          <w:p>
            <w:pPr>
              <w:spacing w:after="0"/>
              <w:rPr>
                <w:sz w:val="18"/>
                <w:szCs w:val="18"/>
                <w:color w:val="auto"/>
              </w:rPr>
            </w:pPr>
          </w:p>
        </w:tc>
        <w:tc>
          <w:tcPr>
            <w:tcW w:w="2780" w:type="dxa"/>
            <w:vAlign w:val="bottom"/>
            <w:shd w:val="clear" w:color="auto" w:fill="B3E0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tcPr>
          <w:p>
            <w:pPr>
              <w:ind w:left="300"/>
              <w:spacing w:after="0" w:line="201" w:lineRule="exact"/>
              <w:rPr>
                <w:sz w:val="20"/>
                <w:szCs w:val="20"/>
                <w:color w:val="auto"/>
              </w:rPr>
            </w:pPr>
            <w:r>
              <w:rPr>
                <w:rFonts w:ascii="Arial" w:cs="Arial" w:eastAsia="Arial" w:hAnsi="Arial"/>
                <w:sz w:val="18"/>
                <w:szCs w:val="18"/>
                <w:b w:val="1"/>
                <w:bCs w:val="1"/>
                <w:color w:val="auto"/>
              </w:rPr>
              <w:t>Performance Share</w:t>
            </w: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 Overlay to core compensation program to</w:t>
            </w:r>
          </w:p>
        </w:tc>
        <w:tc>
          <w:tcPr>
            <w:tcW w:w="3220" w:type="dxa"/>
            <w:vAlign w:val="bottom"/>
          </w:tcPr>
          <w:p>
            <w:pPr>
              <w:ind w:left="80"/>
              <w:spacing w:after="0" w:line="201" w:lineRule="exact"/>
              <w:rPr>
                <w:sz w:val="20"/>
                <w:szCs w:val="20"/>
                <w:color w:val="auto"/>
              </w:rPr>
            </w:pPr>
            <w:r>
              <w:rPr>
                <w:rFonts w:ascii="Arial" w:cs="Arial" w:eastAsia="Arial" w:hAnsi="Arial"/>
                <w:sz w:val="18"/>
                <w:szCs w:val="18"/>
                <w:color w:val="auto"/>
              </w:rPr>
              <w:t>• Rewards 3-year CAGR in EPS</w:t>
            </w:r>
          </w:p>
        </w:tc>
        <w:tc>
          <w:tcPr>
            <w:tcW w:w="2780" w:type="dxa"/>
            <w:vAlign w:val="bottom"/>
          </w:tcPr>
          <w:p>
            <w:pPr>
              <w:ind w:left="100"/>
              <w:spacing w:after="0" w:line="201" w:lineRule="exact"/>
              <w:rPr>
                <w:sz w:val="20"/>
                <w:szCs w:val="20"/>
                <w:color w:val="auto"/>
              </w:rPr>
            </w:pPr>
            <w:r>
              <w:rPr>
                <w:rFonts w:ascii="Arial" w:cs="Arial" w:eastAsia="Arial" w:hAnsi="Arial"/>
                <w:sz w:val="18"/>
                <w:szCs w:val="18"/>
                <w:color w:val="auto"/>
              </w:rPr>
              <w:t>• Measures multi-year</w:t>
            </w:r>
          </w:p>
        </w:tc>
        <w:tc>
          <w:tcPr>
            <w:tcW w:w="0" w:type="dxa"/>
            <w:vAlign w:val="bottom"/>
          </w:tcPr>
          <w:p>
            <w:pPr>
              <w:spacing w:after="0"/>
              <w:rPr>
                <w:sz w:val="1"/>
                <w:szCs w:val="1"/>
                <w:color w:val="auto"/>
              </w:rPr>
            </w:pPr>
          </w:p>
        </w:tc>
      </w:tr>
      <w:tr>
        <w:trPr>
          <w:trHeight w:val="222"/>
        </w:trPr>
        <w:tc>
          <w:tcPr>
            <w:tcW w:w="2100" w:type="dxa"/>
            <w:vAlign w:val="bottom"/>
          </w:tcPr>
          <w:p>
            <w:pPr>
              <w:ind w:left="300"/>
              <w:spacing w:after="0"/>
              <w:rPr>
                <w:sz w:val="20"/>
                <w:szCs w:val="20"/>
                <w:color w:val="auto"/>
              </w:rPr>
            </w:pPr>
            <w:r>
              <w:rPr>
                <w:rFonts w:ascii="Arial" w:cs="Arial" w:eastAsia="Arial" w:hAnsi="Arial"/>
                <w:sz w:val="18"/>
                <w:szCs w:val="18"/>
                <w:b w:val="1"/>
                <w:bCs w:val="1"/>
                <w:color w:val="auto"/>
              </w:rPr>
              <w:t>Plan</w:t>
            </w:r>
          </w:p>
        </w:tc>
        <w:tc>
          <w:tcPr>
            <w:tcW w:w="260" w:type="dxa"/>
            <w:vAlign w:val="bottom"/>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reward long-term increases in</w:t>
            </w:r>
          </w:p>
        </w:tc>
        <w:tc>
          <w:tcPr>
            <w:tcW w:w="32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shareholder value</w:t>
            </w:r>
          </w:p>
        </w:tc>
        <w:tc>
          <w:tcPr>
            <w:tcW w:w="3220" w:type="dxa"/>
            <w:vAlign w:val="bottom"/>
          </w:tcPr>
          <w:p>
            <w:pPr>
              <w:spacing w:after="0"/>
              <w:rPr>
                <w:sz w:val="19"/>
                <w:szCs w:val="19"/>
                <w:color w:val="auto"/>
              </w:rPr>
            </w:pPr>
          </w:p>
        </w:tc>
        <w:tc>
          <w:tcPr>
            <w:tcW w:w="2780" w:type="dxa"/>
            <w:vAlign w:val="bottom"/>
            <w:vMerge w:val="restart"/>
          </w:tcPr>
          <w:p>
            <w:pPr>
              <w:ind w:left="100"/>
              <w:spacing w:after="0"/>
              <w:rPr>
                <w:sz w:val="20"/>
                <w:szCs w:val="20"/>
                <w:color w:val="auto"/>
              </w:rPr>
            </w:pPr>
            <w:r>
              <w:rPr>
                <w:rFonts w:ascii="Arial" w:cs="Arial" w:eastAsia="Arial" w:hAnsi="Arial"/>
                <w:sz w:val="18"/>
                <w:szCs w:val="18"/>
                <w:color w:val="auto"/>
              </w:rPr>
              <w:t>• Granted annually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3060" w:type="dxa"/>
            <w:vAlign w:val="bottom"/>
            <w:vMerge w:val="restart"/>
          </w:tcPr>
          <w:p>
            <w:pPr>
              <w:ind w:left="40"/>
              <w:spacing w:after="0"/>
              <w:rPr>
                <w:sz w:val="20"/>
                <w:szCs w:val="20"/>
                <w:color w:val="auto"/>
              </w:rPr>
            </w:pPr>
            <w:r>
              <w:rPr>
                <w:rFonts w:ascii="Arial" w:cs="Arial" w:eastAsia="Arial" w:hAnsi="Arial"/>
                <w:sz w:val="18"/>
                <w:szCs w:val="18"/>
                <w:color w:val="auto"/>
                <w:w w:val="98"/>
              </w:rPr>
              <w:t>Avoid unpredictability in the disclosure</w:t>
            </w:r>
          </w:p>
        </w:tc>
        <w:tc>
          <w:tcPr>
            <w:tcW w:w="32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of annual compensation that arises in</w:t>
            </w:r>
          </w:p>
        </w:tc>
        <w:tc>
          <w:tcPr>
            <w:tcW w:w="3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w w:val="92"/>
              </w:rPr>
              <w:t>connection with periodic, large long-term</w:t>
            </w:r>
          </w:p>
        </w:tc>
        <w:tc>
          <w:tcPr>
            <w:tcW w:w="3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equity grants</w:t>
            </w:r>
          </w:p>
        </w:tc>
        <w:tc>
          <w:tcPr>
            <w:tcW w:w="3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Directly align management and</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shareholder interests</w:t>
      </w: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100" w:type="dxa"/>
            <w:vAlign w:val="bottom"/>
            <w:tcBorders>
              <w:top w:val="single" w:sz="8" w:color="0048E0"/>
              <w:left w:val="single" w:sz="8" w:color="0048E0"/>
            </w:tcBorders>
            <w:gridSpan w:val="2"/>
            <w:shd w:val="clear" w:color="auto" w:fill="BDD6EE"/>
          </w:tcPr>
          <w:p>
            <w:pPr>
              <w:ind w:left="300"/>
              <w:spacing w:after="0"/>
              <w:rPr>
                <w:sz w:val="20"/>
                <w:szCs w:val="20"/>
                <w:color w:val="auto"/>
              </w:rPr>
            </w:pPr>
            <w:r>
              <w:rPr>
                <w:rFonts w:ascii="Arial" w:cs="Arial" w:eastAsia="Arial" w:hAnsi="Arial"/>
                <w:sz w:val="18"/>
                <w:szCs w:val="18"/>
                <w:b w:val="1"/>
                <w:bCs w:val="1"/>
                <w:color w:val="auto"/>
                <w:w w:val="88"/>
              </w:rPr>
              <w:t>Compensation Element</w:t>
            </w:r>
          </w:p>
        </w:tc>
        <w:tc>
          <w:tcPr>
            <w:tcW w:w="160" w:type="dxa"/>
            <w:vAlign w:val="bottom"/>
            <w:tcBorders>
              <w:top w:val="single" w:sz="8" w:color="0048E0"/>
            </w:tcBorders>
            <w:shd w:val="clear" w:color="auto" w:fill="BDD6EE"/>
          </w:tcPr>
          <w:p>
            <w:pPr>
              <w:spacing w:after="0"/>
              <w:rPr>
                <w:sz w:val="24"/>
                <w:szCs w:val="24"/>
                <w:color w:val="auto"/>
              </w:rPr>
            </w:pPr>
          </w:p>
        </w:tc>
        <w:tc>
          <w:tcPr>
            <w:tcW w:w="3080" w:type="dxa"/>
            <w:vAlign w:val="bottom"/>
            <w:tcBorders>
              <w:top w:val="single" w:sz="8" w:color="0048E0"/>
            </w:tcBorders>
            <w:shd w:val="clear" w:color="auto" w:fill="BDD6EE"/>
          </w:tcPr>
          <w:p>
            <w:pPr>
              <w:ind w:left="1140"/>
              <w:spacing w:after="0"/>
              <w:rPr>
                <w:sz w:val="20"/>
                <w:szCs w:val="20"/>
                <w:color w:val="auto"/>
              </w:rPr>
            </w:pPr>
            <w:r>
              <w:rPr>
                <w:rFonts w:ascii="Arial" w:cs="Arial" w:eastAsia="Arial" w:hAnsi="Arial"/>
                <w:sz w:val="18"/>
                <w:szCs w:val="18"/>
                <w:b w:val="1"/>
                <w:bCs w:val="1"/>
                <w:color w:val="auto"/>
              </w:rPr>
              <w:t>Objective</w:t>
            </w:r>
          </w:p>
        </w:tc>
        <w:tc>
          <w:tcPr>
            <w:tcW w:w="160" w:type="dxa"/>
            <w:vAlign w:val="bottom"/>
            <w:tcBorders>
              <w:top w:val="single" w:sz="8" w:color="0048E0"/>
            </w:tcBorders>
            <w:shd w:val="clear" w:color="auto" w:fill="BDD6EE"/>
          </w:tcPr>
          <w:p>
            <w:pPr>
              <w:spacing w:after="0"/>
              <w:rPr>
                <w:sz w:val="24"/>
                <w:szCs w:val="24"/>
                <w:color w:val="auto"/>
              </w:rPr>
            </w:pPr>
          </w:p>
        </w:tc>
        <w:tc>
          <w:tcPr>
            <w:tcW w:w="3080" w:type="dxa"/>
            <w:vAlign w:val="bottom"/>
            <w:tcBorders>
              <w:top w:val="single" w:sz="8" w:color="0048E0"/>
            </w:tcBorders>
            <w:shd w:val="clear" w:color="auto" w:fill="BDD6EE"/>
          </w:tcPr>
          <w:p>
            <w:pPr>
              <w:ind w:left="1000"/>
              <w:spacing w:after="0"/>
              <w:rPr>
                <w:sz w:val="20"/>
                <w:szCs w:val="20"/>
                <w:color w:val="auto"/>
              </w:rPr>
            </w:pPr>
            <w:r>
              <w:rPr>
                <w:rFonts w:ascii="Arial" w:cs="Arial" w:eastAsia="Arial" w:hAnsi="Arial"/>
                <w:sz w:val="18"/>
                <w:szCs w:val="18"/>
                <w:b w:val="1"/>
                <w:bCs w:val="1"/>
                <w:color w:val="auto"/>
              </w:rPr>
              <w:t>Key Features</w:t>
            </w:r>
          </w:p>
        </w:tc>
        <w:tc>
          <w:tcPr>
            <w:tcW w:w="160" w:type="dxa"/>
            <w:vAlign w:val="bottom"/>
            <w:tcBorders>
              <w:top w:val="single" w:sz="8" w:color="0048E0"/>
            </w:tcBorders>
            <w:shd w:val="clear" w:color="auto" w:fill="BDD6EE"/>
          </w:tcPr>
          <w:p>
            <w:pPr>
              <w:spacing w:after="0"/>
              <w:rPr>
                <w:sz w:val="24"/>
                <w:szCs w:val="24"/>
                <w:color w:val="auto"/>
              </w:rPr>
            </w:pPr>
          </w:p>
        </w:tc>
        <w:tc>
          <w:tcPr>
            <w:tcW w:w="2680" w:type="dxa"/>
            <w:vAlign w:val="bottom"/>
            <w:tcBorders>
              <w:top w:val="single" w:sz="8" w:color="0048E0"/>
              <w:right w:val="single" w:sz="8" w:color="0048E0"/>
            </w:tcBorders>
            <w:gridSpan w:val="2"/>
            <w:shd w:val="clear" w:color="auto" w:fill="BDD6EE"/>
          </w:tcPr>
          <w:p>
            <w:pPr>
              <w:ind w:left="440"/>
              <w:spacing w:after="0"/>
              <w:rPr>
                <w:sz w:val="20"/>
                <w:szCs w:val="20"/>
                <w:color w:val="auto"/>
              </w:rPr>
            </w:pPr>
            <w:r>
              <w:rPr>
                <w:rFonts w:ascii="Arial" w:cs="Arial" w:eastAsia="Arial" w:hAnsi="Arial"/>
                <w:sz w:val="18"/>
                <w:szCs w:val="18"/>
                <w:b w:val="1"/>
                <w:bCs w:val="1"/>
                <w:color w:val="auto"/>
              </w:rPr>
              <w:t>Frequency/Payable</w:t>
            </w:r>
          </w:p>
        </w:tc>
      </w:tr>
      <w:tr>
        <w:trPr>
          <w:trHeight w:val="196"/>
        </w:trPr>
        <w:tc>
          <w:tcPr>
            <w:tcW w:w="300" w:type="dxa"/>
            <w:vAlign w:val="bottom"/>
            <w:tcBorders>
              <w:top w:val="single" w:sz="8" w:color="BDD6EE"/>
              <w:left w:val="single" w:sz="8" w:color="0048E0"/>
            </w:tcBorders>
            <w:shd w:val="clear" w:color="auto" w:fill="B3E0FF"/>
          </w:tcPr>
          <w:p>
            <w:pPr>
              <w:spacing w:after="0"/>
              <w:rPr>
                <w:sz w:val="17"/>
                <w:szCs w:val="17"/>
                <w:color w:val="auto"/>
              </w:rPr>
            </w:pPr>
          </w:p>
        </w:tc>
        <w:tc>
          <w:tcPr>
            <w:tcW w:w="1800" w:type="dxa"/>
            <w:vAlign w:val="bottom"/>
            <w:tcBorders>
              <w:top w:val="single" w:sz="8" w:color="auto"/>
            </w:tcBorders>
            <w:shd w:val="clear" w:color="auto" w:fill="B3E0FF"/>
          </w:tcPr>
          <w:p>
            <w:pPr>
              <w:spacing w:after="0" w:line="196" w:lineRule="exact"/>
              <w:rPr>
                <w:sz w:val="20"/>
                <w:szCs w:val="20"/>
                <w:color w:val="auto"/>
              </w:rPr>
            </w:pPr>
            <w:r>
              <w:rPr>
                <w:rFonts w:ascii="Arial" w:cs="Arial" w:eastAsia="Arial" w:hAnsi="Arial"/>
                <w:sz w:val="18"/>
                <w:szCs w:val="18"/>
                <w:b w:val="1"/>
                <w:bCs w:val="1"/>
                <w:color w:val="auto"/>
              </w:rPr>
              <w:t>Promotion and</w:t>
            </w:r>
          </w:p>
        </w:tc>
        <w:tc>
          <w:tcPr>
            <w:tcW w:w="160" w:type="dxa"/>
            <w:vAlign w:val="bottom"/>
            <w:tcBorders>
              <w:top w:val="single" w:sz="8" w:color="BDD6EE"/>
            </w:tcBorders>
            <w:shd w:val="clear" w:color="auto" w:fill="B3E0FF"/>
          </w:tcPr>
          <w:p>
            <w:pPr>
              <w:spacing w:after="0"/>
              <w:rPr>
                <w:sz w:val="17"/>
                <w:szCs w:val="17"/>
                <w:color w:val="auto"/>
              </w:rPr>
            </w:pPr>
          </w:p>
        </w:tc>
        <w:tc>
          <w:tcPr>
            <w:tcW w:w="3080" w:type="dxa"/>
            <w:vAlign w:val="bottom"/>
            <w:tcBorders>
              <w:top w:val="single" w:sz="8" w:color="auto"/>
            </w:tcBorders>
            <w:shd w:val="clear" w:color="auto" w:fill="B3E0FF"/>
          </w:tcPr>
          <w:p>
            <w:pPr>
              <w:spacing w:after="0" w:line="196" w:lineRule="exact"/>
              <w:rPr>
                <w:sz w:val="20"/>
                <w:szCs w:val="20"/>
                <w:color w:val="auto"/>
              </w:rPr>
            </w:pPr>
            <w:r>
              <w:rPr>
                <w:rFonts w:ascii="Arial" w:cs="Arial" w:eastAsia="Arial" w:hAnsi="Arial"/>
                <w:sz w:val="18"/>
                <w:szCs w:val="18"/>
                <w:color w:val="auto"/>
              </w:rPr>
              <w:t>• Promote retention</w:t>
            </w:r>
          </w:p>
        </w:tc>
        <w:tc>
          <w:tcPr>
            <w:tcW w:w="160" w:type="dxa"/>
            <w:vAlign w:val="bottom"/>
            <w:tcBorders>
              <w:top w:val="single" w:sz="8" w:color="BDD6EE"/>
            </w:tcBorders>
            <w:shd w:val="clear" w:color="auto" w:fill="B3E0FF"/>
          </w:tcPr>
          <w:p>
            <w:pPr>
              <w:spacing w:after="0"/>
              <w:rPr>
                <w:sz w:val="17"/>
                <w:szCs w:val="17"/>
                <w:color w:val="auto"/>
              </w:rPr>
            </w:pPr>
          </w:p>
        </w:tc>
        <w:tc>
          <w:tcPr>
            <w:tcW w:w="3080" w:type="dxa"/>
            <w:vAlign w:val="bottom"/>
            <w:tcBorders>
              <w:top w:val="single" w:sz="8" w:color="auto"/>
            </w:tcBorders>
            <w:shd w:val="clear" w:color="auto" w:fill="B3E0FF"/>
          </w:tcPr>
          <w:p>
            <w:pPr>
              <w:spacing w:after="0" w:line="196" w:lineRule="exact"/>
              <w:rPr>
                <w:sz w:val="20"/>
                <w:szCs w:val="20"/>
                <w:color w:val="auto"/>
              </w:rPr>
            </w:pPr>
            <w:r>
              <w:rPr>
                <w:rFonts w:ascii="Arial" w:cs="Arial" w:eastAsia="Arial" w:hAnsi="Arial"/>
                <w:sz w:val="18"/>
                <w:szCs w:val="18"/>
                <w:color w:val="auto"/>
                <w:w w:val="90"/>
              </w:rPr>
              <w:t>• Once issued, RSUs vest over a period of</w:t>
            </w:r>
          </w:p>
        </w:tc>
        <w:tc>
          <w:tcPr>
            <w:tcW w:w="160" w:type="dxa"/>
            <w:vAlign w:val="bottom"/>
            <w:tcBorders>
              <w:top w:val="single" w:sz="8" w:color="BDD6EE"/>
            </w:tcBorders>
            <w:shd w:val="clear" w:color="auto" w:fill="B3E0FF"/>
          </w:tcPr>
          <w:p>
            <w:pPr>
              <w:spacing w:after="0"/>
              <w:rPr>
                <w:sz w:val="17"/>
                <w:szCs w:val="17"/>
                <w:color w:val="auto"/>
              </w:rPr>
            </w:pPr>
          </w:p>
        </w:tc>
        <w:tc>
          <w:tcPr>
            <w:tcW w:w="2400" w:type="dxa"/>
            <w:vAlign w:val="bottom"/>
            <w:tcBorders>
              <w:top w:val="single" w:sz="8" w:color="auto"/>
            </w:tcBorders>
            <w:shd w:val="clear" w:color="auto" w:fill="B3E0FF"/>
          </w:tcPr>
          <w:p>
            <w:pPr>
              <w:spacing w:after="0" w:line="196" w:lineRule="exact"/>
              <w:rPr>
                <w:sz w:val="20"/>
                <w:szCs w:val="20"/>
                <w:color w:val="auto"/>
              </w:rPr>
            </w:pPr>
            <w:r>
              <w:rPr>
                <w:rFonts w:ascii="Arial" w:cs="Arial" w:eastAsia="Arial" w:hAnsi="Arial"/>
                <w:sz w:val="18"/>
                <w:szCs w:val="18"/>
                <w:color w:val="auto"/>
                <w:w w:val="99"/>
              </w:rPr>
              <w:t>• Granted from time to time as</w:t>
            </w:r>
          </w:p>
        </w:tc>
        <w:tc>
          <w:tcPr>
            <w:tcW w:w="280" w:type="dxa"/>
            <w:vAlign w:val="bottom"/>
            <w:tcBorders>
              <w:top w:val="single" w:sz="8" w:color="BDD6EE"/>
              <w:right w:val="single" w:sz="8" w:color="0048E0"/>
            </w:tcBorders>
            <w:shd w:val="clear" w:color="auto" w:fill="B3E0FF"/>
          </w:tcPr>
          <w:p>
            <w:pPr>
              <w:spacing w:after="0"/>
              <w:rPr>
                <w:sz w:val="17"/>
                <w:szCs w:val="17"/>
                <w:color w:val="auto"/>
              </w:rPr>
            </w:pPr>
          </w:p>
        </w:tc>
      </w:tr>
      <w:tr>
        <w:trPr>
          <w:trHeight w:val="216"/>
        </w:trPr>
        <w:tc>
          <w:tcPr>
            <w:tcW w:w="300" w:type="dxa"/>
            <w:vAlign w:val="bottom"/>
            <w:tcBorders>
              <w:left w:val="single" w:sz="8" w:color="0048E0"/>
            </w:tcBorders>
            <w:shd w:val="clear" w:color="auto" w:fill="B3E0FF"/>
          </w:tcPr>
          <w:p>
            <w:pPr>
              <w:spacing w:after="0"/>
              <w:rPr>
                <w:sz w:val="18"/>
                <w:szCs w:val="18"/>
                <w:color w:val="auto"/>
              </w:rPr>
            </w:pPr>
          </w:p>
        </w:tc>
        <w:tc>
          <w:tcPr>
            <w:tcW w:w="1800" w:type="dxa"/>
            <w:vAlign w:val="bottom"/>
            <w:shd w:val="clear" w:color="auto" w:fill="B3E0FF"/>
          </w:tcPr>
          <w:p>
            <w:pPr>
              <w:spacing w:after="0"/>
              <w:rPr>
                <w:sz w:val="20"/>
                <w:szCs w:val="20"/>
                <w:color w:val="auto"/>
              </w:rPr>
            </w:pPr>
            <w:r>
              <w:rPr>
                <w:rFonts w:ascii="Arial" w:cs="Arial" w:eastAsia="Arial" w:hAnsi="Arial"/>
                <w:sz w:val="18"/>
                <w:szCs w:val="18"/>
                <w:b w:val="1"/>
                <w:bCs w:val="1"/>
                <w:color w:val="auto"/>
              </w:rPr>
              <w:t>Retention Equity</w:t>
            </w: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3080" w:type="dxa"/>
            <w:vAlign w:val="bottom"/>
            <w:shd w:val="clear" w:color="auto" w:fill="B3E0FF"/>
          </w:tcPr>
          <w:p>
            <w:pPr>
              <w:ind w:left="140"/>
              <w:spacing w:after="0"/>
              <w:rPr>
                <w:sz w:val="20"/>
                <w:szCs w:val="20"/>
                <w:color w:val="auto"/>
              </w:rPr>
            </w:pPr>
            <w:r>
              <w:rPr>
                <w:rFonts w:ascii="Arial" w:cs="Arial" w:eastAsia="Arial" w:hAnsi="Arial"/>
                <w:sz w:val="18"/>
                <w:szCs w:val="18"/>
                <w:color w:val="auto"/>
              </w:rPr>
              <w:t>time based on continued service</w:t>
            </w:r>
          </w:p>
        </w:tc>
        <w:tc>
          <w:tcPr>
            <w:tcW w:w="160" w:type="dxa"/>
            <w:vAlign w:val="bottom"/>
            <w:shd w:val="clear" w:color="auto" w:fill="B3E0FF"/>
          </w:tcPr>
          <w:p>
            <w:pPr>
              <w:spacing w:after="0"/>
              <w:rPr>
                <w:sz w:val="18"/>
                <w:szCs w:val="18"/>
                <w:color w:val="auto"/>
              </w:rPr>
            </w:pPr>
          </w:p>
        </w:tc>
        <w:tc>
          <w:tcPr>
            <w:tcW w:w="2680" w:type="dxa"/>
            <w:vAlign w:val="bottom"/>
            <w:tcBorders>
              <w:right w:val="single" w:sz="8" w:color="0048E0"/>
            </w:tcBorders>
            <w:gridSpan w:val="2"/>
            <w:shd w:val="clear" w:color="auto" w:fill="B3E0FF"/>
          </w:tcPr>
          <w:p>
            <w:pPr>
              <w:ind w:left="140"/>
              <w:spacing w:after="0"/>
              <w:rPr>
                <w:sz w:val="20"/>
                <w:szCs w:val="20"/>
                <w:color w:val="auto"/>
              </w:rPr>
            </w:pPr>
            <w:r>
              <w:rPr>
                <w:rFonts w:ascii="Arial" w:cs="Arial" w:eastAsia="Arial" w:hAnsi="Arial"/>
                <w:sz w:val="18"/>
                <w:szCs w:val="18"/>
                <w:color w:val="auto"/>
              </w:rPr>
              <w:t>necessary</w:t>
            </w:r>
          </w:p>
        </w:tc>
      </w:tr>
      <w:tr>
        <w:trPr>
          <w:trHeight w:val="228"/>
        </w:trPr>
        <w:tc>
          <w:tcPr>
            <w:tcW w:w="300" w:type="dxa"/>
            <w:vAlign w:val="bottom"/>
            <w:tcBorders>
              <w:left w:val="single" w:sz="8" w:color="0048E0"/>
            </w:tcBorders>
            <w:shd w:val="clear" w:color="auto" w:fill="B3E0FF"/>
          </w:tcPr>
          <w:p>
            <w:pPr>
              <w:spacing w:after="0"/>
              <w:rPr>
                <w:sz w:val="19"/>
                <w:szCs w:val="19"/>
                <w:color w:val="auto"/>
              </w:rPr>
            </w:pPr>
          </w:p>
        </w:tc>
        <w:tc>
          <w:tcPr>
            <w:tcW w:w="1800" w:type="dxa"/>
            <w:vAlign w:val="bottom"/>
            <w:shd w:val="clear" w:color="auto" w:fill="B3E0FF"/>
          </w:tcPr>
          <w:p>
            <w:pPr>
              <w:spacing w:after="0"/>
              <w:rPr>
                <w:sz w:val="20"/>
                <w:szCs w:val="20"/>
                <w:color w:val="auto"/>
              </w:rPr>
            </w:pPr>
            <w:r>
              <w:rPr>
                <w:rFonts w:ascii="Arial" w:cs="Arial" w:eastAsia="Arial" w:hAnsi="Arial"/>
                <w:sz w:val="18"/>
                <w:szCs w:val="18"/>
                <w:b w:val="1"/>
                <w:bCs w:val="1"/>
                <w:color w:val="auto"/>
              </w:rPr>
              <w:t>Awards</w:t>
            </w: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spacing w:after="0"/>
              <w:rPr>
                <w:sz w:val="19"/>
                <w:szCs w:val="19"/>
                <w:color w:val="auto"/>
              </w:rPr>
            </w:pPr>
          </w:p>
        </w:tc>
        <w:tc>
          <w:tcPr>
            <w:tcW w:w="160" w:type="dxa"/>
            <w:vAlign w:val="bottom"/>
            <w:shd w:val="clear" w:color="auto" w:fill="B3E0FF"/>
          </w:tcPr>
          <w:p>
            <w:pPr>
              <w:spacing w:after="0"/>
              <w:rPr>
                <w:sz w:val="19"/>
                <w:szCs w:val="19"/>
                <w:color w:val="auto"/>
              </w:rPr>
            </w:pPr>
          </w:p>
        </w:tc>
        <w:tc>
          <w:tcPr>
            <w:tcW w:w="3080" w:type="dxa"/>
            <w:vAlign w:val="bottom"/>
            <w:shd w:val="clear" w:color="auto" w:fill="B3E0FF"/>
          </w:tcPr>
          <w:p>
            <w:pPr>
              <w:spacing w:after="0"/>
              <w:rPr>
                <w:sz w:val="19"/>
                <w:szCs w:val="19"/>
                <w:color w:val="auto"/>
              </w:rPr>
            </w:pPr>
          </w:p>
        </w:tc>
        <w:tc>
          <w:tcPr>
            <w:tcW w:w="160" w:type="dxa"/>
            <w:vAlign w:val="bottom"/>
            <w:shd w:val="clear" w:color="auto" w:fill="B3E0FF"/>
          </w:tcPr>
          <w:p>
            <w:pPr>
              <w:spacing w:after="0"/>
              <w:rPr>
                <w:sz w:val="19"/>
                <w:szCs w:val="19"/>
                <w:color w:val="auto"/>
              </w:rPr>
            </w:pPr>
          </w:p>
        </w:tc>
        <w:tc>
          <w:tcPr>
            <w:tcW w:w="2400" w:type="dxa"/>
            <w:vAlign w:val="bottom"/>
            <w:shd w:val="clear" w:color="auto" w:fill="B3E0FF"/>
          </w:tcPr>
          <w:p>
            <w:pPr>
              <w:spacing w:after="0"/>
              <w:rPr>
                <w:sz w:val="19"/>
                <w:szCs w:val="19"/>
                <w:color w:val="auto"/>
              </w:rPr>
            </w:pPr>
          </w:p>
        </w:tc>
        <w:tc>
          <w:tcPr>
            <w:tcW w:w="280" w:type="dxa"/>
            <w:vAlign w:val="bottom"/>
            <w:tcBorders>
              <w:right w:val="single" w:sz="8" w:color="0048E0"/>
            </w:tcBorders>
            <w:shd w:val="clear" w:color="auto" w:fill="B3E0FF"/>
          </w:tcPr>
          <w:p>
            <w:pPr>
              <w:spacing w:after="0"/>
              <w:rPr>
                <w:sz w:val="19"/>
                <w:szCs w:val="19"/>
                <w:color w:val="auto"/>
              </w:rPr>
            </w:pPr>
          </w:p>
        </w:tc>
      </w:tr>
      <w:tr>
        <w:trPr>
          <w:trHeight w:val="218"/>
        </w:trPr>
        <w:tc>
          <w:tcPr>
            <w:tcW w:w="300" w:type="dxa"/>
            <w:vAlign w:val="bottom"/>
            <w:tcBorders>
              <w:left w:val="single" w:sz="8" w:color="0048E0"/>
            </w:tcBorders>
            <w:shd w:val="clear" w:color="auto" w:fill="B3E0FF"/>
          </w:tcPr>
          <w:p>
            <w:pPr>
              <w:spacing w:after="0"/>
              <w:rPr>
                <w:sz w:val="18"/>
                <w:szCs w:val="18"/>
                <w:color w:val="auto"/>
              </w:rPr>
            </w:pPr>
          </w:p>
        </w:tc>
        <w:tc>
          <w:tcPr>
            <w:tcW w:w="1800" w:type="dxa"/>
            <w:vAlign w:val="bottom"/>
            <w:shd w:val="clear" w:color="auto" w:fill="B3E0FF"/>
          </w:tcPr>
          <w:p>
            <w:pPr>
              <w:spacing w:after="0"/>
              <w:rPr>
                <w:sz w:val="18"/>
                <w:szCs w:val="18"/>
                <w:color w:val="auto"/>
              </w:rPr>
            </w:pPr>
          </w:p>
        </w:tc>
        <w:tc>
          <w:tcPr>
            <w:tcW w:w="3240" w:type="dxa"/>
            <w:vAlign w:val="bottom"/>
            <w:gridSpan w:val="2"/>
            <w:shd w:val="clear" w:color="auto" w:fill="B3E0FF"/>
          </w:tcPr>
          <w:p>
            <w:pPr>
              <w:spacing w:after="0"/>
              <w:rPr>
                <w:sz w:val="18"/>
                <w:szCs w:val="18"/>
                <w:color w:val="auto"/>
              </w:rPr>
            </w:pPr>
          </w:p>
        </w:tc>
        <w:tc>
          <w:tcPr>
            <w:tcW w:w="3240" w:type="dxa"/>
            <w:vAlign w:val="bottom"/>
            <w:gridSpan w:val="2"/>
            <w:shd w:val="clear" w:color="auto" w:fill="B3E0FF"/>
          </w:tcPr>
          <w:p>
            <w:pPr>
              <w:spacing w:after="0"/>
              <w:rPr>
                <w:sz w:val="18"/>
                <w:szCs w:val="18"/>
                <w:color w:val="auto"/>
              </w:rPr>
            </w:pPr>
          </w:p>
        </w:tc>
        <w:tc>
          <w:tcPr>
            <w:tcW w:w="160" w:type="dxa"/>
            <w:vAlign w:val="bottom"/>
            <w:shd w:val="clear" w:color="auto" w:fill="B3E0FF"/>
          </w:tcPr>
          <w:p>
            <w:pPr>
              <w:spacing w:after="0"/>
              <w:rPr>
                <w:sz w:val="18"/>
                <w:szCs w:val="18"/>
                <w:color w:val="auto"/>
              </w:rPr>
            </w:pPr>
          </w:p>
        </w:tc>
        <w:tc>
          <w:tcPr>
            <w:tcW w:w="2400" w:type="dxa"/>
            <w:vAlign w:val="bottom"/>
            <w:shd w:val="clear" w:color="auto" w:fill="B3E0FF"/>
          </w:tcPr>
          <w:p>
            <w:pPr>
              <w:spacing w:after="0"/>
              <w:rPr>
                <w:sz w:val="18"/>
                <w:szCs w:val="18"/>
                <w:color w:val="auto"/>
              </w:rPr>
            </w:pPr>
          </w:p>
        </w:tc>
        <w:tc>
          <w:tcPr>
            <w:tcW w:w="280" w:type="dxa"/>
            <w:vAlign w:val="bottom"/>
            <w:tcBorders>
              <w:right w:val="single" w:sz="8" w:color="0048E0"/>
            </w:tcBorders>
            <w:shd w:val="clear" w:color="auto" w:fill="B3E0FF"/>
          </w:tcPr>
          <w:p>
            <w:pPr>
              <w:spacing w:after="0"/>
              <w:rPr>
                <w:sz w:val="18"/>
                <w:szCs w:val="18"/>
                <w:color w:val="auto"/>
              </w:rPr>
            </w:pPr>
          </w:p>
        </w:tc>
      </w:tr>
      <w:tr>
        <w:trPr>
          <w:trHeight w:val="202"/>
        </w:trPr>
        <w:tc>
          <w:tcPr>
            <w:tcW w:w="300" w:type="dxa"/>
            <w:vAlign w:val="bottom"/>
            <w:tcBorders>
              <w:left w:val="single" w:sz="8" w:color="0048E0"/>
            </w:tcBorders>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Employee Benefits and</w:t>
            </w:r>
          </w:p>
        </w:tc>
        <w:tc>
          <w:tcPr>
            <w:tcW w:w="32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 Retain highly qualified executives over</w:t>
            </w:r>
          </w:p>
        </w:tc>
        <w:tc>
          <w:tcPr>
            <w:tcW w:w="32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 Participate in 401(k) plan and welfare</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Borders>
              <w:right w:val="single" w:sz="8" w:color="0048E0"/>
            </w:tcBorders>
          </w:tcPr>
          <w:p>
            <w:pPr>
              <w:spacing w:after="0"/>
              <w:rPr>
                <w:sz w:val="17"/>
                <w:szCs w:val="17"/>
                <w:color w:val="auto"/>
              </w:rPr>
            </w:pPr>
          </w:p>
        </w:tc>
      </w:tr>
      <w:tr>
        <w:trPr>
          <w:trHeight w:val="222"/>
        </w:trPr>
        <w:tc>
          <w:tcPr>
            <w:tcW w:w="2100" w:type="dxa"/>
            <w:vAlign w:val="bottom"/>
            <w:tcBorders>
              <w:left w:val="single" w:sz="8" w:color="0048E0"/>
            </w:tcBorders>
            <w:gridSpan w:val="2"/>
          </w:tcPr>
          <w:p>
            <w:pPr>
              <w:ind w:left="300"/>
              <w:spacing w:after="0"/>
              <w:rPr>
                <w:sz w:val="20"/>
                <w:szCs w:val="20"/>
                <w:color w:val="auto"/>
              </w:rPr>
            </w:pPr>
            <w:r>
              <w:rPr>
                <w:rFonts w:ascii="Arial" w:cs="Arial" w:eastAsia="Arial" w:hAnsi="Arial"/>
                <w:sz w:val="18"/>
                <w:szCs w:val="18"/>
                <w:b w:val="1"/>
                <w:bCs w:val="1"/>
                <w:color w:val="auto"/>
                <w:w w:val="95"/>
              </w:rPr>
              <w:t>Executive Perquisites</w:t>
            </w:r>
          </w:p>
        </w:tc>
        <w:tc>
          <w:tcPr>
            <w:tcW w:w="16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the course of their careers</w:t>
            </w:r>
          </w:p>
        </w:tc>
        <w:tc>
          <w:tcPr>
            <w:tcW w:w="16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plans on the same terms as all</w:t>
            </w: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Borders>
              <w:right w:val="single" w:sz="8" w:color="0048E0"/>
            </w:tcBorders>
          </w:tcPr>
          <w:p>
            <w:pPr>
              <w:spacing w:after="0"/>
              <w:rPr>
                <w:sz w:val="19"/>
                <w:szCs w:val="19"/>
                <w:color w:val="auto"/>
              </w:rPr>
            </w:pPr>
          </w:p>
        </w:tc>
      </w:tr>
      <w:tr>
        <w:trPr>
          <w:trHeight w:val="216"/>
        </w:trPr>
        <w:tc>
          <w:tcPr>
            <w:tcW w:w="300" w:type="dxa"/>
            <w:vAlign w:val="bottom"/>
            <w:tcBorders>
              <w:left w:val="single" w:sz="8" w:color="0048E0"/>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w w:val="87"/>
              </w:rPr>
              <w:t>employees; receive club memberships for</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Borders>
              <w:right w:val="single" w:sz="8" w:color="0048E0"/>
            </w:tcBorders>
          </w:tcPr>
          <w:p>
            <w:pPr>
              <w:spacing w:after="0"/>
              <w:rPr>
                <w:sz w:val="18"/>
                <w:szCs w:val="18"/>
                <w:color w:val="auto"/>
              </w:rPr>
            </w:pPr>
          </w:p>
        </w:tc>
      </w:tr>
      <w:tr>
        <w:trPr>
          <w:trHeight w:val="216"/>
        </w:trPr>
        <w:tc>
          <w:tcPr>
            <w:tcW w:w="300" w:type="dxa"/>
            <w:vAlign w:val="bottom"/>
            <w:tcBorders>
              <w:left w:val="single" w:sz="8" w:color="0048E0"/>
            </w:tcBorders>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w w:val="90"/>
              </w:rPr>
              <w:t>business meetings and business-related</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Borders>
              <w:right w:val="single" w:sz="8" w:color="0048E0"/>
            </w:tcBorders>
          </w:tcPr>
          <w:p>
            <w:pPr>
              <w:spacing w:after="0"/>
              <w:rPr>
                <w:sz w:val="18"/>
                <w:szCs w:val="18"/>
                <w:color w:val="auto"/>
              </w:rPr>
            </w:pPr>
          </w:p>
        </w:tc>
      </w:tr>
      <w:tr>
        <w:trPr>
          <w:trHeight w:val="222"/>
        </w:trPr>
        <w:tc>
          <w:tcPr>
            <w:tcW w:w="300" w:type="dxa"/>
            <w:vAlign w:val="bottom"/>
            <w:tcBorders>
              <w:left w:val="single" w:sz="8" w:color="0048E0"/>
            </w:tcBorders>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entertainment</w:t>
            </w: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Borders>
              <w:right w:val="single" w:sz="8" w:color="0048E0"/>
            </w:tcBorders>
          </w:tcPr>
          <w:p>
            <w:pPr>
              <w:spacing w:after="0"/>
              <w:rPr>
                <w:sz w:val="19"/>
                <w:szCs w:val="19"/>
                <w:color w:val="auto"/>
              </w:rPr>
            </w:pPr>
          </w:p>
        </w:tc>
      </w:tr>
      <w:tr>
        <w:trPr>
          <w:trHeight w:val="426"/>
        </w:trPr>
        <w:tc>
          <w:tcPr>
            <w:tcW w:w="300" w:type="dxa"/>
            <w:vAlign w:val="bottom"/>
            <w:tcBorders>
              <w:left w:val="single" w:sz="8" w:color="0048E0"/>
            </w:tcBorders>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w w:val="93"/>
              </w:rPr>
              <w:t>• We do not provide any pension or other</w:t>
            </w: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right w:val="single" w:sz="8" w:color="0048E0"/>
            </w:tcBorders>
          </w:tcPr>
          <w:p>
            <w:pPr>
              <w:spacing w:after="0"/>
              <w:rPr>
                <w:sz w:val="24"/>
                <w:szCs w:val="24"/>
                <w:color w:val="auto"/>
              </w:rPr>
            </w:pPr>
          </w:p>
        </w:tc>
      </w:tr>
      <w:tr>
        <w:trPr>
          <w:trHeight w:val="222"/>
        </w:trPr>
        <w:tc>
          <w:tcPr>
            <w:tcW w:w="300" w:type="dxa"/>
            <w:vAlign w:val="bottom"/>
            <w:tcBorders>
              <w:left w:val="single" w:sz="8" w:color="0048E0"/>
            </w:tcBorders>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defined benefit retirement plans</w:t>
            </w: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Borders>
              <w:right w:val="single" w:sz="8" w:color="0048E0"/>
            </w:tcBorders>
          </w:tcPr>
          <w:p>
            <w:pPr>
              <w:spacing w:after="0"/>
              <w:rPr>
                <w:sz w:val="19"/>
                <w:szCs w:val="19"/>
                <w:color w:val="auto"/>
              </w:rPr>
            </w:pPr>
          </w:p>
        </w:tc>
      </w:tr>
      <w:tr>
        <w:trPr>
          <w:trHeight w:val="482"/>
        </w:trPr>
        <w:tc>
          <w:tcPr>
            <w:tcW w:w="300" w:type="dxa"/>
            <w:vAlign w:val="bottom"/>
            <w:tcBorders>
              <w:left w:val="single" w:sz="8" w:color="0048E0"/>
              <w:bottom w:val="single" w:sz="8" w:color="0048E0"/>
            </w:tcBorders>
          </w:tcPr>
          <w:p>
            <w:pPr>
              <w:spacing w:after="0"/>
              <w:rPr>
                <w:sz w:val="24"/>
                <w:szCs w:val="24"/>
                <w:color w:val="auto"/>
              </w:rPr>
            </w:pPr>
          </w:p>
        </w:tc>
        <w:tc>
          <w:tcPr>
            <w:tcW w:w="1800" w:type="dxa"/>
            <w:vAlign w:val="bottom"/>
            <w:tcBorders>
              <w:bottom w:val="single" w:sz="8" w:color="0048E0"/>
            </w:tcBorders>
          </w:tcPr>
          <w:p>
            <w:pPr>
              <w:spacing w:after="0"/>
              <w:rPr>
                <w:sz w:val="24"/>
                <w:szCs w:val="24"/>
                <w:color w:val="auto"/>
              </w:rPr>
            </w:pPr>
          </w:p>
        </w:tc>
        <w:tc>
          <w:tcPr>
            <w:tcW w:w="160" w:type="dxa"/>
            <w:vAlign w:val="bottom"/>
            <w:tcBorders>
              <w:bottom w:val="single" w:sz="8" w:color="0048E0"/>
            </w:tcBorders>
          </w:tcPr>
          <w:p>
            <w:pPr>
              <w:spacing w:after="0"/>
              <w:rPr>
                <w:sz w:val="24"/>
                <w:szCs w:val="24"/>
                <w:color w:val="auto"/>
              </w:rPr>
            </w:pPr>
          </w:p>
        </w:tc>
        <w:tc>
          <w:tcPr>
            <w:tcW w:w="3080" w:type="dxa"/>
            <w:vAlign w:val="bottom"/>
            <w:tcBorders>
              <w:bottom w:val="single" w:sz="8" w:color="0048E0"/>
            </w:tcBorders>
          </w:tcPr>
          <w:p>
            <w:pPr>
              <w:spacing w:after="0"/>
              <w:rPr>
                <w:sz w:val="24"/>
                <w:szCs w:val="24"/>
                <w:color w:val="auto"/>
              </w:rPr>
            </w:pPr>
          </w:p>
        </w:tc>
        <w:tc>
          <w:tcPr>
            <w:tcW w:w="160" w:type="dxa"/>
            <w:vAlign w:val="bottom"/>
            <w:tcBorders>
              <w:bottom w:val="single" w:sz="8" w:color="0048E0"/>
            </w:tcBorders>
          </w:tcPr>
          <w:p>
            <w:pPr>
              <w:spacing w:after="0"/>
              <w:rPr>
                <w:sz w:val="24"/>
                <w:szCs w:val="24"/>
                <w:color w:val="auto"/>
              </w:rPr>
            </w:pPr>
          </w:p>
        </w:tc>
        <w:tc>
          <w:tcPr>
            <w:tcW w:w="3080" w:type="dxa"/>
            <w:vAlign w:val="bottom"/>
            <w:tcBorders>
              <w:bottom w:val="single" w:sz="8" w:color="0048E0"/>
            </w:tcBorders>
          </w:tcPr>
          <w:p>
            <w:pPr>
              <w:spacing w:after="0"/>
              <w:rPr>
                <w:sz w:val="24"/>
                <w:szCs w:val="24"/>
                <w:color w:val="auto"/>
              </w:rPr>
            </w:pPr>
          </w:p>
        </w:tc>
        <w:tc>
          <w:tcPr>
            <w:tcW w:w="160" w:type="dxa"/>
            <w:vAlign w:val="bottom"/>
            <w:tcBorders>
              <w:bottom w:val="single" w:sz="8" w:color="0048E0"/>
            </w:tcBorders>
          </w:tcPr>
          <w:p>
            <w:pPr>
              <w:spacing w:after="0"/>
              <w:rPr>
                <w:sz w:val="24"/>
                <w:szCs w:val="24"/>
                <w:color w:val="auto"/>
              </w:rPr>
            </w:pPr>
          </w:p>
        </w:tc>
        <w:tc>
          <w:tcPr>
            <w:tcW w:w="2400" w:type="dxa"/>
            <w:vAlign w:val="bottom"/>
            <w:tcBorders>
              <w:bottom w:val="single" w:sz="8" w:color="0048E0"/>
            </w:tcBorders>
          </w:tcPr>
          <w:p>
            <w:pPr>
              <w:spacing w:after="0"/>
              <w:rPr>
                <w:sz w:val="24"/>
                <w:szCs w:val="24"/>
                <w:color w:val="auto"/>
              </w:rPr>
            </w:pPr>
          </w:p>
        </w:tc>
        <w:tc>
          <w:tcPr>
            <w:tcW w:w="280" w:type="dxa"/>
            <w:vAlign w:val="bottom"/>
            <w:tcBorders>
              <w:bottom w:val="single" w:sz="8" w:color="0048E0"/>
              <w:right w:val="single" w:sz="8" w:color="0048E0"/>
            </w:tcBorders>
          </w:tcPr>
          <w:p>
            <w:pPr>
              <w:spacing w:after="0"/>
              <w:rPr>
                <w:sz w:val="24"/>
                <w:szCs w:val="24"/>
                <w:color w:val="auto"/>
              </w:rPr>
            </w:pPr>
          </w:p>
        </w:tc>
      </w:tr>
    </w:tbl>
    <w:p>
      <w:pPr>
        <w:spacing w:after="0" w:line="208"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connection with performance-related awards for Messrs. Kasbar, Birns, Crosby and Rau, the Committee may use its discretion to determine on a case-by-case basis the extent of recognition or charges to Net Income or Operating Income derived from companies acquired by mergers or other corporate transactions and the manner of recognition and for Messrs. Crosby and Rau, also excludes the impact of bonus expense in their Operating Income-based compensation. In addition, for all named executive officers, the Committee may exercise negative discretion on the prescribed incentive awards in accordance with the terms of the 2013 Executive Incentive Plan (the "EIP") and 2016 Omnibus Plan, as deemed appropriate by the Committee, such as when there is a significant disconnect between TSR and compensation.</w:t>
      </w:r>
    </w:p>
    <w:p>
      <w:pPr>
        <w:spacing w:after="0" w:line="198"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addition to the compensation elements set forth above, the Committee may grant sign-on awards, special retention awards or other discretionary awards from time to time. The Committee uses these awards to attract, reward, incentivize and retain key executives that it believes are integral to our overall long-term success, as well as to promote business continuity, drive growth and ensure proper focus on achieving our long-term strategic objectives. These types of awards are also used to further align executives' interests with those of the Company's shareholders and diversify the mix of compensation under the executive's compensation program.</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2016 Compensation Program Overview</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2016, our Committee used each of the compensation elements described above in establishing the executive compensation programs for</w:t>
      </w:r>
    </w:p>
    <w:p>
      <w:pPr>
        <w:spacing w:after="0" w:line="38"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Messrs. Kasbar, Birns, Crosby and Rau and determined the amounts that could be earned for each of these elements in accordance with our pay-for-performance philosophy. Base salary was the only fixed portion of the named executive officers' direct compensation. The remainder of the direct compensation for</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Messrs. Kasbar, Birns, Crosby and Rau (consisting of annual performance-related cash incentives, strategic objective cash incentives, and annual, as well as long-term, performance-based equity awards) was variable and designed to: (1) share with each of our named executive officers a portion of the Company's Net Income growth and, for Messrs. Crosby and Rau, a portion of the Operating Income of the businesses for which they are responsible, and (2) reward the named executive officers for achievement of those strategic objectives that the Committee believes will contribute to the Company's long-term growth and operational excellence.</w:t>
      </w:r>
    </w:p>
    <w:p>
      <w:pPr>
        <w:spacing w:after="0" w:line="199" w:lineRule="exact"/>
        <w:rPr>
          <w:sz w:val="20"/>
          <w:szCs w:val="20"/>
          <w:color w:val="auto"/>
        </w:rPr>
      </w:pPr>
    </w:p>
    <w:p>
      <w:pPr>
        <w:ind w:right="520" w:firstLine="615"/>
        <w:spacing w:after="0" w:line="253" w:lineRule="auto"/>
        <w:rPr>
          <w:sz w:val="20"/>
          <w:szCs w:val="20"/>
          <w:color w:val="auto"/>
        </w:rPr>
      </w:pPr>
      <w:r>
        <w:rPr>
          <w:rFonts w:ascii="Arial" w:cs="Arial" w:eastAsia="Arial" w:hAnsi="Arial"/>
          <w:sz w:val="18"/>
          <w:szCs w:val="18"/>
          <w:color w:val="auto"/>
        </w:rPr>
        <w:t>For 2016, the Committee adopted the PSP as an overlay to the current core compensation program. In the past, the Committee has used special performance-based equity awards with an extended measurement period, i.e. five years, to provide the long-term compensation component of the program. However, given the length of the vesting period and the rapidly changing business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environment in the industries in which the Company operates, this type of long-term equity incentive has proven challenging to implement. For example, the most recent long-term equity incentive award was granted in 2012 and expired completely unvested on December 31, 2016 during a time in which oil prices dramatically declined and then experienced historically low levels of volatility over the five-year measurement period. Under the new PSP, executives will be granted a PSP opportunity of a fixed amount (the "PSP Opportunity") annually at the beginning of the three-year vesting period. Similar to the 2012 long-term equity incentive award, the PSP Opportunity will be earned based on the CAGR in EPS over the vesting period in order to provide the executives with appropriate incentives to balance the objectives of maximizing earnings with a minimum amount of dilution. The CAGR in EPS performance levels established a Threshold CAGR, at which 25% of the PSP Opportunity will be earned, a Target CAGR at which 100% of the PSP Opportunity will be earned and a Maximum CAGR, at which 200% of the PSP Opportunity will be earned. It is anticipated that the value of the awarded PSP Opportunity will stay relatively constant from year to year but that the number of shares granted at the end of each three-year period would vary based on the CAGR in EPS achieved and the value of the stock at the grant date. The Committee believes that this layering approach to long-term equity (1) is consistent with the practices of our compensation comparison companies and the broader market and (2) will provide executives a consistent and continuous incentive to focus on our long-term EPS growth and to share in increases in our market value.</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Kasbar and Birns Compensation Program</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For 2016, the Committee reviewed the compensation program for Messrs. Kasbar and Birns and, based on this review, determined to maintain a similar comprehensive incentive compensation award approach as utilized in 2015, with the addition of the new PSP component described above to overlay their core compensation program.</w:t>
      </w:r>
    </w:p>
    <w:p>
      <w:pPr>
        <w:spacing w:after="0" w:line="194"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u w:val="single" w:color="auto"/>
          <w:color w:val="auto"/>
        </w:rPr>
        <w:t>Annual Incentive Compensation Awards</w:t>
      </w:r>
      <w:r>
        <w:rPr>
          <w:rFonts w:ascii="Arial" w:cs="Arial" w:eastAsia="Arial" w:hAnsi="Arial"/>
          <w:sz w:val="18"/>
          <w:szCs w:val="18"/>
          <w:color w:val="auto"/>
        </w:rPr>
        <w:t>. For 2016, the Committee approved the same metric for the incentive compensation award for each of Messrs. Kasbar and Birns as the previous year, growth in Net Income. As in prior years, each of Messrs. Kasbar and Birns could earn an annual incentive award equal to a prescribed portion of the Net Income created at each level of Net Income growth, as long as a threshold Net Income growth was achieved. The award is payable in cash and equity with the proportion of the award payable in equity generally increasing, and the proportion of the award payable in cash generally decreasing, as the aggregate amount of the award increases.</w:t>
      </w:r>
    </w:p>
    <w:p>
      <w:pPr>
        <w:spacing w:after="0" w:line="197" w:lineRule="exact"/>
        <w:rPr>
          <w:sz w:val="20"/>
          <w:szCs w:val="20"/>
          <w:color w:val="auto"/>
        </w:rPr>
      </w:pPr>
    </w:p>
    <w:p>
      <w:pPr>
        <w:ind w:right="160" w:firstLine="611"/>
        <w:spacing w:after="0" w:line="294" w:lineRule="auto"/>
        <w:rPr>
          <w:sz w:val="20"/>
          <w:szCs w:val="20"/>
          <w:color w:val="auto"/>
        </w:rPr>
      </w:pPr>
      <w:r>
        <w:rPr>
          <w:rFonts w:ascii="Arial" w:cs="Arial" w:eastAsia="Arial" w:hAnsi="Arial"/>
          <w:sz w:val="16"/>
          <w:szCs w:val="16"/>
          <w:color w:val="auto"/>
        </w:rPr>
        <w:t>The Committee established the incentive payout at the threshold, the maximum and each intermediary level of Net Income growth. The amount of incentive payout would increase as Net Income growth increased, however, the slope of the graph line marking the incentive payouts at each growth level was curvilinear, which is why we refer to that slope as the "incentive payout curve". The Committee also established a cap for total direct compensation (base salary, annual cash incentive award, strategic objective cash incentive award and performance-based equity awards other than the PSP). The total direct compensation for 2016 under the program was capped at $9,250,000 for Mr. Kasbar and $4,346,487 for Mr. Birns.</w:t>
      </w:r>
    </w:p>
    <w:p>
      <w:pPr>
        <w:spacing w:after="0" w:line="170" w:lineRule="exact"/>
        <w:rPr>
          <w:sz w:val="20"/>
          <w:szCs w:val="20"/>
          <w:color w:val="auto"/>
        </w:rPr>
      </w:pPr>
    </w:p>
    <w:p>
      <w:pPr>
        <w:ind w:right="60" w:firstLine="615"/>
        <w:spacing w:after="0" w:line="283" w:lineRule="auto"/>
        <w:rPr>
          <w:sz w:val="20"/>
          <w:szCs w:val="20"/>
          <w:color w:val="auto"/>
        </w:rPr>
      </w:pPr>
      <w:r>
        <w:rPr>
          <w:rFonts w:ascii="Arial" w:cs="Arial" w:eastAsia="Arial" w:hAnsi="Arial"/>
          <w:sz w:val="16"/>
          <w:szCs w:val="16"/>
          <w:u w:val="single" w:color="auto"/>
          <w:color w:val="auto"/>
        </w:rPr>
        <w:t>Strategic Objective Cash Incentive Award</w:t>
      </w:r>
      <w:r>
        <w:rPr>
          <w:rFonts w:ascii="Arial" w:cs="Arial" w:eastAsia="Arial" w:hAnsi="Arial"/>
          <w:sz w:val="16"/>
          <w:szCs w:val="16"/>
          <w:color w:val="auto"/>
        </w:rPr>
        <w:t>. For 2016, the Committee provided Messrs. Kasbar and Birns the opportunity to earn a cash incentive award up to a maximum of $750,000 and $300,000, respectively, upon achievement of specified strategic objectives, provided that the Company's consolidated net revenues for 2016 were at least equal to 75% of prior year consolidated net revenues. The objectives included measures considered to be of strategic importance to the Company, including implementation of key global initiatives in areas such as sales and marketing excellence, portfolio management and achieving operational efficiencies, as well as alignment and execution of the Company's strategies relating to operational and integration excellence.</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15"/>
        <w:spacing w:after="0" w:line="298" w:lineRule="auto"/>
        <w:rPr>
          <w:sz w:val="20"/>
          <w:szCs w:val="20"/>
          <w:color w:val="auto"/>
        </w:rPr>
      </w:pPr>
      <w:r>
        <w:rPr>
          <w:rFonts w:ascii="Arial" w:cs="Arial" w:eastAsia="Arial" w:hAnsi="Arial"/>
          <w:sz w:val="16"/>
          <w:szCs w:val="16"/>
          <w:u w:val="single" w:color="auto"/>
          <w:color w:val="auto"/>
        </w:rPr>
        <w:t>Performance Share Plan Award</w:t>
      </w:r>
      <w:r>
        <w:rPr>
          <w:rFonts w:ascii="Arial" w:cs="Arial" w:eastAsia="Arial" w:hAnsi="Arial"/>
          <w:sz w:val="16"/>
          <w:szCs w:val="16"/>
          <w:color w:val="auto"/>
        </w:rPr>
        <w:t>. For 2016, the Committee approved a PSP Opportunity award of $2,000,000 and $1,000,000 to Messrs. Kasbar and Birns, respectively. The PSP Opportunity will vest in 2019 based on our three-year CAGR in EPS for the period ending December 31, 2018. The Threshold, Target and Maximum CAGR in EPS performance levels were set based on the Company's internal growth targets with the maximum performance set at a level that could only be attained when applicable results are exceptional and justify the higher bonus payout.</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Crosby and Rau Compensation Program</w:t>
      </w:r>
    </w:p>
    <w:p>
      <w:pPr>
        <w:spacing w:after="0" w:line="225"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u w:val="single" w:color="auto"/>
          <w:color w:val="auto"/>
        </w:rPr>
        <w:t>Annual Incentive Compensation Awards</w:t>
      </w:r>
      <w:r>
        <w:rPr>
          <w:rFonts w:ascii="Arial" w:cs="Arial" w:eastAsia="Arial" w:hAnsi="Arial"/>
          <w:sz w:val="16"/>
          <w:szCs w:val="16"/>
          <w:color w:val="auto"/>
        </w:rPr>
        <w:t>. For 2016, the Committee also established an annual incentive compensation program for Messrs. Crosby and Rau based on the financial performance of the Company and the businesses for which the executive had primary responsibility. The target cash and equity bonus for each executive was 150% and 100%, respectively, of their annual base salary, with the Company profitability portion payable in cash and equity and the business unit profitability portion (including the strategic objective cash incentive award described below) being payable in cash.</w:t>
      </w:r>
    </w:p>
    <w:p>
      <w:pPr>
        <w:spacing w:after="0" w:line="167" w:lineRule="exact"/>
        <w:rPr>
          <w:sz w:val="20"/>
          <w:szCs w:val="20"/>
          <w:color w:val="auto"/>
        </w:rPr>
      </w:pPr>
    </w:p>
    <w:p>
      <w:pPr>
        <w:ind w:right="240" w:firstLine="615"/>
        <w:spacing w:after="0" w:line="255" w:lineRule="auto"/>
        <w:rPr>
          <w:sz w:val="20"/>
          <w:szCs w:val="20"/>
          <w:color w:val="auto"/>
        </w:rPr>
      </w:pPr>
      <w:r>
        <w:rPr>
          <w:rFonts w:ascii="Arial" w:cs="Arial" w:eastAsia="Arial" w:hAnsi="Arial"/>
          <w:sz w:val="18"/>
          <w:szCs w:val="18"/>
          <w:i w:val="1"/>
          <w:iCs w:val="1"/>
          <w:color w:val="auto"/>
        </w:rPr>
        <w:t>Company Profitability</w:t>
      </w:r>
      <w:r>
        <w:rPr>
          <w:rFonts w:ascii="Arial" w:cs="Arial" w:eastAsia="Arial" w:hAnsi="Arial"/>
          <w:sz w:val="18"/>
          <w:szCs w:val="18"/>
          <w:color w:val="auto"/>
        </w:rPr>
        <w:t>—For each of Messrs. Crosby and Rau, twenty percent (20%) of their target cash bonus, or $150,000, and one hundred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their target equity bonus, or $500,000, was based on the Company's growth in consolidated Net Income. For each executive, the payout ranged from $65,000 for 3% Net Income growth to $1.95 million for 30% Net Income growth. The award would be payable in cash and equity with the proportion of the award payable in equity generally increasing, and the proportion of the award payable in cash generally decreasing, as the aggregate amount of the award increases.</w:t>
      </w:r>
    </w:p>
    <w:p>
      <w:pPr>
        <w:spacing w:after="0" w:line="197"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i w:val="1"/>
          <w:iCs w:val="1"/>
          <w:color w:val="auto"/>
        </w:rPr>
        <w:t>Business Unit Profitability</w:t>
      </w:r>
      <w:r>
        <w:rPr>
          <w:rFonts w:ascii="Arial" w:cs="Arial" w:eastAsia="Arial" w:hAnsi="Arial"/>
          <w:sz w:val="16"/>
          <w:szCs w:val="16"/>
          <w:color w:val="auto"/>
        </w:rPr>
        <w:t>—For each of Messrs. Crosby and Rau, a total of sixty percent (60%) of their target cash bonus or $450,000, was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(excluding bonus expense) of the businesses for which they had responsibility. For Mr. Crosby, this amount was based on the Operating Income of the land segment (excluding our payment processing operations) (the "Land Business Unit"), which would be adjusted positively or negatively based on the land segment's return on working capital percentage ("ROWC") achieved for the year (the "ROWC Modifier") and the Operating Income of a portion of the Company's government business. For Mr. Rau, this amount was based on the Operating Income of the aviation segment (excluding the Company's government business) (the "Aviation Business Unit") and the marine segment (the "Marine Business Unit"), subject in each case to the ROWC Modifier.</w:t>
      </w:r>
    </w:p>
    <w:p>
      <w:pPr>
        <w:spacing w:after="0" w:line="174"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Committee established five tiers of performance for each business unit and the executive would receive a greater payout ratio for each successive tier. The five performance tiers were based on the Company's confidential operating plan such that the top of Tier 1 would only earn 6.3% of the target cash bonus opportunity and it was only at the top of Tier 4 that the executive would earn 100% of the target cash bonus opportunity. Meanwhile, the maximum performance level of Tier 5 was intended to be extremely challenging, representing significant annual growth. The maximum that could be earned by each executive in connection with this metric was equal to 200% of the allocated target cash bonus, or $900,000.</w:t>
      </w:r>
    </w:p>
    <w:p>
      <w:pPr>
        <w:spacing w:after="0" w:line="170" w:lineRule="exact"/>
        <w:rPr>
          <w:sz w:val="20"/>
          <w:szCs w:val="20"/>
          <w:color w:val="auto"/>
        </w:rPr>
      </w:pPr>
    </w:p>
    <w:p>
      <w:pPr>
        <w:ind w:right="20" w:firstLine="615"/>
        <w:spacing w:after="0" w:line="283" w:lineRule="auto"/>
        <w:rPr>
          <w:sz w:val="20"/>
          <w:szCs w:val="20"/>
          <w:color w:val="auto"/>
        </w:rPr>
      </w:pPr>
      <w:r>
        <w:rPr>
          <w:rFonts w:ascii="Arial" w:cs="Arial" w:eastAsia="Arial" w:hAnsi="Arial"/>
          <w:sz w:val="16"/>
          <w:szCs w:val="16"/>
          <w:u w:val="single" w:color="auto"/>
          <w:color w:val="auto"/>
        </w:rPr>
        <w:t>Strategic Objective Cash Incentive Award</w:t>
      </w:r>
      <w:r>
        <w:rPr>
          <w:rFonts w:ascii="Arial" w:cs="Arial" w:eastAsia="Arial" w:hAnsi="Arial"/>
          <w:sz w:val="16"/>
          <w:szCs w:val="16"/>
          <w:color w:val="auto"/>
        </w:rPr>
        <w:t>. For each of Messrs. Crosby and Rau, twenty percent (20%) of their target cash bonus or $150,000, would be earned upon achievement of specified strategic objectives, provided that the Company's consolidated net revenues for 2016 were at least equal to 75% of prior year consolidated net revenues. The objectives included measures considered to be of strategic importance to the Company such as operational excellence and systems integration, safety and physical operations, sales and marketing excellence, portfolio management and strategy execution. The</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maximum that could be earned by each executive in connection with this metric was equal to 100% of the allocated target bonus.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u w:val="single" w:color="auto"/>
          <w:color w:val="auto"/>
        </w:rPr>
        <w:t>Performance Share Plan Award</w:t>
      </w:r>
      <w:r>
        <w:rPr>
          <w:rFonts w:ascii="Arial" w:cs="Arial" w:eastAsia="Arial" w:hAnsi="Arial"/>
          <w:sz w:val="18"/>
          <w:szCs w:val="18"/>
          <w:color w:val="auto"/>
        </w:rPr>
        <w:t>. For 2016, the Committee approved a PSP Opportunity award of $500,000 to each of Messrs. Crosby and Rau. The PSP Opportunity will vest based on our three-year CAGR in EPS. The Threshold, Target and Maximum CAGR in EPS performance levels were set based on the Company's internal growth targets with the maximum performance set at a level that could only be attained when applicable results are exceptional and justify the higher bonus payout.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Compensation</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In 2016, the Committee reviewed the base salaries for Messrs. Kasbar and Birns and noted that the base salaries for each were below market salary levels of both the industry and the Company's comparison companies. Consequently, the Committee increased Mr. Kasbar's base salary from $750,000 to $900,000 and Mr. Birns' base salary from $500,000 to $600,000 to make the compensation of both NEOs more competitive with industry levels and to reflect each executive's experience, tenure and contribution to the Company. In connection with the promotions of Messrs. Crosby and Rau, effective March 1, 2016, the Committee also increased their base salaries to $500,000 each.</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Annual Incentive Program</w:t>
      </w:r>
    </w:p>
    <w:p>
      <w:pPr>
        <w:spacing w:after="0" w:line="225" w:lineRule="exact"/>
        <w:rPr>
          <w:sz w:val="20"/>
          <w:szCs w:val="20"/>
          <w:color w:val="auto"/>
        </w:rPr>
      </w:pPr>
    </w:p>
    <w:p>
      <w:pPr>
        <w:ind w:right="280" w:firstLine="605"/>
        <w:spacing w:after="0" w:line="332" w:lineRule="auto"/>
        <w:rPr>
          <w:sz w:val="20"/>
          <w:szCs w:val="20"/>
          <w:color w:val="auto"/>
        </w:rPr>
      </w:pPr>
      <w:r>
        <w:rPr>
          <w:rFonts w:ascii="Arial" w:cs="Arial" w:eastAsia="Arial" w:hAnsi="Arial"/>
          <w:sz w:val="16"/>
          <w:szCs w:val="16"/>
          <w:color w:val="auto"/>
        </w:rPr>
        <w:t>As described above, the Annual Incentive Program for each of Messrs. Kasbar, Birns, Crosby and Rau consisted of a mix of performance-related cash and performance-related equity incentive awards based on Net Income growth and also Operating Income growth for Messrs. Crosby and Rau.</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Performance-Related Cash Incentive Awards</w:t>
      </w:r>
    </w:p>
    <w:p>
      <w:pPr>
        <w:spacing w:after="0" w:line="225"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The tables below sets forth the amounts and award percentages for the cash component of the annual incentive awards that could have been earned by each NEO in 2016 (1) at the threshold performance level of 3% growth in Net Income and (2) at the maximum performance level of Net Income growth, which was 38% for each of Messrs. Kasbar and Birns.</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60" w:type="dxa"/>
            <w:vAlign w:val="bottom"/>
            <w:gridSpan w:val="3"/>
          </w:tcPr>
          <w:p>
            <w:pPr>
              <w:ind w:left="480"/>
              <w:spacing w:after="0"/>
              <w:rPr>
                <w:sz w:val="20"/>
                <w:szCs w:val="20"/>
                <w:color w:val="auto"/>
              </w:rPr>
            </w:pPr>
            <w:r>
              <w:rPr>
                <w:rFonts w:ascii="Arial" w:cs="Arial" w:eastAsia="Arial" w:hAnsi="Arial"/>
                <w:sz w:val="18"/>
                <w:szCs w:val="18"/>
                <w:b w:val="1"/>
                <w:bCs w:val="1"/>
                <w:color w:val="auto"/>
                <w:w w:val="89"/>
              </w:rPr>
              <w:t>2016 Annual Cash Incentive Awards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5"/>
        </w:trPr>
        <w:tc>
          <w:tcPr>
            <w:tcW w:w="5380" w:type="dxa"/>
            <w:vAlign w:val="bottom"/>
            <w:gridSpan w:val="5"/>
          </w:tcPr>
          <w:p>
            <w:pPr>
              <w:spacing w:after="0"/>
              <w:rPr>
                <w:sz w:val="20"/>
                <w:szCs w:val="20"/>
                <w:color w:val="auto"/>
              </w:rPr>
            </w:pPr>
            <w:r>
              <w:rPr>
                <w:rFonts w:ascii="Arial" w:cs="Arial" w:eastAsia="Arial" w:hAnsi="Arial"/>
                <w:sz w:val="18"/>
                <w:szCs w:val="18"/>
                <w:b w:val="1"/>
                <w:bCs w:val="1"/>
                <w:color w:val="auto"/>
              </w:rPr>
              <w:t>Executive</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Threshold</w:t>
            </w:r>
            <w:r>
              <w:rPr>
                <w:rFonts w:ascii="Arial" w:cs="Arial" w:eastAsia="Arial" w:hAnsi="Arial"/>
                <w:sz w:val="29"/>
                <w:szCs w:val="29"/>
                <w:b w:val="1"/>
                <w:bCs w:val="1"/>
                <w:color w:val="auto"/>
                <w:w w:val="84"/>
                <w:vertAlign w:val="superscript"/>
              </w:rPr>
              <w:t>(1)</w:t>
            </w:r>
          </w:p>
        </w:tc>
        <w:tc>
          <w:tcPr>
            <w:tcW w:w="1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Maximum</w:t>
            </w:r>
            <w:r>
              <w:rPr>
                <w:rFonts w:ascii="Arial" w:cs="Arial" w:eastAsia="Arial" w:hAnsi="Arial"/>
                <w:sz w:val="29"/>
                <w:szCs w:val="29"/>
                <w:b w:val="1"/>
                <w:bCs w:val="1"/>
                <w:color w:val="auto"/>
                <w:vertAlign w:val="superscript"/>
              </w:rPr>
              <w:t>(1)</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6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Ira M. Birns,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$73,069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$1,325,000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60" w:type="dxa"/>
            <w:vAlign w:val="bottom"/>
            <w:gridSpan w:val="4"/>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(221%)</w:t>
            </w:r>
          </w:p>
        </w:tc>
      </w:tr>
      <w:tr>
        <w:trPr>
          <w:trHeight w:val="110"/>
        </w:trPr>
        <w:tc>
          <w:tcPr>
            <w:tcW w:w="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8" w:lineRule="exact"/>
        <w:rPr>
          <w:sz w:val="20"/>
          <w:szCs w:val="20"/>
          <w:color w:val="auto"/>
        </w:rPr>
      </w:pPr>
    </w:p>
    <w:p>
      <w:pPr>
        <w:ind w:left="2260" w:right="300" w:hanging="540"/>
        <w:spacing w:after="0" w:line="218" w:lineRule="auto"/>
        <w:tabs>
          <w:tab w:leader="none" w:pos="226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For Net Income growth achieved between the threshold and maximum levels, the executive incentive payout is calculated as a portion of the Net Income achieved, based upon the incentive payout curve established by the Committee. The threshold, maximum and actual award payouts are shown in dollar amounts and (in parentheses) as percentages of the base salary of the named executive officer.</w:t>
      </w:r>
    </w:p>
    <w:p>
      <w:pPr>
        <w:spacing w:after="0" w:line="213" w:lineRule="exact"/>
        <w:rPr>
          <w:sz w:val="20"/>
          <w:szCs w:val="20"/>
          <w:color w:val="auto"/>
        </w:rPr>
      </w:pPr>
    </w:p>
    <w:p>
      <w:pPr>
        <w:ind w:right="860" w:firstLine="611"/>
        <w:spacing w:after="0" w:line="254" w:lineRule="auto"/>
        <w:rPr>
          <w:sz w:val="20"/>
          <w:szCs w:val="20"/>
          <w:color w:val="auto"/>
        </w:rPr>
      </w:pPr>
      <w:r>
        <w:rPr>
          <w:rFonts w:ascii="Arial" w:cs="Arial" w:eastAsia="Arial" w:hAnsi="Arial"/>
          <w:sz w:val="18"/>
          <w:szCs w:val="18"/>
          <w:color w:val="auto"/>
        </w:rPr>
        <w:t>The table below sets forth the threshold and maximum for the cash component of the annual incentive awards that could have been earned by Messrs. Crosby and Rau in 2016 based on the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company-wide and the respective business unit financial performance. With respect to the company-wide performance, the table sets forth the dollar amount and the percent of base salary that could be earned at (1) the threshold performance level of 3% growth in Net Income and (2) the maximum performance level of 30% growth in Net Income. With respect to the business unit performance, the table sets forth the dollar amount and the percent of base salary that could be earned (1) at the threshold performance level, which is no Operating Income for the relevant business unit and (2) at the maximum level, which assumes that the respective business units for each of Messrs. Crosby and Rau exceeded the maximum performance, including the impact of the ROWC Modifier.</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Business Unit</w:t>
            </w:r>
          </w:p>
        </w:tc>
      </w:tr>
      <w:tr>
        <w:trPr>
          <w:trHeight w:val="257"/>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gridSpan w:val="3"/>
          </w:tcPr>
          <w:p>
            <w:pPr>
              <w:jc w:val="right"/>
              <w:ind w:right="272"/>
              <w:spacing w:after="0" w:line="256" w:lineRule="exact"/>
              <w:rPr>
                <w:sz w:val="20"/>
                <w:szCs w:val="20"/>
                <w:color w:val="auto"/>
              </w:rPr>
            </w:pPr>
            <w:r>
              <w:rPr>
                <w:rFonts w:ascii="Arial" w:cs="Arial" w:eastAsia="Arial" w:hAnsi="Arial"/>
                <w:sz w:val="18"/>
                <w:szCs w:val="18"/>
                <w:b w:val="1"/>
                <w:bCs w:val="1"/>
                <w:color w:val="auto"/>
              </w:rPr>
              <w:t>Net Income Growth</w:t>
            </w:r>
            <w:r>
              <w:rPr>
                <w:rFonts w:ascii="Arial" w:cs="Arial" w:eastAsia="Arial" w:hAnsi="Arial"/>
                <w:sz w:val="29"/>
                <w:szCs w:val="29"/>
                <w:b w:val="1"/>
                <w:bCs w:val="1"/>
                <w:color w:val="auto"/>
                <w:vertAlign w:val="superscript"/>
              </w:rPr>
              <w:t>(1)</w:t>
            </w:r>
          </w:p>
        </w:tc>
        <w:tc>
          <w:tcPr>
            <w:tcW w:w="160" w:type="dxa"/>
            <w:vAlign w:val="bottom"/>
          </w:tcPr>
          <w:p>
            <w:pPr>
              <w:spacing w:after="0"/>
              <w:rPr>
                <w:sz w:val="22"/>
                <w:szCs w:val="22"/>
                <w:color w:val="auto"/>
              </w:rPr>
            </w:pPr>
          </w:p>
        </w:tc>
        <w:tc>
          <w:tcPr>
            <w:tcW w:w="2360" w:type="dxa"/>
            <w:vAlign w:val="bottom"/>
            <w:gridSpan w:val="4"/>
          </w:tcPr>
          <w:p>
            <w:pPr>
              <w:jc w:val="right"/>
              <w:ind w:right="620"/>
              <w:spacing w:after="0" w:line="256" w:lineRule="exact"/>
              <w:rPr>
                <w:sz w:val="20"/>
                <w:szCs w:val="20"/>
                <w:color w:val="auto"/>
              </w:rPr>
            </w:pPr>
            <w:r>
              <w:rPr>
                <w:rFonts w:ascii="Arial" w:cs="Arial" w:eastAsia="Arial" w:hAnsi="Arial"/>
                <w:sz w:val="18"/>
                <w:szCs w:val="18"/>
                <w:b w:val="1"/>
                <w:bCs w:val="1"/>
                <w:color w:val="auto"/>
              </w:rPr>
              <w:t>Performance</w:t>
            </w:r>
            <w:r>
              <w:rPr>
                <w:rFonts w:ascii="Arial" w:cs="Arial" w:eastAsia="Arial" w:hAnsi="Arial"/>
                <w:sz w:val="29"/>
                <w:szCs w:val="29"/>
                <w:b w:val="1"/>
                <w:bCs w:val="1"/>
                <w:color w:val="auto"/>
                <w:vertAlign w:val="superscript"/>
              </w:rPr>
              <w:t>(3)</w:t>
            </w:r>
          </w:p>
        </w:tc>
      </w:tr>
      <w:tr>
        <w:trPr>
          <w:trHeight w:val="268"/>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160" w:type="dxa"/>
            <w:vAlign w:val="bottom"/>
          </w:tcPr>
          <w:p>
            <w:pPr>
              <w:spacing w:after="0"/>
              <w:rPr>
                <w:sz w:val="23"/>
                <w:szCs w:val="23"/>
                <w:color w:val="auto"/>
              </w:rPr>
            </w:pPr>
          </w:p>
        </w:tc>
        <w:tc>
          <w:tcPr>
            <w:tcW w:w="1100" w:type="dxa"/>
            <w:vAlign w:val="bottom"/>
          </w:tcPr>
          <w:p>
            <w:pPr>
              <w:jc w:val="right"/>
              <w:spacing w:after="0" w:line="267" w:lineRule="exact"/>
              <w:rPr>
                <w:sz w:val="20"/>
                <w:szCs w:val="20"/>
                <w:color w:val="auto"/>
              </w:rPr>
            </w:pPr>
            <w:r>
              <w:rPr>
                <w:rFonts w:ascii="Arial" w:cs="Arial" w:eastAsia="Arial" w:hAnsi="Arial"/>
                <w:sz w:val="18"/>
                <w:szCs w:val="18"/>
                <w:b w:val="1"/>
                <w:bCs w:val="1"/>
                <w:color w:val="auto"/>
                <w:w w:val="90"/>
              </w:rPr>
              <w:t>Threshold</w:t>
            </w:r>
            <w:r>
              <w:rPr>
                <w:rFonts w:ascii="Arial" w:cs="Arial" w:eastAsia="Arial" w:hAnsi="Arial"/>
                <w:sz w:val="29"/>
                <w:szCs w:val="29"/>
                <w:b w:val="1"/>
                <w:bCs w:val="1"/>
                <w:color w:val="auto"/>
                <w:w w:val="90"/>
                <w:vertAlign w:val="superscript"/>
              </w:rPr>
              <w:t>(2)</w:t>
            </w:r>
          </w:p>
        </w:tc>
        <w:tc>
          <w:tcPr>
            <w:tcW w:w="160" w:type="dxa"/>
            <w:vAlign w:val="bottom"/>
          </w:tcPr>
          <w:p>
            <w:pPr>
              <w:spacing w:after="0"/>
              <w:rPr>
                <w:sz w:val="23"/>
                <w:szCs w:val="23"/>
                <w:color w:val="auto"/>
              </w:rPr>
            </w:pPr>
          </w:p>
        </w:tc>
        <w:tc>
          <w:tcPr>
            <w:tcW w:w="1100" w:type="dxa"/>
            <w:vAlign w:val="bottom"/>
          </w:tcPr>
          <w:p>
            <w:pPr>
              <w:jc w:val="right"/>
              <w:spacing w:after="0" w:line="267" w:lineRule="exact"/>
              <w:rPr>
                <w:sz w:val="20"/>
                <w:szCs w:val="20"/>
                <w:color w:val="auto"/>
              </w:rPr>
            </w:pPr>
            <w:r>
              <w:rPr>
                <w:rFonts w:ascii="Arial" w:cs="Arial" w:eastAsia="Arial" w:hAnsi="Arial"/>
                <w:sz w:val="18"/>
                <w:szCs w:val="18"/>
                <w:b w:val="1"/>
                <w:bCs w:val="1"/>
                <w:color w:val="auto"/>
                <w:w w:val="93"/>
              </w:rPr>
              <w:t>Maximum</w:t>
            </w:r>
            <w:r>
              <w:rPr>
                <w:rFonts w:ascii="Arial" w:cs="Arial" w:eastAsia="Arial" w:hAnsi="Arial"/>
                <w:sz w:val="29"/>
                <w:szCs w:val="29"/>
                <w:b w:val="1"/>
                <w:bCs w:val="1"/>
                <w:color w:val="auto"/>
                <w:w w:val="93"/>
                <w:vertAlign w:val="superscript"/>
              </w:rPr>
              <w:t>(2)</w:t>
            </w:r>
          </w:p>
        </w:tc>
        <w:tc>
          <w:tcPr>
            <w:tcW w:w="160" w:type="dxa"/>
            <w:vAlign w:val="bottom"/>
          </w:tcPr>
          <w:p>
            <w:pPr>
              <w:spacing w:after="0"/>
              <w:rPr>
                <w:sz w:val="23"/>
                <w:szCs w:val="23"/>
                <w:color w:val="auto"/>
              </w:rPr>
            </w:pPr>
          </w:p>
        </w:tc>
        <w:tc>
          <w:tcPr>
            <w:tcW w:w="1080" w:type="dxa"/>
            <w:vAlign w:val="bottom"/>
          </w:tcPr>
          <w:p>
            <w:pPr>
              <w:jc w:val="right"/>
              <w:spacing w:after="0" w:line="267" w:lineRule="exact"/>
              <w:rPr>
                <w:sz w:val="20"/>
                <w:szCs w:val="20"/>
                <w:color w:val="auto"/>
              </w:rPr>
            </w:pPr>
            <w:r>
              <w:rPr>
                <w:rFonts w:ascii="Arial" w:cs="Arial" w:eastAsia="Arial" w:hAnsi="Arial"/>
                <w:sz w:val="18"/>
                <w:szCs w:val="18"/>
                <w:b w:val="1"/>
                <w:bCs w:val="1"/>
                <w:color w:val="auto"/>
                <w:w w:val="90"/>
              </w:rPr>
              <w:t>Threshold</w:t>
            </w:r>
            <w:r>
              <w:rPr>
                <w:rFonts w:ascii="Arial" w:cs="Arial" w:eastAsia="Arial" w:hAnsi="Arial"/>
                <w:sz w:val="29"/>
                <w:szCs w:val="29"/>
                <w:b w:val="1"/>
                <w:bCs w:val="1"/>
                <w:color w:val="auto"/>
                <w:w w:val="90"/>
                <w:vertAlign w:val="superscript"/>
              </w:rPr>
              <w:t>(2)</w:t>
            </w:r>
          </w:p>
        </w:tc>
        <w:tc>
          <w:tcPr>
            <w:tcW w:w="180" w:type="dxa"/>
            <w:vAlign w:val="bottom"/>
          </w:tcPr>
          <w:p>
            <w:pPr>
              <w:spacing w:after="0"/>
              <w:rPr>
                <w:sz w:val="23"/>
                <w:szCs w:val="23"/>
                <w:color w:val="auto"/>
              </w:rPr>
            </w:pPr>
          </w:p>
        </w:tc>
        <w:tc>
          <w:tcPr>
            <w:tcW w:w="1100" w:type="dxa"/>
            <w:vAlign w:val="bottom"/>
            <w:gridSpan w:val="2"/>
          </w:tcPr>
          <w:p>
            <w:pPr>
              <w:jc w:val="right"/>
              <w:ind w:right="80"/>
              <w:spacing w:after="0" w:line="267" w:lineRule="exact"/>
              <w:rPr>
                <w:sz w:val="20"/>
                <w:szCs w:val="20"/>
                <w:color w:val="auto"/>
              </w:rPr>
            </w:pPr>
            <w:r>
              <w:rPr>
                <w:rFonts w:ascii="Arial" w:cs="Arial" w:eastAsia="Arial" w:hAnsi="Arial"/>
                <w:sz w:val="18"/>
                <w:szCs w:val="18"/>
                <w:b w:val="1"/>
                <w:bCs w:val="1"/>
                <w:color w:val="auto"/>
                <w:w w:val="93"/>
              </w:rPr>
              <w:t>Maximum</w:t>
            </w:r>
            <w:r>
              <w:rPr>
                <w:rFonts w:ascii="Arial" w:cs="Arial" w:eastAsia="Arial" w:hAnsi="Arial"/>
                <w:sz w:val="29"/>
                <w:szCs w:val="29"/>
                <w:b w:val="1"/>
                <w:bCs w:val="1"/>
                <w:color w:val="auto"/>
                <w:w w:val="93"/>
                <w:vertAlign w:val="superscript"/>
              </w:rPr>
              <w:t>(2)</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0"/>
              </w:rPr>
              <w:t>Executive Vice President, Global Land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John P. Rau,</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Global</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ind w:left="340"/>
              <w:spacing w:after="0"/>
              <w:rPr>
                <w:sz w:val="20"/>
                <w:szCs w:val="20"/>
                <w:color w:val="auto"/>
              </w:rPr>
            </w:pPr>
            <w:r>
              <w:rPr>
                <w:rFonts w:ascii="Arial" w:cs="Arial" w:eastAsia="Arial" w:hAnsi="Arial"/>
                <w:sz w:val="18"/>
                <w:szCs w:val="18"/>
                <w:i w:val="1"/>
                <w:iCs w:val="1"/>
                <w:color w:val="auto"/>
              </w:rPr>
              <w:t>Aviation and Marine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r>
      <w:tr>
        <w:trPr>
          <w:trHeight w:val="110"/>
        </w:trPr>
        <w:tc>
          <w:tcPr>
            <w:tcW w:w="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8" w:lineRule="exact"/>
        <w:rPr>
          <w:sz w:val="20"/>
          <w:szCs w:val="20"/>
          <w:color w:val="auto"/>
        </w:rPr>
      </w:pPr>
    </w:p>
    <w:p>
      <w:pPr>
        <w:ind w:left="2260" w:right="300" w:hanging="540"/>
        <w:spacing w:after="0" w:line="217" w:lineRule="auto"/>
        <w:tabs>
          <w:tab w:leader="none" w:pos="226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For Net Income growth achieved between the threshold and maximum levels, the executive incentive payout is calculated as a portion of the Net Income achieved, based upon the incentive payout curve established by the Committee.</w:t>
      </w:r>
    </w:p>
    <w:p>
      <w:pPr>
        <w:spacing w:after="0" w:line="225" w:lineRule="exact"/>
        <w:rPr>
          <w:rFonts w:ascii="Arial" w:cs="Arial" w:eastAsia="Arial" w:hAnsi="Arial"/>
          <w:sz w:val="26"/>
          <w:szCs w:val="26"/>
          <w:color w:val="auto"/>
          <w:vertAlign w:val="superscript"/>
        </w:rPr>
      </w:pPr>
    </w:p>
    <w:p>
      <w:pPr>
        <w:ind w:left="2260" w:right="280" w:hanging="540"/>
        <w:spacing w:after="0" w:line="194" w:lineRule="auto"/>
        <w:tabs>
          <w:tab w:leader="none" w:pos="226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threshold and maximum payouts are shown in dollar amounts and (in parentheses) as percentages of the base salary of the named executive officer.</w:t>
      </w:r>
    </w:p>
    <w:p>
      <w:pPr>
        <w:spacing w:after="0" w:line="211" w:lineRule="exact"/>
        <w:rPr>
          <w:rFonts w:ascii="Arial" w:cs="Arial" w:eastAsia="Arial" w:hAnsi="Arial"/>
          <w:sz w:val="29"/>
          <w:szCs w:val="29"/>
          <w:color w:val="auto"/>
          <w:vertAlign w:val="superscript"/>
        </w:rPr>
      </w:pPr>
    </w:p>
    <w:p>
      <w:pPr>
        <w:ind w:left="2260" w:right="80" w:hanging="540"/>
        <w:spacing w:after="0" w:line="277" w:lineRule="auto"/>
        <w:tabs>
          <w:tab w:leader="none" w:pos="226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For Mr. Crosby, 50% of his overall target incentive compensation opportunity was based on the Operating Income of the Land Business Unit and 10% was based on the Operating Income of the Company's government business. For Mr. Rau, 30% of his overall target incentive compensation opportunity was based on the Operating Income of the Marine Business Unit and 30% was based on the Operating Income of the Aviation Business Unit. In each case, Operating Income performance was calculated as the Operating Income of such business unit, calculated in accordance with GAAP, adjusted to exclude bonus expense. Payouts for growth achieved between the threshold and maximum levels is based on the payout curve established by the Committee.</w:t>
      </w:r>
    </w:p>
    <w:p>
      <w:pPr>
        <w:spacing w:after="0" w:line="185" w:lineRule="exact"/>
        <w:rPr>
          <w:sz w:val="20"/>
          <w:szCs w:val="20"/>
          <w:color w:val="auto"/>
        </w:rPr>
      </w:pPr>
    </w:p>
    <w:p>
      <w:pPr>
        <w:ind w:right="300" w:firstLine="615"/>
        <w:spacing w:after="0" w:line="294" w:lineRule="auto"/>
        <w:rPr>
          <w:sz w:val="20"/>
          <w:szCs w:val="20"/>
          <w:color w:val="auto"/>
        </w:rPr>
      </w:pPr>
      <w:r>
        <w:rPr>
          <w:rFonts w:ascii="Arial" w:cs="Arial" w:eastAsia="Arial" w:hAnsi="Arial"/>
          <w:sz w:val="16"/>
          <w:szCs w:val="16"/>
          <w:color w:val="auto"/>
        </w:rPr>
        <w:t>In 2016, we did not meet the threshold growth of 3% for Net Income established by the Committee for our NEOs. As a result, neither Mr. Kasbar nor Mr. Birns received a 2016 annual performance-related cash incentive award and neither Messrs. Crosby nor Mr. Rau received a performance-related cash incentive award based on Net Income. Each of Messrs. Crosby and Rau earned a portion of their performance-related cash incentive award based on the Operating Income performance of the business units for which he had responsibility. The actual amount of such incentive award is set forth in the Summary Compensation Table under "Non-Equity Incentive Plan Awards".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Performance-Related Annual Equity-Based Awards</w:t>
      </w:r>
    </w:p>
    <w:p>
      <w:pPr>
        <w:spacing w:after="0" w:line="225" w:lineRule="exact"/>
        <w:rPr>
          <w:sz w:val="20"/>
          <w:szCs w:val="20"/>
          <w:color w:val="auto"/>
        </w:rPr>
      </w:pPr>
    </w:p>
    <w:p>
      <w:pPr>
        <w:ind w:right="20" w:firstLine="611"/>
        <w:spacing w:after="0" w:line="252" w:lineRule="auto"/>
        <w:rPr>
          <w:sz w:val="20"/>
          <w:szCs w:val="20"/>
          <w:color w:val="auto"/>
        </w:rPr>
      </w:pPr>
      <w:r>
        <w:rPr>
          <w:rFonts w:ascii="Arial" w:cs="Arial" w:eastAsia="Arial" w:hAnsi="Arial"/>
          <w:sz w:val="18"/>
          <w:szCs w:val="18"/>
          <w:color w:val="auto"/>
        </w:rPr>
        <w:t>The Committee chose to award RSUs for the performance-related equity portion of the annual incentive awards based on tax considerations. The table below sets forth the grant date fair values of the performance-related RSU component of the annual incentive awards that could have been earned by each NEO in 2016 (1) at the threshold performance level of 3% growth in Net Income and (2) for Messrs. Kasbar and Birns at the maximum performance level of 38% growth in Net Income and for</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Messrs. Crosby and Rau at the maximum performance level of 30% growth in Net Income. Since Net Income did not meet the threshold growth established by the Committee, Messrs. Kasbar, Birns, Crosby and Rau did not earn any RSUs in respect of the 2016 Annual Incentive Program.</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2016 Performance-Related Equity Awards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21"/>
                <w:szCs w:val="21"/>
                <w:color w:val="auto"/>
              </w:rPr>
            </w:pPr>
          </w:p>
        </w:tc>
        <w:tc>
          <w:tcPr>
            <w:tcW w:w="1300" w:type="dxa"/>
            <w:vAlign w:val="bottom"/>
          </w:tcPr>
          <w:p>
            <w:pPr>
              <w:jc w:val="right"/>
              <w:ind w:right="202"/>
              <w:spacing w:after="0"/>
              <w:rPr>
                <w:sz w:val="20"/>
                <w:szCs w:val="20"/>
                <w:color w:val="auto"/>
              </w:rPr>
            </w:pPr>
            <w:r>
              <w:rPr>
                <w:rFonts w:ascii="Arial" w:cs="Arial" w:eastAsia="Arial" w:hAnsi="Arial"/>
                <w:sz w:val="14"/>
                <w:szCs w:val="14"/>
                <w:b w:val="1"/>
                <w:bCs w:val="1"/>
                <w:color w:val="auto"/>
              </w:rPr>
              <w:t>Threshold</w:t>
            </w:r>
            <w:r>
              <w:rPr>
                <w:rFonts w:ascii="Arial" w:cs="Arial" w:eastAsia="Arial" w:hAnsi="Arial"/>
                <w:sz w:val="22"/>
                <w:szCs w:val="22"/>
                <w:b w:val="1"/>
                <w:bCs w:val="1"/>
                <w:color w:val="auto"/>
                <w:vertAlign w:val="superscript"/>
              </w:rPr>
              <w:t>(1)</w:t>
            </w:r>
          </w:p>
        </w:tc>
        <w:tc>
          <w:tcPr>
            <w:tcW w:w="1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Maximum</w:t>
            </w:r>
            <w:r>
              <w:rPr>
                <w:rFonts w:ascii="Arial" w:cs="Arial" w:eastAsia="Arial" w:hAnsi="Arial"/>
                <w:sz w:val="22"/>
                <w:szCs w:val="22"/>
                <w:b w:val="1"/>
                <w:bCs w:val="1"/>
                <w:color w:val="auto"/>
                <w:vertAlign w:val="superscript"/>
              </w:rPr>
              <w:t>(1)</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$105,625</w:t>
            </w:r>
          </w:p>
        </w:tc>
        <w:tc>
          <w:tcPr>
            <w:tcW w:w="16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Ira M. Birns,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$42,250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$2,121,487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(354%)</w:t>
            </w: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Global Land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John P. Rau,</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Global Aviation and Marine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r>
      <w:tr>
        <w:trPr>
          <w:trHeight w:val="110"/>
        </w:trPr>
        <w:tc>
          <w:tcPr>
            <w:tcW w:w="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8" w:lineRule="exact"/>
        <w:rPr>
          <w:sz w:val="20"/>
          <w:szCs w:val="20"/>
          <w:color w:val="auto"/>
        </w:rPr>
      </w:pPr>
    </w:p>
    <w:p>
      <w:pPr>
        <w:ind w:left="2260" w:right="300" w:hanging="540"/>
        <w:spacing w:after="0" w:line="218" w:lineRule="auto"/>
        <w:tabs>
          <w:tab w:leader="none" w:pos="226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For Net Income growth achieved between the threshold and maximum levels, the executive incentive payout is calculated as a portion of the Net Income achieved, based upon the incentive payout curve established by the Committee. The threshold and maximum payouts are shown in dollar amounts and (in parentheses) as percentages of the base salary of the named executive officer.</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Strategic Objective Cash Incentive Award</w:t>
      </w:r>
    </w:p>
    <w:p>
      <w:pPr>
        <w:spacing w:after="0" w:line="225" w:lineRule="exact"/>
        <w:rPr>
          <w:sz w:val="20"/>
          <w:szCs w:val="20"/>
          <w:color w:val="auto"/>
        </w:rPr>
      </w:pPr>
    </w:p>
    <w:p>
      <w:pPr>
        <w:ind w:right="60" w:firstLine="615"/>
        <w:spacing w:after="0" w:line="287" w:lineRule="auto"/>
        <w:rPr>
          <w:sz w:val="20"/>
          <w:szCs w:val="20"/>
          <w:color w:val="auto"/>
        </w:rPr>
      </w:pPr>
      <w:r>
        <w:rPr>
          <w:rFonts w:ascii="Arial" w:cs="Arial" w:eastAsia="Arial" w:hAnsi="Arial"/>
          <w:sz w:val="16"/>
          <w:szCs w:val="16"/>
          <w:color w:val="auto"/>
        </w:rPr>
        <w:t>In determining the amount of payout under the strategic objective cash incentive award, the Committee first determines whether the threshold net revenue performance has been met and then evaluates the performance of each NEO against his individual strategic objective. For 2016, the Company's consolidated net revenues were 104% of 2015 consolidated net revenues, consequently the 75% threshold for payment of the strategic objective cash incentive award was met. The Committee evaluated the results of each of the NEOs against his individual strategic objectives and determined that most but not all of such strategic objectives had been met. In making this determination, the Committee took into consideration the fact that the NEOs had accomplished several objectives, in strategic areas such as sales and marketing, business process improvement and the implementation of organizational decision-making councils, which together should improve our long-term financial performance. However, the Committee determined that not all of the strategic objectives had been satisfactorily met and decided to exercise its negative discretion by reducing the value of the strategic objective cash incentive award earned by each of the NEOs by 40%. Accordingly, Messrs. Kasbar and Birns received $450,000, and $180,000, respectively and each of Messrs. Crosby and Rau received $90,000 in respect of the strategic objective cash incentive awards.</w:t>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2016 Special Equity Awards</w:t>
      </w:r>
    </w:p>
    <w:p>
      <w:pPr>
        <w:spacing w:after="0" w:line="225" w:lineRule="exact"/>
        <w:rPr>
          <w:sz w:val="20"/>
          <w:szCs w:val="20"/>
          <w:color w:val="auto"/>
        </w:rPr>
      </w:pPr>
    </w:p>
    <w:p>
      <w:pPr>
        <w:ind w:right="80" w:firstLine="615"/>
        <w:spacing w:after="0" w:line="283" w:lineRule="auto"/>
        <w:rPr>
          <w:sz w:val="20"/>
          <w:szCs w:val="20"/>
          <w:color w:val="auto"/>
        </w:rPr>
      </w:pPr>
      <w:r>
        <w:rPr>
          <w:rFonts w:ascii="Arial" w:cs="Arial" w:eastAsia="Arial" w:hAnsi="Arial"/>
          <w:sz w:val="16"/>
          <w:szCs w:val="16"/>
          <w:color w:val="auto"/>
        </w:rPr>
        <w:t>During the evaluation of our NEOs 2015 compensation, the Committee determined to provide additional incentive for Mr. Kasbar to drive shareholder value and the long-term sustained growth of the Company through the issuance of a SSAR award. The Committee concluded that such incentive would be appropriate to effectively motivate, reward and retain Mr. Kasbar in light of the current competitive environment while further aligning his interests with the Company's shareholders. Consequently, in March 2016, the Committee decided to grant Mr. Kasbar an award of 100,000 SSARs having a grant date fair value of $1.2 million. The SSAR award vests on the third anniversary of the grant date and will expire five years from the grant date.</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addition, in connection with the promotions of Messrs. Crosby and Rau in March 2016, the Committee determined to make a one-time promotional equity award to each executive in the form of RSUs having a grant date fair value of $1.0 million to effectively motivate, reward and retain these executives. The RSUs vest ratably on the third, fourth and fifth anniversaries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Executive Perquisites</w:t>
      </w:r>
    </w:p>
    <w:p>
      <w:pPr>
        <w:spacing w:after="0" w:line="231" w:lineRule="exact"/>
        <w:rPr>
          <w:sz w:val="20"/>
          <w:szCs w:val="20"/>
          <w:color w:val="auto"/>
        </w:rPr>
      </w:pPr>
    </w:p>
    <w:p>
      <w:pPr>
        <w:ind w:right="260" w:firstLine="615"/>
        <w:spacing w:after="0" w:line="256" w:lineRule="auto"/>
        <w:rPr>
          <w:sz w:val="20"/>
          <w:szCs w:val="20"/>
          <w:color w:val="auto"/>
        </w:rPr>
      </w:pPr>
      <w:r>
        <w:rPr>
          <w:rFonts w:ascii="Arial" w:cs="Arial" w:eastAsia="Arial" w:hAnsi="Arial"/>
          <w:sz w:val="18"/>
          <w:szCs w:val="18"/>
          <w:color w:val="auto"/>
        </w:rPr>
        <w:t>In keeping with our pay-for-performance philosophy, only limited standard employee benefits and executive perquisites are provided to our named executive officers as described below. The total amount of employee benefits and executive perquisites provided to the named executive officers during 2016 represents only a small percentage of each named executive officer's total compensation and are comprised of those benefits which we believe are necessary to attract and retain executives.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Retirement and Deferred Compensation</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including our named executive officers, to elect to contribute a percentage of their eligible compensation on a pre-tax basis, up to the maximum dollar amounts permitted by law. In 2016, the maximum employee elective contribution to the 401(k) Plan was $18,000, plus an additional $6,000 for employees who were at least 50 years old in 2016. Matching contributions under the 401(k) Plan are discretionary. For 2016, we matched 50% of the first 6% of eligible compensation that each eligible participant elected to contribute to the 401(k) Plan. The portion of an employee's account under the 401(k) Plan that is attributable to matching contributions vests immediately.</w:t>
      </w:r>
    </w:p>
    <w:p>
      <w:pPr>
        <w:spacing w:after="0" w:line="20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We do not maintain any pension, non-qualified deferred compensation plan, supplemental executive retirement plan or other defined benefit retirement plans for our named executive officers. However, the prior employment agreement in effect for Mr. Kasbar provided that any bonus payable to him that would not be deductible under Section 162(m) of the Code ("Section 162(m)")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Other Benefits and Perquisites</w:t>
      </w:r>
    </w:p>
    <w:p>
      <w:pPr>
        <w:spacing w:after="0" w:line="225"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Our named executive officers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Our named executive officers receive additional individual disability insurance coverage and are eligible for additional executive life insurance coverage. We pay the entire cost of coverage of the term life insurance and executive life insurance as well as short-term disability and a portion of the cost of coverage for medical and dental insurance for the named executive officers and their covered dependents.</w:t>
      </w:r>
    </w:p>
    <w:p>
      <w:pPr>
        <w:spacing w:after="0" w:line="170"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Messrs. Kasbar, Birns, Crosby and Rau are also provided with a country club membership to be used for business entertainment purposes and to facilitate business meetings. Additionally, until December 31, 2016, we provided housing allowances to each of Messrs. Crosby and Rau which have been discontinued commencing January 1, 2017.</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Summary Compensation Table</w:t>
      </w:r>
    </w:p>
    <w:p>
      <w:pPr>
        <w:spacing w:after="0" w:line="231" w:lineRule="exact"/>
        <w:rPr>
          <w:sz w:val="20"/>
          <w:szCs w:val="20"/>
          <w:color w:val="auto"/>
        </w:rPr>
      </w:pPr>
    </w:p>
    <w:p>
      <w:pPr>
        <w:jc w:val="both"/>
        <w:ind w:right="120" w:firstLine="611"/>
        <w:spacing w:after="0" w:line="259" w:lineRule="auto"/>
        <w:rPr>
          <w:sz w:val="20"/>
          <w:szCs w:val="20"/>
          <w:color w:val="auto"/>
        </w:rPr>
      </w:pPr>
      <w:r>
        <w:rPr>
          <w:rFonts w:ascii="Arial" w:cs="Arial" w:eastAsia="Arial" w:hAnsi="Arial"/>
          <w:sz w:val="18"/>
          <w:szCs w:val="18"/>
          <w:color w:val="auto"/>
        </w:rPr>
        <w:t>The following table summarizes the "Total Realizable Compensation" of Messrs. Kasbar, Birns, Crosby and Rau for the fiscal year ended December 31, 2016. We define "Total Realizable Compensation" to be the sum of all value earned by the executive from continued employment during the applicable year (the "Calculation Year"), including:</w:t>
      </w:r>
    </w:p>
    <w:p>
      <w:pPr>
        <w:spacing w:after="0" w:line="20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benefits and perquisites;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as of the grant date of any cash or equity-based incentive award made under the Annual Incentive Program for the Calculation Year and the amount of any Strategic Objective Cash Incentive Award;</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change (+/–), from the grant date to December 31st of the Calculation Year, in the current value (as distinct from the expense value) of any equity-based incentive award made during the Calculation Year under the Annual Incentive Program for the year immediately preceding the Calculation Year;</w:t>
      </w:r>
    </w:p>
    <w:p>
      <w:pPr>
        <w:spacing w:after="0" w:line="221"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change (+/–), from December 31st of the year immediately preceding the Calculation Year to December 31 of the Calculation Year (or the date on which the award vests, if earlier), in the current value (as distinct from the expense value) of all outstanding equity-based incentive awards made under the Annual Incentive Program in prior years and for which vesting is subject to continued service during all or any part of the Calculation Year; and</w:t>
      </w:r>
    </w:p>
    <w:p>
      <w:pPr>
        <w:spacing w:after="0" w:line="210"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amortized expense value as of December 31st of the Calculation Year (or the anniversary of the grant date on which the award vests, if earlier), of any option, SSAR, restricted stock, or RSU awards that were granted, other than under the Annual Incentive Program, in the Calculation Year or any prior year and that were unvested as of December 31 of the prior year (or the grant date, if later) to the extent the Company expects such awards to vest.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Benefits and</w:t>
            </w:r>
          </w:p>
        </w:tc>
        <w:tc>
          <w:tcPr>
            <w:tcW w:w="1000" w:type="dxa"/>
            <w:vAlign w:val="bottom"/>
            <w:gridSpan w:val="2"/>
          </w:tcPr>
          <w:p>
            <w:pPr>
              <w:jc w:val="center"/>
              <w:ind w:left="79"/>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1"/>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Perquisites</w:t>
            </w:r>
          </w:p>
        </w:tc>
        <w:tc>
          <w:tcPr>
            <w:tcW w:w="10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Stock Awards</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14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7"/>
                <w:szCs w:val="17"/>
                <w:color w:val="auto"/>
              </w:rPr>
              <w:t>$1,952,260</w:t>
            </w:r>
            <w:r>
              <w:rPr>
                <w:rFonts w:ascii="Arial" w:cs="Arial" w:eastAsia="Arial" w:hAnsi="Arial"/>
                <w:sz w:val="28"/>
                <w:szCs w:val="28"/>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$3,493,934</w:t>
            </w:r>
          </w:p>
        </w:tc>
      </w:tr>
      <w:tr>
        <w:trPr>
          <w:trHeight w:val="208"/>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President and Chief</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8"/>
        </w:trPr>
        <w:tc>
          <w:tcPr>
            <w:tcW w:w="294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5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583,400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54,200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140" w:type="dxa"/>
            <w:vAlign w:val="bottom"/>
            <w:gridSpan w:val="2"/>
          </w:tcPr>
          <w:p>
            <w:pPr>
              <w:jc w:val="right"/>
              <w:spacing w:after="0" w:line="249" w:lineRule="exact"/>
              <w:rPr>
                <w:sz w:val="20"/>
                <w:szCs w:val="20"/>
                <w:color w:val="auto"/>
              </w:rPr>
            </w:pPr>
            <w:r>
              <w:rPr>
                <w:rFonts w:ascii="Arial" w:cs="Arial" w:eastAsia="Arial" w:hAnsi="Arial"/>
                <w:sz w:val="17"/>
                <w:szCs w:val="17"/>
                <w:color w:val="auto"/>
              </w:rPr>
              <w:t>714,041</w:t>
            </w:r>
            <w:r>
              <w:rPr>
                <w:rFonts w:ascii="Arial" w:cs="Arial" w:eastAsia="Arial" w:hAnsi="Arial"/>
                <w:sz w:val="28"/>
                <w:szCs w:val="28"/>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1,569,700</w:t>
            </w: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i w:val="1"/>
                <w:iCs w:val="1"/>
                <w:color w:val="auto"/>
                <w:w w:val="97"/>
              </w:rPr>
              <w:t>Executive Vice President and Chief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5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168,707</w:t>
            </w:r>
          </w:p>
        </w:tc>
        <w:tc>
          <w:tcPr>
            <w:tcW w:w="1140" w:type="dxa"/>
            <w:vAlign w:val="bottom"/>
            <w:gridSpan w:val="2"/>
            <w:shd w:val="clear" w:color="auto" w:fill="CCEEFF"/>
          </w:tcPr>
          <w:p>
            <w:pPr>
              <w:jc w:val="right"/>
              <w:spacing w:after="0" w:line="258" w:lineRule="exact"/>
              <w:rPr>
                <w:sz w:val="20"/>
                <w:szCs w:val="20"/>
                <w:color w:val="auto"/>
              </w:rPr>
            </w:pPr>
            <w:r>
              <w:rPr>
                <w:rFonts w:ascii="Arial" w:cs="Arial" w:eastAsia="Arial" w:hAnsi="Arial"/>
                <w:sz w:val="18"/>
                <w:szCs w:val="18"/>
                <w:color w:val="auto"/>
              </w:rPr>
              <w:t>276,172</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1,068,328</w:t>
            </w: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Executive Vice President, Global Land</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8"/>
        </w:trPr>
        <w:tc>
          <w:tcPr>
            <w:tcW w:w="2940" w:type="dxa"/>
            <w:vAlign w:val="bottom"/>
            <w:gridSpan w:val="3"/>
          </w:tcPr>
          <w:p>
            <w:pPr>
              <w:spacing w:after="0"/>
              <w:rPr>
                <w:sz w:val="20"/>
                <w:szCs w:val="20"/>
                <w:color w:val="auto"/>
              </w:rPr>
            </w:pPr>
            <w:r>
              <w:rPr>
                <w:rFonts w:ascii="Arial" w:cs="Arial" w:eastAsia="Arial" w:hAnsi="Arial"/>
                <w:sz w:val="18"/>
                <w:szCs w:val="18"/>
                <w:color w:val="auto"/>
              </w:rPr>
              <w:t>John P. Rau,</w:t>
            </w:r>
          </w:p>
        </w:tc>
        <w:tc>
          <w:tcPr>
            <w:tcW w:w="5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475,100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136,845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202,815</w:t>
            </w:r>
          </w:p>
        </w:tc>
        <w:tc>
          <w:tcPr>
            <w:tcW w:w="1140" w:type="dxa"/>
            <w:vAlign w:val="bottom"/>
            <w:gridSpan w:val="2"/>
          </w:tcPr>
          <w:p>
            <w:pPr>
              <w:jc w:val="right"/>
              <w:spacing w:after="0" w:line="249" w:lineRule="exact"/>
              <w:rPr>
                <w:sz w:val="20"/>
                <w:szCs w:val="20"/>
                <w:color w:val="auto"/>
              </w:rPr>
            </w:pPr>
            <w:r>
              <w:rPr>
                <w:rFonts w:ascii="Arial" w:cs="Arial" w:eastAsia="Arial" w:hAnsi="Arial"/>
                <w:sz w:val="17"/>
                <w:szCs w:val="17"/>
                <w:color w:val="auto"/>
              </w:rPr>
              <w:t>276,172</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660" w:type="dxa"/>
            <w:vAlign w:val="bottom"/>
          </w:tcPr>
          <w:p>
            <w:pPr>
              <w:jc w:val="right"/>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1,090,932</w:t>
            </w: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Global</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i w:val="1"/>
                <w:iCs w:val="1"/>
                <w:color w:val="auto"/>
              </w:rPr>
              <w:t>Aviation and Marine</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208" w:lineRule="exact"/>
        <w:rPr>
          <w:sz w:val="20"/>
          <w:szCs w:val="20"/>
          <w:color w:val="auto"/>
        </w:rPr>
      </w:pPr>
    </w:p>
    <w:p>
      <w:pPr>
        <w:ind w:left="1680" w:right="140" w:hanging="531"/>
        <w:spacing w:after="0" w:line="194" w:lineRule="auto"/>
        <w:tabs>
          <w:tab w:leader="none" w:pos="16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This amount includes the amortized expense value of the award of SSARs granted to Messrs. Kasbar and Birns in March 2013 and 2015 and Mr. Kasbar in 2016. This amount also</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0"/>
        <w:spacing w:after="0" w:line="294" w:lineRule="auto"/>
        <w:rPr>
          <w:sz w:val="20"/>
          <w:szCs w:val="20"/>
          <w:color w:val="auto"/>
        </w:rPr>
      </w:pPr>
      <w:r>
        <w:rPr>
          <w:rFonts w:ascii="Arial" w:cs="Arial" w:eastAsia="Arial" w:hAnsi="Arial"/>
          <w:sz w:val="16"/>
          <w:szCs w:val="16"/>
          <w:color w:val="auto"/>
        </w:rPr>
        <w:t>includes the amortized expense value of 10,292 RSUs issued as the target equity opportunity under the PSP to each of Messrs. Kasbar and Birns, respectively, in March 2016. This amount does not include any expense value for the performance-based RSAs granted in 2012 to Messrs. Kasbar and Birns that expired unvested at the end of the five-year measurement period on December 31, 2016. (See "Outstanding Equity Awards at Fiscal Year End" table beginning on page 53 of this proxy statement and "Grants of Plan based Awards" table beginning on page 52 for additional information about these awards).</w:t>
      </w:r>
    </w:p>
    <w:p>
      <w:pPr>
        <w:spacing w:after="0" w:line="170" w:lineRule="exact"/>
        <w:rPr>
          <w:sz w:val="20"/>
          <w:szCs w:val="20"/>
          <w:color w:val="auto"/>
        </w:rPr>
      </w:pPr>
    </w:p>
    <w:p>
      <w:pPr>
        <w:ind w:left="1680" w:right="280" w:hanging="531"/>
        <w:spacing w:after="0" w:line="218" w:lineRule="auto"/>
        <w:tabs>
          <w:tab w:leader="none" w:pos="16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This amount reflects the amortized expense value of: (i) 10,292 RSUs issued as the target equity opportunity under the PSP to each of Messrs. Crosby and Rau in March 2016; and (ii) 20,585 shares of restricted stock granted to each of Messrs. Crosby and Rau in March 2016 in connection with their promotions (see "Grants of Plan based Awards" table on page 52 for additional information about these awards).</w:t>
      </w:r>
    </w:p>
    <w:p>
      <w:pPr>
        <w:spacing w:after="0" w:line="226" w:lineRule="exact"/>
        <w:rPr>
          <w:rFonts w:ascii="Arial" w:cs="Arial" w:eastAsia="Arial" w:hAnsi="Arial"/>
          <w:sz w:val="29"/>
          <w:szCs w:val="29"/>
          <w:color w:val="auto"/>
          <w:vertAlign w:val="superscript"/>
        </w:rPr>
      </w:pPr>
    </w:p>
    <w:p>
      <w:pPr>
        <w:ind w:left="1680" w:right="240" w:hanging="531"/>
        <w:spacing w:after="0" w:line="194" w:lineRule="auto"/>
        <w:tabs>
          <w:tab w:leader="none" w:pos="16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Messrs. Crosby and Rau were not executive officers prior to 2016 and therefore, they were not part of the Annual Incentive Program in prior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Executives</w:t>
      </w:r>
    </w:p>
    <w:p>
      <w:pPr>
        <w:spacing w:after="0" w:line="231" w:lineRule="exact"/>
        <w:rPr>
          <w:sz w:val="20"/>
          <w:szCs w:val="20"/>
          <w:color w:val="auto"/>
        </w:rPr>
      </w:pPr>
    </w:p>
    <w:p>
      <w:pPr>
        <w:ind w:right="20" w:firstLine="615"/>
        <w:spacing w:after="0" w:line="318" w:lineRule="auto"/>
        <w:rPr>
          <w:sz w:val="20"/>
          <w:szCs w:val="20"/>
          <w:color w:val="auto"/>
        </w:rPr>
      </w:pPr>
      <w:r>
        <w:rPr>
          <w:rFonts w:ascii="Arial" w:cs="Arial" w:eastAsia="Arial" w:hAnsi="Arial"/>
          <w:sz w:val="15"/>
          <w:szCs w:val="15"/>
          <w:color w:val="auto"/>
        </w:rPr>
        <w:t>Our Committee believes that it is important to protect our intellectual capital. Accordingly, we have agreements and an executive severance policy with respect to our named executive officers that provide consideration for, and thus ensure the effectiveness of, important non-compete and other restrictive covenants and consulting obligations applicable under such agreements or policy following termination of employment. The Committee believes that these arrangements serve to encourage the continued attention and dedication of the executives to their assigned duties and mitigate the uncertainty and questions a potential change of control may raise among executives. The Committee also believes these arrangements are appropriate and necessary to attract and retain these executives.</w:t>
      </w:r>
    </w:p>
    <w:p>
      <w:pPr>
        <w:spacing w:after="0" w:line="154" w:lineRule="exact"/>
        <w:rPr>
          <w:sz w:val="20"/>
          <w:szCs w:val="20"/>
          <w:color w:val="auto"/>
        </w:rPr>
      </w:pPr>
    </w:p>
    <w:p>
      <w:pPr>
        <w:ind w:right="260" w:firstLine="615"/>
        <w:spacing w:after="0" w:line="318" w:lineRule="auto"/>
        <w:rPr>
          <w:sz w:val="20"/>
          <w:szCs w:val="20"/>
          <w:color w:val="auto"/>
        </w:rPr>
      </w:pPr>
      <w:r>
        <w:rPr>
          <w:rFonts w:ascii="Arial" w:cs="Arial" w:eastAsia="Arial" w:hAnsi="Arial"/>
          <w:sz w:val="15"/>
          <w:szCs w:val="15"/>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56 of this proxy statement for a discussion of these arrangements and certain compensation and benefits that will be provided in the event of the termination of the employment of our named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Practices</w:t>
      </w:r>
    </w:p>
    <w:p>
      <w:pPr>
        <w:spacing w:after="0" w:line="231" w:lineRule="exact"/>
        <w:rPr>
          <w:sz w:val="20"/>
          <w:szCs w:val="20"/>
          <w:color w:val="auto"/>
        </w:rPr>
      </w:pPr>
    </w:p>
    <w:p>
      <w:pPr>
        <w:jc w:val="both"/>
        <w:ind w:right="160" w:firstLine="615"/>
        <w:spacing w:after="0" w:line="298" w:lineRule="auto"/>
        <w:rPr>
          <w:sz w:val="20"/>
          <w:szCs w:val="20"/>
          <w:color w:val="auto"/>
        </w:rPr>
      </w:pPr>
      <w:r>
        <w:rPr>
          <w:rFonts w:ascii="Arial" w:cs="Arial" w:eastAsia="Arial" w:hAnsi="Arial"/>
          <w:sz w:val="16"/>
          <w:szCs w:val="16"/>
          <w:color w:val="auto"/>
        </w:rPr>
        <w:t>Our equity grant policy provides that equity grants made to named executive officers related to prior year performance will be effective on March 15 of each year. Retention, promotion and performance share awards are typically granted March 31 of each year. Annual grants of equity awards to directors will be effective on the date that the director is elected or re-elected to the Board. Grants made to new hires or existing employees (excluding executive officers) will be effective on one of the following quarterly dates per year: February 10, May 10, August 10, and November 10.</w:t>
      </w:r>
    </w:p>
    <w:p>
      <w:pPr>
        <w:spacing w:after="0" w:line="167"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Under the terms of the 2016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w:t>
      </w:r>
    </w:p>
    <w:p>
      <w:pPr>
        <w:spacing w:after="0" w:line="188"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practice of timing equity award grants in order to benefit our executive officers or in coordination with the release of material non-public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40" w:firstLine="605"/>
        <w:spacing w:after="0" w:line="254"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Section 162(m) provides that the Company may not take a federal income tax deduction for compensation in excess of $1,000,000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 awards under our 2016 Omnibus Plan may be granted in a manner so that they are intended to qualify for the "performance-based" exception to Section 162(m).</w:t>
      </w:r>
    </w:p>
    <w:p>
      <w:pPr>
        <w:spacing w:after="0" w:line="198"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We generally seek to preserve such tax deductibility for compensation to the extent practicable, although the Committee retains flexibility to approve, when appropriate, compensation arrangements which promote the objectives of our compensation program but which do not qualify for full tax deductibility. Accordingly, in the future, the Committee may also determine, in light of applicable circumstances, to award certain compensation in a manner that will not preserve the deductibility of such compensation under Section 162(m).</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225"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The Committee has adopted a stock retention requirement and stock ownership guidelines to align the interests of named executive officers with those of our shareholders and ensure that the executives responsible for overseeing operations have an ongoing financial stake in the Company's success.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Retention Requirement</w:t>
      </w:r>
    </w:p>
    <w:p>
      <w:pPr>
        <w:spacing w:after="0" w:line="225" w:lineRule="exact"/>
        <w:rPr>
          <w:sz w:val="20"/>
          <w:szCs w:val="20"/>
          <w:color w:val="auto"/>
        </w:rPr>
      </w:pPr>
    </w:p>
    <w:p>
      <w:pPr>
        <w:ind w:right="100" w:firstLine="615"/>
        <w:spacing w:after="0" w:line="252" w:lineRule="auto"/>
        <w:rPr>
          <w:sz w:val="20"/>
          <w:szCs w:val="20"/>
          <w:color w:val="auto"/>
        </w:rPr>
      </w:pPr>
      <w:r>
        <w:rPr>
          <w:rFonts w:ascii="Arial" w:cs="Arial" w:eastAsia="Arial" w:hAnsi="Arial"/>
          <w:sz w:val="18"/>
          <w:szCs w:val="18"/>
          <w:color w:val="auto"/>
        </w:rPr>
        <w:t>Our named executive officers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an executive officer of the Company, if earlier). All of our named executive officers are in compliance with these retention requirements.</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Ownership Requirement</w:t>
      </w:r>
    </w:p>
    <w:p>
      <w:pPr>
        <w:spacing w:after="0" w:line="225" w:lineRule="exact"/>
        <w:rPr>
          <w:sz w:val="20"/>
          <w:szCs w:val="20"/>
          <w:color w:val="auto"/>
        </w:rPr>
      </w:pPr>
    </w:p>
    <w:p>
      <w:pPr>
        <w:jc w:val="both"/>
        <w:ind w:right="140" w:firstLine="615"/>
        <w:spacing w:after="0" w:line="268" w:lineRule="auto"/>
        <w:rPr>
          <w:sz w:val="20"/>
          <w:szCs w:val="20"/>
          <w:color w:val="auto"/>
        </w:rPr>
      </w:pPr>
      <w:r>
        <w:rPr>
          <w:rFonts w:ascii="Arial" w:cs="Arial" w:eastAsia="Arial" w:hAnsi="Arial"/>
          <w:sz w:val="18"/>
          <w:szCs w:val="18"/>
          <w:color w:val="auto"/>
        </w:rPr>
        <w:t>Our named executive officers are subject to the stock ownership guidelines set forth below, which are expressed as a multiple of base salary determined by leadership level.</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8"/>
              </w:rPr>
              <w:t>Multiple of Base Salary</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Chairman of the Board (if an executive officer)</w:t>
            </w:r>
          </w:p>
        </w:tc>
        <w:tc>
          <w:tcPr>
            <w:tcW w:w="24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4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5</w:t>
            </w: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All Other Executive Officers</w:t>
            </w:r>
          </w:p>
        </w:tc>
        <w:tc>
          <w:tcPr>
            <w:tcW w:w="24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3</w:t>
            </w:r>
          </w:p>
        </w:tc>
      </w:tr>
    </w:tbl>
    <w:p>
      <w:pPr>
        <w:spacing w:after="0" w:line="201" w:lineRule="exact"/>
        <w:rPr>
          <w:sz w:val="20"/>
          <w:szCs w:val="20"/>
          <w:color w:val="auto"/>
        </w:rPr>
      </w:pPr>
    </w:p>
    <w:p>
      <w:pPr>
        <w:jc w:val="both"/>
        <w:ind w:right="160" w:firstLine="615"/>
        <w:spacing w:after="0" w:line="306" w:lineRule="auto"/>
        <w:rPr>
          <w:sz w:val="20"/>
          <w:szCs w:val="20"/>
          <w:color w:val="auto"/>
        </w:rPr>
      </w:pPr>
      <w:r>
        <w:rPr>
          <w:rFonts w:ascii="Arial" w:cs="Arial" w:eastAsia="Arial" w:hAnsi="Arial"/>
          <w:sz w:val="16"/>
          <w:szCs w:val="16"/>
          <w:color w:val="auto"/>
        </w:rPr>
        <w:t>Equity vehicles that count towards compliance with the ownership requirement include: common stock, unvested time-based restricted stock or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61"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Committee uses the three-year average closing stock price on the last trading day of each fiscal year to determine compliance and to manage against the risk of the named executive officers falling out of compliance due to volatility in the stock price. The Committee has discretion to determine the penalties for non-compliance, including: requiring the payment of cash incentives in equity, instituting a higher equity retention requirement and reducing or eliminating incentive compensation. Furthermore, the Committee, in its discretion, may determine the appropriate hardship relief, if any, for non-compliance including: allowing named executive officers additional time to regain compliance and suspending ownership requirements in the event of extreme volatility in the Company's stock price.</w:t>
      </w:r>
    </w:p>
    <w:p>
      <w:pPr>
        <w:spacing w:after="0" w:line="198" w:lineRule="exact"/>
        <w:rPr>
          <w:sz w:val="20"/>
          <w:szCs w:val="20"/>
          <w:color w:val="auto"/>
        </w:rPr>
      </w:pPr>
    </w:p>
    <w:p>
      <w:pPr>
        <w:ind w:right="320" w:firstLine="611"/>
        <w:spacing w:after="0" w:line="306" w:lineRule="auto"/>
        <w:rPr>
          <w:sz w:val="20"/>
          <w:szCs w:val="20"/>
          <w:color w:val="auto"/>
        </w:rPr>
      </w:pPr>
      <w:r>
        <w:rPr>
          <w:rFonts w:ascii="Arial" w:cs="Arial" w:eastAsia="Arial" w:hAnsi="Arial"/>
          <w:sz w:val="16"/>
          <w:szCs w:val="16"/>
          <w:color w:val="auto"/>
        </w:rPr>
        <w:t>The stock ownership guidelines provide that executive officers must attain the applicable ownership requirement within five years of the date such individual becomes an executive officer. Our directors are also subject to stock ownership requirements as described on page 27 of this proxy statement under "Director Compensation". All of our named executive officers are in compliance with the above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Hedging and Pledging Transactions</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67" w:lineRule="exact"/>
        <w:rPr>
          <w:sz w:val="20"/>
          <w:szCs w:val="20"/>
          <w:color w:val="auto"/>
        </w:rPr>
      </w:pPr>
    </w:p>
    <w:p>
      <w:pPr>
        <w:ind w:right="120" w:firstLine="611"/>
        <w:spacing w:after="0" w:line="303" w:lineRule="auto"/>
        <w:rPr>
          <w:sz w:val="20"/>
          <w:szCs w:val="20"/>
          <w:color w:val="auto"/>
        </w:rPr>
      </w:pPr>
      <w:r>
        <w:rPr>
          <w:rFonts w:ascii="Arial" w:cs="Arial" w:eastAsia="Arial" w:hAnsi="Arial"/>
          <w:sz w:val="15"/>
          <w:szCs w:val="15"/>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2016 Executive Compensation</w:t>
      </w:r>
    </w:p>
    <w:p>
      <w:pPr>
        <w:spacing w:after="0" w:line="231" w:lineRule="exact"/>
        <w:rPr>
          <w:sz w:val="20"/>
          <w:szCs w:val="20"/>
          <w:color w:val="auto"/>
        </w:rPr>
      </w:pPr>
    </w:p>
    <w:p>
      <w:pPr>
        <w:ind w:right="240" w:firstLine="611"/>
        <w:spacing w:after="0" w:line="335" w:lineRule="auto"/>
        <w:rPr>
          <w:sz w:val="20"/>
          <w:szCs w:val="20"/>
          <w:color w:val="auto"/>
        </w:rPr>
      </w:pPr>
      <w:r>
        <w:rPr>
          <w:rFonts w:ascii="Arial" w:cs="Arial" w:eastAsia="Arial" w:hAnsi="Arial"/>
          <w:sz w:val="15"/>
          <w:szCs w:val="15"/>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 on Schedule 14A.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Ken Bakshi,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K. Roddenberry, Member</w:t>
      </w:r>
    </w:p>
    <w:p>
      <w:pPr>
        <w:spacing w:after="0" w:line="9"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following table summarizes the "total compensation" of our named executive officers for the fiscal years ended December 31, 2016, 2015, and 2014 according to the rules promulgated by the SEC.</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58"/>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5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8"/>
              <w:spacing w:after="0" w:line="135"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15"/>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040" w:type="dxa"/>
            <w:vAlign w:val="bottom"/>
          </w:tcPr>
          <w:p>
            <w:pPr>
              <w:jc w:val="right"/>
              <w:ind w:right="159"/>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7"/>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(5)</w:t>
            </w:r>
          </w:p>
        </w:tc>
        <w:tc>
          <w:tcPr>
            <w:tcW w:w="1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875,100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1,999,990</w:t>
            </w:r>
          </w:p>
        </w:tc>
        <w:tc>
          <w:tcPr>
            <w:tcW w:w="120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7"/>
                <w:szCs w:val="17"/>
                <w:color w:val="auto"/>
              </w:rPr>
              <w:t>$ 1,232,000</w:t>
            </w:r>
            <w:r>
              <w:rPr>
                <w:rFonts w:ascii="Arial" w:cs="Arial" w:eastAsia="Arial" w:hAnsi="Arial"/>
                <w:sz w:val="28"/>
                <w:szCs w:val="28"/>
                <w:color w:val="auto"/>
                <w:vertAlign w:val="superscript"/>
              </w:rPr>
              <w:t>(3)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50" w:lineRule="exact"/>
              <w:rPr>
                <w:sz w:val="20"/>
                <w:szCs w:val="20"/>
                <w:color w:val="auto"/>
              </w:rPr>
            </w:pPr>
            <w:r>
              <w:rPr>
                <w:rFonts w:ascii="Arial" w:cs="Arial" w:eastAsia="Arial" w:hAnsi="Arial"/>
                <w:sz w:val="17"/>
                <w:szCs w:val="17"/>
                <w:color w:val="auto"/>
              </w:rPr>
              <w:t>450,000</w:t>
            </w:r>
            <w:r>
              <w:rPr>
                <w:rFonts w:ascii="Arial" w:cs="Arial" w:eastAsia="Arial" w:hAnsi="Arial"/>
                <w:sz w:val="28"/>
                <w:szCs w:val="28"/>
                <w:color w:val="auto"/>
                <w:vertAlign w:val="superscript"/>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50" w:lineRule="exact"/>
              <w:rPr>
                <w:sz w:val="20"/>
                <w:szCs w:val="20"/>
                <w:color w:val="auto"/>
              </w:rPr>
            </w:pPr>
            <w:r>
              <w:rPr>
                <w:rFonts w:ascii="Arial" w:cs="Arial" w:eastAsia="Arial" w:hAnsi="Arial"/>
                <w:sz w:val="17"/>
                <w:szCs w:val="17"/>
                <w:color w:val="auto"/>
              </w:rPr>
              <w:t>81,585</w:t>
            </w:r>
            <w:r>
              <w:rPr>
                <w:rFonts w:ascii="Arial" w:cs="Arial" w:eastAsia="Arial" w:hAnsi="Arial"/>
                <w:sz w:val="28"/>
                <w:szCs w:val="28"/>
                <w:color w:val="auto"/>
                <w:vertAlign w:val="superscript"/>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4,638,675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Chairman,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President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2,149,202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and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Executive</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2014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713,542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5,549,473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7,706,999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00" w:type="dxa"/>
            <w:vAlign w:val="bottom"/>
            <w:gridSpan w:val="2"/>
          </w:tcPr>
          <w:p>
            <w:pPr>
              <w:spacing w:after="0"/>
              <w:rPr>
                <w:sz w:val="20"/>
                <w:szCs w:val="20"/>
                <w:color w:val="auto"/>
              </w:rPr>
            </w:pPr>
            <w:r>
              <w:rPr>
                <w:rFonts w:ascii="Arial" w:cs="Arial" w:eastAsia="Arial" w:hAnsi="Arial"/>
                <w:sz w:val="18"/>
                <w:szCs w:val="18"/>
                <w:color w:val="auto"/>
              </w:rPr>
              <w:t>Ira M. Birns</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583,400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1,000,019</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line="249" w:lineRule="exact"/>
              <w:rPr>
                <w:sz w:val="20"/>
                <w:szCs w:val="20"/>
                <w:color w:val="auto"/>
              </w:rPr>
            </w:pPr>
            <w:r>
              <w:rPr>
                <w:rFonts w:ascii="Arial" w:cs="Arial" w:eastAsia="Arial" w:hAnsi="Arial"/>
                <w:sz w:val="17"/>
                <w:szCs w:val="17"/>
                <w:color w:val="auto"/>
              </w:rPr>
              <w:t>180,000</w:t>
            </w:r>
            <w:r>
              <w:rPr>
                <w:rFonts w:ascii="Arial" w:cs="Arial" w:eastAsia="Arial" w:hAnsi="Arial"/>
                <w:sz w:val="28"/>
                <w:szCs w:val="28"/>
                <w:color w:val="auto"/>
                <w:vertAlign w:val="superscript"/>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1,820,583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Executive Vice</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184,102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88,680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1,114,474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President and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Chief</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489,583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2,076,898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3,126,744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w w:val="99"/>
              </w:rPr>
              <w:t>Financial Officer</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line="258" w:lineRule="exact"/>
              <w:rPr>
                <w:sz w:val="20"/>
                <w:szCs w:val="20"/>
                <w:color w:val="auto"/>
              </w:rPr>
            </w:pPr>
            <w:r>
              <w:rPr>
                <w:rFonts w:ascii="Arial" w:cs="Arial" w:eastAsia="Arial" w:hAnsi="Arial"/>
                <w:sz w:val="18"/>
                <w:szCs w:val="18"/>
                <w:color w:val="auto"/>
                <w:w w:val="89"/>
              </w:rPr>
              <w:t>168,707</w:t>
            </w:r>
            <w:r>
              <w:rPr>
                <w:rFonts w:ascii="Arial" w:cs="Arial" w:eastAsia="Arial" w:hAnsi="Arial"/>
                <w:sz w:val="29"/>
                <w:szCs w:val="29"/>
                <w:color w:val="auto"/>
                <w:w w:val="89"/>
                <w:vertAlign w:val="superscript"/>
              </w:rPr>
              <w:t>(4)(6)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line="258" w:lineRule="exact"/>
              <w:rPr>
                <w:sz w:val="20"/>
                <w:szCs w:val="20"/>
                <w:color w:val="auto"/>
              </w:rPr>
            </w:pPr>
            <w:r>
              <w:rPr>
                <w:rFonts w:ascii="Arial" w:cs="Arial" w:eastAsia="Arial" w:hAnsi="Arial"/>
                <w:sz w:val="18"/>
                <w:szCs w:val="18"/>
                <w:color w:val="auto"/>
              </w:rPr>
              <w:t>135,899</w:t>
            </w:r>
            <w:r>
              <w:rPr>
                <w:rFonts w:ascii="Arial" w:cs="Arial" w:eastAsia="Arial" w:hAnsi="Arial"/>
                <w:sz w:val="29"/>
                <w:szCs w:val="29"/>
                <w:color w:val="auto"/>
                <w:vertAlign w:val="superscript"/>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2,292,160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4"/>
              </w:rPr>
              <w:t>President, Global</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Land</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500" w:type="dxa"/>
            <w:vAlign w:val="bottom"/>
            <w:gridSpan w:val="2"/>
          </w:tcPr>
          <w:p>
            <w:pPr>
              <w:spacing w:after="0"/>
              <w:rPr>
                <w:sz w:val="20"/>
                <w:szCs w:val="20"/>
                <w:color w:val="auto"/>
              </w:rPr>
            </w:pPr>
            <w:r>
              <w:rPr>
                <w:rFonts w:ascii="Arial" w:cs="Arial" w:eastAsia="Arial" w:hAnsi="Arial"/>
                <w:sz w:val="18"/>
                <w:szCs w:val="18"/>
                <w:color w:val="auto"/>
              </w:rPr>
              <w:t>John P. Rau</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475,100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1,500,004</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line="249" w:lineRule="exact"/>
              <w:rPr>
                <w:sz w:val="20"/>
                <w:szCs w:val="20"/>
                <w:color w:val="auto"/>
              </w:rPr>
            </w:pPr>
            <w:r>
              <w:rPr>
                <w:rFonts w:ascii="Arial" w:cs="Arial" w:eastAsia="Arial" w:hAnsi="Arial"/>
                <w:sz w:val="17"/>
                <w:szCs w:val="17"/>
                <w:color w:val="auto"/>
                <w:w w:val="93"/>
              </w:rPr>
              <w:t>202,815</w:t>
            </w:r>
            <w:r>
              <w:rPr>
                <w:rFonts w:ascii="Arial" w:cs="Arial" w:eastAsia="Arial" w:hAnsi="Arial"/>
                <w:sz w:val="28"/>
                <w:szCs w:val="28"/>
                <w:color w:val="auto"/>
                <w:w w:val="93"/>
                <w:vertAlign w:val="superscript"/>
              </w:rPr>
              <w:t>(4)(6)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Arial" w:cs="Arial" w:eastAsia="Arial" w:hAnsi="Arial"/>
                <w:sz w:val="17"/>
                <w:szCs w:val="17"/>
                <w:color w:val="auto"/>
              </w:rPr>
              <w:t>136,845</w:t>
            </w:r>
            <w:r>
              <w:rPr>
                <w:rFonts w:ascii="Arial" w:cs="Arial" w:eastAsia="Arial" w:hAnsi="Arial"/>
                <w:sz w:val="28"/>
                <w:szCs w:val="28"/>
                <w:color w:val="auto"/>
                <w:vertAlign w:val="superscript"/>
              </w:rPr>
              <w:t>(8)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2,314,764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Executive Vice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320"/>
        <w:spacing w:after="0"/>
        <w:rPr>
          <w:sz w:val="20"/>
          <w:szCs w:val="20"/>
          <w:color w:val="auto"/>
        </w:rPr>
      </w:pPr>
      <w:r>
        <w:rPr>
          <w:rFonts w:ascii="Arial" w:cs="Arial" w:eastAsia="Arial" w:hAnsi="Arial"/>
          <w:sz w:val="18"/>
          <w:szCs w:val="18"/>
          <w:i w:val="1"/>
          <w:iCs w:val="1"/>
          <w:color w:val="auto"/>
        </w:rPr>
        <w:t>President, Global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Aviation and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Marine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75565</wp:posOffset>
            </wp:positionV>
            <wp:extent cx="10293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34" w:lineRule="exact"/>
        <w:rPr>
          <w:sz w:val="20"/>
          <w:szCs w:val="20"/>
          <w:color w:val="auto"/>
        </w:rPr>
      </w:pPr>
    </w:p>
    <w:p>
      <w:pPr>
        <w:ind w:left="1680" w:right="260" w:hanging="531"/>
        <w:spacing w:after="0" w:line="268"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shown for fiscal year 2016 represent the pro-rated salary for each of Messrs. Kasbar, Birns, Crosby and Rau, reflective of salary increases made effective March 1, 2016.</w:t>
      </w:r>
    </w:p>
    <w:p>
      <w:pPr>
        <w:spacing w:after="0" w:line="212" w:lineRule="exact"/>
        <w:rPr>
          <w:rFonts w:ascii="Arial" w:cs="Arial" w:eastAsia="Arial" w:hAnsi="Arial"/>
          <w:sz w:val="18"/>
          <w:szCs w:val="18"/>
          <w:color w:val="auto"/>
        </w:rPr>
      </w:pPr>
    </w:p>
    <w:p>
      <w:pPr>
        <w:ind w:left="1680" w:right="40" w:hanging="531"/>
        <w:spacing w:after="0" w:line="254"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shown represent the estimated aggregate grant date fair value of the awards made in each fiscal year relating to common stock, restricted stock, RSUs and SSARs granted to the named executive officers. The estimated grant date fair value of these awards is based on the grant date market value of our common stock as defined in the 2006 Omnibus Plan and is computed in accordance with FASB ASC Topic 718. Assumptions used in determining the aggregate grant date fair value of awards are set forth in Note 9 (for fiscal year 2016) and Note 8 (for fiscal years 2015 and 2014) to the consolidated financial statements in Item 15 of the respective annual reports on Form 10-K.</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reflects the grant date fair value of a one-time award to Mr. Kasbar of 100,000 SSARs, which vest in March 2019.</w:t>
      </w:r>
    </w:p>
    <w:p>
      <w:pPr>
        <w:spacing w:after="0" w:line="261" w:lineRule="exact"/>
        <w:rPr>
          <w:rFonts w:ascii="Arial" w:cs="Arial" w:eastAsia="Arial" w:hAnsi="Arial"/>
          <w:sz w:val="16"/>
          <w:szCs w:val="16"/>
          <w:color w:val="auto"/>
        </w:rPr>
      </w:pPr>
    </w:p>
    <w:p>
      <w:pPr>
        <w:jc w:val="both"/>
        <w:ind w:left="1680" w:right="80" w:hanging="531"/>
        <w:spacing w:after="0" w:line="306"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reflects strategic objective cash incentive awards earned by each of the named executive officers based upon their achieving 60% of their 2016 strategic objectives. These awards were also subject to the Company earning at least 75% of consolidated net revenues for the prior year. For 2016, consolidated net revenues were 104% of 2015 consolidated net revenues.</w:t>
      </w:r>
    </w:p>
    <w:p>
      <w:pPr>
        <w:spacing w:after="0" w:line="187" w:lineRule="exact"/>
        <w:rPr>
          <w:rFonts w:ascii="Arial" w:cs="Arial" w:eastAsia="Arial" w:hAnsi="Arial"/>
          <w:sz w:val="16"/>
          <w:szCs w:val="16"/>
          <w:color w:val="auto"/>
        </w:rPr>
      </w:pPr>
    </w:p>
    <w:p>
      <w:pPr>
        <w:ind w:left="1680" w:right="120" w:hanging="531"/>
        <w:spacing w:after="0" w:line="259"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shown in this column include health and other insurance benefits, club membership dues, matching contributions under our 401(k) plan and dividends paid in connection with the vesting of equity awards in each case paid to or on behalf of the named executive officers.</w:t>
      </w:r>
    </w:p>
    <w:p>
      <w:pPr>
        <w:spacing w:after="0" w:line="207" w:lineRule="exact"/>
        <w:rPr>
          <w:rFonts w:ascii="Arial" w:cs="Arial" w:eastAsia="Arial" w:hAnsi="Arial"/>
          <w:sz w:val="18"/>
          <w:szCs w:val="18"/>
          <w:color w:val="auto"/>
        </w:rPr>
      </w:pPr>
    </w:p>
    <w:p>
      <w:pPr>
        <w:ind w:left="1680" w:right="320" w:hanging="531"/>
        <w:spacing w:after="0" w:line="332"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also includes annual cash incentive awards earned under the EIP by each of Messrs. Crosby and Rau based on Operating Income growth for their respective business units in 2016, in the amounts of $78,707 and $112,815, respectively.</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dividends in the aggregate amount of $11,059.</w:t>
      </w:r>
    </w:p>
    <w:p>
      <w:pPr>
        <w:spacing w:after="0" w:line="252" w:lineRule="exact"/>
        <w:rPr>
          <w:rFonts w:ascii="Arial" w:cs="Arial" w:eastAsia="Arial" w:hAnsi="Arial"/>
          <w:sz w:val="18"/>
          <w:szCs w:val="18"/>
          <w:color w:val="auto"/>
        </w:rPr>
      </w:pPr>
    </w:p>
    <w:p>
      <w:pPr>
        <w:ind w:left="1680" w:right="300" w:hanging="531"/>
        <w:spacing w:after="0" w:line="268"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a housing allowance for each of Messrs. Crosby and Rau in the amount of $96,000 which has been discontinued commencing in January 2017.</w:t>
      </w:r>
    </w:p>
    <w:p>
      <w:pPr>
        <w:spacing w:after="0" w:line="180"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following table provides additional information about stock awards and equity and non-equity incentive plan awards granted to our named executive officers during the year ended December 31, 2016.</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w w:val="95"/>
              </w:rPr>
              <w:t>Estimated Future Payouts Under Non-Equity Incentive</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Awards,</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6"/>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Plan Awards</w:t>
            </w: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1"/>
                <w:szCs w:val="11"/>
                <w:color w:val="auto"/>
              </w:rPr>
            </w:pPr>
          </w:p>
        </w:tc>
        <w:tc>
          <w:tcPr>
            <w:tcW w:w="10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Committee</w:t>
            </w:r>
          </w:p>
        </w:tc>
        <w:tc>
          <w:tcPr>
            <w:tcW w:w="940" w:type="dxa"/>
            <w:vAlign w:val="bottom"/>
          </w:tcPr>
          <w:p>
            <w:pPr>
              <w:jc w:val="right"/>
              <w:ind w:right="106"/>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4"/>
                <w:szCs w:val="14"/>
                <w:color w:val="auto"/>
              </w:rPr>
            </w:pPr>
          </w:p>
        </w:tc>
        <w:tc>
          <w:tcPr>
            <w:tcW w:w="1020" w:type="dxa"/>
            <w:vAlign w:val="bottom"/>
          </w:tcPr>
          <w:p>
            <w:pPr>
              <w:jc w:val="right"/>
              <w:ind w:right="258"/>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4"/>
                <w:szCs w:val="14"/>
                <w:color w:val="auto"/>
              </w:rPr>
            </w:pPr>
          </w:p>
        </w:tc>
        <w:tc>
          <w:tcPr>
            <w:tcW w:w="1060" w:type="dxa"/>
            <w:vAlign w:val="bottom"/>
            <w:gridSpan w:val="2"/>
          </w:tcPr>
          <w:p>
            <w:pPr>
              <w:jc w:val="center"/>
              <w:ind w:right="180"/>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61"/>
        </w:trPr>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Approval</w:t>
            </w:r>
          </w:p>
        </w:tc>
        <w:tc>
          <w:tcPr>
            <w:tcW w:w="940" w:type="dxa"/>
            <w:vAlign w:val="bottom"/>
          </w:tcPr>
          <w:p>
            <w:pPr>
              <w:jc w:val="right"/>
              <w:ind w:right="326"/>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2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17"/>
                <w:szCs w:val="17"/>
                <w:color w:val="auto"/>
              </w:rPr>
              <w:t>162,500</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17"/>
                <w:szCs w:val="17"/>
                <w:color w:val="auto"/>
              </w:rPr>
              <w:t>3,050,000</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0"/>
              </w:rPr>
              <w:t>Chairman, President</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(3)</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2"/>
              </w:rPr>
              <w:t>and Chief Executive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03/31/16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07" w:lineRule="exact"/>
              <w:rPr>
                <w:sz w:val="20"/>
                <w:szCs w:val="20"/>
                <w:color w:val="auto"/>
              </w:rPr>
            </w:pPr>
            <w:r>
              <w:rPr>
                <w:rFonts w:ascii="Arial" w:cs="Arial" w:eastAsia="Arial" w:hAnsi="Arial"/>
                <w:sz w:val="15"/>
                <w:szCs w:val="15"/>
                <w:color w:val="auto"/>
              </w:rPr>
              <w:t>41,169</w:t>
            </w:r>
            <w:r>
              <w:rPr>
                <w:rFonts w:ascii="Arial" w:cs="Arial" w:eastAsia="Arial" w:hAnsi="Arial"/>
                <w:sz w:val="24"/>
                <w:szCs w:val="24"/>
                <w:color w:val="auto"/>
                <w:vertAlign w:val="superscript"/>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03/31/16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line="305" w:lineRule="exact"/>
              <w:rPr>
                <w:sz w:val="20"/>
                <w:szCs w:val="20"/>
                <w:color w:val="auto"/>
              </w:rPr>
            </w:pPr>
            <w:r>
              <w:rPr>
                <w:rFonts w:ascii="Arial" w:cs="Arial" w:eastAsia="Arial" w:hAnsi="Arial"/>
                <w:sz w:val="18"/>
                <w:szCs w:val="18"/>
                <w:color w:val="auto"/>
                <w:w w:val="90"/>
              </w:rPr>
              <w:t>100,000</w:t>
            </w:r>
            <w:r>
              <w:rPr>
                <w:rFonts w:ascii="Arial" w:cs="Arial" w:eastAsia="Arial" w:hAnsi="Arial"/>
                <w:sz w:val="29"/>
                <w:szCs w:val="29"/>
                <w:color w:val="auto"/>
                <w:w w:val="90"/>
                <w:vertAlign w:val="superscript"/>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68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73,069</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1,325,000</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22"/>
                <w:szCs w:val="22"/>
                <w:color w:val="auto"/>
              </w:rPr>
            </w:pPr>
          </w:p>
        </w:tc>
        <w:tc>
          <w:tcPr>
            <w:tcW w:w="940" w:type="dxa"/>
            <w:vAlign w:val="bottom"/>
          </w:tcPr>
          <w:p>
            <w:pPr>
              <w:jc w:val="right"/>
              <w:spacing w:after="0" w:line="255"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(3)</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gridSpan w:val="2"/>
          </w:tcPr>
          <w:p>
            <w:pPr>
              <w:jc w:val="right"/>
              <w:spacing w:after="0" w:line="255" w:lineRule="exact"/>
              <w:rPr>
                <w:sz w:val="20"/>
                <w:szCs w:val="20"/>
                <w:color w:val="auto"/>
              </w:rPr>
            </w:pPr>
            <w:r>
              <w:rPr>
                <w:rFonts w:ascii="Arial" w:cs="Arial" w:eastAsia="Arial" w:hAnsi="Arial"/>
                <w:sz w:val="18"/>
                <w:szCs w:val="18"/>
                <w:color w:val="auto"/>
              </w:rPr>
              <w:t>300,000</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w w:val="93"/>
              </w:rPr>
              <w:t>President and Chief</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03/31/16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16"/>
                <w:szCs w:val="16"/>
                <w:color w:val="auto"/>
              </w:rPr>
              <w:t>20,585</w:t>
            </w:r>
            <w:r>
              <w:rPr>
                <w:rFonts w:ascii="Arial" w:cs="Arial" w:eastAsia="Arial" w:hAnsi="Arial"/>
                <w:sz w:val="25"/>
                <w:szCs w:val="25"/>
                <w:color w:val="auto"/>
                <w:vertAlign w:val="superscript"/>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w:t>
            </w:r>
            <w:r>
              <w:rPr>
                <w:rFonts w:ascii="Arial" w:cs="Arial" w:eastAsia="Arial" w:hAnsi="Arial"/>
                <w:sz w:val="29"/>
                <w:szCs w:val="29"/>
                <w:color w:val="auto"/>
                <w:w w:val="89"/>
                <w:vertAlign w:val="superscript"/>
              </w:rPr>
              <w:t>(2)(3)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1,500,000</w:t>
            </w:r>
            <w:r>
              <w:rPr>
                <w:rFonts w:ascii="Arial" w:cs="Arial" w:eastAsia="Arial" w:hAnsi="Arial"/>
                <w:sz w:val="29"/>
                <w:szCs w:val="29"/>
                <w:color w:val="auto"/>
                <w:w w:val="98"/>
                <w:vertAlign w:val="superscript"/>
              </w:rPr>
              <w:t>(2)(3)</w:t>
            </w:r>
          </w:p>
        </w:tc>
        <w:tc>
          <w:tcPr>
            <w:tcW w:w="16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10,292</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03/31/16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499,985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Global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03/31/16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20,585</w:t>
            </w:r>
            <w:r>
              <w:rPr>
                <w:rFonts w:ascii="Arial" w:cs="Arial" w:eastAsia="Arial" w:hAnsi="Arial"/>
                <w:sz w:val="29"/>
                <w:szCs w:val="29"/>
                <w:color w:val="auto"/>
                <w:vertAlign w:val="superscript"/>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1,000,019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1680" w:type="dxa"/>
            <w:vAlign w:val="bottom"/>
            <w:gridSpan w:val="3"/>
          </w:tcPr>
          <w:p>
            <w:pPr>
              <w:spacing w:after="0"/>
              <w:rPr>
                <w:sz w:val="20"/>
                <w:szCs w:val="20"/>
                <w:color w:val="auto"/>
              </w:rPr>
            </w:pPr>
            <w:r>
              <w:rPr>
                <w:rFonts w:ascii="Arial" w:cs="Arial" w:eastAsia="Arial" w:hAnsi="Arial"/>
                <w:sz w:val="18"/>
                <w:szCs w:val="18"/>
                <w:color w:val="auto"/>
              </w:rPr>
              <w:t>John P. Rau</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35"/>
                <w:szCs w:val="35"/>
                <w:color w:val="auto"/>
                <w:w w:val="85"/>
                <w:vertAlign w:val="subscript"/>
              </w:rPr>
              <w:t>15,000</w:t>
            </w:r>
            <w:r>
              <w:rPr>
                <w:rFonts w:ascii="Arial" w:cs="Arial" w:eastAsia="Arial" w:hAnsi="Arial"/>
                <w:sz w:val="15"/>
                <w:szCs w:val="15"/>
                <w:color w:val="auto"/>
                <w:w w:val="85"/>
              </w:rPr>
              <w:t>(2)(3)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98"/>
              </w:rPr>
              <w:t>1,500,000</w:t>
            </w:r>
            <w:r>
              <w:rPr>
                <w:rFonts w:ascii="Arial" w:cs="Arial" w:eastAsia="Arial" w:hAnsi="Arial"/>
                <w:sz w:val="29"/>
                <w:szCs w:val="29"/>
                <w:color w:val="auto"/>
                <w:w w:val="98"/>
                <w:vertAlign w:val="superscript"/>
              </w:rPr>
              <w:t>(2)(3)</w:t>
            </w:r>
          </w:p>
        </w:tc>
        <w:tc>
          <w:tcPr>
            <w:tcW w:w="1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10,292</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03/31/16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499,985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 Global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03/31/16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03/24/16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16"/>
                <w:szCs w:val="16"/>
                <w:color w:val="auto"/>
              </w:rPr>
              <w:t>20,585</w:t>
            </w:r>
            <w:r>
              <w:rPr>
                <w:rFonts w:ascii="Arial" w:cs="Arial" w:eastAsia="Arial" w:hAnsi="Arial"/>
                <w:sz w:val="25"/>
                <w:szCs w:val="25"/>
                <w:color w:val="auto"/>
                <w:vertAlign w:val="superscript"/>
              </w:rPr>
              <w:t>(6)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i w:val="1"/>
                <w:iCs w:val="1"/>
                <w:color w:val="auto"/>
                <w:w w:val="93"/>
              </w:rPr>
              <w:t>Aviation and Marine</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80" w:hanging="531"/>
        <w:spacing w:after="0" w:line="259"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shown reflect the estimated aggregate grant date fair value of the stock awards. The estimated aggregate fair value of our stock awards is based on the grant date market value of our common stock, as defined in the 2006 Omnibus Plan and is computed in accordance with FASB ASC Topic 718.</w:t>
      </w:r>
    </w:p>
    <w:p>
      <w:pPr>
        <w:spacing w:after="0" w:line="221" w:lineRule="exact"/>
        <w:rPr>
          <w:rFonts w:ascii="Arial" w:cs="Arial" w:eastAsia="Arial" w:hAnsi="Arial"/>
          <w:sz w:val="18"/>
          <w:szCs w:val="18"/>
          <w:color w:val="auto"/>
        </w:rPr>
      </w:pPr>
    </w:p>
    <w:p>
      <w:pPr>
        <w:ind w:left="1680" w:right="60" w:hanging="531"/>
        <w:spacing w:after="0" w:line="289" w:lineRule="auto"/>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amounts shown reflect the threshold, target and maximum payouts that could have been earned as 2016 annual performance-related cash incentive awards under the EIP. For 2016, the Company did not meet the threshold growth for Net Income established by the Committee and as a result, the named executive officers did not earn an annual performance-related cash incentive award for the Net Income component of their compensation program for 2016. For Messrs. Crosby and Rau, this also includes cash incentive awards that could be earned under the EIP based on Operating Income growth for the respective business units for which Messrs. Crosby and Rau are responsible. For 2016, Messrs. Crosby and Rau earned $78,707 and $112,815, respectively, for the Operating Income component of their compensation program. Please see the discussion regarding the compensation programs for the named executive officers beginning on page 39 of this proxy statement for additional information.</w:t>
      </w:r>
    </w:p>
    <w:p>
      <w:pPr>
        <w:spacing w:after="0" w:line="185" w:lineRule="exact"/>
        <w:rPr>
          <w:rFonts w:ascii="Arial" w:cs="Arial" w:eastAsia="Arial" w:hAnsi="Arial"/>
          <w:sz w:val="16"/>
          <w:szCs w:val="16"/>
          <w:color w:val="auto"/>
        </w:rPr>
      </w:pPr>
    </w:p>
    <w:p>
      <w:pPr>
        <w:jc w:val="both"/>
        <w:ind w:left="1680" w:right="60" w:hanging="531"/>
        <w:spacing w:after="0" w:line="303" w:lineRule="auto"/>
        <w:tabs>
          <w:tab w:leader="none" w:pos="16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amounts shown include the threshold and maximum payouts that could have been earned as strategic objective cash incentive awards under the EIP subject to the Company earning at least 75% of consolidated net revenues for the prior year. Based on 60% achievement of their 2016 strategic objectives, the named executive officers earned cash incentive awards of $450,000, $180,000, $90,000 and</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20"/>
        <w:spacing w:after="0" w:line="268" w:lineRule="auto"/>
        <w:rPr>
          <w:sz w:val="20"/>
          <w:szCs w:val="20"/>
          <w:color w:val="auto"/>
        </w:rPr>
      </w:pPr>
      <w:r>
        <w:rPr>
          <w:rFonts w:ascii="Arial" w:cs="Arial" w:eastAsia="Arial" w:hAnsi="Arial"/>
          <w:sz w:val="18"/>
          <w:szCs w:val="18"/>
          <w:color w:val="auto"/>
        </w:rPr>
        <w:t>$90,000, respectively. Please see the discussion regarding the compensation programs for the named executive officers beginning on page 39 of this proxy statement for additional information.</w:t>
      </w:r>
    </w:p>
    <w:p>
      <w:pPr>
        <w:spacing w:after="0" w:line="199" w:lineRule="exact"/>
        <w:rPr>
          <w:sz w:val="20"/>
          <w:szCs w:val="20"/>
          <w:color w:val="auto"/>
        </w:rPr>
      </w:pPr>
    </w:p>
    <w:p>
      <w:pPr>
        <w:ind w:left="1680" w:right="2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shown reflect the awards issued under the PSP at the Target level of CAGR in EPS for the three-year period ending in December 2018. Please see the discussion regarding the compensation programs for the named executive officers beginning on page 39 of this proxy statement for additional information.</w:t>
      </w:r>
    </w:p>
    <w:p>
      <w:pPr>
        <w:spacing w:after="0" w:line="221" w:lineRule="exact"/>
        <w:rPr>
          <w:rFonts w:ascii="Arial" w:cs="Arial" w:eastAsia="Arial" w:hAnsi="Arial"/>
          <w:sz w:val="18"/>
          <w:szCs w:val="18"/>
          <w:color w:val="auto"/>
        </w:rPr>
      </w:pPr>
    </w:p>
    <w:p>
      <w:pPr>
        <w:ind w:left="1680" w:right="10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shown reflects a one-time award of 100,000 SSARs granted to Mr. Kasbar having a grant date fair value of $1,232,000. These SSARs will vest on the third anniversary of the date of grant. Please see the discussion regarding the 2016 SSAR award beginning on page 44 of this proxy statement for additional information.</w:t>
      </w:r>
    </w:p>
    <w:p>
      <w:pPr>
        <w:spacing w:after="0" w:line="207" w:lineRule="exact"/>
        <w:rPr>
          <w:rFonts w:ascii="Arial" w:cs="Arial" w:eastAsia="Arial" w:hAnsi="Arial"/>
          <w:sz w:val="18"/>
          <w:szCs w:val="18"/>
          <w:color w:val="auto"/>
        </w:rPr>
      </w:pPr>
    </w:p>
    <w:p>
      <w:pPr>
        <w:ind w:left="1680" w:right="140" w:hanging="531"/>
        <w:spacing w:after="0" w:line="306"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amounts shown represent awards granted to Messrs. Crosby and Rau in connection with their respective promotions in March 2016. These awards will vest annually in three equal installments beginning on March 31, 2019. Please see the discussion regarding the compensation programs for Messrs. Crosby and Rau beginning on page 41 of this proxy statement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outstanding equity awards at fiscal year-end, or December 31, 2016, for our named executive officers.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Borders>
              <w:bottom w:val="single" w:sz="8" w:color="auto"/>
            </w:tcBorders>
            <w:gridSpan w:val="4"/>
          </w:tcPr>
          <w:p>
            <w:pPr>
              <w:jc w:val="right"/>
              <w:ind w:right="33"/>
              <w:spacing w:after="0" w:line="142" w:lineRule="exact"/>
              <w:rPr>
                <w:sz w:val="20"/>
                <w:szCs w:val="20"/>
                <w:color w:val="auto"/>
              </w:rPr>
            </w:pPr>
            <w:r>
              <w:rPr>
                <w:rFonts w:ascii="Arial" w:cs="Arial" w:eastAsia="Arial" w:hAnsi="Arial"/>
                <w:sz w:val="14"/>
                <w:szCs w:val="14"/>
                <w:b w:val="1"/>
                <w:bCs w:val="1"/>
                <w:color w:val="auto"/>
                <w:w w:val="90"/>
              </w:rPr>
              <w:t>Equity Incentive Plan Awards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Market or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Market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Value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7"/>
              </w:rPr>
              <w:t>Number of Securities Underlying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92"/>
              <w:spacing w:after="0" w:line="115" w:lineRule="exact"/>
              <w:rPr>
                <w:sz w:val="20"/>
                <w:szCs w:val="20"/>
                <w:color w:val="auto"/>
              </w:rPr>
            </w:pPr>
            <w:r>
              <w:rPr>
                <w:rFonts w:ascii="Arial" w:cs="Arial" w:eastAsia="Arial" w:hAnsi="Arial"/>
                <w:sz w:val="12"/>
                <w:szCs w:val="12"/>
                <w:b w:val="1"/>
                <w:bCs w:val="1"/>
                <w:color w:val="auto"/>
              </w:rPr>
              <w:t>Unexercised Options/SSARs</w:t>
            </w:r>
          </w:p>
        </w:tc>
        <w:tc>
          <w:tcPr>
            <w:tcW w:w="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Stock That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Stock That</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Have Not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Have Not</w:t>
            </w: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That Have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76"/>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15"/>
                <w:szCs w:val="15"/>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4"/>
              </w:rPr>
              <w:t>Vested</w:t>
            </w:r>
            <w:r>
              <w:rPr>
                <w:rFonts w:ascii="Arial" w:cs="Arial" w:eastAsia="Arial" w:hAnsi="Arial"/>
                <w:sz w:val="20"/>
                <w:szCs w:val="20"/>
                <w:b w:val="1"/>
                <w:bCs w:val="1"/>
                <w:color w:val="auto"/>
                <w:w w:val="84"/>
                <w:vertAlign w:val="superscript"/>
              </w:rPr>
              <w:t>(1)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Not Vested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4"/>
              </w:rPr>
              <w:t>Vested</w:t>
            </w:r>
            <w:r>
              <w:rPr>
                <w:rFonts w:ascii="Arial" w:cs="Arial" w:eastAsia="Arial" w:hAnsi="Arial"/>
                <w:sz w:val="20"/>
                <w:szCs w:val="20"/>
                <w:b w:val="1"/>
                <w:bCs w:val="1"/>
                <w:color w:val="auto"/>
                <w:w w:val="84"/>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Michael J. Kasbar</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38,431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03/15/18</w:t>
            </w:r>
          </w:p>
        </w:tc>
        <w:tc>
          <w:tcPr>
            <w:tcW w:w="9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2"/>
                <w:szCs w:val="12"/>
                <w:color w:val="auto"/>
              </w:rPr>
              <w:t>4,133</w:t>
            </w:r>
            <w:r>
              <w:rPr>
                <w:rFonts w:ascii="Arial" w:cs="Arial" w:eastAsia="Arial" w:hAnsi="Arial"/>
                <w:sz w:val="19"/>
                <w:szCs w:val="19"/>
                <w:color w:val="auto"/>
                <w:vertAlign w:val="superscript"/>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189,746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2"/>
                <w:szCs w:val="12"/>
                <w:color w:val="auto"/>
              </w:rPr>
              <w:t>10,292</w:t>
            </w:r>
            <w:r>
              <w:rPr>
                <w:rFonts w:ascii="Arial" w:cs="Arial" w:eastAsia="Arial" w:hAnsi="Arial"/>
                <w:sz w:val="19"/>
                <w:szCs w:val="19"/>
                <w:color w:val="auto"/>
                <w:vertAlign w:val="superscript"/>
              </w:rPr>
              <w:t>(7)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472,506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i w:val="1"/>
                <w:iCs w:val="1"/>
                <w:color w:val="auto"/>
              </w:rPr>
              <w:t>Chairman,</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67,706</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i w:val="1"/>
                <w:iCs w:val="1"/>
                <w:color w:val="auto"/>
              </w:rPr>
              <w:t>President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29,991</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45.517</w:t>
            </w:r>
          </w:p>
        </w:tc>
        <w:tc>
          <w:tcPr>
            <w:tcW w:w="9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03/15/18</w:t>
            </w:r>
          </w:p>
        </w:tc>
        <w:tc>
          <w:tcPr>
            <w:tcW w:w="9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3,108,382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w w:val="88"/>
              </w:rPr>
              <w:t>and Chief Executive</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10,000</w:t>
            </w:r>
            <w:r>
              <w:rPr>
                <w:rFonts w:ascii="Arial" w:cs="Arial" w:eastAsia="Arial" w:hAnsi="Arial"/>
                <w:sz w:val="20"/>
                <w:szCs w:val="20"/>
                <w:color w:val="auto"/>
                <w:vertAlign w:val="superscript"/>
              </w:rPr>
              <w:t>(4)</w:t>
            </w: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03/31/20</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5,375</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246,766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Officer</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4"/>
                <w:szCs w:val="14"/>
                <w:color w:val="auto"/>
              </w:rPr>
              <w:t>100,000</w:t>
            </w:r>
            <w:r>
              <w:rPr>
                <w:rFonts w:ascii="Arial" w:cs="Arial" w:eastAsia="Arial" w:hAnsi="Arial"/>
                <w:sz w:val="22"/>
                <w:szCs w:val="22"/>
                <w:color w:val="auto"/>
                <w:vertAlign w:val="superscript"/>
              </w:rPr>
              <w:t>(6)</w:t>
            </w:r>
          </w:p>
        </w:tc>
        <w:tc>
          <w:tcPr>
            <w:tcW w:w="22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03/31/21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280" w:type="dxa"/>
            <w:vAlign w:val="bottom"/>
            <w:gridSpan w:val="2"/>
          </w:tcPr>
          <w:p>
            <w:pPr>
              <w:spacing w:after="0"/>
              <w:rPr>
                <w:sz w:val="20"/>
                <w:szCs w:val="20"/>
                <w:color w:val="auto"/>
              </w:rPr>
            </w:pPr>
            <w:r>
              <w:rPr>
                <w:rFonts w:ascii="Arial" w:cs="Arial" w:eastAsia="Arial" w:hAnsi="Arial"/>
                <w:sz w:val="14"/>
                <w:szCs w:val="14"/>
                <w:color w:val="auto"/>
              </w:rPr>
              <w:t>Ira M. Birns</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21,083</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39.58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03/15/18</w:t>
            </w:r>
          </w:p>
        </w:tc>
        <w:tc>
          <w:tcPr>
            <w:tcW w:w="960" w:type="dxa"/>
            <w:vAlign w:val="bottom"/>
            <w:gridSpan w:val="2"/>
          </w:tcPr>
          <w:p>
            <w:pPr>
              <w:jc w:val="right"/>
              <w:spacing w:after="0" w:line="165" w:lineRule="exact"/>
              <w:rPr>
                <w:sz w:val="20"/>
                <w:szCs w:val="20"/>
                <w:color w:val="auto"/>
              </w:rPr>
            </w:pPr>
            <w:r>
              <w:rPr>
                <w:rFonts w:ascii="Arial" w:cs="Arial" w:eastAsia="Arial" w:hAnsi="Arial"/>
                <w:sz w:val="19"/>
                <w:szCs w:val="19"/>
                <w:color w:val="auto"/>
                <w:vertAlign w:val="subscript"/>
              </w:rPr>
              <w:t>578</w:t>
            </w:r>
            <w:r>
              <w:rPr>
                <w:rFonts w:ascii="Arial" w:cs="Arial" w:eastAsia="Arial" w:hAnsi="Arial"/>
                <w:sz w:val="9"/>
                <w:szCs w:val="9"/>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26,536</w:t>
            </w:r>
          </w:p>
        </w:tc>
        <w:tc>
          <w:tcPr>
            <w:tcW w:w="16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Arial" w:cs="Arial" w:eastAsia="Arial" w:hAnsi="Arial"/>
                <w:sz w:val="12"/>
                <w:szCs w:val="12"/>
                <w:color w:val="auto"/>
              </w:rPr>
              <w:t>5,146</w:t>
            </w:r>
            <w:r>
              <w:rPr>
                <w:rFonts w:ascii="Arial" w:cs="Arial" w:eastAsia="Arial" w:hAnsi="Arial"/>
                <w:sz w:val="19"/>
                <w:szCs w:val="19"/>
                <w:color w:val="auto"/>
                <w:vertAlign w:val="superscript"/>
              </w:rPr>
              <w:t>(7)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236,253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Executive Vice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27,083</w:t>
            </w:r>
            <w:r>
              <w:rPr>
                <w:rFonts w:ascii="Arial" w:cs="Arial" w:eastAsia="Arial" w:hAnsi="Arial"/>
                <w:sz w:val="22"/>
                <w:szCs w:val="22"/>
                <w:color w:val="auto"/>
                <w:vertAlign w:val="superscript"/>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tcPr>
          <w:p>
            <w:pPr>
              <w:ind w:left="140"/>
              <w:spacing w:after="0" w:line="144" w:lineRule="exact"/>
              <w:rPr>
                <w:sz w:val="20"/>
                <w:szCs w:val="20"/>
                <w:color w:val="auto"/>
              </w:rPr>
            </w:pPr>
            <w:r>
              <w:rPr>
                <w:rFonts w:ascii="Arial" w:cs="Arial" w:eastAsia="Arial" w:hAnsi="Arial"/>
                <w:sz w:val="14"/>
                <w:szCs w:val="14"/>
                <w:i w:val="1"/>
                <w:iCs w:val="1"/>
                <w:color w:val="auto"/>
              </w:rPr>
              <w:t>President</w:t>
            </w:r>
          </w:p>
        </w:tc>
        <w:tc>
          <w:tcPr>
            <w:tcW w:w="980" w:type="dxa"/>
            <w:vAlign w:val="bottom"/>
            <w:gridSpan w:val="3"/>
          </w:tcPr>
          <w:p>
            <w:pPr>
              <w:jc w:val="right"/>
              <w:spacing w:after="0" w:line="144" w:lineRule="exact"/>
              <w:rPr>
                <w:sz w:val="20"/>
                <w:szCs w:val="20"/>
                <w:color w:val="auto"/>
              </w:rPr>
            </w:pPr>
            <w:r>
              <w:rPr>
                <w:rFonts w:ascii="Arial" w:cs="Arial" w:eastAsia="Arial" w:hAnsi="Arial"/>
                <w:sz w:val="14"/>
                <w:szCs w:val="14"/>
                <w:color w:val="auto"/>
              </w:rPr>
              <w:t>12,811</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4"/>
                <w:szCs w:val="14"/>
                <w:color w:val="auto"/>
              </w:rPr>
              <w:t>45.517</w:t>
            </w:r>
          </w:p>
        </w:tc>
        <w:tc>
          <w:tcPr>
            <w:tcW w:w="92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03/15/18</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1,243,381</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Arial" w:cs="Arial" w:eastAsia="Arial" w:hAnsi="Arial"/>
                <w:sz w:val="14"/>
                <w:szCs w:val="14"/>
                <w:i w:val="1"/>
                <w:iCs w:val="1"/>
                <w:color w:val="auto"/>
                <w:w w:val="91"/>
              </w:rPr>
              <w:t>and Chief Financial</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spacing w:after="0" w:line="164" w:lineRule="exact"/>
              <w:rPr>
                <w:sz w:val="20"/>
                <w:szCs w:val="20"/>
                <w:color w:val="auto"/>
              </w:rPr>
            </w:pPr>
            <w:r>
              <w:rPr>
                <w:rFonts w:ascii="Arial" w:cs="Arial" w:eastAsia="Arial" w:hAnsi="Arial"/>
                <w:sz w:val="12"/>
                <w:szCs w:val="12"/>
                <w:color w:val="auto"/>
              </w:rPr>
              <w:t>4,000</w:t>
            </w:r>
            <w:r>
              <w:rPr>
                <w:rFonts w:ascii="Arial" w:cs="Arial" w:eastAsia="Arial" w:hAnsi="Arial"/>
                <w:sz w:val="19"/>
                <w:szCs w:val="19"/>
                <w:color w:val="auto"/>
                <w:vertAlign w:val="superscript"/>
              </w:rPr>
              <w:t>(4)</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57.48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03/31/20</w:t>
            </w:r>
          </w:p>
        </w:tc>
        <w:tc>
          <w:tcPr>
            <w:tcW w:w="960" w:type="dxa"/>
            <w:vAlign w:val="bottom"/>
            <w:gridSpan w:val="2"/>
          </w:tcPr>
          <w:p>
            <w:pPr>
              <w:jc w:val="right"/>
              <w:spacing w:after="0" w:line="164" w:lineRule="exact"/>
              <w:rPr>
                <w:sz w:val="20"/>
                <w:szCs w:val="20"/>
                <w:color w:val="auto"/>
              </w:rPr>
            </w:pPr>
            <w:r>
              <w:rPr>
                <w:rFonts w:ascii="Arial" w:cs="Arial" w:eastAsia="Arial" w:hAnsi="Arial"/>
                <w:sz w:val="12"/>
                <w:szCs w:val="12"/>
                <w:color w:val="auto"/>
              </w:rPr>
              <w:t>2,268</w:t>
            </w:r>
            <w:r>
              <w:rPr>
                <w:rFonts w:ascii="Arial" w:cs="Arial" w:eastAsia="Arial" w:hAnsi="Arial"/>
                <w:sz w:val="19"/>
                <w:szCs w:val="19"/>
                <w:color w:val="auto"/>
                <w:vertAlign w:val="superscript"/>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104,124</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Officer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Michael J. Crosby</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2"/>
                <w:szCs w:val="12"/>
                <w:color w:val="auto"/>
              </w:rPr>
              <w:t>3,886</w:t>
            </w:r>
            <w:r>
              <w:rPr>
                <w:rFonts w:ascii="Arial" w:cs="Arial" w:eastAsia="Arial" w:hAnsi="Arial"/>
                <w:sz w:val="18"/>
                <w:szCs w:val="18"/>
                <w:color w:val="auto"/>
                <w:vertAlign w:val="superscript"/>
              </w:rPr>
              <w:t>(8)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178,406</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2,573</w:t>
            </w:r>
            <w:r>
              <w:rPr>
                <w:rFonts w:ascii="Arial" w:cs="Arial" w:eastAsia="Arial" w:hAnsi="Arial"/>
                <w:sz w:val="18"/>
                <w:szCs w:val="18"/>
                <w:color w:val="auto"/>
                <w:vertAlign w:val="superscript"/>
              </w:rPr>
              <w:t>(7)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118,126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Vice</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2"/>
                <w:szCs w:val="12"/>
                <w:color w:val="auto"/>
              </w:rPr>
              <w:t>20,585</w:t>
            </w:r>
            <w:r>
              <w:rPr>
                <w:rFonts w:ascii="Arial" w:cs="Arial" w:eastAsia="Arial" w:hAnsi="Arial"/>
                <w:sz w:val="19"/>
                <w:szCs w:val="19"/>
                <w:color w:val="auto"/>
                <w:vertAlign w:val="superscript"/>
              </w:rPr>
              <w:t>(10)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945,057</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4" w:lineRule="exact"/>
              <w:rPr>
                <w:sz w:val="20"/>
                <w:szCs w:val="20"/>
                <w:color w:val="auto"/>
              </w:rPr>
            </w:pPr>
            <w:r>
              <w:rPr>
                <w:rFonts w:ascii="Arial" w:cs="Arial" w:eastAsia="Arial" w:hAnsi="Arial"/>
                <w:sz w:val="12"/>
                <w:szCs w:val="12"/>
                <w:color w:val="auto"/>
              </w:rPr>
              <w:t>1,214</w:t>
            </w:r>
            <w:r>
              <w:rPr>
                <w:rFonts w:ascii="Arial" w:cs="Arial" w:eastAsia="Arial" w:hAnsi="Arial"/>
                <w:sz w:val="19"/>
                <w:szCs w:val="19"/>
                <w:color w:val="auto"/>
                <w:vertAlign w:val="superscript"/>
              </w:rPr>
              <w:t>(9)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55,746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i w:val="1"/>
                <w:iCs w:val="1"/>
                <w:color w:val="auto"/>
              </w:rPr>
              <w:t>President, Global</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i w:val="1"/>
                <w:iCs w:val="1"/>
                <w:color w:val="auto"/>
              </w:rPr>
              <w:t>Land</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spacing w:after="0" w:line="160" w:lineRule="exact"/>
              <w:rPr>
                <w:sz w:val="20"/>
                <w:szCs w:val="20"/>
                <w:color w:val="auto"/>
              </w:rPr>
            </w:pPr>
            <w:r>
              <w:rPr>
                <w:rFonts w:ascii="Arial" w:cs="Arial" w:eastAsia="Arial" w:hAnsi="Arial"/>
                <w:sz w:val="14"/>
                <w:szCs w:val="14"/>
                <w:color w:val="auto"/>
              </w:rPr>
              <w:t>John P. Rau</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2"/>
          </w:tcPr>
          <w:p>
            <w:pPr>
              <w:jc w:val="right"/>
              <w:spacing w:after="0" w:line="160" w:lineRule="exact"/>
              <w:rPr>
                <w:sz w:val="20"/>
                <w:szCs w:val="20"/>
                <w:color w:val="auto"/>
              </w:rPr>
            </w:pPr>
            <w:r>
              <w:rPr>
                <w:rFonts w:ascii="Arial" w:cs="Arial" w:eastAsia="Arial" w:hAnsi="Arial"/>
                <w:sz w:val="12"/>
                <w:szCs w:val="12"/>
                <w:color w:val="auto"/>
              </w:rPr>
              <w:t>1,326</w:t>
            </w:r>
            <w:r>
              <w:rPr>
                <w:rFonts w:ascii="Arial" w:cs="Arial" w:eastAsia="Arial" w:hAnsi="Arial"/>
                <w:sz w:val="18"/>
                <w:szCs w:val="18"/>
                <w:color w:val="auto"/>
                <w:vertAlign w:val="superscript"/>
              </w:rPr>
              <w:t>(2)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60,877</w:t>
            </w:r>
          </w:p>
        </w:tc>
        <w:tc>
          <w:tcPr>
            <w:tcW w:w="160" w:type="dxa"/>
            <w:vAlign w:val="bottom"/>
          </w:tcPr>
          <w:p>
            <w:pPr>
              <w:spacing w:after="0"/>
              <w:rPr>
                <w:sz w:val="13"/>
                <w:szCs w:val="13"/>
                <w:color w:val="auto"/>
              </w:rPr>
            </w:pPr>
          </w:p>
        </w:tc>
        <w:tc>
          <w:tcPr>
            <w:tcW w:w="760" w:type="dxa"/>
            <w:vAlign w:val="bottom"/>
          </w:tcPr>
          <w:p>
            <w:pPr>
              <w:jc w:val="right"/>
              <w:spacing w:after="0" w:line="160" w:lineRule="exact"/>
              <w:rPr>
                <w:sz w:val="20"/>
                <w:szCs w:val="20"/>
                <w:color w:val="auto"/>
              </w:rPr>
            </w:pPr>
            <w:r>
              <w:rPr>
                <w:rFonts w:ascii="Arial" w:cs="Arial" w:eastAsia="Arial" w:hAnsi="Arial"/>
                <w:sz w:val="12"/>
                <w:szCs w:val="12"/>
                <w:color w:val="auto"/>
              </w:rPr>
              <w:t>2,573</w:t>
            </w:r>
            <w:r>
              <w:rPr>
                <w:rFonts w:ascii="Arial" w:cs="Arial" w:eastAsia="Arial" w:hAnsi="Arial"/>
                <w:sz w:val="18"/>
                <w:szCs w:val="18"/>
                <w:color w:val="auto"/>
                <w:vertAlign w:val="superscript"/>
              </w:rPr>
              <w:t>(7)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Arial" w:cs="Arial" w:eastAsia="Arial" w:hAnsi="Arial"/>
                <w:sz w:val="14"/>
                <w:szCs w:val="14"/>
                <w:color w:val="auto"/>
              </w:rPr>
              <w:t>118,126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Arial" w:cs="Arial" w:eastAsia="Arial" w:hAnsi="Arial"/>
                <w:sz w:val="14"/>
                <w:szCs w:val="14"/>
                <w:i w:val="1"/>
                <w:iCs w:val="1"/>
                <w:color w:val="auto"/>
              </w:rPr>
              <w:t>Executive Vice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spacing w:after="0" w:line="176" w:lineRule="exact"/>
              <w:rPr>
                <w:sz w:val="20"/>
                <w:szCs w:val="20"/>
                <w:color w:val="auto"/>
              </w:rPr>
            </w:pPr>
            <w:r>
              <w:rPr>
                <w:rFonts w:ascii="Arial" w:cs="Arial" w:eastAsia="Arial" w:hAnsi="Arial"/>
                <w:sz w:val="13"/>
                <w:szCs w:val="13"/>
                <w:color w:val="auto"/>
              </w:rPr>
              <w:t>3,296</w:t>
            </w:r>
            <w:r>
              <w:rPr>
                <w:rFonts w:ascii="Arial" w:cs="Arial" w:eastAsia="Arial" w:hAnsi="Arial"/>
                <w:sz w:val="20"/>
                <w:szCs w:val="20"/>
                <w:color w:val="auto"/>
                <w:vertAlign w:val="superscript"/>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151,319</w:t>
            </w: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3"/>
                <w:szCs w:val="13"/>
                <w:color w:val="auto"/>
              </w:rPr>
              <w:t>1,214</w:t>
            </w:r>
            <w:r>
              <w:rPr>
                <w:rFonts w:ascii="Arial" w:cs="Arial" w:eastAsia="Arial" w:hAnsi="Arial"/>
                <w:sz w:val="20"/>
                <w:szCs w:val="20"/>
                <w:color w:val="auto"/>
                <w:vertAlign w:val="superscript"/>
              </w:rPr>
              <w:t>(9)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55,746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Arial" w:cs="Arial" w:eastAsia="Arial" w:hAnsi="Arial"/>
                <w:sz w:val="14"/>
                <w:szCs w:val="14"/>
                <w:i w:val="1"/>
                <w:iCs w:val="1"/>
                <w:color w:val="auto"/>
              </w:rPr>
              <w:t>President, Global</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spacing w:after="0" w:line="176" w:lineRule="exact"/>
              <w:rPr>
                <w:sz w:val="20"/>
                <w:szCs w:val="20"/>
                <w:color w:val="auto"/>
              </w:rPr>
            </w:pPr>
            <w:r>
              <w:rPr>
                <w:rFonts w:ascii="Arial" w:cs="Arial" w:eastAsia="Arial" w:hAnsi="Arial"/>
                <w:sz w:val="13"/>
                <w:szCs w:val="13"/>
                <w:color w:val="auto"/>
              </w:rPr>
              <w:t>5,414</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248,557</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4"/>
                <w:szCs w:val="14"/>
                <w:i w:val="1"/>
                <w:iCs w:val="1"/>
                <w:color w:val="auto"/>
                <w:w w:val="88"/>
              </w:rPr>
              <w:t>Aviation and Marine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jc w:val="right"/>
              <w:spacing w:after="0" w:line="217" w:lineRule="exact"/>
              <w:rPr>
                <w:sz w:val="20"/>
                <w:szCs w:val="20"/>
                <w:color w:val="auto"/>
              </w:rPr>
            </w:pPr>
            <w:r>
              <w:rPr>
                <w:rFonts w:ascii="Arial" w:cs="Arial" w:eastAsia="Arial" w:hAnsi="Arial"/>
                <w:sz w:val="14"/>
                <w:szCs w:val="14"/>
                <w:color w:val="auto"/>
              </w:rPr>
              <w:t>9,714</w:t>
            </w:r>
            <w:r>
              <w:rPr>
                <w:rFonts w:ascii="Arial" w:cs="Arial" w:eastAsia="Arial" w:hAnsi="Arial"/>
                <w:sz w:val="22"/>
                <w:szCs w:val="22"/>
                <w:color w:val="auto"/>
                <w:vertAlign w:val="superscript"/>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445,970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jc w:val="right"/>
              <w:spacing w:after="0" w:line="217" w:lineRule="exact"/>
              <w:rPr>
                <w:sz w:val="20"/>
                <w:szCs w:val="20"/>
                <w:color w:val="auto"/>
              </w:rPr>
            </w:pPr>
            <w:r>
              <w:rPr>
                <w:rFonts w:ascii="Arial" w:cs="Arial" w:eastAsia="Arial" w:hAnsi="Arial"/>
                <w:sz w:val="14"/>
                <w:szCs w:val="14"/>
                <w:color w:val="auto"/>
              </w:rPr>
              <w:t>20,585</w:t>
            </w:r>
            <w:r>
              <w:rPr>
                <w:rFonts w:ascii="Arial" w:cs="Arial" w:eastAsia="Arial" w:hAnsi="Arial"/>
                <w:sz w:val="22"/>
                <w:szCs w:val="22"/>
                <w:color w:val="auto"/>
                <w:vertAlign w:val="superscript"/>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945,057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2,255</w:t>
            </w:r>
            <w:r>
              <w:rPr>
                <w:rFonts w:ascii="Arial" w:cs="Arial" w:eastAsia="Arial" w:hAnsi="Arial"/>
                <w:sz w:val="22"/>
                <w:szCs w:val="22"/>
                <w:color w:val="auto"/>
                <w:vertAlign w:val="superscript"/>
              </w:rPr>
              <w:t>(12)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103,561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in this column are based on the closing price of our common stock on December 30, 2016 of $45.91.</w:t>
      </w:r>
    </w:p>
    <w:p>
      <w:pPr>
        <w:spacing w:after="0" w:line="2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80" w:hanging="531"/>
        <w:spacing w:after="0" w:line="239"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RSUs (in the case of Messrs. Kasbar and Birns) that vest in March 2017 or shares of restricted stock (in the case of Messrs. Crosby and Rau) that vest in May 2017, subject to earlier vesting upon a change of control or qualifying termination of employment.</w:t>
      </w:r>
    </w:p>
    <w:p>
      <w:pPr>
        <w:spacing w:after="0" w:line="111" w:lineRule="exact"/>
        <w:rPr>
          <w:rFonts w:ascii="Arial" w:cs="Arial" w:eastAsia="Arial" w:hAnsi="Arial"/>
          <w:sz w:val="14"/>
          <w:szCs w:val="14"/>
          <w:color w:val="auto"/>
        </w:rPr>
      </w:pPr>
    </w:p>
    <w:p>
      <w:pPr>
        <w:ind w:left="1680" w:right="160" w:hanging="531"/>
        <w:spacing w:after="0" w:line="318"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RSUs (in the case of Messrs. Kasbar and Birns) that vest one-third annually beginning March 2017 or shares of restricted stock (in the case of Mr. Rau) that that vest one-third annually beginning May 2017, subject to earlier vesting upon a change of control or qualifying termination of employment.</w:t>
      </w:r>
    </w:p>
    <w:p>
      <w:pPr>
        <w:spacing w:after="0" w:line="66" w:lineRule="exact"/>
        <w:rPr>
          <w:rFonts w:ascii="Arial" w:cs="Arial" w:eastAsia="Arial" w:hAnsi="Arial"/>
          <w:sz w:val="12"/>
          <w:szCs w:val="12"/>
          <w:color w:val="auto"/>
        </w:rPr>
      </w:pPr>
    </w:p>
    <w:p>
      <w:pPr>
        <w:ind w:left="1680" w:hanging="531"/>
        <w:spacing w:after="0"/>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SSARs that vest one-half annually beginning in March 2017, subject to earlier vesting upon a change of control or qualifying termination of employment.</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RSUs that vest one-half annually beginning March 2017, subject to earlier vesting upon a change of control or qualifying termination of employment.</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SSARs that vest in March 2019, subject to earlier vesting upon a change of control or qualifying termination of employment.</w:t>
      </w:r>
    </w:p>
    <w:p>
      <w:pPr>
        <w:spacing w:after="0" w:line="122" w:lineRule="exact"/>
        <w:rPr>
          <w:rFonts w:ascii="Arial" w:cs="Arial" w:eastAsia="Arial" w:hAnsi="Arial"/>
          <w:sz w:val="14"/>
          <w:szCs w:val="14"/>
          <w:color w:val="auto"/>
        </w:rPr>
      </w:pPr>
    </w:p>
    <w:p>
      <w:pPr>
        <w:ind w:left="1680" w:right="180" w:hanging="531"/>
        <w:spacing w:after="0" w:line="288"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named executive officer in 2019 under the PSP assuming a minimum CAGR in EPS of 3%. Any earned portion will vest on the date after December 31, 2019 on which the Committee certifies in writing, based upon our audited financial statements, the extent to which the requisite CAGR in EPS has been achieved for the performance period but in no event later than March 15, 2020.</w:t>
      </w:r>
    </w:p>
    <w:p>
      <w:pPr>
        <w:spacing w:after="0" w:line="83" w:lineRule="exact"/>
        <w:rPr>
          <w:rFonts w:ascii="Arial" w:cs="Arial" w:eastAsia="Arial" w:hAnsi="Arial"/>
          <w:sz w:val="12"/>
          <w:szCs w:val="12"/>
          <w:color w:val="auto"/>
        </w:rPr>
      </w:pPr>
    </w:p>
    <w:p>
      <w:pPr>
        <w:ind w:left="1680" w:right="200" w:hanging="531"/>
        <w:spacing w:after="0" w:line="239"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shares of restricted stock that vest one-fourth annually beginning May 2017, subject to earlier vesting upon a change of control or qualifying termination of employment.</w:t>
      </w:r>
    </w:p>
    <w:p>
      <w:pPr>
        <w:spacing w:after="0" w:line="111" w:lineRule="exact"/>
        <w:rPr>
          <w:rFonts w:ascii="Arial" w:cs="Arial" w:eastAsia="Arial" w:hAnsi="Arial"/>
          <w:sz w:val="14"/>
          <w:szCs w:val="14"/>
          <w:color w:val="auto"/>
        </w:rPr>
      </w:pPr>
    </w:p>
    <w:p>
      <w:pPr>
        <w:ind w:left="1680" w:right="120" w:hanging="531"/>
        <w:spacing w:after="0" w:line="318"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named executive officer in 2018 under a three-year performance equity award, assuming a minimum EPS threshold with a modifier based on the three-year average of the difference between the percentage return on invested capital and weighted average cost of capital.</w:t>
      </w:r>
    </w:p>
    <w:p>
      <w:pPr>
        <w:spacing w:after="0" w:line="66" w:lineRule="exact"/>
        <w:rPr>
          <w:rFonts w:ascii="Arial" w:cs="Arial" w:eastAsia="Arial" w:hAnsi="Arial"/>
          <w:sz w:val="12"/>
          <w:szCs w:val="12"/>
          <w:color w:val="auto"/>
        </w:rPr>
      </w:pPr>
    </w:p>
    <w:p>
      <w:pPr>
        <w:ind w:left="1680" w:right="160" w:hanging="531"/>
        <w:spacing w:after="0" w:line="239"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shares of restricted stock that vest one-third annually beginning March 2019, subject to earlier vesting upon a change of control or qualifying termination of employment.</w:t>
      </w:r>
    </w:p>
    <w:p>
      <w:pPr>
        <w:spacing w:after="0" w:line="111" w:lineRule="exact"/>
        <w:rPr>
          <w:rFonts w:ascii="Arial" w:cs="Arial" w:eastAsia="Arial" w:hAnsi="Arial"/>
          <w:sz w:val="14"/>
          <w:szCs w:val="14"/>
          <w:color w:val="auto"/>
        </w:rPr>
      </w:pPr>
    </w:p>
    <w:p>
      <w:pPr>
        <w:ind w:left="1680" w:right="160" w:hanging="531"/>
        <w:spacing w:after="0" w:line="239"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shares of restricted stock that vest one-third annually beginning March 2018, subject to earlier vesting upon a change of control or qualifying termination of employment.</w:t>
      </w:r>
    </w:p>
    <w:p>
      <w:pPr>
        <w:spacing w:after="0" w:line="111" w:lineRule="exact"/>
        <w:rPr>
          <w:rFonts w:ascii="Arial" w:cs="Arial" w:eastAsia="Arial" w:hAnsi="Arial"/>
          <w:sz w:val="14"/>
          <w:szCs w:val="14"/>
          <w:color w:val="auto"/>
        </w:rPr>
      </w:pPr>
    </w:p>
    <w:p>
      <w:pPr>
        <w:ind w:left="1680" w:right="60" w:hanging="531"/>
        <w:spacing w:after="0" w:line="239" w:lineRule="auto"/>
        <w:tabs>
          <w:tab w:leader="none" w:pos="16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reflects the actual amount of performance-based RSUs earned by the named executive officer for the three-year performance period ended December 31, 2016, which will vest in May 2017.</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stock vested during the year ended December 31, 2016 for our named executive officers.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76"/>
        </w:trPr>
        <w:tc>
          <w:tcPr>
            <w:tcW w:w="49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8"/>
              </w:rPr>
              <w:t>Exercise</w:t>
            </w:r>
            <w:r>
              <w:rPr>
                <w:rFonts w:ascii="Arial" w:cs="Arial" w:eastAsia="Arial" w:hAnsi="Arial"/>
                <w:sz w:val="20"/>
                <w:szCs w:val="20"/>
                <w:b w:val="1"/>
                <w:bCs w:val="1"/>
                <w:color w:val="auto"/>
                <w:w w:val="88"/>
                <w:vertAlign w:val="superscript"/>
              </w:rPr>
              <w:t>(1)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7"/>
              <w:spacing w:after="0" w:line="176" w:lineRule="exact"/>
              <w:rPr>
                <w:sz w:val="20"/>
                <w:szCs w:val="20"/>
                <w:color w:val="auto"/>
              </w:rPr>
            </w:pPr>
            <w:r>
              <w:rPr>
                <w:rFonts w:ascii="Arial" w:cs="Arial" w:eastAsia="Arial" w:hAnsi="Arial"/>
                <w:sz w:val="13"/>
                <w:szCs w:val="13"/>
                <w:b w:val="1"/>
                <w:bCs w:val="1"/>
                <w:color w:val="auto"/>
                <w:w w:val="88"/>
              </w:rPr>
              <w:t>Exercise</w:t>
            </w:r>
            <w:r>
              <w:rPr>
                <w:rFonts w:ascii="Arial" w:cs="Arial" w:eastAsia="Arial" w:hAnsi="Arial"/>
                <w:sz w:val="20"/>
                <w:szCs w:val="20"/>
                <w:b w:val="1"/>
                <w:bCs w:val="1"/>
                <w:color w:val="auto"/>
                <w:w w:val="88"/>
                <w:vertAlign w:val="superscript"/>
              </w:rPr>
              <w:t>(2)</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Vesting</w:t>
            </w:r>
          </w:p>
        </w:tc>
        <w:tc>
          <w:tcPr>
            <w:tcW w:w="180" w:type="dxa"/>
            <w:vAlign w:val="bottom"/>
          </w:tcPr>
          <w:p>
            <w:pPr>
              <w:spacing w:after="0"/>
              <w:rPr>
                <w:sz w:val="15"/>
                <w:szCs w:val="15"/>
                <w:color w:val="auto"/>
              </w:rPr>
            </w:pPr>
          </w:p>
        </w:tc>
        <w:tc>
          <w:tcPr>
            <w:tcW w:w="116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85"/>
              </w:rPr>
              <w:t>Vesting</w:t>
            </w:r>
            <w:r>
              <w:rPr>
                <w:rFonts w:ascii="Arial" w:cs="Arial" w:eastAsia="Arial" w:hAnsi="Arial"/>
                <w:sz w:val="20"/>
                <w:szCs w:val="20"/>
                <w:b w:val="1"/>
                <w:bCs w:val="1"/>
                <w:color w:val="auto"/>
                <w:w w:val="85"/>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29,389</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1,419,489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518,742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Global Land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John P. Rau</w:t>
            </w:r>
          </w:p>
        </w:tc>
        <w:tc>
          <w:tcPr>
            <w:tcW w:w="860" w:type="dxa"/>
            <w:vAlign w:val="bottom"/>
          </w:tcPr>
          <w:p>
            <w:pPr>
              <w:ind w:left="460"/>
              <w:spacing w:after="0"/>
              <w:rPr>
                <w:sz w:val="20"/>
                <w:szCs w:val="20"/>
                <w:color w:val="auto"/>
              </w:rPr>
            </w:pPr>
            <w:r>
              <w:rPr>
                <w:rFonts w:ascii="Arial" w:cs="Arial" w:eastAsia="Arial" w:hAnsi="Arial"/>
                <w:sz w:val="18"/>
                <w:szCs w:val="18"/>
                <w:color w:val="auto"/>
                <w:w w:val="84"/>
              </w:rPr>
              <w:t>4,310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Vice President, Global Aviation and Marine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40" w:hanging="531"/>
        <w:spacing w:after="0" w:line="332"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shown in this column reflects the number of shares acquired upon the conversion of SSARs. The number of shares acquired upon conversion of SSARs only represents the number of shares that is equivalent to the value realized upon conversion.</w:t>
      </w:r>
    </w:p>
    <w:p>
      <w:pPr>
        <w:spacing w:after="0" w:line="166" w:lineRule="exact"/>
        <w:rPr>
          <w:rFonts w:ascii="Arial" w:cs="Arial" w:eastAsia="Arial" w:hAnsi="Arial"/>
          <w:sz w:val="16"/>
          <w:szCs w:val="16"/>
          <w:color w:val="auto"/>
        </w:rPr>
      </w:pPr>
    </w:p>
    <w:p>
      <w:pPr>
        <w:ind w:left="1680" w:right="140" w:hanging="531"/>
        <w:spacing w:after="0" w:line="256"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SSAR conversions, the value realized is calculated by multiplying (a) the difference between the share price of our common stock at the time of conversion and the SSAR conversion price by (b) the number of shares of common stock underlying the SSAR. The value realized does not represent cash received by the named executive officer, which may differ based on when the acquired shares are ultimately sold by the named executive officer.</w:t>
      </w:r>
    </w:p>
    <w:p>
      <w:pPr>
        <w:spacing w:after="0" w:line="210" w:lineRule="exact"/>
        <w:rPr>
          <w:rFonts w:ascii="Arial" w:cs="Arial" w:eastAsia="Arial" w:hAnsi="Arial"/>
          <w:sz w:val="18"/>
          <w:szCs w:val="18"/>
          <w:color w:val="auto"/>
        </w:rPr>
      </w:pPr>
    </w:p>
    <w:p>
      <w:pPr>
        <w:ind w:left="1680" w:right="60" w:hanging="531"/>
        <w:spacing w:after="0" w:line="256"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named executive officer which may differ based on when the acquired shares are ultimately disposed of by the named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non-qualified deferred compensation during the year ended December 31, 2016 for the named executive officers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Aggregate Earnings 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Last Fiscal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Last Fiscal Year-End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57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Michael J. Kasbar</w:t>
            </w:r>
            <w:r>
              <w:rPr>
                <w:rFonts w:ascii="Arial" w:cs="Arial" w:eastAsia="Arial" w:hAnsi="Arial"/>
                <w:sz w:val="28"/>
                <w:szCs w:val="28"/>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210,388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80" w:hanging="531"/>
        <w:spacing w:after="0" w:line="253"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55" w:lineRule="auto"/>
        <w:rPr>
          <w:sz w:val="20"/>
          <w:szCs w:val="20"/>
          <w:color w:val="auto"/>
        </w:rPr>
      </w:pPr>
      <w:r>
        <w:rPr>
          <w:rFonts w:ascii="Arial" w:cs="Arial" w:eastAsia="Arial" w:hAnsi="Arial"/>
          <w:sz w:val="18"/>
          <w:szCs w:val="18"/>
          <w:color w:val="auto"/>
        </w:rPr>
        <w:t>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Because the aggregate earnings in the last fiscal year did not constitute "above market earnings" within the meaning of the applicable SEC rules, this amount is not reflected in the Summary Compensation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Our employment agreement with Mr. Kasbar (the "Kasbar Agreement") and executive severance agreement with Mr. Birns (the "Birns Agreement") each provides for the payment of certain compensation and benefits in the event of the termination of the executive's employment, the amount of which varies depending upon the reason for such termination. In lieu of entering into separate executive severance agreements with each of Messrs. Crosby and Rau in connection with their promotions to executive officers, effective December 31, 2016, our Board adopted an Executive Severance Policy ("ESP") applicable to Messrs. Crosby and Rau and other executives that the Committee may subsequently designate as participating executives. The ESP provides for the payment of certain severance payments and benefits in the event of a termination of such executives' employment in certain specified circumstances.</w:t>
      </w:r>
    </w:p>
    <w:p>
      <w:pPr>
        <w:spacing w:after="0" w:line="174" w:lineRule="exact"/>
        <w:rPr>
          <w:sz w:val="20"/>
          <w:szCs w:val="20"/>
          <w:color w:val="auto"/>
        </w:rPr>
      </w:pPr>
    </w:p>
    <w:p>
      <w:pPr>
        <w:ind w:right="120" w:firstLine="615"/>
        <w:spacing w:after="0" w:line="291" w:lineRule="auto"/>
        <w:rPr>
          <w:sz w:val="20"/>
          <w:szCs w:val="20"/>
          <w:color w:val="auto"/>
        </w:rPr>
      </w:pPr>
      <w:r>
        <w:rPr>
          <w:rFonts w:ascii="Arial" w:cs="Arial" w:eastAsia="Arial" w:hAnsi="Arial"/>
          <w:sz w:val="16"/>
          <w:szCs w:val="16"/>
          <w:color w:val="auto"/>
        </w:rPr>
        <w:t>Each of the Kasbar Agreement, the Birns Agreement and the Executive Severance Policy provides for certain benefits (1) if the NEO's employment is terminated due to Death or Disability, (2) if the NEO's employment is terminated by the Company without "Cause" (as that term is defined in the relevant agreement or arrangement) or (3) if the NEO terminates his employment with "Good Reason (as that term is defined in the relevant agreement or arrangement, which for Messrs. Crosby and Rau is within two (2) years after a Change of Control has occurred). If the employment of any of the four covered NEOs is Terminated without Cause or for Good Reason within two (2) years after a Change of Control then the severance benefits are slightly higher. The actual amounts of such payments are set forth in the table below the relevant definitions.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Without Cause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u w:val="single" w:color="auto"/>
          <w:color w:val="auto"/>
        </w:rPr>
        <w:t>Kasbar Agreement</w:t>
      </w:r>
      <w:r>
        <w:rPr>
          <w:rFonts w:ascii="Arial" w:cs="Arial" w:eastAsia="Arial" w:hAnsi="Arial"/>
          <w:sz w:val="16"/>
          <w:szCs w:val="16"/>
          <w:color w:val="auto"/>
        </w:rPr>
        <w:t>—Under the Kasbar Agreement, "</w:t>
      </w:r>
      <w:r>
        <w:rPr>
          <w:rFonts w:ascii="Arial" w:cs="Arial" w:eastAsia="Arial" w:hAnsi="Arial"/>
          <w:sz w:val="16"/>
          <w:szCs w:val="16"/>
          <w:i w:val="1"/>
          <w:iCs w:val="1"/>
          <w:color w:val="auto"/>
        </w:rPr>
        <w:t>cause</w:t>
      </w:r>
      <w:r>
        <w:rPr>
          <w:rFonts w:ascii="Arial" w:cs="Arial" w:eastAsia="Arial" w:hAnsi="Arial"/>
          <w:sz w:val="16"/>
          <w:szCs w:val="16"/>
          <w:color w:val="auto"/>
        </w:rPr>
        <w:t>" means (i) any act of fraud, misappropriation, embezzlement or material dishonesty by</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Kasbar, which results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 material breach by Mr. Kasbar of his non-compete, non-solicitation, non-disparagement or cooperation obligations under the Kasbar Agreement (and in the case of (i) through (v) the failure to cure such breach) or (vi) a material breach by Mr. Kasbar of our Code of Conduct, Securities Trading Policy or any other related corporate and personnel policies generally applicable to our executives or employees.</w:t>
      </w:r>
    </w:p>
    <w:p>
      <w:pPr>
        <w:spacing w:after="0" w:line="171" w:lineRule="exact"/>
        <w:rPr>
          <w:sz w:val="20"/>
          <w:szCs w:val="20"/>
          <w:color w:val="auto"/>
        </w:rPr>
      </w:pPr>
    </w:p>
    <w:p>
      <w:pPr>
        <w:ind w:right="20" w:firstLine="615"/>
        <w:spacing w:after="0" w:line="251" w:lineRule="auto"/>
        <w:rPr>
          <w:sz w:val="20"/>
          <w:szCs w:val="20"/>
          <w:color w:val="auto"/>
        </w:rPr>
      </w:pPr>
      <w:r>
        <w:rPr>
          <w:rFonts w:ascii="Arial" w:cs="Arial" w:eastAsia="Arial" w:hAnsi="Arial"/>
          <w:sz w:val="18"/>
          <w:szCs w:val="18"/>
          <w:u w:val="single" w:color="auto"/>
          <w:color w:val="auto"/>
        </w:rPr>
        <w:t>Birns Agreement</w:t>
      </w:r>
      <w:r>
        <w:rPr>
          <w:rFonts w:ascii="Arial" w:cs="Arial" w:eastAsia="Arial" w:hAnsi="Arial"/>
          <w:sz w:val="18"/>
          <w:szCs w:val="18"/>
          <w:color w:val="auto"/>
        </w:rPr>
        <w:t>—Under the Birns Agreement, "</w:t>
      </w:r>
      <w:r>
        <w:rPr>
          <w:rFonts w:ascii="Arial" w:cs="Arial" w:eastAsia="Arial" w:hAnsi="Arial"/>
          <w:sz w:val="18"/>
          <w:szCs w:val="18"/>
          <w:i w:val="1"/>
          <w:iCs w:val="1"/>
          <w:color w:val="auto"/>
        </w:rPr>
        <w:t>cause</w:t>
      </w:r>
      <w:r>
        <w:rPr>
          <w:rFonts w:ascii="Arial" w:cs="Arial" w:eastAsia="Arial" w:hAnsi="Arial"/>
          <w:sz w:val="18"/>
          <w:szCs w:val="18"/>
          <w:color w:val="auto"/>
        </w:rPr>
        <w:t>" means (i) the willful, material failure by Mr. Birns to perform the duties consistent with his position or to comply with the obligations of the Birns Agreement, or his willful, material failure to carry out the reasonable and lawful directions of our CEO, President or Board and not curing such failure; (ii) 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w:t>
      </w:r>
    </w:p>
    <w:p>
      <w:pPr>
        <w:spacing w:after="0" w:line="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charged with a criminal offense that is a felony or misdemeanor involving moral turpitude; or (vi) a material breach of the Birns Agreement that cannot be cured.</w:t>
      </w:r>
    </w:p>
    <w:p>
      <w:pPr>
        <w:spacing w:after="0" w:line="248"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u w:val="single" w:color="auto"/>
          <w:color w:val="auto"/>
        </w:rPr>
        <w:t>ESP</w:t>
      </w:r>
      <w:r>
        <w:rPr>
          <w:rFonts w:ascii="Arial" w:cs="Arial" w:eastAsia="Arial" w:hAnsi="Arial"/>
          <w:sz w:val="16"/>
          <w:szCs w:val="16"/>
          <w:color w:val="auto"/>
        </w:rPr>
        <w:t>—Under the ESP, "</w:t>
      </w:r>
      <w:r>
        <w:rPr>
          <w:rFonts w:ascii="Arial" w:cs="Arial" w:eastAsia="Arial" w:hAnsi="Arial"/>
          <w:sz w:val="16"/>
          <w:szCs w:val="16"/>
          <w:i w:val="1"/>
          <w:iCs w:val="1"/>
          <w:color w:val="auto"/>
        </w:rPr>
        <w:t>cause</w:t>
      </w:r>
      <w:r>
        <w:rPr>
          <w:rFonts w:ascii="Arial" w:cs="Arial" w:eastAsia="Arial" w:hAnsi="Arial"/>
          <w:sz w:val="16"/>
          <w:szCs w:val="16"/>
          <w:color w:val="auto"/>
        </w:rPr>
        <w:t>" means (i) the failure by the executive to 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executive of any non-competition, non-solicitation, non-disclosure and/or other similar agreement with the Company or any subsidiary (or successor company); (iv) any violation or breach by the executive of any Company policy; (v) any act by the executive of dishonesty or fraud that injures the reputation or business of, or causes harm to, the Company or any subsidiary (or successor company); (vi) the conviction of, or entry of a plea of guilty or nolo contendere to, a felony or a crime involving moral turpitude; or (vii) the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executive.</w:t>
      </w:r>
    </w:p>
    <w:p>
      <w:pPr>
        <w:spacing w:after="0" w:line="174"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None of the agreements or arrangements provide for any payment of severance or other benefits in the case of a Termination With Cause, although our Deferred Compensation Plan requires repayment of prior earnings that have been deferred irrespective of the basis for employment being terminated and our paid-time-off policy provides that all employees are entitled to their accrued but unused vacation upon termination.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For Good Reason</w:t>
      </w:r>
    </w:p>
    <w:p>
      <w:pPr>
        <w:spacing w:after="0" w:line="225" w:lineRule="exact"/>
        <w:rPr>
          <w:sz w:val="20"/>
          <w:szCs w:val="20"/>
          <w:color w:val="auto"/>
        </w:rPr>
      </w:pPr>
    </w:p>
    <w:p>
      <w:pPr>
        <w:ind w:right="80" w:firstLine="615"/>
        <w:spacing w:after="0" w:line="287" w:lineRule="auto"/>
        <w:rPr>
          <w:sz w:val="20"/>
          <w:szCs w:val="20"/>
          <w:color w:val="auto"/>
        </w:rPr>
      </w:pPr>
      <w:r>
        <w:rPr>
          <w:rFonts w:ascii="Arial" w:cs="Arial" w:eastAsia="Arial" w:hAnsi="Arial"/>
          <w:sz w:val="16"/>
          <w:szCs w:val="16"/>
          <w:u w:val="single" w:color="auto"/>
          <w:color w:val="auto"/>
        </w:rPr>
        <w:t>Kasbar Agreement</w:t>
      </w:r>
      <w:r>
        <w:rPr>
          <w:rFonts w:ascii="Arial" w:cs="Arial" w:eastAsia="Arial" w:hAnsi="Arial"/>
          <w:sz w:val="16"/>
          <w:szCs w:val="16"/>
          <w:color w:val="auto"/>
        </w:rPr>
        <w:t>—Under the Kasbar Agreement, "</w:t>
      </w:r>
      <w:r>
        <w:rPr>
          <w:rFonts w:ascii="Arial" w:cs="Arial" w:eastAsia="Arial" w:hAnsi="Arial"/>
          <w:sz w:val="16"/>
          <w:szCs w:val="16"/>
          <w:i w:val="1"/>
          <w:iCs w:val="1"/>
          <w:color w:val="auto"/>
        </w:rPr>
        <w:t>good reason</w:t>
      </w:r>
      <w:r>
        <w:rPr>
          <w:rFonts w:ascii="Arial" w:cs="Arial" w:eastAsia="Arial" w:hAnsi="Arial"/>
          <w:sz w:val="16"/>
          <w:szCs w:val="16"/>
          <w:color w:val="auto"/>
        </w:rPr>
        <w:t>" means (i) any reduction in the annual base salary of Mr. Kasbar to a level that is less than 85% of Mr. Kasbar's base salary for the immediately preceding year or our failure to pay or provide any material compensation or benefit other than an insubstantial and inadvertent reduction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 and (vi) a voluntary termination by Mr. Kasbar for any reason within 30 days following the first anniversary of a change of control.</w:t>
      </w:r>
    </w:p>
    <w:p>
      <w:pPr>
        <w:spacing w:after="0" w:line="177" w:lineRule="exact"/>
        <w:rPr>
          <w:sz w:val="20"/>
          <w:szCs w:val="20"/>
          <w:color w:val="auto"/>
        </w:rPr>
      </w:pPr>
    </w:p>
    <w:p>
      <w:pPr>
        <w:ind w:right="20" w:firstLine="615"/>
        <w:spacing w:after="0" w:line="283" w:lineRule="auto"/>
        <w:rPr>
          <w:sz w:val="20"/>
          <w:szCs w:val="20"/>
          <w:color w:val="auto"/>
        </w:rPr>
      </w:pPr>
      <w:r>
        <w:rPr>
          <w:rFonts w:ascii="Arial" w:cs="Arial" w:eastAsia="Arial" w:hAnsi="Arial"/>
          <w:sz w:val="16"/>
          <w:szCs w:val="16"/>
          <w:u w:val="single" w:color="auto"/>
          <w:color w:val="auto"/>
        </w:rPr>
        <w:t>Birns Agreement</w:t>
      </w:r>
      <w:r>
        <w:rPr>
          <w:rFonts w:ascii="Arial" w:cs="Arial" w:eastAsia="Arial" w:hAnsi="Arial"/>
          <w:sz w:val="16"/>
          <w:szCs w:val="16"/>
          <w:color w:val="auto"/>
        </w:rPr>
        <w:t>—The definition of good reason in the Birns Agreement means the occurrence of any of the following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within two years after the occurrence of a change of control, any failure by us to provide the executive his bonus and equity opportunities, or employee benefits and perquisites in the aggregate, that are not less than those provided to the executive in the calendar year immediately preceding the change of control, other than a failure not</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occurring in bad faith that is remedied by us; or (iv) if we require the executive to be based at any office or location outside of Miami-Dade or Broward County.</w:t>
      </w:r>
    </w:p>
    <w:p>
      <w:pPr>
        <w:spacing w:after="0" w:line="248"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u w:val="single" w:color="auto"/>
          <w:color w:val="auto"/>
        </w:rPr>
        <w:t>ESP</w:t>
      </w:r>
      <w:r>
        <w:rPr>
          <w:rFonts w:ascii="Arial" w:cs="Arial" w:eastAsia="Arial" w:hAnsi="Arial"/>
          <w:sz w:val="16"/>
          <w:szCs w:val="16"/>
          <w:color w:val="auto"/>
        </w:rPr>
        <w:t>—The definition of "good reason" under the ESP is substantially the same as the definition included in the Birns Agreement, except that the events have to have occurred within two years after a "</w:t>
      </w:r>
      <w:r>
        <w:rPr>
          <w:rFonts w:ascii="Arial" w:cs="Arial" w:eastAsia="Arial" w:hAnsi="Arial"/>
          <w:sz w:val="16"/>
          <w:szCs w:val="16"/>
          <w:i w:val="1"/>
          <w:iCs w:val="1"/>
          <w:color w:val="auto"/>
        </w:rPr>
        <w:t>Change of Control</w:t>
      </w:r>
      <w:r>
        <w:rPr>
          <w:rFonts w:ascii="Arial" w:cs="Arial" w:eastAsia="Arial" w:hAnsi="Arial"/>
          <w:sz w:val="16"/>
          <w:szCs w:val="16"/>
          <w:color w:val="auto"/>
        </w:rPr>
        <w:t>" (as defined in the ESP). Specifically, an executive will have the ability to terminate his employment with "</w:t>
      </w:r>
      <w:r>
        <w:rPr>
          <w:rFonts w:ascii="Arial" w:cs="Arial" w:eastAsia="Arial" w:hAnsi="Arial"/>
          <w:sz w:val="16"/>
          <w:szCs w:val="16"/>
          <w:i w:val="1"/>
          <w:iCs w:val="1"/>
          <w:color w:val="auto"/>
        </w:rPr>
        <w:t>Good Reason</w:t>
      </w:r>
      <w:r>
        <w:rPr>
          <w:rFonts w:ascii="Arial" w:cs="Arial" w:eastAsia="Arial" w:hAnsi="Arial"/>
          <w:sz w:val="16"/>
          <w:szCs w:val="16"/>
          <w:color w:val="auto"/>
        </w:rPr>
        <w:t>" upon the happening of any of the following within two years after a "</w:t>
      </w:r>
      <w:r>
        <w:rPr>
          <w:rFonts w:ascii="Arial" w:cs="Arial" w:eastAsia="Arial" w:hAnsi="Arial"/>
          <w:sz w:val="16"/>
          <w:szCs w:val="16"/>
          <w:i w:val="1"/>
          <w:iCs w:val="1"/>
          <w:color w:val="auto"/>
        </w:rPr>
        <w:t>Change of Control</w:t>
      </w:r>
      <w:r>
        <w:rPr>
          <w:rFonts w:ascii="Arial" w:cs="Arial" w:eastAsia="Arial" w:hAnsi="Arial"/>
          <w:sz w:val="16"/>
          <w:szCs w:val="16"/>
          <w:color w:val="auto"/>
        </w:rPr>
        <w:t>":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ind w:firstLine="615"/>
        <w:spacing w:after="0" w:line="262" w:lineRule="auto"/>
        <w:rPr>
          <w:sz w:val="20"/>
          <w:szCs w:val="20"/>
          <w:color w:val="auto"/>
        </w:rPr>
      </w:pPr>
      <w:r>
        <w:rPr>
          <w:rFonts w:ascii="Arial" w:cs="Arial" w:eastAsia="Arial" w:hAnsi="Arial"/>
          <w:sz w:val="16"/>
          <w:szCs w:val="16"/>
          <w:color w:val="auto"/>
        </w:rPr>
        <w:t>Under the Kasbar Agreement, the Birns Agreement and the ESP,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is deemed to have occurred if (i) any person or "group" (as defined in Section 13(d)(3) of the Exchange Act), excluding any employee benefit plans, becomes the beneficial owner of at least (a) 30% (in the case of the ESP) or (b) 20% (in the case of the Kasbar Agreement or the Birns Agreement)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of our Board, the board of the surviving company or the</w:t>
      </w:r>
    </w:p>
    <w:p>
      <w:pPr>
        <w:spacing w:after="0" w:line="4"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 xml:space="preserve">board of the controlling company, as the case may be, with the exception that any director approved by a vote of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our Board passes a resolution to do any of the items listed in (i)-(iv) above and Mr. Kasbar's employment is terminated after the execution of any such agreement or the passage of any such resolution, but before the event takes place.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 and Benefits</w:t>
      </w:r>
    </w:p>
    <w:p>
      <w:pPr>
        <w:spacing w:after="0" w:line="225"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Kasbar Agreement—As set forth in the table below, upon the occurrence of a termination by Mr. Kasbar for good reason, by the Company without cause, following a change of control or non-renewal, we will make the following payments:</w:t>
      </w:r>
    </w:p>
    <w:p>
      <w:pPr>
        <w:spacing w:after="0" w:line="199"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Accrued Obligations (as defined in the Kasbar Agreement);</w:t>
      </w:r>
    </w:p>
    <w:p>
      <w:pPr>
        <w:spacing w:after="0" w:line="25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annualized amount of $750,000 ($1,250,000 for termination following a change of control) per year for a two year period immediately following the termination date;</w:t>
      </w:r>
    </w:p>
    <w:p>
      <w:pPr>
        <w:spacing w:after="0" w:line="199" w:lineRule="exact"/>
        <w:rPr>
          <w:rFonts w:ascii="Arial" w:cs="Arial" w:eastAsia="Arial" w:hAnsi="Arial"/>
          <w:sz w:val="18"/>
          <w:szCs w:val="18"/>
          <w:color w:val="auto"/>
        </w:rPr>
      </w:pPr>
    </w:p>
    <w:p>
      <w:pPr>
        <w:ind w:left="540" w:right="60" w:hanging="532"/>
        <w:spacing w:after="0" w:line="25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40" w:hanging="532"/>
        <w:spacing w:after="0" w:line="294"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 after Mr. Kasbar is no longer eligible for coverage through COBRA, reimbursement for the cost of obtaining private health insurance coverage that is comparable to the coverage provided to Mr. Kasbar and his immediate family until Mr. Kasbar turns 65 or, if earlier, the date on which neither Mr. Kasbar nor his surviving spouse is living provided that (a) coverage will not be provided for any period where Mr. Kasbar is eligible to receive coverage through employment or services provided to another person or entity; (b) coverage will not be provided for any dependent over age 21 other than Mr. Kasbar's spouse; and (c) the aggregate amount the Company is required to pay for such coverage does not exceed $150,000 in the aggregate; and</w:t>
      </w:r>
    </w:p>
    <w:p>
      <w:pPr>
        <w:spacing w:after="0" w:line="196"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lump sum in the amount of $1,500,000 ($2,500,000 for termination following a change of control) within 5 business days of the last day of the restricted period.</w:t>
      </w:r>
    </w:p>
    <w:p>
      <w:pPr>
        <w:spacing w:after="0" w:line="186"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Upon the occurrence of a termination by Mr. Kasbar without good reason, by the Company for cause or by the Company due to Mr. Kasbar's death or disability, Mr. Kasbar will be entitled to the payments specified in (i) above.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u w:val="single" w:color="auto"/>
          <w:color w:val="auto"/>
        </w:rPr>
        <w:t>Birns Agreement and ESP</w:t>
      </w:r>
      <w:r>
        <w:rPr>
          <w:rFonts w:ascii="Arial" w:cs="Arial" w:eastAsia="Arial" w:hAnsi="Arial"/>
          <w:sz w:val="16"/>
          <w:szCs w:val="16"/>
          <w:color w:val="auto"/>
        </w:rPr>
        <w:t>—As set forth in the table below, under the ESP and the Birns Agreement, upon the occurrence of a termination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without Cause or by the executive for good reason we will make the following payments:</w:t>
      </w:r>
    </w:p>
    <w:p>
      <w:pPr>
        <w:spacing w:after="0" w:line="232" w:lineRule="exact"/>
        <w:rPr>
          <w:sz w:val="20"/>
          <w:szCs w:val="20"/>
          <w:color w:val="auto"/>
        </w:rPr>
      </w:pPr>
    </w:p>
    <w:p>
      <w:pPr>
        <w:ind w:left="540" w:right="180" w:hanging="532"/>
        <w:spacing w:after="0" w:line="33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in the case of Mr. Birns, or Accrued Obligations (as defined in the ESP) such Accrued Obligations to be paid no later than 60 days after the date of termination;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unpaid bonus for the year prior to the year of termination to be paid on the same date that bonuses are paid to our other senior executive officers;</w:t>
      </w:r>
    </w:p>
    <w:p>
      <w:pPr>
        <w:spacing w:after="0" w:line="275" w:lineRule="exact"/>
        <w:rPr>
          <w:rFonts w:ascii="Arial" w:cs="Arial" w:eastAsia="Arial" w:hAnsi="Arial"/>
          <w:sz w:val="16"/>
          <w:szCs w:val="16"/>
          <w:color w:val="auto"/>
        </w:rPr>
      </w:pPr>
    </w:p>
    <w:p>
      <w:pPr>
        <w:ind w:left="540" w:right="260" w:hanging="532"/>
        <w:spacing w:after="0" w:line="25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spacing w:after="0" w:line="210" w:lineRule="exact"/>
        <w:rPr>
          <w:rFonts w:ascii="Arial" w:cs="Arial" w:eastAsia="Arial" w:hAnsi="Arial"/>
          <w:sz w:val="18"/>
          <w:szCs w:val="18"/>
          <w:color w:val="auto"/>
        </w:rPr>
      </w:pPr>
    </w:p>
    <w:p>
      <w:pPr>
        <w:ind w:left="540" w:right="180" w:hanging="532"/>
        <w:spacing w:after="0" w:line="306"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continued health insurance coverage in effect as of the termination date for the executive and his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spacing w:after="0" w:line="174"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severance payment in an amount equal to two times base salary as of the termination date in the case of Messrs. Birns, Crosby and Rau, which will be paid to each of them in regular payroll installments over the 24-month period following termination.</w:t>
      </w:r>
    </w:p>
    <w:p>
      <w:pPr>
        <w:spacing w:after="0" w:line="186" w:lineRule="exact"/>
        <w:rPr>
          <w:sz w:val="20"/>
          <w:szCs w:val="20"/>
          <w:color w:val="auto"/>
        </w:rPr>
      </w:pPr>
    </w:p>
    <w:p>
      <w:pPr>
        <w:ind w:right="120" w:firstLine="615"/>
        <w:spacing w:after="0" w:line="254" w:lineRule="auto"/>
        <w:rPr>
          <w:sz w:val="20"/>
          <w:szCs w:val="20"/>
          <w:color w:val="auto"/>
        </w:rPr>
      </w:pPr>
      <w:r>
        <w:rPr>
          <w:rFonts w:ascii="Arial" w:cs="Arial" w:eastAsia="Arial" w:hAnsi="Arial"/>
          <w:sz w:val="18"/>
          <w:szCs w:val="18"/>
          <w:color w:val="auto"/>
        </w:rPr>
        <w:t>Upon the occurrence of a termination due to death or disability, Mr. Birns will be entitled to the payments specified in (i)-(iii) above and, under the ESP, Messrs. Crosby and Rau will be entitled to the payments specified in (i)-(iv) above.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Table</w:t>
      </w:r>
    </w:p>
    <w:p>
      <w:pPr>
        <w:spacing w:after="0" w:line="231"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estimated payments and benefits that would be provided to each of Messrs. Kasbar, Birns Crosby and Rau pursuant to their respective agreements or the ESP, as the case may be, as a result of (1) Termination by Company for Cause or by Executive Without Good Reason, (2) Termination by Company Without Cause, (3)Termination by Executive for Good Reason, (4) Termination by Company Without Cause or by Executive for Good Reason within two (2) years of a Change of Control, and (5) Termination of employment due to death or disability are set forth in the table below. Calculations for this table are based on the assumption that the termination took place on December 31, 2016. In order to receive the benefits set forth below, an executive must satisfy certain restrictive covenants for a specified period of time after the termination event before any cash severance payment is made. We have the right to not pay or provide these benefits or discontinue the payment and provision of these benefits if the executive fails to satisfy such obligations.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Acceleration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Continuation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96"/>
              <w:spacing w:after="0" w:line="144" w:lineRule="exact"/>
              <w:rPr>
                <w:sz w:val="20"/>
                <w:szCs w:val="20"/>
                <w:color w:val="auto"/>
              </w:rPr>
            </w:pPr>
            <w:r>
              <w:rPr>
                <w:rFonts w:ascii="Arial" w:cs="Arial" w:eastAsia="Arial" w:hAnsi="Arial"/>
                <w:sz w:val="14"/>
                <w:szCs w:val="14"/>
                <w:b w:val="1"/>
                <w:bCs w:val="1"/>
                <w:color w:val="auto"/>
                <w:w w:val="88"/>
              </w:rPr>
              <w:t>Severance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Pro-Rata</w:t>
            </w:r>
          </w:p>
        </w:tc>
        <w:tc>
          <w:tcPr>
            <w:tcW w:w="1140" w:type="dxa"/>
            <w:vAlign w:val="bottom"/>
            <w:gridSpan w:val="3"/>
          </w:tcPr>
          <w:p>
            <w:pPr>
              <w:jc w:val="center"/>
              <w:ind w:right="440"/>
              <w:spacing w:after="0" w:line="144" w:lineRule="exact"/>
              <w:rPr>
                <w:sz w:val="20"/>
                <w:szCs w:val="20"/>
                <w:color w:val="auto"/>
              </w:rPr>
            </w:pPr>
            <w:r>
              <w:rPr>
                <w:rFonts w:ascii="Arial" w:cs="Arial" w:eastAsia="Arial" w:hAnsi="Arial"/>
                <w:sz w:val="14"/>
                <w:szCs w:val="14"/>
                <w:b w:val="1"/>
                <w:bCs w:val="1"/>
                <w:color w:val="auto"/>
                <w:w w:val="89"/>
              </w:rPr>
              <w:t>Medical</w:t>
            </w:r>
          </w:p>
        </w:tc>
        <w:tc>
          <w:tcPr>
            <w:tcW w:w="960" w:type="dxa"/>
            <w:vAlign w:val="bottom"/>
          </w:tcPr>
          <w:p>
            <w:pPr>
              <w:jc w:val="center"/>
              <w:ind w:right="60"/>
              <w:spacing w:after="0" w:line="144" w:lineRule="exact"/>
              <w:rPr>
                <w:sz w:val="20"/>
                <w:szCs w:val="20"/>
                <w:color w:val="auto"/>
              </w:rPr>
            </w:pPr>
            <w:r>
              <w:rPr>
                <w:rFonts w:ascii="Arial" w:cs="Arial" w:eastAsia="Arial" w:hAnsi="Arial"/>
                <w:sz w:val="14"/>
                <w:szCs w:val="14"/>
                <w:b w:val="1"/>
                <w:bCs w:val="1"/>
                <w:color w:val="auto"/>
                <w:w w:val="90"/>
              </w:rPr>
              <w:t>of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6"/>
              <w:spacing w:after="0" w:line="193" w:lineRule="exact"/>
              <w:rPr>
                <w:sz w:val="20"/>
                <w:szCs w:val="20"/>
                <w:color w:val="auto"/>
              </w:rPr>
            </w:pPr>
            <w:r>
              <w:rPr>
                <w:rFonts w:ascii="Arial" w:cs="Arial" w:eastAsia="Arial" w:hAnsi="Arial"/>
                <w:sz w:val="14"/>
                <w:szCs w:val="14"/>
                <w:b w:val="1"/>
                <w:bCs w:val="1"/>
                <w:color w:val="auto"/>
                <w:w w:val="86"/>
              </w:rPr>
              <w:t>Payment</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ind w:left="40"/>
              <w:spacing w:after="0" w:line="193"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(2)</w:t>
            </w:r>
          </w:p>
        </w:tc>
        <w:tc>
          <w:tcPr>
            <w:tcW w:w="1140" w:type="dxa"/>
            <w:vAlign w:val="bottom"/>
            <w:gridSpan w:val="3"/>
          </w:tcPr>
          <w:p>
            <w:pPr>
              <w:jc w:val="center"/>
              <w:ind w:right="440"/>
              <w:spacing w:after="0" w:line="193" w:lineRule="exact"/>
              <w:rPr>
                <w:sz w:val="20"/>
                <w:szCs w:val="20"/>
                <w:color w:val="auto"/>
              </w:rPr>
            </w:pPr>
            <w:r>
              <w:rPr>
                <w:rFonts w:ascii="Arial" w:cs="Arial" w:eastAsia="Arial" w:hAnsi="Arial"/>
                <w:sz w:val="14"/>
                <w:szCs w:val="14"/>
                <w:b w:val="1"/>
                <w:bCs w:val="1"/>
                <w:color w:val="auto"/>
                <w:w w:val="79"/>
              </w:rPr>
              <w:t>Benefits</w:t>
            </w:r>
            <w:r>
              <w:rPr>
                <w:rFonts w:ascii="Arial" w:cs="Arial" w:eastAsia="Arial" w:hAnsi="Arial"/>
                <w:sz w:val="22"/>
                <w:szCs w:val="22"/>
                <w:b w:val="1"/>
                <w:bCs w:val="1"/>
                <w:color w:val="auto"/>
                <w:w w:val="79"/>
                <w:vertAlign w:val="superscript"/>
              </w:rPr>
              <w:t>(3)</w:t>
            </w:r>
          </w:p>
        </w:tc>
        <w:tc>
          <w:tcPr>
            <w:tcW w:w="960" w:type="dxa"/>
            <w:vAlign w:val="bottom"/>
          </w:tcPr>
          <w:p>
            <w:pPr>
              <w:jc w:val="center"/>
              <w:ind w:right="60"/>
              <w:spacing w:after="0" w:line="193" w:lineRule="exact"/>
              <w:rPr>
                <w:sz w:val="20"/>
                <w:szCs w:val="20"/>
                <w:color w:val="auto"/>
              </w:rPr>
            </w:pPr>
            <w:r>
              <w:rPr>
                <w:rFonts w:ascii="Arial" w:cs="Arial" w:eastAsia="Arial" w:hAnsi="Arial"/>
                <w:sz w:val="14"/>
                <w:szCs w:val="14"/>
                <w:b w:val="1"/>
                <w:bCs w:val="1"/>
                <w:color w:val="auto"/>
                <w:w w:val="84"/>
              </w:rPr>
              <w:t>Awards</w:t>
            </w:r>
            <w:r>
              <w:rPr>
                <w:rFonts w:ascii="Arial" w:cs="Arial" w:eastAsia="Arial" w:hAnsi="Arial"/>
                <w:sz w:val="22"/>
                <w:szCs w:val="22"/>
                <w:b w:val="1"/>
                <w:bCs w:val="1"/>
                <w:color w:val="auto"/>
                <w:w w:val="84"/>
                <w:vertAlign w:val="superscript"/>
              </w:rPr>
              <w:t>(4)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3"/>
          </w:tcPr>
          <w:p>
            <w:pPr>
              <w:ind w:left="100"/>
              <w:spacing w:after="0" w:line="193"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Mr. Kasbar</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Termination by Company for Cause or by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Executive Without Good Reason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640" w:type="dxa"/>
            <w:vAlign w:val="bottom"/>
            <w:shd w:val="clear" w:color="auto" w:fill="CCEEFF"/>
          </w:tcPr>
          <w:p>
            <w:pPr>
              <w:ind w:left="160"/>
              <w:spacing w:after="0" w:line="251" w:lineRule="exact"/>
              <w:rPr>
                <w:sz w:val="20"/>
                <w:szCs w:val="20"/>
                <w:color w:val="auto"/>
              </w:rPr>
            </w:pPr>
            <w:r>
              <w:rPr>
                <w:rFonts w:ascii="Arial" w:cs="Arial" w:eastAsia="Arial" w:hAnsi="Arial"/>
                <w:sz w:val="18"/>
                <w:szCs w:val="18"/>
                <w:color w:val="auto"/>
                <w:w w:val="93"/>
              </w:rPr>
              <w:t>Termination by Company Without Cause</w:t>
            </w:r>
            <w:r>
              <w:rPr>
                <w:rFonts w:ascii="Arial" w:cs="Arial" w:eastAsia="Arial" w:hAnsi="Arial"/>
                <w:sz w:val="29"/>
                <w:szCs w:val="29"/>
                <w:color w:val="auto"/>
                <w:w w:val="93"/>
                <w:vertAlign w:val="superscript"/>
              </w:rPr>
              <w:t>(6)</w:t>
            </w:r>
            <w:r>
              <w:rPr>
                <w:rFonts w:ascii="Arial" w:cs="Arial" w:eastAsia="Arial" w:hAnsi="Arial"/>
                <w:sz w:val="18"/>
                <w:szCs w:val="18"/>
                <w:color w:val="auto"/>
                <w:w w:val="93"/>
              </w:rPr>
              <w:t xml:space="preserve"> or</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1,947,273</w:t>
            </w:r>
            <w:r>
              <w:rPr>
                <w:rFonts w:ascii="Arial" w:cs="Arial" w:eastAsia="Arial" w:hAnsi="Arial"/>
                <w:sz w:val="29"/>
                <w:szCs w:val="29"/>
                <w:color w:val="auto"/>
                <w:w w:val="88"/>
                <w:vertAlign w:val="superscript"/>
              </w:rPr>
              <w:t>(9)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by Executive for Good Reason</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5,579,098</w:t>
            </w: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Termination by Company Without Cause or by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Executive for Good Reason within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3,362,678</w:t>
            </w:r>
            <w:r>
              <w:rPr>
                <w:rFonts w:ascii="Arial" w:cs="Arial" w:eastAsia="Arial" w:hAnsi="Arial"/>
                <w:sz w:val="29"/>
                <w:szCs w:val="29"/>
                <w:color w:val="auto"/>
                <w:w w:val="88"/>
                <w:vertAlign w:val="superscript"/>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two (2) years of a Change of Control</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8,994,504</w:t>
            </w: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w w:val="88"/>
              </w:rPr>
              <w:t>1,947,273</w:t>
            </w:r>
            <w:r>
              <w:rPr>
                <w:rFonts w:ascii="Arial" w:cs="Arial" w:eastAsia="Arial" w:hAnsi="Arial"/>
                <w:sz w:val="29"/>
                <w:szCs w:val="29"/>
                <w:color w:val="auto"/>
                <w:w w:val="88"/>
                <w:vertAlign w:val="superscript"/>
              </w:rPr>
              <w:t>(9)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2,397,273</w:t>
            </w:r>
          </w:p>
        </w:tc>
        <w:tc>
          <w:tcPr>
            <w:tcW w:w="160" w:type="dxa"/>
            <w:vAlign w:val="bottom"/>
            <w:shd w:val="clear" w:color="auto" w:fill="CCEEFF"/>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800" w:type="dxa"/>
            <w:vAlign w:val="bottom"/>
            <w:gridSpan w:val="2"/>
          </w:tcPr>
          <w:p>
            <w:pPr>
              <w:ind w:left="1140"/>
              <w:spacing w:after="0"/>
              <w:rPr>
                <w:sz w:val="20"/>
                <w:szCs w:val="20"/>
                <w:color w:val="auto"/>
              </w:rPr>
            </w:pPr>
            <w:r>
              <w:rPr>
                <w:rFonts w:ascii="Arial" w:cs="Arial" w:eastAsia="Arial" w:hAnsi="Arial"/>
                <w:sz w:val="18"/>
                <w:szCs w:val="18"/>
                <w:b w:val="1"/>
                <w:bCs w:val="1"/>
                <w:color w:val="auto"/>
              </w:rPr>
              <w:t>Mr. Birns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Termination by Company for Cause or by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Executive Without Good Reason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w w:val="93"/>
              </w:rPr>
              <w:t>Termination by Company Without Cause or by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Executive for Good Reason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738,921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2,150,661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w w:val="93"/>
              </w:rPr>
              <w:t>Termination by Company Without Cause or by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Executive for Good Reason within two</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(2) years of a Change of Control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1,701,886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Death or Disability</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738,921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918,921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7"/>
          </w:tcPr>
          <w:p>
            <w:pPr>
              <w:ind w:left="540"/>
              <w:spacing w:after="0"/>
              <w:rPr>
                <w:sz w:val="20"/>
                <w:szCs w:val="20"/>
                <w:color w:val="auto"/>
              </w:rPr>
            </w:pPr>
            <w:r>
              <w:rPr>
                <w:rFonts w:ascii="Arial" w:cs="Arial" w:eastAsia="Arial" w:hAnsi="Arial"/>
                <w:sz w:val="18"/>
                <w:szCs w:val="18"/>
                <w:b w:val="1"/>
                <w:bCs w:val="1"/>
                <w:color w:val="0048E0"/>
                <w:w w:val="91"/>
              </w:rPr>
              <w:t>World Fuel Services Corporation</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000" w:type="dxa"/>
            <w:vAlign w:val="bottom"/>
            <w:gridSpan w:val="3"/>
          </w:tcPr>
          <w:p>
            <w:pPr>
              <w:ind w:left="80"/>
              <w:spacing w:after="0"/>
              <w:rPr>
                <w:sz w:val="20"/>
                <w:szCs w:val="20"/>
                <w:color w:val="auto"/>
              </w:rPr>
            </w:pPr>
            <w:r>
              <w:rPr>
                <w:rFonts w:ascii="Arial" w:cs="Arial" w:eastAsia="Arial" w:hAnsi="Arial"/>
                <w:sz w:val="18"/>
                <w:szCs w:val="18"/>
                <w:color w:val="auto"/>
                <w:w w:val="91"/>
              </w:rPr>
              <w:t>2017 Proxy Statement  60</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Acceleration</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Continuation</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96"/>
              <w:spacing w:after="0" w:line="144" w:lineRule="exact"/>
              <w:rPr>
                <w:sz w:val="20"/>
                <w:szCs w:val="20"/>
                <w:color w:val="auto"/>
              </w:rPr>
            </w:pPr>
            <w:r>
              <w:rPr>
                <w:rFonts w:ascii="Arial" w:cs="Arial" w:eastAsia="Arial" w:hAnsi="Arial"/>
                <w:sz w:val="14"/>
                <w:szCs w:val="14"/>
                <w:b w:val="1"/>
                <w:bCs w:val="1"/>
                <w:color w:val="auto"/>
                <w:w w:val="88"/>
              </w:rPr>
              <w:t>Severance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Pro-Rata</w:t>
            </w:r>
          </w:p>
        </w:tc>
        <w:tc>
          <w:tcPr>
            <w:tcW w:w="1140" w:type="dxa"/>
            <w:vAlign w:val="bottom"/>
            <w:gridSpan w:val="3"/>
          </w:tcPr>
          <w:p>
            <w:pPr>
              <w:jc w:val="center"/>
              <w:ind w:right="440"/>
              <w:spacing w:after="0" w:line="144" w:lineRule="exact"/>
              <w:rPr>
                <w:sz w:val="20"/>
                <w:szCs w:val="20"/>
                <w:color w:val="auto"/>
              </w:rPr>
            </w:pPr>
            <w:r>
              <w:rPr>
                <w:rFonts w:ascii="Arial" w:cs="Arial" w:eastAsia="Arial" w:hAnsi="Arial"/>
                <w:sz w:val="14"/>
                <w:szCs w:val="14"/>
                <w:b w:val="1"/>
                <w:bCs w:val="1"/>
                <w:color w:val="auto"/>
                <w:w w:val="89"/>
              </w:rPr>
              <w:t>Medical</w:t>
            </w:r>
          </w:p>
        </w:tc>
        <w:tc>
          <w:tcPr>
            <w:tcW w:w="1260" w:type="dxa"/>
            <w:vAlign w:val="bottom"/>
            <w:gridSpan w:val="3"/>
          </w:tcPr>
          <w:p>
            <w:pPr>
              <w:jc w:val="center"/>
              <w:ind w:right="440"/>
              <w:spacing w:after="0" w:line="144" w:lineRule="exact"/>
              <w:rPr>
                <w:sz w:val="20"/>
                <w:szCs w:val="20"/>
                <w:color w:val="auto"/>
              </w:rPr>
            </w:pPr>
            <w:r>
              <w:rPr>
                <w:rFonts w:ascii="Arial" w:cs="Arial" w:eastAsia="Arial" w:hAnsi="Arial"/>
                <w:sz w:val="14"/>
                <w:szCs w:val="14"/>
                <w:b w:val="1"/>
                <w:bCs w:val="1"/>
                <w:color w:val="auto"/>
                <w:w w:val="90"/>
              </w:rPr>
              <w:t>of Equity</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6"/>
              <w:spacing w:after="0" w:line="193" w:lineRule="exact"/>
              <w:rPr>
                <w:sz w:val="20"/>
                <w:szCs w:val="20"/>
                <w:color w:val="auto"/>
              </w:rPr>
            </w:pPr>
            <w:r>
              <w:rPr>
                <w:rFonts w:ascii="Arial" w:cs="Arial" w:eastAsia="Arial" w:hAnsi="Arial"/>
                <w:sz w:val="14"/>
                <w:szCs w:val="14"/>
                <w:b w:val="1"/>
                <w:bCs w:val="1"/>
                <w:color w:val="auto"/>
                <w:w w:val="86"/>
              </w:rPr>
              <w:t>Payment</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ind w:left="40"/>
              <w:spacing w:after="0" w:line="193"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(2)</w:t>
            </w:r>
          </w:p>
        </w:tc>
        <w:tc>
          <w:tcPr>
            <w:tcW w:w="1140" w:type="dxa"/>
            <w:vAlign w:val="bottom"/>
            <w:gridSpan w:val="3"/>
          </w:tcPr>
          <w:p>
            <w:pPr>
              <w:jc w:val="center"/>
              <w:ind w:right="440"/>
              <w:spacing w:after="0" w:line="193" w:lineRule="exact"/>
              <w:rPr>
                <w:sz w:val="20"/>
                <w:szCs w:val="20"/>
                <w:color w:val="auto"/>
              </w:rPr>
            </w:pPr>
            <w:r>
              <w:rPr>
                <w:rFonts w:ascii="Arial" w:cs="Arial" w:eastAsia="Arial" w:hAnsi="Arial"/>
                <w:sz w:val="14"/>
                <w:szCs w:val="14"/>
                <w:b w:val="1"/>
                <w:bCs w:val="1"/>
                <w:color w:val="auto"/>
                <w:w w:val="79"/>
              </w:rPr>
              <w:t>Benefits</w:t>
            </w:r>
            <w:r>
              <w:rPr>
                <w:rFonts w:ascii="Arial" w:cs="Arial" w:eastAsia="Arial" w:hAnsi="Arial"/>
                <w:sz w:val="22"/>
                <w:szCs w:val="22"/>
                <w:b w:val="1"/>
                <w:bCs w:val="1"/>
                <w:color w:val="auto"/>
                <w:w w:val="79"/>
                <w:vertAlign w:val="superscript"/>
              </w:rPr>
              <w:t>(3)</w:t>
            </w:r>
          </w:p>
        </w:tc>
        <w:tc>
          <w:tcPr>
            <w:tcW w:w="1260" w:type="dxa"/>
            <w:vAlign w:val="bottom"/>
            <w:gridSpan w:val="3"/>
          </w:tcPr>
          <w:p>
            <w:pPr>
              <w:jc w:val="center"/>
              <w:ind w:right="440"/>
              <w:spacing w:after="0" w:line="193" w:lineRule="exact"/>
              <w:rPr>
                <w:sz w:val="20"/>
                <w:szCs w:val="20"/>
                <w:color w:val="auto"/>
              </w:rPr>
            </w:pPr>
            <w:r>
              <w:rPr>
                <w:rFonts w:ascii="Arial" w:cs="Arial" w:eastAsia="Arial" w:hAnsi="Arial"/>
                <w:sz w:val="14"/>
                <w:szCs w:val="14"/>
                <w:b w:val="1"/>
                <w:bCs w:val="1"/>
                <w:color w:val="auto"/>
                <w:w w:val="84"/>
              </w:rPr>
              <w:t>Awards</w:t>
            </w:r>
            <w:r>
              <w:rPr>
                <w:rFonts w:ascii="Arial" w:cs="Arial" w:eastAsia="Arial" w:hAnsi="Arial"/>
                <w:sz w:val="22"/>
                <w:szCs w:val="22"/>
                <w:b w:val="1"/>
                <w:bCs w:val="1"/>
                <w:color w:val="auto"/>
                <w:w w:val="84"/>
                <w:vertAlign w:val="superscript"/>
              </w:rPr>
              <w:t>(4)</w:t>
            </w:r>
          </w:p>
        </w:tc>
        <w:tc>
          <w:tcPr>
            <w:tcW w:w="940" w:type="dxa"/>
            <w:vAlign w:val="bottom"/>
            <w:gridSpan w:val="2"/>
          </w:tcPr>
          <w:p>
            <w:pPr>
              <w:ind w:left="100"/>
              <w:spacing w:after="0" w:line="193"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(5)</w:t>
            </w: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Crosby</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for Cause or by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Without Good Reason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 Cause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1,302,574</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Termination by Company Without Cause or by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3640" w:type="dxa"/>
            <w:vAlign w:val="bottom"/>
            <w:gridSpan w:val="2"/>
            <w:shd w:val="clear" w:color="auto" w:fill="CCEEFF"/>
          </w:tcPr>
          <w:p>
            <w:pPr>
              <w:ind w:left="340"/>
              <w:spacing w:after="0" w:line="255" w:lineRule="exact"/>
              <w:rPr>
                <w:sz w:val="20"/>
                <w:szCs w:val="20"/>
                <w:color w:val="auto"/>
              </w:rPr>
            </w:pPr>
            <w:r>
              <w:rPr>
                <w:rFonts w:ascii="Arial" w:cs="Arial" w:eastAsia="Arial" w:hAnsi="Arial"/>
                <w:sz w:val="18"/>
                <w:szCs w:val="18"/>
                <w:color w:val="auto"/>
              </w:rPr>
              <w:t>Executive for Good Reason</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within two</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 years of a Change of Control</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1,818,954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2,929,487</w:t>
            </w:r>
          </w:p>
        </w:tc>
        <w:tc>
          <w:tcPr>
            <w:tcW w:w="16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531,176</w:t>
            </w:r>
          </w:p>
        </w:tc>
        <w:tc>
          <w:tcPr>
            <w:tcW w:w="160" w:type="dxa"/>
            <w:vAlign w:val="bottom"/>
            <w:shd w:val="clear" w:color="auto" w:fill="CCEEFF"/>
          </w:tcPr>
          <w:p>
            <w:pPr>
              <w:spacing w:after="0"/>
              <w:rPr>
                <w:sz w:val="18"/>
                <w:szCs w:val="18"/>
                <w:color w:val="auto"/>
              </w:rPr>
            </w:pPr>
          </w:p>
        </w:tc>
      </w:tr>
      <w:tr>
        <w:trPr>
          <w:trHeight w:val="424"/>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Mr. Rau</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Termination by Company for Cause or by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Executive Without Good Reason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Termination by Company Without Cause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1,731,646</w:t>
            </w: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w w:val="93"/>
              </w:rPr>
              <w:t>Termination by Company Without Cause or by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3640" w:type="dxa"/>
            <w:vAlign w:val="bottom"/>
            <w:gridSpan w:val="2"/>
          </w:tcPr>
          <w:p>
            <w:pPr>
              <w:ind w:left="340"/>
              <w:spacing w:after="0" w:line="255" w:lineRule="exact"/>
              <w:rPr>
                <w:sz w:val="20"/>
                <w:szCs w:val="20"/>
                <w:color w:val="auto"/>
              </w:rPr>
            </w:pPr>
            <w:r>
              <w:rPr>
                <w:rFonts w:ascii="Arial" w:cs="Arial" w:eastAsia="Arial" w:hAnsi="Arial"/>
                <w:sz w:val="18"/>
                <w:szCs w:val="18"/>
                <w:color w:val="auto"/>
              </w:rPr>
              <w:t>Executive for Good Reason</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within two</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(2) years of a Change of Control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2,961,516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4,106,157</w:t>
            </w: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Death or Disability</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202,815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725,608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960,248</w:t>
            </w: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1680" w:right="160" w:hanging="531"/>
        <w:spacing w:after="0" w:line="306"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are the severance payments payable to Mr. Kasbar and Mr. Birns upon the occurrence of the relevant event. For Messrs. Birns, Crosby and Rau, this represents a severance payment equal to two times base salary as of the termination date (based on their actual salary as of December 31, 2016), payable over a 24-month period.</w:t>
      </w:r>
    </w:p>
    <w:p>
      <w:pPr>
        <w:spacing w:after="0" w:line="187" w:lineRule="exact"/>
        <w:rPr>
          <w:rFonts w:ascii="Arial" w:cs="Arial" w:eastAsia="Arial" w:hAnsi="Arial"/>
          <w:sz w:val="16"/>
          <w:szCs w:val="16"/>
          <w:color w:val="auto"/>
        </w:rPr>
      </w:pPr>
    </w:p>
    <w:p>
      <w:pPr>
        <w:ind w:left="1680" w:right="20" w:hanging="531"/>
        <w:spacing w:after="0" w:line="294"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are the bonuses payable to the executive under the EIP, prorated through the date of termination. Amounts are paid when, and to the extent that, they would have been paid had the executive's employment not terminated. For Messrs. Kasbar and Birns, this amount reflects the amounts earned by the executive for the year-ended December 31, 2016. For Messrs. Crosby and Rau, this amount reflects only amounts earned based upon achievement of Operating Income targets in their respective business units in 2016 and excludes any bonuses earnable based on achievement of non-financial objectives except in the case of death or disability.</w:t>
      </w:r>
    </w:p>
    <w:p>
      <w:pPr>
        <w:spacing w:after="0" w:line="183" w:lineRule="exact"/>
        <w:rPr>
          <w:rFonts w:ascii="Arial" w:cs="Arial" w:eastAsia="Arial" w:hAnsi="Arial"/>
          <w:sz w:val="16"/>
          <w:szCs w:val="16"/>
          <w:color w:val="auto"/>
        </w:rPr>
      </w:pPr>
    </w:p>
    <w:p>
      <w:pPr>
        <w:ind w:left="1680" w:right="120" w:hanging="531"/>
        <w:spacing w:after="0" w:line="298"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executive is entitled to receive continuation of his medical benefits generally for 18 months following the date of termination. This column reflects the current cost of COBRA premiums for such period. In addition, Mr. Kasbar is entitled to be reimbursed for the cost of obtaining comparable private health insurance coverage until the occurrence of various events up to a maximum of $150,000. For purposes of this table, we have assumed the maximum premiums would be paid.</w:t>
      </w:r>
    </w:p>
    <w:p>
      <w:pPr>
        <w:spacing w:after="0" w:line="180" w:lineRule="exact"/>
        <w:rPr>
          <w:rFonts w:ascii="Arial" w:cs="Arial" w:eastAsia="Arial" w:hAnsi="Arial"/>
          <w:sz w:val="16"/>
          <w:szCs w:val="16"/>
          <w:color w:val="auto"/>
        </w:rPr>
      </w:pPr>
    </w:p>
    <w:p>
      <w:pPr>
        <w:ind w:left="1680" w:right="220" w:hanging="531"/>
        <w:spacing w:after="0" w:line="284"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31, 2016, calculated by multiplying the number of accelerated awards by the difference between the conversion price and the closing price of our common stock on December 30, 2016. The amounts in this column relating to both</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40"/>
        <w:spacing w:after="0" w:line="255" w:lineRule="auto"/>
        <w:rPr>
          <w:sz w:val="20"/>
          <w:szCs w:val="20"/>
          <w:color w:val="auto"/>
        </w:rPr>
      </w:pPr>
      <w:r>
        <w:rPr>
          <w:rFonts w:ascii="Arial" w:cs="Arial" w:eastAsia="Arial" w:hAnsi="Arial"/>
          <w:sz w:val="18"/>
          <w:szCs w:val="18"/>
          <w:color w:val="auto"/>
        </w:rPr>
        <w:t>restricted stock and performance-related restricted stock represent the value of unvested and accelerated stock as of December 31, 2016, calculated by multiplying the number of accelerated shares by the closing price of our common stock on December 30, 2016. The equity granted under the PSP is reflected assuming performance at target, pro rata for all events other than those that occur after a Change of Control and full acceleration for either a Termination without Cause or a Termination with Good Reason that occurs after a Change of Control.</w:t>
      </w:r>
    </w:p>
    <w:p>
      <w:pPr>
        <w:spacing w:after="0" w:line="210" w:lineRule="exact"/>
        <w:rPr>
          <w:sz w:val="20"/>
          <w:szCs w:val="20"/>
          <w:color w:val="auto"/>
        </w:rPr>
      </w:pPr>
    </w:p>
    <w:p>
      <w:pPr>
        <w:ind w:left="1680" w:right="180" w:hanging="531"/>
        <w:spacing w:after="0" w:line="291" w:lineRule="auto"/>
        <w:tabs>
          <w:tab w:leader="none" w:pos="1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totals in this column do not include additional amounts payable to the executive under the Company's other employment programs that are applicable to all employees. Specifically, in accordance with the Company's policies, upon any termination, all employees are entitled to certain accrued obligations including salary earned through the date of termination, unreimbursed business expenses incurred in accordance with Company policy and a payment for unused paid time off. In addition, Mr. Kasbar is entitled to receive his non-qualified deferred compensation from a previously earned bonus upon any separation from us. Please see "Non-Qualified Deferred Compensation" table beginning on page 55 for an explanation of this amount.</w:t>
      </w:r>
    </w:p>
    <w:p>
      <w:pPr>
        <w:spacing w:after="0" w:line="201" w:lineRule="exact"/>
        <w:rPr>
          <w:rFonts w:ascii="Arial" w:cs="Arial" w:eastAsia="Arial" w:hAnsi="Arial"/>
          <w:sz w:val="16"/>
          <w:szCs w:val="16"/>
          <w:color w:val="auto"/>
        </w:rPr>
      </w:pPr>
    </w:p>
    <w:p>
      <w:pPr>
        <w:ind w:left="1680" w:right="200" w:hanging="531"/>
        <w:spacing w:after="0" w:line="268"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Mr. Kasbar's employment agreement is not renewed at the end of its term, Mr. Kasbar is entitled to the same amount of payments and benefits as if he were terminated without Cause.</w:t>
      </w:r>
    </w:p>
    <w:p>
      <w:pPr>
        <w:spacing w:after="0" w:line="199" w:lineRule="exact"/>
        <w:rPr>
          <w:rFonts w:ascii="Arial" w:cs="Arial" w:eastAsia="Arial" w:hAnsi="Arial"/>
          <w:sz w:val="18"/>
          <w:szCs w:val="18"/>
          <w:color w:val="auto"/>
        </w:rPr>
      </w:pPr>
    </w:p>
    <w:p>
      <w:pPr>
        <w:ind w:left="1680" w:right="460" w:hanging="531"/>
        <w:spacing w:after="0" w:line="284" w:lineRule="auto"/>
        <w:tabs>
          <w:tab w:leader="none" w:pos="1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discussed above, our ESP defines "Good Reason" to have occurred only if certain events have happened within two years after a Change of Control has occurred. Consequently, for Messrs. Crosby and Rau, any termination by him of his employment upon the occurrence of such events absent a Change of Control will be deemed a Termination without Good Reason.</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460" w:firstLine="8"/>
        <w:spacing w:after="0" w:line="535" w:lineRule="auto"/>
        <w:tabs>
          <w:tab w:leader="none" w:pos="675" w:val="left"/>
        </w:tabs>
        <w:numPr>
          <w:ilvl w:val="0"/>
          <w:numId w:val="65"/>
        </w:numPr>
        <w:rPr>
          <w:rFonts w:ascii="Arial" w:cs="Arial" w:eastAsia="Arial" w:hAnsi="Arial"/>
          <w:sz w:val="18"/>
          <w:szCs w:val="18"/>
          <w:b w:val="1"/>
          <w:bCs w:val="1"/>
          <w:color w:val="0048E0"/>
        </w:rPr>
      </w:pPr>
      <w:r>
        <w:rPr>
          <w:rFonts w:ascii="Arial" w:cs="Arial" w:eastAsia="Arial" w:hAnsi="Arial"/>
          <w:sz w:val="18"/>
          <w:szCs w:val="18"/>
          <w:b w:val="1"/>
          <w:bCs w:val="1"/>
          <w:color w:val="0048E0"/>
        </w:rPr>
        <w:t xml:space="preserve">PROPOSAL NO. 2—NON-BINDING, ADVISORY VOTE ON EXECUTIVE COMPENSATION </w:t>
      </w:r>
      <w:r>
        <w:rPr>
          <w:rFonts w:ascii="Arial" w:cs="Arial" w:eastAsia="Arial" w:hAnsi="Arial"/>
          <w:sz w:val="18"/>
          <w:szCs w:val="18"/>
          <w:b w:val="1"/>
          <w:bCs w:val="1"/>
          <w:color w:val="000000"/>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500" w:firstLine="611"/>
        <w:spacing w:after="0" w:line="255" w:lineRule="auto"/>
        <w:rPr>
          <w:sz w:val="20"/>
          <w:szCs w:val="20"/>
          <w:color w:val="auto"/>
        </w:rPr>
      </w:pPr>
      <w:r>
        <w:rPr>
          <w:rFonts w:ascii="Arial" w:cs="Arial" w:eastAsia="Arial" w:hAnsi="Arial"/>
          <w:sz w:val="18"/>
          <w:szCs w:val="18"/>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-692150</wp:posOffset>
            </wp:positionV>
            <wp:extent cx="1449070" cy="2864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9070" cy="2864485"/>
                    </a:xfrm>
                    <a:prstGeom prst="rect">
                      <a:avLst/>
                    </a:prstGeom>
                    <a:noFill/>
                  </pic:spPr>
                </pic:pic>
              </a:graphicData>
            </a:graphic>
          </wp:anchor>
        </w:drawing>
      </w:r>
    </w:p>
    <w:p>
      <w:pPr>
        <w:spacing w:after="0" w:line="177" w:lineRule="exact"/>
        <w:rPr>
          <w:sz w:val="20"/>
          <w:szCs w:val="20"/>
          <w:color w:val="auto"/>
        </w:rPr>
      </w:pPr>
    </w:p>
    <w:p>
      <w:pPr>
        <w:ind w:right="2460" w:firstLine="615"/>
        <w:spacing w:after="0" w:line="290" w:lineRule="auto"/>
        <w:rPr>
          <w:sz w:val="20"/>
          <w:szCs w:val="20"/>
          <w:color w:val="auto"/>
        </w:rPr>
      </w:pPr>
      <w:r>
        <w:rPr>
          <w:rFonts w:ascii="Arial" w:cs="Arial" w:eastAsia="Arial" w:hAnsi="Arial"/>
          <w:sz w:val="16"/>
          <w:szCs w:val="16"/>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31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99" w:lineRule="exact"/>
        <w:rPr>
          <w:sz w:val="20"/>
          <w:szCs w:val="20"/>
          <w:color w:val="auto"/>
        </w:rPr>
      </w:pPr>
    </w:p>
    <w:p>
      <w:pPr>
        <w:ind w:left="1080" w:right="4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Total compensation is tied to performance. </w:t>
      </w:r>
      <w:r>
        <w:rPr>
          <w:rFonts w:ascii="Arial" w:cs="Arial" w:eastAsia="Arial" w:hAnsi="Arial"/>
          <w:sz w:val="18"/>
          <w:szCs w:val="18"/>
          <w:color w:val="auto"/>
        </w:rPr>
        <w:t>The majority of total executive compensation is variable and delivered on a pay-for-performance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Long-term equity compensation aligns executives' and shareholders' interests. </w:t>
      </w:r>
      <w:r>
        <w:rPr>
          <w:rFonts w:ascii="Arial" w:cs="Arial" w:eastAsia="Arial" w:hAnsi="Arial"/>
          <w:sz w:val="18"/>
          <w:szCs w:val="18"/>
          <w:color w:val="auto"/>
        </w:rPr>
        <w:t>Our named executive officers receive equity awards,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multi-year vesting requirements.</w:t>
      </w:r>
    </w:p>
    <w:p>
      <w:pPr>
        <w:spacing w:after="0" w:line="186"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This framework has resulted in compensation for our named executive officers that is commensurate with our financial results, as demonstrated by the bar graph on page 33 of this proxy statement and the related tabular quantifications and narratives.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Accordingly, we are asking our shareholders to vote, in an advisory manner, "FOR" the adoption of the following resolution:</w:t>
      </w:r>
    </w:p>
    <w:p>
      <w:pPr>
        <w:spacing w:after="0" w:line="225" w:lineRule="exact"/>
        <w:rPr>
          <w:sz w:val="20"/>
          <w:szCs w:val="20"/>
          <w:color w:val="auto"/>
        </w:rPr>
      </w:pPr>
    </w:p>
    <w:p>
      <w:pPr>
        <w:ind w:right="500" w:firstLine="615"/>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3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820" w:firstLine="611"/>
        <w:spacing w:after="0" w:line="268" w:lineRule="auto"/>
        <w:rPr>
          <w:sz w:val="20"/>
          <w:szCs w:val="20"/>
          <w:color w:val="auto"/>
        </w:rPr>
      </w:pPr>
      <w:r>
        <w:rPr>
          <w:rFonts w:ascii="Arial" w:cs="Arial" w:eastAsia="Arial" w:hAnsi="Arial"/>
          <w:sz w:val="18"/>
          <w:szCs w:val="18"/>
          <w:color w:val="auto"/>
        </w:rPr>
        <w:t>The affirmative vote of a majority of the votes cast on the proposal is required for the approval of the non-binding, advisory vote on executive compensation.</w:t>
      </w:r>
    </w:p>
    <w:p>
      <w:pPr>
        <w:spacing w:after="0" w:line="180"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0048E0"/>
              </w:rPr>
              <w:t>VI.</w:t>
            </w:r>
          </w:p>
        </w:tc>
        <w:tc>
          <w:tcPr>
            <w:tcW w:w="10980" w:type="dxa"/>
            <w:vAlign w:val="bottom"/>
          </w:tcPr>
          <w:p>
            <w:pPr>
              <w:ind w:left="200"/>
              <w:spacing w:after="0"/>
              <w:rPr>
                <w:sz w:val="20"/>
                <w:szCs w:val="20"/>
                <w:color w:val="auto"/>
              </w:rPr>
            </w:pPr>
            <w:r>
              <w:rPr>
                <w:rFonts w:ascii="Arial" w:cs="Arial" w:eastAsia="Arial" w:hAnsi="Arial"/>
                <w:sz w:val="18"/>
                <w:szCs w:val="18"/>
                <w:b w:val="1"/>
                <w:bCs w:val="1"/>
                <w:color w:val="0048E0"/>
              </w:rPr>
              <w:t>PROPOSAL NO. 3—NON-BINDING, ADVISORY VOTE ON THE FREQUENCY OF FUTURE ADVISORY VOTES ON EXECUTIVE</w:t>
            </w:r>
          </w:p>
        </w:tc>
      </w:tr>
      <w:tr>
        <w:trPr>
          <w:trHeight w:val="237"/>
        </w:trPr>
        <w:tc>
          <w:tcPr>
            <w:tcW w:w="4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0048E0"/>
              </w:rPr>
              <w:t>COMPENSATION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Pursuant to amendments to Section 14A of the Exchange Act, we are required to provide our shareholders with the opportunity to vote, on an advisory, non-binding basis, for their preference as to whether future advisory votes on the compensation of our named executive officers should occur every one, two or three years. A shareholder advisory vote on executive compensation (such as Proposal No. 2 in this Proxy Statement) is referred to as a "Say on Pay Proposal". At our 2011 annual meeting of shareholders, our shareholders voted to hold an annual advisory vote on our executive compensation program. Accordingly, we have submitted Say on Pay proposals on the compensation of our named executive officers at every subsequent annual meeting.</w:t>
      </w:r>
    </w:p>
    <w:p>
      <w:pPr>
        <w:spacing w:after="0" w:line="170"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are required to hold a vote on the frequency of Say on Pay Proposals every six years. In this Proposal 3, we are again asking for shareholder input as to whether, after this year, a Say on Pay Proposal should occur every one, two or three years.</w:t>
      </w:r>
    </w:p>
    <w:p>
      <w:pPr>
        <w:spacing w:after="0" w:line="186" w:lineRule="exact"/>
        <w:rPr>
          <w:sz w:val="20"/>
          <w:szCs w:val="20"/>
          <w:color w:val="auto"/>
        </w:rPr>
      </w:pPr>
    </w:p>
    <w:p>
      <w:pPr>
        <w:ind w:right="20" w:firstLine="605"/>
        <w:spacing w:after="0" w:line="255" w:lineRule="auto"/>
        <w:rPr>
          <w:sz w:val="20"/>
          <w:szCs w:val="20"/>
          <w:color w:val="auto"/>
        </w:rPr>
      </w:pPr>
      <w:r>
        <w:rPr>
          <w:rFonts w:ascii="Arial" w:cs="Arial" w:eastAsia="Arial" w:hAnsi="Arial"/>
          <w:sz w:val="18"/>
          <w:szCs w:val="18"/>
          <w:color w:val="auto"/>
        </w:rPr>
        <w:t>After careful consideration, our Board recommends that we continue to conduct an annual advisory vote on executive compensation. Our Board believes that an annual advisory vote is the best approach for our Company and our shareholders. An annual advisory vote provides more frequent shareholder feedback to our Board, the Compensation Committee and management regarding our executive compensation programs and policies. As in the past six years, our Board, Compensation Committee and management intend to consider this advisory vote as part of the design of our executive compensation programs and communication of such programs to our shareholders.</w:t>
      </w:r>
    </w:p>
    <w:p>
      <w:pPr>
        <w:spacing w:after="0" w:line="197" w:lineRule="exact"/>
        <w:rPr>
          <w:sz w:val="20"/>
          <w:szCs w:val="20"/>
          <w:color w:val="auto"/>
        </w:rPr>
      </w:pPr>
    </w:p>
    <w:p>
      <w:pPr>
        <w:ind w:right="160" w:firstLine="611"/>
        <w:spacing w:after="0" w:line="306" w:lineRule="auto"/>
        <w:rPr>
          <w:sz w:val="20"/>
          <w:szCs w:val="20"/>
          <w:color w:val="auto"/>
        </w:rPr>
      </w:pPr>
      <w:r>
        <w:rPr>
          <w:rFonts w:ascii="Arial" w:cs="Arial" w:eastAsia="Arial" w:hAnsi="Arial"/>
          <w:sz w:val="16"/>
          <w:szCs w:val="16"/>
          <w:color w:val="auto"/>
        </w:rPr>
        <w:t>The Board will carefully consider the outcome of the vote when making future decisions regarding the frequency of advisory votes on executive compensation. However, because this vote is advisory and not binding, the Board may decide that it is in the best interests of the Company and our shareholders to hold an advisory vote more or less frequently than the alternative that has been selected by our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The frequency (every one, two or three years) receiving the highest number of votes will be deemed to be the choice of our shareholders with respect to the non-binding, advisory vote on the frequency of future advisory votes on executive compensation. You are not voting to approve or disapprove the recommendation of the Board. You may choose to vote for a frequency of every "one year," every "two years," every "three years" or you may abstain from voting on this proposal.</w:t>
      </w:r>
    </w:p>
    <w:p>
      <w:pPr>
        <w:spacing w:after="0" w:line="191"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THE BOARD OF DIRECTORS UNANIMOUSLY RECOMMENDS THAT YOU VOTE TO CONDUCT AN ANNUAL ADVISORY SHAREHOLDER VOTE ON EXECUTIVE COMPENSATION</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048E0"/>
        </w:rPr>
        <w:t>VII.</w:t>
      </w:r>
      <w:r>
        <w:rPr>
          <w:sz w:val="20"/>
          <w:szCs w:val="20"/>
          <w:color w:val="auto"/>
        </w:rPr>
        <w:tab/>
      </w:r>
      <w:r>
        <w:rPr>
          <w:rFonts w:ascii="Arial" w:cs="Arial" w:eastAsia="Arial" w:hAnsi="Arial"/>
          <w:sz w:val="18"/>
          <w:szCs w:val="18"/>
          <w:b w:val="1"/>
          <w:bCs w:val="1"/>
          <w:color w:val="0048E0"/>
        </w:rPr>
        <w:t>PROPOSAL NO. 4—RATIFICATION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611"/>
        <w:spacing w:after="0" w:line="306"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Company's auditors. The Committee engages in an annual evaluation of the independent registered certified public accounting firm's qualifications, performance and independence and considers the advisability and potential impact of selecting a different independent registered certified public accounting firm.</w:t>
      </w:r>
    </w:p>
    <w:p>
      <w:pPr>
        <w:spacing w:after="0" w:line="161"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The Audit Committee has selected PwC to serve as our independent registered public accounting firm for 2017. In accordance with SEC rules and PwC policies, audit partners are subject to rotation requirements to limit the number of consecutive years an individual partner may provide audit service to our Company. For lead and concurring review audit partners, the maximum number of consecutive years of service in that capacity is five years. The process for selection of the Company's lead audit partner pursuant to this rotation policy includes meetings between the Chairman and the members of the Audit Committee and the candidates for the role, as well as discussion by the full Committee and with management.</w:t>
      </w:r>
    </w:p>
    <w:p>
      <w:pPr>
        <w:spacing w:after="0" w:line="170" w:lineRule="exact"/>
        <w:rPr>
          <w:sz w:val="20"/>
          <w:szCs w:val="20"/>
          <w:color w:val="auto"/>
        </w:rPr>
      </w:pPr>
    </w:p>
    <w:p>
      <w:pPr>
        <w:ind w:right="100" w:firstLine="611"/>
        <w:spacing w:after="0" w:line="290" w:lineRule="auto"/>
        <w:rPr>
          <w:sz w:val="20"/>
          <w:szCs w:val="20"/>
          <w:color w:val="auto"/>
        </w:rPr>
      </w:pPr>
      <w:r>
        <w:rPr>
          <w:rFonts w:ascii="Arial" w:cs="Arial" w:eastAsia="Arial" w:hAnsi="Arial"/>
          <w:sz w:val="16"/>
          <w:szCs w:val="16"/>
          <w:color w:val="auto"/>
        </w:rPr>
        <w:t>The Audit Committee and the Board of Directors believe that the continued retention of PwC as our independent registered public accounting firm is in the best interest of the Company and our shareholders, and we are asking our shareholders to ratify the selection of PwC as our independent registered public accounting firm for 2017. Although the Board is submitting the selection of PwC to our shareholders for ratification, the Audit Committee is not required to take any action as a result of the outcome of the vote on this proposal. If our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72" w:lineRule="exact"/>
        <w:rPr>
          <w:sz w:val="20"/>
          <w:szCs w:val="20"/>
          <w:color w:val="auto"/>
        </w:rPr>
      </w:pPr>
    </w:p>
    <w:p>
      <w:pPr>
        <w:ind w:right="580" w:firstLine="615"/>
        <w:spacing w:after="0" w:line="268" w:lineRule="auto"/>
        <w:rPr>
          <w:sz w:val="20"/>
          <w:szCs w:val="20"/>
          <w:color w:val="auto"/>
        </w:rPr>
      </w:pPr>
      <w:r>
        <w:rPr>
          <w:rFonts w:ascii="Arial" w:cs="Arial" w:eastAsia="Arial" w:hAnsi="Arial"/>
          <w:sz w:val="18"/>
          <w:szCs w:val="18"/>
          <w:color w:val="auto"/>
        </w:rPr>
        <w:t>Representatives of PwC are expected to be present at the Annual Meeting, will have an opportunity to make a statement if they desire and will be available to respond to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Services of PricewaterhouseCoopers LLP</w:t>
      </w:r>
    </w:p>
    <w:p>
      <w:pPr>
        <w:spacing w:after="0" w:line="231"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following table presents aggregate fees for professional audit services rendered by PwC for the audit of our consolidated financial statements for the fiscal years ended December 31, 2016 and 2015, and fees billed for other services rendered by PwC during those periods.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Rendered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66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8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r>
              <w:rPr>
                <w:rFonts w:ascii="Arial" w:cs="Arial" w:eastAsia="Arial" w:hAnsi="Arial"/>
                <w:sz w:val="14"/>
                <w:szCs w:val="14"/>
                <w:color w:val="auto"/>
              </w:rPr>
              <w:t>(2)</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37</w:t>
            </w:r>
            <w:r>
              <w:rPr>
                <w:rFonts w:ascii="Arial" w:cs="Arial" w:eastAsia="Arial" w:hAnsi="Arial"/>
                <w:sz w:val="14"/>
                <w:szCs w:val="14"/>
                <w:color w:val="auto"/>
              </w:rPr>
              <w:t>(3)</w:t>
            </w: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r>
              <w:rPr>
                <w:rFonts w:ascii="Arial" w:cs="Arial" w:eastAsia="Arial" w:hAnsi="Arial"/>
                <w:sz w:val="14"/>
                <w:szCs w:val="14"/>
                <w:color w:val="auto"/>
              </w:rPr>
              <w:t>(4)</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221" w:lineRule="exact"/>
        <w:rPr>
          <w:sz w:val="20"/>
          <w:szCs w:val="20"/>
          <w:color w:val="auto"/>
        </w:rPr>
      </w:pPr>
    </w:p>
    <w:p>
      <w:pPr>
        <w:ind w:left="1680" w:right="200" w:hanging="531"/>
        <w:spacing w:after="0" w:line="298"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represents fees for professional services rendered in connection with a service organization control report.</w:t>
      </w:r>
    </w:p>
    <w:p>
      <w:pPr>
        <w:spacing w:after="0" w:line="238" w:lineRule="exact"/>
        <w:rPr>
          <w:rFonts w:ascii="Arial" w:cs="Arial" w:eastAsia="Arial" w:hAnsi="Arial"/>
          <w:sz w:val="18"/>
          <w:szCs w:val="18"/>
          <w:color w:val="auto"/>
        </w:rPr>
      </w:pPr>
    </w:p>
    <w:p>
      <w:pPr>
        <w:ind w:left="1680" w:right="140" w:hanging="531"/>
        <w:spacing w:after="0" w:line="268" w:lineRule="auto"/>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primarily represents fees for professional services rendered for the audit of the financial statements of our employee benefit plans.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represents fees for professional services rendered in connection with international tax compliance.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1" w:lineRule="exact"/>
        <w:rPr>
          <w:sz w:val="20"/>
          <w:szCs w:val="20"/>
          <w:color w:val="auto"/>
        </w:rPr>
      </w:pPr>
    </w:p>
    <w:p>
      <w:pPr>
        <w:ind w:firstLine="615"/>
        <w:spacing w:after="0" w:line="283" w:lineRule="auto"/>
        <w:rPr>
          <w:sz w:val="20"/>
          <w:szCs w:val="20"/>
          <w:color w:val="auto"/>
        </w:rPr>
      </w:pPr>
      <w:r>
        <w:rPr>
          <w:rFonts w:ascii="Arial" w:cs="Arial" w:eastAsia="Arial" w:hAnsi="Arial"/>
          <w:sz w:val="16"/>
          <w:szCs w:val="16"/>
          <w:color w:val="auto"/>
        </w:rPr>
        <w:t>Consistent with requirements of the SEC and the Public Company Accounting Oversight Board (PCAOB) regarding auditor independence, the Audit Committee has responsibility for (i) appointing, (ii) negotiating and setting the compensation of and (iii) overseeing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71" w:lineRule="exact"/>
        <w:rPr>
          <w:sz w:val="20"/>
          <w:szCs w:val="20"/>
          <w:color w:val="auto"/>
        </w:rPr>
      </w:pPr>
    </w:p>
    <w:p>
      <w:pPr>
        <w:ind w:right="80" w:firstLine="611"/>
        <w:spacing w:after="0" w:line="252" w:lineRule="auto"/>
        <w:rPr>
          <w:sz w:val="20"/>
          <w:szCs w:val="20"/>
          <w:color w:val="auto"/>
        </w:rPr>
      </w:pPr>
      <w:r>
        <w:rPr>
          <w:rFonts w:ascii="Arial" w:cs="Arial" w:eastAsia="Arial" w:hAnsi="Arial"/>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Audit Committee has reviewed and discussed with management and with the independent registered certified public accounting firm the audited consolidated financial statements for the 2016 fiscal year. The Audit Committee has also performed the other reviews and duties set forth in its charter. The Audit Committee discussed with the independent registered certified public accounting firm the matters required to be discussed by Auditing Standard No. 1301, Communication with Audit Committees, as adopted by the Public Company Accounting Oversight Board.</w:t>
      </w:r>
    </w:p>
    <w:p>
      <w:pPr>
        <w:spacing w:after="0" w:line="167" w:lineRule="exact"/>
        <w:rPr>
          <w:sz w:val="20"/>
          <w:szCs w:val="20"/>
          <w:color w:val="auto"/>
        </w:rPr>
      </w:pPr>
    </w:p>
    <w:p>
      <w:pPr>
        <w:ind w:right="40" w:firstLine="605"/>
        <w:spacing w:after="0" w:line="29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70"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reliance on the foregoing reviews and discussions, the Audit Committee recommended to the Board that the audited consolidated financial statements referred to above be included in our Annual Report on Form 10-K for the 2016 fiscal year for filing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John L. Manley,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 Member</w:t>
      </w:r>
    </w:p>
    <w:p>
      <w:pPr>
        <w:spacing w:after="0" w:line="219" w:lineRule="exact"/>
        <w:rPr>
          <w:sz w:val="20"/>
          <w:szCs w:val="20"/>
          <w:color w:val="auto"/>
        </w:rPr>
      </w:pPr>
    </w:p>
    <w:p>
      <w:pPr>
        <w:jc w:val="both"/>
        <w:ind w:right="140" w:firstLine="615"/>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INDEPENDENT REGISTERED CERTIFIED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2017 FISCAL YEAR</w:t>
      </w:r>
    </w:p>
    <w:p>
      <w:pPr>
        <w:spacing w:after="0" w:line="9"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048E0"/>
        </w:rPr>
        <w:t>VIII.</w:t>
        <w:tab/>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right="120" w:firstLine="611"/>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3, 2017, by (i) each person known to us to beneficially own more than 5% of our outstanding common stock; (ii) our named executive officers for the fiscal year ended December 31, 2016;</w:t>
      </w:r>
    </w:p>
    <w:p>
      <w:pPr>
        <w:ind w:right="180" w:firstLine="8"/>
        <w:spacing w:after="0" w:line="261" w:lineRule="auto"/>
        <w:tabs>
          <w:tab w:leader="none" w:pos="3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director and nominee for director and (iv) all of the executive officers and directors as a group. Except as shown in the table, no other person is known by us to beneficially own more than 5% of our outstanding common stock.</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3"/>
        </w:trPr>
        <w:tc>
          <w:tcPr>
            <w:tcW w:w="62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180" w:type="dxa"/>
            <w:vAlign w:val="bottom"/>
          </w:tcPr>
          <w:p>
            <w:pPr>
              <w:spacing w:after="0"/>
              <w:rPr>
                <w:sz w:val="16"/>
                <w:szCs w:val="16"/>
                <w:color w:val="auto"/>
              </w:rPr>
            </w:pPr>
          </w:p>
        </w:tc>
        <w:tc>
          <w:tcPr>
            <w:tcW w:w="164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6"/>
              </w:rPr>
              <w:t>Beneficially Owned</w:t>
            </w:r>
            <w:r>
              <w:rPr>
                <w:rFonts w:ascii="Arial" w:cs="Arial" w:eastAsia="Arial" w:hAnsi="Arial"/>
                <w:sz w:val="22"/>
                <w:szCs w:val="22"/>
                <w:b w:val="1"/>
                <w:bCs w:val="1"/>
                <w:color w:val="auto"/>
                <w:w w:val="86"/>
                <w:vertAlign w:val="superscript"/>
              </w:rPr>
              <w:t>(2)</w:t>
            </w:r>
          </w:p>
        </w:tc>
        <w:tc>
          <w:tcPr>
            <w:tcW w:w="160" w:type="dxa"/>
            <w:vAlign w:val="bottom"/>
          </w:tcPr>
          <w:p>
            <w:pPr>
              <w:spacing w:after="0"/>
              <w:rPr>
                <w:sz w:val="16"/>
                <w:szCs w:val="16"/>
                <w:color w:val="auto"/>
              </w:rPr>
            </w:pPr>
          </w:p>
        </w:tc>
        <w:tc>
          <w:tcPr>
            <w:tcW w:w="940" w:type="dxa"/>
            <w:vAlign w:val="bottom"/>
          </w:tcPr>
          <w:p>
            <w:pPr>
              <w:ind w:left="180"/>
              <w:spacing w:after="0" w:line="193" w:lineRule="exact"/>
              <w:rPr>
                <w:sz w:val="20"/>
                <w:szCs w:val="20"/>
                <w:color w:val="auto"/>
              </w:rPr>
            </w:pPr>
            <w:r>
              <w:rPr>
                <w:rFonts w:ascii="Arial" w:cs="Arial" w:eastAsia="Arial" w:hAnsi="Arial"/>
                <w:sz w:val="14"/>
                <w:szCs w:val="14"/>
                <w:b w:val="1"/>
                <w:bCs w:val="1"/>
                <w:color w:val="auto"/>
              </w:rPr>
              <w:t>Percent</w:t>
            </w:r>
            <w:r>
              <w:rPr>
                <w:rFonts w:ascii="Arial" w:cs="Arial" w:eastAsia="Arial" w:hAnsi="Arial"/>
                <w:sz w:val="22"/>
                <w:szCs w:val="22"/>
                <w:b w:val="1"/>
                <w:bCs w:val="1"/>
                <w:color w:val="auto"/>
                <w:vertAlign w:val="superscript"/>
              </w:rPr>
              <w:t>(2)</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Holding more than 5%</w:t>
            </w:r>
          </w:p>
        </w:tc>
        <w:tc>
          <w:tcPr>
            <w:tcW w:w="1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8,682,204</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12.6%</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5,690,316</w:t>
            </w:r>
          </w:p>
        </w:tc>
        <w:tc>
          <w:tcPr>
            <w:tcW w:w="11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8.2%</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9"/>
                <w:szCs w:val="29"/>
                <w:color w:val="auto"/>
                <w:vertAlign w:val="superscript"/>
              </w:rPr>
              <w:t>(5)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5,751,277</w:t>
            </w:r>
          </w:p>
        </w:tc>
        <w:tc>
          <w:tcPr>
            <w:tcW w:w="110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8.3%</w:t>
            </w: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Michael J. Kasbar</w:t>
            </w:r>
            <w:r>
              <w:rPr>
                <w:rFonts w:ascii="Arial" w:cs="Arial" w:eastAsia="Arial" w:hAnsi="Arial"/>
                <w:sz w:val="29"/>
                <w:szCs w:val="29"/>
                <w:color w:val="auto"/>
                <w:vertAlign w:val="superscript"/>
              </w:rPr>
              <w:t>(6)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773,266</w:t>
            </w:r>
          </w:p>
        </w:tc>
        <w:tc>
          <w:tcPr>
            <w:tcW w:w="110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1.1%</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Ira M. Birns</w:t>
            </w:r>
            <w:r>
              <w:rPr>
                <w:rFonts w:ascii="Arial" w:cs="Arial" w:eastAsia="Arial" w:hAnsi="Arial"/>
                <w:sz w:val="29"/>
                <w:szCs w:val="29"/>
                <w:color w:val="auto"/>
                <w:vertAlign w:val="superscript"/>
              </w:rPr>
              <w:t>(7)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97,818</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Michael J. Crosby</w:t>
            </w:r>
            <w:r>
              <w:rPr>
                <w:rFonts w:ascii="Arial" w:cs="Arial" w:eastAsia="Arial" w:hAnsi="Arial"/>
                <w:sz w:val="29"/>
                <w:szCs w:val="29"/>
                <w:color w:val="auto"/>
                <w:vertAlign w:val="superscript"/>
              </w:rPr>
              <w:t>(8)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P. Rau</w:t>
            </w:r>
            <w:r>
              <w:rPr>
                <w:rFonts w:ascii="Arial" w:cs="Arial" w:eastAsia="Arial" w:hAnsi="Arial"/>
                <w:sz w:val="29"/>
                <w:szCs w:val="29"/>
                <w:color w:val="auto"/>
                <w:vertAlign w:val="superscript"/>
              </w:rPr>
              <w:t>(9)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Ken Bakshi</w:t>
            </w:r>
            <w:r>
              <w:rPr>
                <w:rFonts w:ascii="Arial" w:cs="Arial" w:eastAsia="Arial" w:hAnsi="Arial"/>
                <w:sz w:val="29"/>
                <w:szCs w:val="29"/>
                <w:color w:val="auto"/>
                <w:vertAlign w:val="superscript"/>
              </w:rPr>
              <w:t>(10)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Jorge L. Benitez</w:t>
            </w:r>
            <w:r>
              <w:rPr>
                <w:rFonts w:ascii="Arial" w:cs="Arial" w:eastAsia="Arial" w:hAnsi="Arial"/>
                <w:sz w:val="29"/>
                <w:szCs w:val="29"/>
                <w:color w:val="auto"/>
                <w:vertAlign w:val="superscript"/>
              </w:rPr>
              <w:t>(11)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Richard A. Kassar</w:t>
            </w:r>
            <w:r>
              <w:rPr>
                <w:rFonts w:ascii="Arial" w:cs="Arial" w:eastAsia="Arial" w:hAnsi="Arial"/>
                <w:sz w:val="29"/>
                <w:szCs w:val="29"/>
                <w:color w:val="auto"/>
                <w:vertAlign w:val="superscript"/>
              </w:rPr>
              <w:t>(12)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39,162</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Myles Klein</w:t>
            </w:r>
            <w:r>
              <w:rPr>
                <w:rFonts w:ascii="Arial" w:cs="Arial" w:eastAsia="Arial" w:hAnsi="Arial"/>
                <w:sz w:val="29"/>
                <w:szCs w:val="29"/>
                <w:color w:val="auto"/>
                <w:vertAlign w:val="superscript"/>
              </w:rPr>
              <w:t>(13)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John L. Manley</w:t>
            </w:r>
            <w:r>
              <w:rPr>
                <w:rFonts w:ascii="Arial" w:cs="Arial" w:eastAsia="Arial" w:hAnsi="Arial"/>
                <w:sz w:val="29"/>
                <w:szCs w:val="29"/>
                <w:color w:val="auto"/>
                <w:vertAlign w:val="superscript"/>
              </w:rPr>
              <w:t>(14)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22,826</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 Thomas Presby</w:t>
            </w:r>
            <w:r>
              <w:rPr>
                <w:rFonts w:ascii="Arial" w:cs="Arial" w:eastAsia="Arial" w:hAnsi="Arial"/>
                <w:sz w:val="29"/>
                <w:szCs w:val="29"/>
                <w:color w:val="auto"/>
                <w:vertAlign w:val="superscript"/>
              </w:rPr>
              <w:t>(15)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tcPr>
          <w:p>
            <w:pPr>
              <w:spacing w:after="0" w:line="256" w:lineRule="exact"/>
              <w:rPr>
                <w:sz w:val="20"/>
                <w:szCs w:val="20"/>
                <w:color w:val="auto"/>
              </w:rPr>
            </w:pPr>
            <w:r>
              <w:rPr>
                <w:rFonts w:ascii="Arial" w:cs="Arial" w:eastAsia="Arial" w:hAnsi="Arial"/>
                <w:sz w:val="18"/>
                <w:szCs w:val="18"/>
                <w:color w:val="auto"/>
              </w:rPr>
              <w:t>Stephen K. Roddenberry</w:t>
            </w:r>
            <w:r>
              <w:rPr>
                <w:rFonts w:ascii="Arial" w:cs="Arial" w:eastAsia="Arial" w:hAnsi="Arial"/>
                <w:sz w:val="29"/>
                <w:szCs w:val="29"/>
                <w:color w:val="auto"/>
                <w:vertAlign w:val="superscript"/>
              </w:rPr>
              <w:t>(16)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69,377</w:t>
            </w:r>
          </w:p>
        </w:tc>
        <w:tc>
          <w:tcPr>
            <w:tcW w:w="110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Paul H. Stebbins</w:t>
            </w:r>
            <w:r>
              <w:rPr>
                <w:rFonts w:ascii="Arial" w:cs="Arial" w:eastAsia="Arial" w:hAnsi="Arial"/>
                <w:sz w:val="29"/>
                <w:szCs w:val="29"/>
                <w:color w:val="auto"/>
                <w:vertAlign w:val="superscript"/>
              </w:rPr>
              <w:t>(17)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381,846</w:t>
            </w:r>
          </w:p>
        </w:tc>
        <w:tc>
          <w:tcPr>
            <w:tcW w:w="11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(13 persons)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1,496,918</w:t>
            </w:r>
          </w:p>
        </w:tc>
        <w:tc>
          <w:tcPr>
            <w:tcW w:w="110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2.2%</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1140" w:hanging="531"/>
        <w:spacing w:after="0" w:line="268"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identified is c/o World Fuel Services Corporation, 9800 Northwest 41st Street, Miami, Florida 33178.</w:t>
      </w:r>
    </w:p>
    <w:p>
      <w:pPr>
        <w:spacing w:after="0" w:line="199" w:lineRule="exact"/>
        <w:rPr>
          <w:rFonts w:ascii="Arial" w:cs="Arial" w:eastAsia="Arial" w:hAnsi="Arial"/>
          <w:sz w:val="18"/>
          <w:szCs w:val="18"/>
          <w:color w:val="auto"/>
        </w:rPr>
      </w:pPr>
    </w:p>
    <w:p>
      <w:pPr>
        <w:ind w:left="1680" w:hanging="531"/>
        <w:spacing w:after="0" w:line="283"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April 3, 2017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w:t>
      </w:r>
    </w:p>
    <w:p>
      <w:pPr>
        <w:ind w:left="1680" w:right="180"/>
        <w:spacing w:after="0" w:line="250" w:lineRule="auto"/>
        <w:rPr>
          <w:rFonts w:ascii="Arial" w:cs="Arial" w:eastAsia="Arial" w:hAnsi="Arial"/>
          <w:sz w:val="16"/>
          <w:szCs w:val="16"/>
          <w:color w:val="auto"/>
        </w:rPr>
      </w:pPr>
      <w:r>
        <w:rPr>
          <w:rFonts w:ascii="Arial" w:cs="Arial" w:eastAsia="Arial" w:hAnsi="Arial"/>
          <w:sz w:val="18"/>
          <w:szCs w:val="18"/>
          <w:color w:val="auto"/>
        </w:rPr>
        <w:t>60 days of April 3, 2017, by the difference between the closing price of $36.14 for our common stock on April 3, 2017 and the SSAR exercise price and (b) dividing such number by $36.14. The percentages shown are based on 69,061,810 shares of common stock issued and outstanding on April 3, 2017.</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40" w:hanging="531"/>
        <w:spacing w:after="0" w:line="256"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a Schedule 13G/A, as filed with the SEC on February 14, 2017. FMR, LLC, 245 Summer Street, Boston, MA 02210, a parent holding company in accordance with Rule 13d-1(b)(ii)(G) of the Exchange Act, is the beneficial owner of 8,682,204 shares of our outstanding common stock, of which they hold sole voting power with respect to 673,582 shares and sole investment power with respect to all of the beneficially owned shares.</w:t>
      </w:r>
    </w:p>
    <w:p>
      <w:pPr>
        <w:spacing w:after="0" w:line="224" w:lineRule="exact"/>
        <w:rPr>
          <w:rFonts w:ascii="Arial" w:cs="Arial" w:eastAsia="Arial" w:hAnsi="Arial"/>
          <w:sz w:val="18"/>
          <w:szCs w:val="18"/>
          <w:color w:val="auto"/>
        </w:rPr>
      </w:pPr>
    </w:p>
    <w:p>
      <w:pPr>
        <w:ind w:left="1680" w:right="240" w:hanging="531"/>
        <w:spacing w:after="0" w:line="298"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January 27, 2017. BlackRock, Inc., 55 East 52nd Street, New York, NY 10055, a parent holding company or control person in accordance with Rule 13d-1(b)(1)(ii)(G) of the Exchange Act, is the beneficial owner of 5,690,316 shares of our outstanding common stock, of which they hold sole voting power with respect to 5,371,592 shares and sole investment power with respect to all of the beneficially owned shares.</w:t>
      </w:r>
    </w:p>
    <w:p>
      <w:pPr>
        <w:spacing w:after="0" w:line="180" w:lineRule="exact"/>
        <w:rPr>
          <w:rFonts w:ascii="Arial" w:cs="Arial" w:eastAsia="Arial" w:hAnsi="Arial"/>
          <w:sz w:val="16"/>
          <w:szCs w:val="16"/>
          <w:color w:val="auto"/>
        </w:rPr>
      </w:pPr>
    </w:p>
    <w:p>
      <w:pPr>
        <w:ind w:left="1680" w:right="60" w:hanging="531"/>
        <w:spacing w:after="0" w:line="254"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a Schedule 13G/A, as filed with the SEC on February 10, 2017. The Vanguard Group, Inc., 100 Vanguard Blvd., Malvern, PA 19355, an investment adviser in accordance with Rule 13d-1(b)(1)(ii)(E) and two wholly owned subsidiaries, Vanguard Fiduciary Trust Company and Vanguard Investments Australia, Ltd., are the beneficial owners of 5,751,277, 38,543 and 11,269 shares, respectively, of our outstanding common stock. The Vanguard Group, Inc. holds sole voting power with respect to 42,212 shares, shared voting power with respect to 7,600 shares, sole investment power with respect to 5,705,134 shares and shared investing power with respect to 46,143 shares beneficially owned.</w:t>
      </w:r>
    </w:p>
    <w:p>
      <w:pPr>
        <w:spacing w:after="0" w:line="211" w:lineRule="exact"/>
        <w:rPr>
          <w:rFonts w:ascii="Arial" w:cs="Arial" w:eastAsia="Arial" w:hAnsi="Arial"/>
          <w:sz w:val="18"/>
          <w:szCs w:val="18"/>
          <w:color w:val="auto"/>
        </w:rPr>
      </w:pPr>
    </w:p>
    <w:p>
      <w:pPr>
        <w:ind w:left="1680" w:right="40" w:hanging="531"/>
        <w:spacing w:after="0" w:line="256"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1,340 of the reported shares of common stock are indirectly held by Mr. Kasbar's spouse. This amount excludes 47,825 RSUs that have not yet vested. Pursuant to the terms of the agreements governing these equity awards, Mr. Kasbar has contractually agreed not to exercise any voting rights with respect to the shares prior to vesting. This amount also includes 203,784 shares that were pledged as collateral for a personal loan.</w:t>
      </w:r>
    </w:p>
    <w:p>
      <w:pPr>
        <w:spacing w:after="0" w:line="224" w:lineRule="exact"/>
        <w:rPr>
          <w:rFonts w:ascii="Arial" w:cs="Arial" w:eastAsia="Arial" w:hAnsi="Arial"/>
          <w:sz w:val="18"/>
          <w:szCs w:val="18"/>
          <w:color w:val="auto"/>
        </w:rPr>
      </w:pPr>
    </w:p>
    <w:p>
      <w:pPr>
        <w:ind w:left="1680" w:right="420" w:hanging="531"/>
        <w:spacing w:after="0" w:line="332"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excludes 19,189 RSUs that have not yet vested. Pursuant to the terms of the agreements governing these equity awards, Mr. Birns has contractually agreed not to exercise any voting rights with respect to the shares prior to vesting.</w:t>
      </w:r>
    </w:p>
    <w:p>
      <w:pPr>
        <w:spacing w:after="0" w:line="152" w:lineRule="exact"/>
        <w:rPr>
          <w:rFonts w:ascii="Arial" w:cs="Arial" w:eastAsia="Arial" w:hAnsi="Arial"/>
          <w:sz w:val="16"/>
          <w:szCs w:val="16"/>
          <w:color w:val="auto"/>
        </w:rPr>
      </w:pPr>
    </w:p>
    <w:p>
      <w:pPr>
        <w:ind w:left="1680" w:right="80" w:hanging="531"/>
        <w:spacing w:after="0" w:line="306"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971 shares of common stock issuable pursuant to the settlement of RSUs that are vested or will vest within 60 days of April 3, 2017. This amount excludes 38,264 RSUs that have not yet vested. Pursuant to the terms of the agreements governing these equity awards, Mr. Crosby has contractually agreed not to exercise any voting rights with respect to the shares prior to vesting.</w:t>
      </w:r>
    </w:p>
    <w:p>
      <w:pPr>
        <w:spacing w:after="0" w:line="174" w:lineRule="exact"/>
        <w:rPr>
          <w:rFonts w:ascii="Arial" w:cs="Arial" w:eastAsia="Arial" w:hAnsi="Arial"/>
          <w:sz w:val="16"/>
          <w:szCs w:val="16"/>
          <w:color w:val="auto"/>
        </w:rPr>
      </w:pPr>
    </w:p>
    <w:p>
      <w:pPr>
        <w:ind w:left="1680" w:hanging="531"/>
        <w:spacing w:after="0"/>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8,682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80"/>
        <w:spacing w:after="0" w:line="361" w:lineRule="auto"/>
        <w:rPr>
          <w:rFonts w:ascii="Arial" w:cs="Arial" w:eastAsia="Arial" w:hAnsi="Arial"/>
          <w:sz w:val="16"/>
          <w:szCs w:val="16"/>
          <w:color w:val="auto"/>
        </w:rPr>
      </w:pPr>
      <w:r>
        <w:rPr>
          <w:rFonts w:ascii="Arial" w:cs="Arial" w:eastAsia="Arial" w:hAnsi="Arial"/>
          <w:sz w:val="15"/>
          <w:szCs w:val="15"/>
          <w:color w:val="auto"/>
        </w:rPr>
        <w:t>60 days of April 3, 2017. This amount excludes 54,128 RSUs that have not yet vested. Pursuant to the terms of the agreements governing these equity awards, Mr. Rau has contractually agreed not to exercise any voting rights with respect to the shares prior to vesting.</w:t>
      </w:r>
    </w:p>
    <w:p>
      <w:pPr>
        <w:spacing w:after="0" w:line="150" w:lineRule="exact"/>
        <w:rPr>
          <w:rFonts w:ascii="Arial" w:cs="Arial" w:eastAsia="Arial" w:hAnsi="Arial"/>
          <w:sz w:val="16"/>
          <w:szCs w:val="16"/>
          <w:color w:val="auto"/>
        </w:rPr>
      </w:pPr>
    </w:p>
    <w:p>
      <w:pPr>
        <w:ind w:left="1680" w:right="160" w:hanging="531"/>
        <w:spacing w:after="0" w:line="256"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35,640 shares of common stock issuable pursuant to the settlement of stock units and RSUs that are vested or will vest within 60 days of April 3, 2017. Upon settlement, 29,455 shares will be delivered to Mr. Bakshi upon his departure from the Board, 1,678 will be delivered in May 2017 and the balance will be delivered on the earlier of his departure from the Board or the third anniversary of the respective grant date.</w:t>
      </w:r>
    </w:p>
    <w:p>
      <w:pPr>
        <w:spacing w:after="0" w:line="210" w:lineRule="exact"/>
        <w:rPr>
          <w:rFonts w:ascii="Arial" w:cs="Arial" w:eastAsia="Arial" w:hAnsi="Arial"/>
          <w:sz w:val="18"/>
          <w:szCs w:val="18"/>
          <w:color w:val="auto"/>
        </w:rPr>
      </w:pPr>
    </w:p>
    <w:p>
      <w:pPr>
        <w:ind w:left="1680" w:right="540" w:hanging="531"/>
        <w:spacing w:after="0" w:line="254"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5,371 shares of common stock issuable pursuant to the settlement of RSUs that are vested or will vest within 60 days of April 3, 2017. Upon settlement, 1,678 shares will be</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660"/>
        <w:spacing w:after="0" w:line="268" w:lineRule="auto"/>
        <w:rPr>
          <w:sz w:val="20"/>
          <w:szCs w:val="20"/>
          <w:color w:val="auto"/>
        </w:rPr>
      </w:pPr>
      <w:r>
        <w:rPr>
          <w:rFonts w:ascii="Arial" w:cs="Arial" w:eastAsia="Arial" w:hAnsi="Arial"/>
          <w:sz w:val="18"/>
          <w:szCs w:val="18"/>
          <w:color w:val="auto"/>
        </w:rPr>
        <w:t>delivered to Mr. Benitez in May 2017 and the balance will be delivered on the earlier of his departure from the Board or the third anniversary of the respective grant date.</w:t>
      </w:r>
    </w:p>
    <w:p>
      <w:pPr>
        <w:spacing w:after="0" w:line="199" w:lineRule="exact"/>
        <w:rPr>
          <w:sz w:val="20"/>
          <w:szCs w:val="20"/>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22,950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20"/>
        <w:spacing w:after="0" w:line="255" w:lineRule="auto"/>
        <w:rPr>
          <w:rFonts w:ascii="Arial" w:cs="Arial" w:eastAsia="Arial" w:hAnsi="Arial"/>
          <w:sz w:val="16"/>
          <w:szCs w:val="16"/>
          <w:color w:val="auto"/>
        </w:rPr>
      </w:pPr>
      <w:r>
        <w:rPr>
          <w:rFonts w:ascii="Arial" w:cs="Arial" w:eastAsia="Arial" w:hAnsi="Arial"/>
          <w:sz w:val="18"/>
          <w:szCs w:val="18"/>
          <w:color w:val="auto"/>
        </w:rPr>
        <w:t>60 days of April 3, 2017. Upon settlement, 16,679 shares will be delivered to Mr. Kassar upon his departure from the Board, 1,678 will be delivered in May 2017 and the balance will be delivered on the earlier of his departure from the Board or the third anniversary of the respective grant date.</w:t>
      </w:r>
    </w:p>
    <w:p>
      <w:pPr>
        <w:spacing w:after="0" w:line="225" w:lineRule="exact"/>
        <w:rPr>
          <w:rFonts w:ascii="Arial" w:cs="Arial" w:eastAsia="Arial" w:hAnsi="Arial"/>
          <w:sz w:val="16"/>
          <w:szCs w:val="16"/>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22,950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180"/>
        <w:spacing w:after="0" w:line="254" w:lineRule="auto"/>
        <w:rPr>
          <w:rFonts w:ascii="Arial" w:cs="Arial" w:eastAsia="Arial" w:hAnsi="Arial"/>
          <w:sz w:val="16"/>
          <w:szCs w:val="16"/>
          <w:color w:val="auto"/>
        </w:rPr>
      </w:pPr>
      <w:r>
        <w:rPr>
          <w:rFonts w:ascii="Arial" w:cs="Arial" w:eastAsia="Arial" w:hAnsi="Arial"/>
          <w:sz w:val="18"/>
          <w:szCs w:val="18"/>
          <w:color w:val="auto"/>
        </w:rPr>
        <w:t>60 days of April 3, 2017. Upon settlement of the RSUs, 16,679 shares will be delivered to Mr. Klein upon his departure from the Board, 1,678 will be delivered in May 2017 and the balance will be delivered on the earlier of his departure from the Board or the third anniversary of the respective grant date. 13,845 of the shares of common stock beneficially owned by Mr. Klein are held by a trust, for which Mr. Klein serves as trustee.</w:t>
      </w:r>
    </w:p>
    <w:p>
      <w:pPr>
        <w:spacing w:after="0" w:line="211" w:lineRule="exact"/>
        <w:rPr>
          <w:rFonts w:ascii="Arial" w:cs="Arial" w:eastAsia="Arial" w:hAnsi="Arial"/>
          <w:sz w:val="16"/>
          <w:szCs w:val="16"/>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6,271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120"/>
        <w:spacing w:after="0" w:line="255" w:lineRule="auto"/>
        <w:rPr>
          <w:rFonts w:ascii="Arial" w:cs="Arial" w:eastAsia="Arial" w:hAnsi="Arial"/>
          <w:sz w:val="16"/>
          <w:szCs w:val="16"/>
          <w:color w:val="auto"/>
        </w:rPr>
      </w:pPr>
      <w:r>
        <w:rPr>
          <w:rFonts w:ascii="Arial" w:cs="Arial" w:eastAsia="Arial" w:hAnsi="Arial"/>
          <w:sz w:val="18"/>
          <w:szCs w:val="18"/>
          <w:color w:val="auto"/>
        </w:rPr>
        <w:t>60 days of April 3, 2017. Upon settlement of the RSUs, 1,749 shares will be delivered to Mr. Manley upon his departure from the Board, 1,678 will be delivered in May 2017 and the balance will be delivered on the earlier of his departure from the Board or the third anniversary of the respective grant date.</w:t>
      </w:r>
    </w:p>
    <w:p>
      <w:pPr>
        <w:spacing w:after="0" w:line="211" w:lineRule="exact"/>
        <w:rPr>
          <w:rFonts w:ascii="Arial" w:cs="Arial" w:eastAsia="Arial" w:hAnsi="Arial"/>
          <w:sz w:val="16"/>
          <w:szCs w:val="16"/>
          <w:color w:val="auto"/>
        </w:rPr>
      </w:pPr>
    </w:p>
    <w:p>
      <w:pPr>
        <w:jc w:val="both"/>
        <w:ind w:left="1680" w:right="180" w:hanging="531"/>
        <w:spacing w:after="0" w:line="256"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includes 31,301 shares of common stock issuable pursuant to the settlement of stock units and RSUs that are vested or will vest within 60 days of April 3, 2017. Upon settlement, 20,809 shares will be delivered to Mr. Presby upon his departure from the Board, 1,678 will be delivered in May 2017 and the balance of the RSUs will be delivered on the earlier of his departure from the Board or the third anniversary of the respective grant date.</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22,950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160"/>
        <w:spacing w:after="0" w:line="255" w:lineRule="auto"/>
        <w:rPr>
          <w:rFonts w:ascii="Arial" w:cs="Arial" w:eastAsia="Arial" w:hAnsi="Arial"/>
          <w:sz w:val="16"/>
          <w:szCs w:val="16"/>
          <w:color w:val="auto"/>
        </w:rPr>
      </w:pPr>
      <w:r>
        <w:rPr>
          <w:rFonts w:ascii="Arial" w:cs="Arial" w:eastAsia="Arial" w:hAnsi="Arial"/>
          <w:sz w:val="18"/>
          <w:szCs w:val="18"/>
          <w:color w:val="auto"/>
        </w:rPr>
        <w:t>60 days of April 3, 2017. Upon settlement of the RSUs, 16,679 shares will be delivered to Mr. Roddenberry upon his departure from the Board, 1,678 will be delivered in May 2017 and the balance will be delivered on the earlier of his departure from the Board or the third anniversary of the respective grant date.</w:t>
      </w:r>
    </w:p>
    <w:p>
      <w:pPr>
        <w:spacing w:after="0" w:line="211" w:lineRule="exact"/>
        <w:rPr>
          <w:rFonts w:ascii="Arial" w:cs="Arial" w:eastAsia="Arial" w:hAnsi="Arial"/>
          <w:sz w:val="16"/>
          <w:szCs w:val="16"/>
          <w:color w:val="auto"/>
        </w:rPr>
      </w:pPr>
    </w:p>
    <w:p>
      <w:pPr>
        <w:ind w:left="1680" w:hanging="531"/>
        <w:spacing w:after="0"/>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amount includes 3,139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60"/>
        <w:spacing w:after="0" w:line="281" w:lineRule="auto"/>
        <w:rPr>
          <w:rFonts w:ascii="Arial" w:cs="Arial" w:eastAsia="Arial" w:hAnsi="Arial"/>
          <w:sz w:val="16"/>
          <w:szCs w:val="16"/>
          <w:color w:val="auto"/>
        </w:rPr>
      </w:pPr>
      <w:r>
        <w:rPr>
          <w:rFonts w:ascii="Arial" w:cs="Arial" w:eastAsia="Arial" w:hAnsi="Arial"/>
          <w:sz w:val="16"/>
          <w:szCs w:val="16"/>
          <w:color w:val="auto"/>
        </w:rPr>
        <w:t>60 days of April 3, 2017. Upon settlement, 1,570 shares will be delivered to Mr. Stebbins in May 2017 and the balance will be delivered on the earlier of his departure from the Board or the third anniversary of the respective grant date. 136,850 of the shares of common stock beneficially owned by Mr. Stebbins are held by a revocable trust, for which Mr. Stebbins serves as trustee and 237,251 are held by</w:t>
      </w:r>
    </w:p>
    <w:p>
      <w:pPr>
        <w:spacing w:after="0" w:line="2"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Mr. Stebbins' grantor retained annuity trust.</w:t>
      </w:r>
    </w:p>
    <w:p>
      <w:pPr>
        <w:spacing w:after="0" w:line="232" w:lineRule="exact"/>
        <w:rPr>
          <w:rFonts w:ascii="Arial" w:cs="Arial" w:eastAsia="Arial" w:hAnsi="Arial"/>
          <w:sz w:val="16"/>
          <w:szCs w:val="16"/>
          <w:color w:val="auto"/>
        </w:rPr>
      </w:pPr>
    </w:p>
    <w:p>
      <w:pPr>
        <w:ind w:left="1680" w:right="280" w:hanging="531"/>
        <w:spacing w:after="0" w:line="254"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includes an aggregate of 126,103 shares issuable pursuant to RSUs or SSARs that vested or will vest within 60 days after April 3, 2017.</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048E0"/>
        </w:rPr>
        <w:t>IX.</w:t>
      </w:r>
      <w:r>
        <w:rPr>
          <w:sz w:val="20"/>
          <w:szCs w:val="20"/>
          <w:color w:val="auto"/>
        </w:rPr>
        <w:tab/>
      </w:r>
      <w:r>
        <w:rPr>
          <w:rFonts w:ascii="Arial" w:cs="Arial" w:eastAsia="Arial" w:hAnsi="Arial"/>
          <w:sz w:val="18"/>
          <w:szCs w:val="18"/>
          <w:b w:val="1"/>
          <w:bCs w:val="1"/>
          <w:color w:val="0048E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2016 were made on a timely basis, with the exception of Carlos M. Velazquez who reported two late Form 4 transactions on Form 5 due to an inadvertent administrative oversight.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2018 Annual Meeting</w:t>
      </w:r>
    </w:p>
    <w:p>
      <w:pPr>
        <w:spacing w:after="0" w:line="231"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i w:val="1"/>
          <w:iCs w:val="1"/>
          <w:color w:val="auto"/>
        </w:rPr>
        <w:t xml:space="preserve">Proposals for Inclusion in the Proxy Statement. </w:t>
      </w:r>
      <w:r>
        <w:rPr>
          <w:rFonts w:ascii="Arial" w:cs="Arial" w:eastAsia="Arial" w:hAnsi="Arial"/>
          <w:sz w:val="16"/>
          <w:szCs w:val="16"/>
          <w:color w:val="auto"/>
        </w:rPr>
        <w:t>The date by which shareholder proposals must be received by us for inclusion in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2018 annual meeting of shareholders, or the "2018 Annual Meeting," is December 14, 2017. Upon receipt of any such proposal, we will determine whether or not to include such proposal in the proxy materials in accordance with SEC regulations governing the solicitation of proxies.</w:t>
      </w:r>
    </w:p>
    <w:p>
      <w:pPr>
        <w:spacing w:after="0" w:line="161"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i w:val="1"/>
          <w:iCs w:val="1"/>
          <w:color w:val="auto"/>
        </w:rPr>
        <w:t xml:space="preserve">Proposals not Included in the Proxy Statement and Nominations for Director. </w:t>
      </w:r>
      <w:r>
        <w:rPr>
          <w:rFonts w:ascii="Arial" w:cs="Arial" w:eastAsia="Arial" w:hAnsi="Arial"/>
          <w:sz w:val="16"/>
          <w:szCs w:val="16"/>
          <w:color w:val="auto"/>
        </w:rPr>
        <w:t>Shareholder proposals not included in the Company's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May 25, 2018) and must contain specified information concerning the matters to be brought before such meeting and concerning the shareholder proposing such matters. For the 2018 Annual Meeting, the Corporate Secretary must receive notice of the proposal on or after the close of business on January 25, 2018 and no later than the close of business on February 26, 2018.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we hold the 2018 Annual Meeting more than 30 days earlier or more than 60 days later than such anniversary date, we must receive your notice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ind w:right="40" w:firstLine="611"/>
        <w:spacing w:after="0" w:line="335" w:lineRule="auto"/>
        <w:rPr>
          <w:sz w:val="20"/>
          <w:szCs w:val="20"/>
          <w:color w:val="auto"/>
        </w:rPr>
      </w:pPr>
      <w:r>
        <w:rPr>
          <w:rFonts w:ascii="Arial" w:cs="Arial" w:eastAsia="Arial" w:hAnsi="Arial"/>
          <w:sz w:val="15"/>
          <w:szCs w:val="15"/>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42" w:lineRule="exact"/>
        <w:rPr>
          <w:sz w:val="20"/>
          <w:szCs w:val="20"/>
          <w:color w:val="auto"/>
        </w:rPr>
      </w:pPr>
    </w:p>
    <w:p>
      <w:pPr>
        <w:ind w:right="300" w:firstLine="611"/>
        <w:spacing w:after="0" w:line="305" w:lineRule="auto"/>
        <w:rPr>
          <w:sz w:val="20"/>
          <w:szCs w:val="20"/>
          <w:color w:val="auto"/>
        </w:rPr>
      </w:pPr>
      <w:r>
        <w:rPr>
          <w:rFonts w:ascii="Arial" w:cs="Arial" w:eastAsia="Arial" w:hAnsi="Arial"/>
          <w:sz w:val="15"/>
          <w:szCs w:val="15"/>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Shareholders Entitled to Vote at the Annual Meeting</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names of shareholders of record entitled to vote at the Annual Meeting will be available at our corporate office for a period of 10 days prior to the Annual Meeting and continuing through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Relating to this Proxy Solicitation</w:t>
      </w:r>
    </w:p>
    <w:p>
      <w:pPr>
        <w:spacing w:after="0" w:line="231"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our Board of Directors</w:t>
      </w:r>
    </w:p>
    <w:p>
      <w:pPr>
        <w:spacing w:after="0" w:line="231" w:lineRule="exact"/>
        <w:rPr>
          <w:sz w:val="20"/>
          <w:szCs w:val="20"/>
          <w:color w:val="auto"/>
        </w:rPr>
      </w:pPr>
    </w:p>
    <w:p>
      <w:pPr>
        <w:ind w:right="120" w:firstLine="605"/>
        <w:spacing w:after="0" w:line="291" w:lineRule="auto"/>
        <w:rPr>
          <w:sz w:val="20"/>
          <w:szCs w:val="20"/>
          <w:color w:val="auto"/>
        </w:rPr>
      </w:pPr>
      <w:r>
        <w:rPr>
          <w:rFonts w:ascii="Arial" w:cs="Arial" w:eastAsia="Arial" w:hAnsi="Arial"/>
          <w:sz w:val="16"/>
          <w:szCs w:val="16"/>
          <w:color w:val="auto"/>
        </w:rPr>
        <w:t>Any interested party can contact our Board, any Board committee, our presiding director, our lead independent director, the non- management directors as a group or any individual director by (i) writing to any of them, c/o Corporate Secretary, at our principal office at 9800 Northwest 41st Street, Miami, Florida 33178, (ii) contacting our compliance hotline at (877) 787-8742 (Toll Free Domestic) or (770) 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300" w:firstLine="611"/>
        <w:spacing w:after="0" w:line="323" w:lineRule="auto"/>
        <w:rPr>
          <w:sz w:val="20"/>
          <w:szCs w:val="20"/>
          <w:color w:val="auto"/>
        </w:rPr>
      </w:pPr>
      <w:r>
        <w:rPr>
          <w:rFonts w:ascii="Arial" w:cs="Arial" w:eastAsia="Arial" w:hAnsi="Arial"/>
          <w:sz w:val="15"/>
          <w:szCs w:val="15"/>
          <w:color w:val="auto"/>
        </w:rPr>
        <w:t>We maintain an Internet website at www.wfscorp.com. Copies of the Committee charters of each of the Audit Committee, Compensation Committee, Governance Committee and Technology and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152" w:lineRule="exact"/>
        <w:rPr>
          <w:sz w:val="20"/>
          <w:szCs w:val="20"/>
          <w:color w:val="auto"/>
        </w:rPr>
      </w:pPr>
    </w:p>
    <w:p>
      <w:pPr>
        <w:ind w:right="80" w:firstLine="611"/>
        <w:spacing w:after="0" w:line="283" w:lineRule="auto"/>
        <w:rPr>
          <w:sz w:val="20"/>
          <w:szCs w:val="20"/>
          <w:color w:val="auto"/>
        </w:rPr>
      </w:pPr>
      <w:r>
        <w:rPr>
          <w:rFonts w:ascii="Arial" w:cs="Arial" w:eastAsia="Arial" w:hAnsi="Arial"/>
          <w:sz w:val="16"/>
          <w:szCs w:val="16"/>
          <w:color w:val="auto"/>
        </w:rPr>
        <w:t>We will furnish without charge to each person whose proxy is being solicited, upon request of any such person, a copy of our 2016 annual report on Form 10-K as filed with the SEC, including the financial statements and schedules thereto. In addition, such report is available, free of charge, through the Investor Relations—Corporate Governance section of our Internet website, located at www.wfscorp.com. A request for a copy of such report should be directed to World Fuel Services Corporation, 9800 Northwest 41st Street, Miami, Florida 33178, Attention: Corporate Secretary. A copy of any exhibit to the 2016 annual report on Form 10-K will be forwarded following receipt of a written request with respect thereto addressed to Investor Relations.</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231"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31" w:lineRule="exact"/>
        <w:rPr>
          <w:sz w:val="20"/>
          <w:szCs w:val="20"/>
          <w:color w:val="auto"/>
        </w:rPr>
      </w:pPr>
    </w:p>
    <w:p>
      <w:pPr>
        <w:ind w:right="120" w:firstLine="611"/>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94" w:lineRule="exact"/>
        <w:rPr>
          <w:sz w:val="20"/>
          <w:szCs w:val="20"/>
          <w:color w:val="auto"/>
        </w:rPr>
      </w:pPr>
    </w:p>
    <w:p>
      <w:pPr>
        <w:ind w:right="20" w:firstLine="615"/>
        <w:spacing w:after="0" w:line="335" w:lineRule="auto"/>
        <w:rPr>
          <w:sz w:val="20"/>
          <w:szCs w:val="20"/>
          <w:color w:val="auto"/>
        </w:rPr>
      </w:pPr>
      <w:r>
        <w:rPr>
          <w:rFonts w:ascii="Arial" w:cs="Arial" w:eastAsia="Arial" w:hAnsi="Arial"/>
          <w:sz w:val="15"/>
          <w:szCs w:val="15"/>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Wells Fargo Shareowner Services (in writing: P.O. Box 64854, St. Paul, MN 55164-0854, or by telephone: (800) 468-9716 or (651) 450-4064).</w:t>
      </w:r>
    </w:p>
    <w:p>
      <w:pPr>
        <w:spacing w:after="0" w:line="142" w:lineRule="exact"/>
        <w:rPr>
          <w:sz w:val="20"/>
          <w:szCs w:val="20"/>
          <w:color w:val="auto"/>
        </w:rPr>
      </w:pPr>
    </w:p>
    <w:p>
      <w:pPr>
        <w:ind w:right="300" w:firstLine="615"/>
        <w:spacing w:after="0" w:line="284" w:lineRule="auto"/>
        <w:rPr>
          <w:sz w:val="20"/>
          <w:szCs w:val="20"/>
          <w:color w:val="auto"/>
        </w:rPr>
      </w:pPr>
      <w:r>
        <w:rPr>
          <w:rFonts w:ascii="Arial" w:cs="Arial" w:eastAsia="Arial" w:hAnsi="Arial"/>
          <w:sz w:val="16"/>
          <w:szCs w:val="16"/>
          <w:color w:val="auto"/>
        </w:rPr>
        <w:t>If you participate in householding and wish to receive a separate copy of the Notice, or if you do not wish to participate in householding and prefer to receive separate copies of the Notice in the future, please contact Wells Fargo Shareowner Services as indicated above. Beneficial shareholders can request information about householding from their broker, bank, trustee, agent or other record holder.</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2017 Proxy Statement</w:t>
      </w:r>
      <w:r>
        <w:rPr>
          <w:sz w:val="20"/>
          <w:szCs w:val="20"/>
          <w:color w:val="auto"/>
        </w:rPr>
        <w:tab/>
      </w: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FOR THE ANNUAL MEETING OF SHAREHOLDERS TO BE HELD 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THURSDAY, MAY 25, 2017</w:t>
      </w:r>
    </w:p>
    <w:p>
      <w:pPr>
        <w:spacing w:after="0" w:line="21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undersigned shareholder acknowledges receipt of the Notice of Internet Availability of Proxy Materials and hereby appoints Michael J. Kasbar and Paul H. Stebbins or either of them, proxies for the undersigned, each with full power of substitution, to vote all of the undersigned’s shares of common stock of World Fuel Services Corporation (“World Fuel”) at the annual meeting of shareholders to be held at the offices of Chadbourne &amp; Parke LLP located at 1301 Avenue of the Americas, New York, NY 10019, May 25, 2017, at 8:00 a.m., Eastern Time, and at any adjournments or postponements thereof.</w:t>
      </w:r>
    </w:p>
    <w:p>
      <w:pPr>
        <w:spacing w:after="0" w:line="15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PLEASE SIGN, DATE AND RETURN THE PROXY IN THE ENVELOPE ENCLOSED. THIS PROXY WILL BE VOTED IN THE MANNER DIRECTED HEREIN BY THE SHAREHOLDER. IF NO DIRECTION IS MADE, THIS PROXY WILL BE VOTED “FOR” THE DIRECTOR NOMINEES LISTED IN PROPOSAL 1, “FOR” PROPOSALS 2 AND 4 AND FOR “1 YEAR” IN PROPOSAL 3. THIS PROXY WILL REVOKE ALL PRIOR PROXIES SIGNED BY YOU.</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(Please Sign on Reverse Side)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Address Changes/Comments (Mark the corresponding box on the reverse side)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director nominees listed in proposal 1,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4 and for </w:t>
      </w:r>
      <w:r>
        <w:rPr>
          <w:rFonts w:ascii="Arial" w:cs="Arial" w:eastAsia="Arial" w:hAnsi="Arial"/>
          <w:sz w:val="18"/>
          <w:szCs w:val="18"/>
          <w:b w:val="1"/>
          <w:bCs w:val="1"/>
          <w:u w:val="single" w:color="auto"/>
          <w:color w:val="auto"/>
        </w:rPr>
        <w:t>1 YEAR</w:t>
      </w:r>
      <w:r>
        <w:rPr>
          <w:rFonts w:ascii="Arial" w:cs="Arial" w:eastAsia="Arial" w:hAnsi="Arial"/>
          <w:sz w:val="18"/>
          <w:szCs w:val="18"/>
          <w:b w:val="1"/>
          <w:bCs w:val="1"/>
          <w:color w:val="auto"/>
        </w:rPr>
        <w:t xml:space="preserve"> in proposal 3. If no specification is made, the shares will be voted in accordance with such Board of Directors’ recommendation.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Election of director nominees each for a term expiring at the next annual meeting or until his successor has been duly elected and qualified: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40" w:type="dxa"/>
            <w:vAlign w:val="bottom"/>
          </w:tcPr>
          <w:p>
            <w:pPr>
              <w:jc w:val="center"/>
              <w:ind w:left="710"/>
              <w:spacing w:after="0"/>
              <w:rPr>
                <w:sz w:val="20"/>
                <w:szCs w:val="20"/>
                <w:color w:val="auto"/>
              </w:rPr>
            </w:pPr>
            <w:r>
              <w:rPr>
                <w:rFonts w:ascii="Arial" w:cs="Arial" w:eastAsia="Arial" w:hAnsi="Arial"/>
                <w:sz w:val="18"/>
                <w:szCs w:val="18"/>
                <w:color w:val="auto"/>
                <w:w w:val="99"/>
              </w:rPr>
              <w:t>WITHHOLD</w:t>
            </w:r>
          </w:p>
        </w:tc>
      </w:tr>
      <w:tr>
        <w:trPr>
          <w:trHeight w:val="183"/>
        </w:trPr>
        <w:tc>
          <w:tcPr>
            <w:tcW w:w="1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40" w:type="dxa"/>
            <w:vAlign w:val="bottom"/>
          </w:tcPr>
          <w:p>
            <w:pPr>
              <w:jc w:val="center"/>
              <w:ind w:left="2030"/>
              <w:spacing w:after="0" w:line="183" w:lineRule="exact"/>
              <w:rPr>
                <w:sz w:val="20"/>
                <w:szCs w:val="20"/>
                <w:color w:val="auto"/>
              </w:rPr>
            </w:pPr>
            <w:r>
              <w:rPr>
                <w:rFonts w:ascii="Arial" w:cs="Arial" w:eastAsia="Arial" w:hAnsi="Arial"/>
                <w:sz w:val="18"/>
                <w:szCs w:val="18"/>
                <w:color w:val="auto"/>
                <w:w w:val="94"/>
              </w:rPr>
              <w:t>FOR</w:t>
            </w:r>
          </w:p>
        </w:tc>
        <w:tc>
          <w:tcPr>
            <w:tcW w:w="1840" w:type="dxa"/>
            <w:vAlign w:val="bottom"/>
          </w:tcPr>
          <w:p>
            <w:pPr>
              <w:jc w:val="center"/>
              <w:ind w:left="710"/>
              <w:spacing w:after="0" w:line="183" w:lineRule="exact"/>
              <w:rPr>
                <w:sz w:val="20"/>
                <w:szCs w:val="20"/>
                <w:color w:val="auto"/>
              </w:rPr>
            </w:pPr>
            <w:r>
              <w:rPr>
                <w:rFonts w:ascii="Arial" w:cs="Arial" w:eastAsia="Arial" w:hAnsi="Arial"/>
                <w:sz w:val="18"/>
                <w:szCs w:val="18"/>
                <w:color w:val="auto"/>
                <w:w w:val="99"/>
              </w:rPr>
              <w:t>AUTHORITY</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4740" w:type="dxa"/>
            <w:vAlign w:val="bottom"/>
          </w:tcPr>
          <w:p>
            <w:pPr>
              <w:ind w:left="60"/>
              <w:spacing w:after="0"/>
              <w:rPr>
                <w:sz w:val="20"/>
                <w:szCs w:val="20"/>
                <w:color w:val="auto"/>
              </w:rPr>
            </w:pPr>
            <w:r>
              <w:rPr>
                <w:rFonts w:ascii="Arial" w:cs="Arial" w:eastAsia="Arial" w:hAnsi="Arial"/>
                <w:sz w:val="18"/>
                <w:szCs w:val="18"/>
                <w:color w:val="auto"/>
              </w:rPr>
              <w:t>Michael J. Kasbar</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740" w:type="dxa"/>
            <w:vAlign w:val="bottom"/>
          </w:tcPr>
          <w:p>
            <w:pPr>
              <w:ind w:left="60"/>
              <w:spacing w:after="0"/>
              <w:rPr>
                <w:sz w:val="20"/>
                <w:szCs w:val="20"/>
                <w:color w:val="auto"/>
              </w:rPr>
            </w:pPr>
            <w:r>
              <w:rPr>
                <w:rFonts w:ascii="Arial" w:cs="Arial" w:eastAsia="Arial" w:hAnsi="Arial"/>
                <w:sz w:val="18"/>
                <w:szCs w:val="18"/>
                <w:color w:val="auto"/>
              </w:rPr>
              <w:t>Ken Bakshi</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740" w:type="dxa"/>
            <w:vAlign w:val="bottom"/>
          </w:tcPr>
          <w:p>
            <w:pPr>
              <w:ind w:left="60"/>
              <w:spacing w:after="0"/>
              <w:rPr>
                <w:sz w:val="20"/>
                <w:szCs w:val="20"/>
                <w:color w:val="auto"/>
              </w:rPr>
            </w:pPr>
            <w:r>
              <w:rPr>
                <w:rFonts w:ascii="Arial" w:cs="Arial" w:eastAsia="Arial" w:hAnsi="Arial"/>
                <w:sz w:val="18"/>
                <w:szCs w:val="18"/>
                <w:color w:val="auto"/>
              </w:rPr>
              <w:t>Jorge L. Benitez</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740" w:type="dxa"/>
            <w:vAlign w:val="bottom"/>
          </w:tcPr>
          <w:p>
            <w:pPr>
              <w:ind w:left="60"/>
              <w:spacing w:after="0"/>
              <w:rPr>
                <w:sz w:val="20"/>
                <w:szCs w:val="20"/>
                <w:color w:val="auto"/>
              </w:rPr>
            </w:pPr>
            <w:r>
              <w:rPr>
                <w:rFonts w:ascii="Arial" w:cs="Arial" w:eastAsia="Arial" w:hAnsi="Arial"/>
                <w:sz w:val="18"/>
                <w:szCs w:val="18"/>
                <w:color w:val="auto"/>
              </w:rPr>
              <w:t>Richard A. Kassar</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740" w:type="dxa"/>
            <w:vAlign w:val="bottom"/>
          </w:tcPr>
          <w:p>
            <w:pPr>
              <w:ind w:left="60"/>
              <w:spacing w:after="0"/>
              <w:rPr>
                <w:sz w:val="20"/>
                <w:szCs w:val="20"/>
                <w:color w:val="auto"/>
              </w:rPr>
            </w:pPr>
            <w:r>
              <w:rPr>
                <w:rFonts w:ascii="Arial" w:cs="Arial" w:eastAsia="Arial" w:hAnsi="Arial"/>
                <w:sz w:val="18"/>
                <w:szCs w:val="18"/>
                <w:color w:val="auto"/>
              </w:rPr>
              <w:t>John L. Manley</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4740" w:type="dxa"/>
            <w:vAlign w:val="bottom"/>
          </w:tcPr>
          <w:p>
            <w:pPr>
              <w:ind w:left="60"/>
              <w:spacing w:after="0"/>
              <w:rPr>
                <w:sz w:val="20"/>
                <w:szCs w:val="20"/>
                <w:color w:val="auto"/>
              </w:rPr>
            </w:pPr>
            <w:r>
              <w:rPr>
                <w:rFonts w:ascii="Arial" w:cs="Arial" w:eastAsia="Arial" w:hAnsi="Arial"/>
                <w:sz w:val="18"/>
                <w:szCs w:val="18"/>
                <w:color w:val="auto"/>
              </w:rPr>
              <w:t>J. Thomas Presby</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4740" w:type="dxa"/>
            <w:vAlign w:val="bottom"/>
          </w:tcPr>
          <w:p>
            <w:pPr>
              <w:ind w:left="60"/>
              <w:spacing w:after="0"/>
              <w:rPr>
                <w:sz w:val="20"/>
                <w:szCs w:val="20"/>
                <w:color w:val="auto"/>
              </w:rPr>
            </w:pPr>
            <w:r>
              <w:rPr>
                <w:rFonts w:ascii="Arial" w:cs="Arial" w:eastAsia="Arial" w:hAnsi="Arial"/>
                <w:sz w:val="18"/>
                <w:szCs w:val="18"/>
                <w:color w:val="auto"/>
              </w:rPr>
              <w:t>Stephen K. Roddenberry</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4740" w:type="dxa"/>
            <w:vAlign w:val="bottom"/>
          </w:tcPr>
          <w:p>
            <w:pPr>
              <w:ind w:left="60"/>
              <w:spacing w:after="0"/>
              <w:rPr>
                <w:sz w:val="20"/>
                <w:szCs w:val="20"/>
                <w:color w:val="auto"/>
              </w:rPr>
            </w:pPr>
            <w:r>
              <w:rPr>
                <w:rFonts w:ascii="Arial" w:cs="Arial" w:eastAsia="Arial" w:hAnsi="Arial"/>
                <w:sz w:val="18"/>
                <w:szCs w:val="18"/>
                <w:color w:val="auto"/>
              </w:rPr>
              <w:t>Paul H. Stebbins</w:t>
            </w:r>
          </w:p>
        </w:tc>
        <w:tc>
          <w:tcPr>
            <w:tcW w:w="4040" w:type="dxa"/>
            <w:vAlign w:val="bottom"/>
          </w:tcPr>
          <w:p>
            <w:pPr>
              <w:jc w:val="center"/>
              <w:ind w:left="2030"/>
              <w:spacing w:after="0" w:line="181" w:lineRule="exact"/>
              <w:rPr>
                <w:sz w:val="20"/>
                <w:szCs w:val="20"/>
                <w:color w:val="auto"/>
              </w:rPr>
            </w:pPr>
            <w:r>
              <w:rPr>
                <w:rFonts w:ascii="MS PGothic" w:cs="MS PGothic" w:eastAsia="MS PGothic" w:hAnsi="MS PGothic"/>
                <w:sz w:val="18"/>
                <w:szCs w:val="18"/>
                <w:color w:val="auto"/>
                <w:w w:val="88"/>
              </w:rPr>
              <w:t>☐</w:t>
            </w:r>
          </w:p>
        </w:tc>
        <w:tc>
          <w:tcPr>
            <w:tcW w:w="1840" w:type="dxa"/>
            <w:vAlign w:val="bottom"/>
          </w:tcPr>
          <w:p>
            <w:pPr>
              <w:jc w:val="center"/>
              <w:ind w:left="7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Please Mark Here for Address Change or Comments </w:t>
      </w:r>
      <w:r>
        <w:rPr>
          <w:rFonts w:ascii="MS PGothic" w:cs="MS PGothic" w:eastAsia="MS PGothic" w:hAnsi="MS PGothic"/>
          <w:sz w:val="18"/>
          <w:szCs w:val="18"/>
          <w:color w:val="auto"/>
        </w:rPr>
        <w:t>☐</w:t>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SEE REVERSE SIDE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Approval of the non-binding, advisory vote on executive compensation.</w:t>
      </w:r>
    </w:p>
    <w:p>
      <w:pPr>
        <w:sectPr>
          <w:pgSz w:w="11900" w:h="16838" w:orient="portrait"/>
          <w:cols w:equalWidth="0" w:num="1">
            <w:col w:w="11460"/>
          </w:cols>
          <w:pgMar w:left="240" w:top="337" w:right="199" w:bottom="0" w:gutter="0" w:footer="0" w:header="0"/>
        </w:sectPr>
      </w:pP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300"/>
        <w:spacing w:after="0"/>
        <w:rPr>
          <w:sz w:val="20"/>
          <w:szCs w:val="20"/>
          <w:color w:val="auto"/>
        </w:rPr>
      </w:pPr>
      <w:r>
        <w:rPr>
          <w:rFonts w:ascii="Arial" w:cs="Arial" w:eastAsia="Arial" w:hAnsi="Arial"/>
          <w:sz w:val="18"/>
          <w:szCs w:val="18"/>
          <w:color w:val="auto"/>
        </w:rPr>
        <w:t>AGAINST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34" w:lineRule="exact"/>
        <w:rPr>
          <w:sz w:val="20"/>
          <w:szCs w:val="20"/>
          <w:color w:val="auto"/>
        </w:rPr>
      </w:pPr>
    </w:p>
    <w:p>
      <w:pPr>
        <w:sectPr>
          <w:pgSz w:w="11900" w:h="16838" w:orient="portrait"/>
          <w:cols w:equalWidth="0" w:num="3">
            <w:col w:w="4600" w:space="720"/>
            <w:col w:w="3100" w:space="720"/>
            <w:col w:w="2320"/>
          </w:cols>
          <w:pgMar w:left="240" w:top="337" w:right="199" w:bottom="0" w:gutter="0" w:footer="0" w:header="0"/>
          <w:type w:val="continuous"/>
        </w:sectPr>
      </w:pPr>
    </w:p>
    <w:p>
      <w:pPr>
        <w:ind w:left="18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29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920" w:space="720"/>
            <w:col w:w="3080" w:space="720"/>
            <w:col w:w="2020"/>
          </w:cols>
          <w:pgMar w:left="240" w:top="337" w:right="199"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Recommendation on the frequency of future advisory votes on executive compensation.</w:t>
      </w:r>
    </w:p>
    <w:p>
      <w:pPr>
        <w:sectPr>
          <w:pgSz w:w="11900" w:h="16838" w:orient="portrait"/>
          <w:cols w:equalWidth="0" w:num="1">
            <w:col w:w="11460"/>
          </w:cols>
          <w:pgMar w:left="240" w:top="337" w:right="199" w:bottom="0" w:gutter="0" w:footer="0" w:header="0"/>
          <w:type w:val="continuous"/>
        </w:sect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 Year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1600"/>
        <w:spacing w:after="0"/>
        <w:rPr>
          <w:sz w:val="20"/>
          <w:szCs w:val="20"/>
          <w:color w:val="auto"/>
        </w:rPr>
      </w:pPr>
      <w:r>
        <w:rPr>
          <w:rFonts w:ascii="Arial" w:cs="Arial" w:eastAsia="Arial" w:hAnsi="Arial"/>
          <w:sz w:val="15"/>
          <w:szCs w:val="15"/>
          <w:color w:val="auto"/>
        </w:rPr>
        <w:t>2 Years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1480"/>
        <w:spacing w:after="0"/>
        <w:rPr>
          <w:sz w:val="20"/>
          <w:szCs w:val="20"/>
          <w:color w:val="auto"/>
        </w:rPr>
      </w:pPr>
      <w:r>
        <w:rPr>
          <w:rFonts w:ascii="Arial" w:cs="Arial" w:eastAsia="Arial" w:hAnsi="Arial"/>
          <w:sz w:val="15"/>
          <w:szCs w:val="15"/>
          <w:color w:val="auto"/>
        </w:rPr>
        <w:t>3 Years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35" w:lineRule="exact"/>
        <w:rPr>
          <w:sz w:val="20"/>
          <w:szCs w:val="20"/>
          <w:color w:val="auto"/>
        </w:rPr>
      </w:pPr>
    </w:p>
    <w:p>
      <w:pPr>
        <w:sectPr>
          <w:pgSz w:w="11900" w:h="16838" w:orient="portrait"/>
          <w:cols w:equalWidth="0" w:num="4">
            <w:col w:w="3300" w:space="720"/>
            <w:col w:w="2140" w:space="720"/>
            <w:col w:w="2020" w:space="720"/>
            <w:col w:w="1840"/>
          </w:cols>
          <w:pgMar w:left="240" w:top="337" w:right="199" w:bottom="0" w:gutter="0" w:footer="0" w:header="0"/>
          <w:type w:val="continuous"/>
        </w:sectPr>
      </w:pPr>
    </w:p>
    <w:p>
      <w:pPr>
        <w:ind w:left="13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9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9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4">
            <w:col w:w="3500" w:space="720"/>
            <w:col w:w="2120" w:space="720"/>
            <w:col w:w="2140" w:space="720"/>
            <w:col w:w="1540"/>
          </w:cols>
          <w:pgMar w:left="240" w:top="337" w:right="199" w:bottom="0" w:gutter="0" w:footer="0" w:header="0"/>
          <w:type w:val="continuous"/>
        </w:sectPr>
      </w:pPr>
    </w:p>
    <w:p>
      <w:pPr>
        <w:spacing w:after="0" w:line="54" w:lineRule="exact"/>
        <w:rPr>
          <w:sz w:val="20"/>
          <w:szCs w:val="20"/>
          <w:color w:val="auto"/>
        </w:rPr>
      </w:pPr>
    </w:p>
    <w:p>
      <w:pPr>
        <w:ind w:right="40" w:firstLine="8"/>
        <w:spacing w:after="0" w:line="282" w:lineRule="auto"/>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appointment of PricewaterhouseCoopers LLP as World Fuel’s independent registered public accounting firm for the 2017 fiscal year.</w:t>
      </w:r>
    </w:p>
    <w:p>
      <w:pPr>
        <w:sectPr>
          <w:pgSz w:w="11900" w:h="16838" w:orient="portrait"/>
          <w:cols w:equalWidth="0" w:num="1">
            <w:col w:w="11460"/>
          </w:cols>
          <w:pgMar w:left="240" w:top="337" w:right="199" w:bottom="0" w:gutter="0" w:footer="0" w:header="0"/>
          <w:type w:val="continuous"/>
        </w:sectPr>
      </w:pPr>
    </w:p>
    <w:p>
      <w:pPr>
        <w:spacing w:after="0" w:line="166"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300"/>
        <w:spacing w:after="0"/>
        <w:rPr>
          <w:sz w:val="20"/>
          <w:szCs w:val="20"/>
          <w:color w:val="auto"/>
        </w:rPr>
      </w:pPr>
      <w:r>
        <w:rPr>
          <w:rFonts w:ascii="Arial" w:cs="Arial" w:eastAsia="Arial" w:hAnsi="Arial"/>
          <w:sz w:val="18"/>
          <w:szCs w:val="18"/>
          <w:color w:val="auto"/>
        </w:rPr>
        <w:t>AGAINST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34" w:lineRule="exact"/>
        <w:rPr>
          <w:sz w:val="20"/>
          <w:szCs w:val="20"/>
          <w:color w:val="auto"/>
        </w:rPr>
      </w:pPr>
    </w:p>
    <w:p>
      <w:pPr>
        <w:sectPr>
          <w:pgSz w:w="11900" w:h="16838" w:orient="portrait"/>
          <w:cols w:equalWidth="0" w:num="3">
            <w:col w:w="4600" w:space="720"/>
            <w:col w:w="3100" w:space="720"/>
            <w:col w:w="2320"/>
          </w:cols>
          <w:pgMar w:left="240" w:top="337" w:right="199" w:bottom="0" w:gutter="0" w:footer="0" w:header="0"/>
          <w:type w:val="continuous"/>
        </w:sectPr>
      </w:pPr>
    </w:p>
    <w:p>
      <w:pPr>
        <w:ind w:left="18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29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920" w:space="720"/>
            <w:col w:w="3080" w:space="720"/>
            <w:col w:w="2020"/>
          </w:cols>
          <w:pgMar w:left="240" w:top="337" w:right="199"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Such other business as may properly come before the Annual Meeting and any postponements or adjournments thereof.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20" w:type="dxa"/>
            <w:vAlign w:val="bottom"/>
            <w:gridSpan w:val="4"/>
          </w:tcPr>
          <w:p>
            <w:pPr>
              <w:spacing w:after="0"/>
              <w:rPr>
                <w:sz w:val="20"/>
                <w:szCs w:val="20"/>
                <w:color w:val="auto"/>
              </w:rPr>
            </w:pPr>
            <w:r>
              <w:rPr>
                <w:rFonts w:ascii="Arial" w:cs="Arial" w:eastAsia="Arial" w:hAnsi="Arial"/>
                <w:sz w:val="18"/>
                <w:szCs w:val="18"/>
                <w:b w:val="1"/>
                <w:bCs w:val="1"/>
                <w:color w:val="auto"/>
                <w:w w:val="97"/>
              </w:rPr>
              <w:t>If you plan to attend the Annual Meeting, please mark the WILL ATTEND box.</w:t>
            </w:r>
          </w:p>
        </w:tc>
        <w:tc>
          <w:tcPr>
            <w:tcW w:w="9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WILL ATTEND</w:t>
            </w:r>
          </w:p>
        </w:tc>
        <w:tc>
          <w:tcPr>
            <w:tcW w:w="40" w:type="dxa"/>
            <w:vAlign w:val="bottom"/>
          </w:tcPr>
          <w:p>
            <w:pPr>
              <w:spacing w:after="0"/>
              <w:rPr>
                <w:sz w:val="24"/>
                <w:szCs w:val="24"/>
                <w:color w:val="auto"/>
              </w:rPr>
            </w:pPr>
          </w:p>
        </w:tc>
      </w:tr>
      <w:tr>
        <w:trPr>
          <w:trHeight w:val="628"/>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2520" w:type="dxa"/>
            <w:vAlign w:val="bottom"/>
          </w:tcPr>
          <w:p>
            <w:pPr>
              <w:spacing w:after="0"/>
              <w:rPr>
                <w:sz w:val="24"/>
                <w:szCs w:val="24"/>
                <w:color w:val="auto"/>
              </w:rPr>
            </w:pPr>
          </w:p>
        </w:tc>
        <w:tc>
          <w:tcPr>
            <w:tcW w:w="2860" w:type="dxa"/>
            <w:vAlign w:val="bottom"/>
            <w:gridSpan w:val="2"/>
          </w:tcPr>
          <w:p>
            <w:pPr>
              <w:ind w:left="240"/>
              <w:spacing w:after="0"/>
              <w:rPr>
                <w:sz w:val="20"/>
                <w:szCs w:val="20"/>
                <w:color w:val="auto"/>
              </w:rPr>
            </w:pPr>
            <w:r>
              <w:rPr>
                <w:rFonts w:ascii="Arial" w:cs="Arial" w:eastAsia="Arial" w:hAnsi="Arial"/>
                <w:sz w:val="18"/>
                <w:szCs w:val="18"/>
                <w:color w:val="auto"/>
              </w:rPr>
              <w:t>Signature</w:t>
            </w:r>
          </w:p>
        </w:tc>
        <w:tc>
          <w:tcPr>
            <w:tcW w:w="900" w:type="dxa"/>
            <w:vAlign w:val="bottom"/>
          </w:tcPr>
          <w:p>
            <w:pPr>
              <w:spacing w:after="0"/>
              <w:rPr>
                <w:sz w:val="24"/>
                <w:szCs w:val="24"/>
                <w:color w:val="auto"/>
              </w:rPr>
            </w:pPr>
          </w:p>
        </w:tc>
        <w:tc>
          <w:tcPr>
            <w:tcW w:w="4100" w:type="dxa"/>
            <w:vAlign w:val="bottom"/>
            <w:gridSpan w:val="2"/>
          </w:tcPr>
          <w:p>
            <w:pPr>
              <w:ind w:left="280"/>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r>
      <w:tr>
        <w:trPr>
          <w:trHeight w:val="341"/>
        </w:trPr>
        <w:tc>
          <w:tcPr>
            <w:tcW w:w="1040" w:type="dxa"/>
            <w:vAlign w:val="bottom"/>
            <w:tcBorders>
              <w:bottom w:val="single" w:sz="8" w:color="808080"/>
            </w:tcBorders>
          </w:tcPr>
          <w:p>
            <w:pPr>
              <w:spacing w:after="0"/>
              <w:rPr>
                <w:sz w:val="24"/>
                <w:szCs w:val="24"/>
                <w:color w:val="auto"/>
              </w:rPr>
            </w:pPr>
          </w:p>
        </w:tc>
        <w:tc>
          <w:tcPr>
            <w:tcW w:w="2520" w:type="dxa"/>
            <w:vAlign w:val="bottom"/>
            <w:tcBorders>
              <w:top w:val="single" w:sz="8" w:color="auto"/>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62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2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WE ENCOURAGE YOU TO TAKE ADVANTAGE OF INTERNET OR TELEPHONE PROXY SUBMISSION, BOTH ARE AVAILABLE 24 HOURS A DAY, 7 DAYS A WEEK</w:t>
      </w:r>
      <w:r>
        <w:rPr>
          <w:rFonts w:ascii="Arial" w:cs="Arial" w:eastAsia="Arial" w:hAnsi="Arial"/>
          <w:sz w:val="18"/>
          <w:szCs w:val="18"/>
          <w:color w:val="auto"/>
        </w:rPr>
        <w:t>.</w:t>
      </w:r>
    </w:p>
    <w:p>
      <w:pPr>
        <w:sectPr>
          <w:pgSz w:w="11900" w:h="16838" w:orient="portrait"/>
          <w:cols w:equalWidth="0" w:num="1">
            <w:col w:w="11460"/>
          </w:cols>
          <w:pgMar w:left="240" w:top="337" w:right="199"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Internet and telephone proxy submission is available through 11:59 p.m. Eastern Time the day prior to Annual Meeting day.</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Your Internet or telephone proxy submission authorizes the named proxies to vote your shares in the same manner as if you marked, signed and returned your proxy card.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OR TELEPHONE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submit your proxy by Internet or by telephone, you do NOT need to mail back your proxy card.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submit a proxy by mail, mark, sign and date your proxy card and return it in the enclosed postage-paid envelope.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Fuel’s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220980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8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lvl w:ilvl="1">
      <w:lvlJc w:val="left"/>
      <w:lvlText w:val="(%2)"/>
      <w:numFmt w:val="decimal"/>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4"/>
    </w:lvl>
  </w:abstractNum>
  <w:abstractNum w:abstractNumId="9">
    <w:nsid w:val="3855585C"/>
    <w:multiLevelType w:val="hybridMultilevel"/>
    <w:lvl w:ilvl="0">
      <w:lvlJc w:val="left"/>
      <w:lvlText w:val="•"/>
      <w:numFmt w:val="bullet"/>
      <w:start w:val="1"/>
    </w:lvl>
    <w:lvl w:ilvl="1">
      <w:lvlJc w:val="left"/>
      <w:lvlText w:val="%2)"/>
      <w:numFmt w:val="decimal"/>
      <w:start w:val="1"/>
    </w:lvl>
  </w:abstractNum>
  <w:abstractNum w:abstractNumId="10">
    <w:nsid w:val="70A64E2A"/>
    <w:multiLevelType w:val="hybridMultilevel"/>
    <w:lvl w:ilvl="0">
      <w:lvlJc w:val="left"/>
      <w:lvlText w:val="%1."/>
      <w:numFmt w:val="upperLetter"/>
      <w:start w:val="9"/>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upperLetter"/>
      <w:start w:val="9"/>
    </w:lvl>
    <w:lvl w:ilvl="1">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upperLetter"/>
      <w:start w:val="35"/>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lowerRoman"/>
      <w:start w:val="2"/>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2"/>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decimal"/>
      <w:start w:val="3"/>
    </w:lvl>
  </w:abstractNum>
  <w:abstractNum w:abstractNumId="37">
    <w:nsid w:val="649BB77C"/>
    <w:multiLevelType w:val="hybridMultilevel"/>
    <w:lvl w:ilvl="0">
      <w:lvlJc w:val="left"/>
      <w:lvlText w:val="%1."/>
      <w:numFmt w:val="upperLetter"/>
      <w:start w:val="6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2"/>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4"/>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2"/>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lowerRoman"/>
      <w:start w:val="1"/>
    </w:lvl>
  </w:abstractNum>
  <w:abstractNum w:abstractNumId="60">
    <w:nsid w:val="1F48EAA1"/>
    <w:multiLevelType w:val="hybridMultilevel"/>
    <w:lvl w:ilvl="0">
      <w:lvlJc w:val="left"/>
      <w:lvlText w:val="(%1)"/>
      <w:numFmt w:val="lowerRoman"/>
      <w:start w:val="4"/>
    </w:lvl>
  </w:abstractNum>
  <w:abstractNum w:abstractNumId="61">
    <w:nsid w:val="1381823A"/>
    <w:multiLevelType w:val="hybridMultilevel"/>
    <w:lvl w:ilvl="0">
      <w:lvlJc w:val="left"/>
      <w:lvlText w:val="(%1)"/>
      <w:numFmt w:val="lowerRoman"/>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5"/>
    </w:lvl>
  </w:abstractNum>
  <w:abstractNum w:abstractNumId="64">
    <w:nsid w:val="6590700B"/>
    <w:multiLevelType w:val="hybridMultilevel"/>
    <w:lvl w:ilvl="0">
      <w:lvlJc w:val="left"/>
      <w:lvlText w:val="%1."/>
      <w:numFmt w:val="upperLetter"/>
      <w:start w:val="22"/>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lowerRoman"/>
      <w:start w:val="3"/>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3"/>
    </w:lvl>
  </w:abstractNum>
  <w:abstractNum w:abstractNumId="71">
    <w:nsid w:val="168E121F"/>
    <w:multiLevelType w:val="hybridMultilevel"/>
    <w:lvl w:ilvl="0">
      <w:lvlJc w:val="left"/>
      <w:lvlText w:val="(%1)"/>
      <w:numFmt w:val="decimal"/>
      <w:start w:val="12"/>
    </w:lvl>
  </w:abstractNum>
  <w:abstractNum w:abstractNumId="72">
    <w:nsid w:val="1EBA5D2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2019-12-05T13:28:08Z</dcterms:created>
  <dcterms:modified xsi:type="dcterms:W3CDTF">2019-12-05T13:28:08Z</dcterms:modified>
</cp:coreProperties>
</file>