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KASBAR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(1)</w:t>
            </w:r>
            <w:r>
              <w:rPr/>
              <w:t xml:space="preserve"> </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35.0374</w:t>
            </w:r>
            <w:r>
              <w:rPr>
                <w:rFonts w:ascii="Times;serif" w:hAnsi="Times;serif"/>
                <w:color w:val="008000"/>
                <w:position w:val="7"/>
                <w:sz w:val="16"/>
                <w:sz w:val="20"/>
                <w:shd w:fill="FFFFFF" w:val="clear"/>
              </w:rPr>
              <w:t>(2)</w:t>
            </w:r>
            <w:r>
              <w:rPr/>
              <w:t xml:space="preserve"> </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986,450</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previously adopted on November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represents the weighted average sale price for multiple transactions reported on this line. The prices of the transactions ranged from $35.00 to $35.18, inclusive. The reporting person undertakes to provide the issuer and will provide any security holder of the issuer or the SEC staff, upon request, information regarding the number of shares sold at each separate price within the specified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2793"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3535</Characters>
  <CharactersWithSpaces>4126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