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405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40524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8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STEBBINS PAUL 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740"/>
        <w:spacing w:after="0" w:line="365" w:lineRule="auto"/>
        <w:rPr>
          <w:sz w:val="20"/>
          <w:szCs w:val="20"/>
          <w:color w:val="auto"/>
        </w:rPr>
      </w:pPr>
      <w:r>
        <w:rPr>
          <w:rFonts w:ascii="Times New Roman" w:cs="Times New Roman" w:eastAsia="Times New Roman" w:hAnsi="Times New Roman"/>
          <w:sz w:val="17"/>
          <w:szCs w:val="17"/>
          <w:color w:val="0000FF"/>
        </w:rPr>
        <w:t>C/O WORLD KINECT CORPORATION 9800 N.W. 41ST STREET</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7"/>
                <w:szCs w:val="17"/>
                <w:color w:val="0000FF"/>
              </w:rPr>
              <w:t>MIAMI</w:t>
            </w:r>
          </w:p>
        </w:tc>
        <w:tc>
          <w:tcPr>
            <w:tcW w:w="116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33178</w:t>
            </w:r>
          </w:p>
        </w:tc>
      </w:tr>
      <w:tr>
        <w:trPr>
          <w:trHeight w:val="155"/>
        </w:trPr>
        <w:tc>
          <w:tcPr>
            <w:tcW w:w="4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3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WORLD KINECT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WKC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100" w:type="dxa"/>
            <w:vAlign w:val="bottom"/>
            <w:tcBorders>
              <w:bottom w:val="single" w:sz="8" w:color="2C2C2C"/>
            </w:tcBorders>
          </w:tcPr>
          <w:p>
            <w:pPr>
              <w:spacing w:after="0"/>
              <w:rPr>
                <w:sz w:val="11"/>
                <w:szCs w:val="11"/>
                <w:color w:val="auto"/>
              </w:rPr>
            </w:pPr>
          </w:p>
        </w:tc>
        <w:tc>
          <w:tcPr>
            <w:tcW w:w="152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02/29/2024</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8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84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2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0000FF"/>
              </w:rPr>
              <w:t>02/29/2024</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Pr>
          <w:p>
            <w:pPr>
              <w:spacing w:after="0"/>
              <w:rPr>
                <w:sz w:val="18"/>
                <w:szCs w:val="18"/>
                <w:color w:val="auto"/>
              </w:rPr>
            </w:pPr>
          </w:p>
        </w:tc>
        <w:tc>
          <w:tcPr>
            <w:tcW w:w="880" w:type="dxa"/>
            <w:vAlign w:val="bottom"/>
          </w:tcPr>
          <w:p>
            <w:pPr>
              <w:jc w:val="right"/>
              <w:ind w:right="91"/>
              <w:spacing w:after="0" w:line="213" w:lineRule="exact"/>
              <w:rPr>
                <w:sz w:val="20"/>
                <w:szCs w:val="20"/>
                <w:color w:val="auto"/>
              </w:rPr>
            </w:pPr>
            <w:r>
              <w:rPr>
                <w:rFonts w:ascii="Times New Roman" w:cs="Times New Roman" w:eastAsia="Times New Roman" w:hAnsi="Times New Roman"/>
                <w:sz w:val="17"/>
                <w:szCs w:val="17"/>
                <w:color w:val="0000FF"/>
              </w:rPr>
              <w:t>20,000</w:t>
            </w:r>
            <w:r>
              <w:rPr>
                <w:rFonts w:ascii="Times New Roman" w:cs="Times New Roman" w:eastAsia="Times New Roman" w:hAnsi="Times New Roman"/>
                <w:sz w:val="22"/>
                <w:szCs w:val="22"/>
                <w:color w:val="008000"/>
                <w:vertAlign w:val="superscript"/>
              </w:rPr>
              <w:t>(1)</w:t>
            </w:r>
          </w:p>
        </w:tc>
        <w:tc>
          <w:tcPr>
            <w:tcW w:w="4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2"/>
          </w:tcPr>
          <w:p>
            <w:pPr>
              <w:ind w:left="60"/>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24.37</w:t>
            </w:r>
            <w:r>
              <w:rPr>
                <w:rFonts w:ascii="Times New Roman" w:cs="Times New Roman" w:eastAsia="Times New Roman" w:hAnsi="Times New Roman"/>
                <w:sz w:val="22"/>
                <w:szCs w:val="22"/>
                <w:color w:val="008000"/>
                <w:w w:val="95"/>
                <w:vertAlign w:val="superscript"/>
              </w:rPr>
              <w:t>(2)</w:t>
            </w: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0000FF"/>
              </w:rPr>
              <w:t>75,375</w:t>
            </w:r>
          </w:p>
        </w:tc>
        <w:tc>
          <w:tcPr>
            <w:tcW w:w="320" w:type="dxa"/>
            <w:vAlign w:val="bottom"/>
          </w:tcPr>
          <w:p>
            <w:pPr>
              <w:spacing w:after="0"/>
              <w:rPr>
                <w:sz w:val="18"/>
                <w:szCs w:val="18"/>
                <w:color w:val="auto"/>
              </w:rPr>
            </w:pPr>
          </w:p>
        </w:tc>
        <w:tc>
          <w:tcPr>
            <w:tcW w:w="520" w:type="dxa"/>
            <w:vAlign w:val="bottom"/>
          </w:tcPr>
          <w:p>
            <w:pPr>
              <w:jc w:val="center"/>
              <w:ind w:right="309"/>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Pr>
          <w:p>
            <w:pPr>
              <w:spacing w:after="0"/>
              <w:rPr>
                <w:sz w:val="18"/>
                <w:szCs w:val="18"/>
                <w:color w:val="auto"/>
              </w:rPr>
            </w:pPr>
          </w:p>
        </w:tc>
        <w:tc>
          <w:tcPr>
            <w:tcW w:w="194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0000FF"/>
              </w:rPr>
              <w:t>03/01/2024</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Pr>
          <w:p>
            <w:pPr>
              <w:spacing w:after="0"/>
              <w:rPr>
                <w:sz w:val="18"/>
                <w:szCs w:val="18"/>
                <w:color w:val="auto"/>
              </w:rPr>
            </w:pPr>
          </w:p>
        </w:tc>
        <w:tc>
          <w:tcPr>
            <w:tcW w:w="880" w:type="dxa"/>
            <w:vAlign w:val="bottom"/>
          </w:tcPr>
          <w:p>
            <w:pPr>
              <w:jc w:val="right"/>
              <w:ind w:right="91"/>
              <w:spacing w:after="0" w:line="213" w:lineRule="exact"/>
              <w:rPr>
                <w:sz w:val="20"/>
                <w:szCs w:val="20"/>
                <w:color w:val="auto"/>
              </w:rPr>
            </w:pPr>
            <w:r>
              <w:rPr>
                <w:rFonts w:ascii="Times New Roman" w:cs="Times New Roman" w:eastAsia="Times New Roman" w:hAnsi="Times New Roman"/>
                <w:sz w:val="17"/>
                <w:szCs w:val="17"/>
                <w:color w:val="0000FF"/>
              </w:rPr>
              <w:t>40,000</w:t>
            </w:r>
            <w:r>
              <w:rPr>
                <w:rFonts w:ascii="Times New Roman" w:cs="Times New Roman" w:eastAsia="Times New Roman" w:hAnsi="Times New Roman"/>
                <w:sz w:val="22"/>
                <w:szCs w:val="22"/>
                <w:color w:val="008000"/>
                <w:vertAlign w:val="superscript"/>
              </w:rPr>
              <w:t>(1)</w:t>
            </w:r>
          </w:p>
        </w:tc>
        <w:tc>
          <w:tcPr>
            <w:tcW w:w="4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2"/>
          </w:tcPr>
          <w:p>
            <w:pPr>
              <w:ind w:left="60"/>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24.65</w:t>
            </w:r>
            <w:r>
              <w:rPr>
                <w:rFonts w:ascii="Times New Roman" w:cs="Times New Roman" w:eastAsia="Times New Roman" w:hAnsi="Times New Roman"/>
                <w:sz w:val="22"/>
                <w:szCs w:val="22"/>
                <w:color w:val="008000"/>
                <w:w w:val="95"/>
                <w:vertAlign w:val="superscript"/>
              </w:rPr>
              <w:t>(4)</w:t>
            </w: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0000FF"/>
              </w:rPr>
              <w:t>35,375</w:t>
            </w:r>
          </w:p>
        </w:tc>
        <w:tc>
          <w:tcPr>
            <w:tcW w:w="320" w:type="dxa"/>
            <w:vAlign w:val="bottom"/>
          </w:tcPr>
          <w:p>
            <w:pPr>
              <w:spacing w:after="0"/>
              <w:rPr>
                <w:sz w:val="18"/>
                <w:szCs w:val="18"/>
                <w:color w:val="auto"/>
              </w:rPr>
            </w:pPr>
          </w:p>
        </w:tc>
        <w:tc>
          <w:tcPr>
            <w:tcW w:w="520" w:type="dxa"/>
            <w:vAlign w:val="bottom"/>
          </w:tcPr>
          <w:p>
            <w:pPr>
              <w:jc w:val="center"/>
              <w:ind w:right="309"/>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88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240" w:type="dxa"/>
            <w:vAlign w:val="bottom"/>
            <w:tcBorders>
              <w:top w:val="single" w:sz="8" w:color="2C2C2C"/>
            </w:tcBorders>
            <w:gridSpan w:val="3"/>
          </w:tcPr>
          <w:p>
            <w:pPr>
              <w:jc w:val="right"/>
              <w:ind w:right="320"/>
              <w:spacing w:after="0"/>
              <w:rPr>
                <w:sz w:val="20"/>
                <w:szCs w:val="20"/>
                <w:color w:val="auto"/>
              </w:rPr>
            </w:pPr>
            <w:r>
              <w:rPr>
                <w:rFonts w:ascii="Times New Roman" w:cs="Times New Roman" w:eastAsia="Times New Roman" w:hAnsi="Times New Roman"/>
                <w:sz w:val="17"/>
                <w:szCs w:val="17"/>
                <w:color w:val="0000FF"/>
              </w:rPr>
              <w:t>48,528</w:t>
            </w:r>
          </w:p>
        </w:tc>
        <w:tc>
          <w:tcPr>
            <w:tcW w:w="320" w:type="dxa"/>
            <w:vAlign w:val="bottom"/>
            <w:tcBorders>
              <w:top w:val="single" w:sz="8" w:color="2C2C2C"/>
            </w:tcBorders>
          </w:tcPr>
          <w:p>
            <w:pPr>
              <w:spacing w:after="0"/>
              <w:rPr>
                <w:sz w:val="23"/>
                <w:szCs w:val="23"/>
                <w:color w:val="auto"/>
              </w:rPr>
            </w:pPr>
          </w:p>
        </w:tc>
        <w:tc>
          <w:tcPr>
            <w:tcW w:w="520" w:type="dxa"/>
            <w:vAlign w:val="bottom"/>
            <w:tcBorders>
              <w:top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32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0000FF"/>
              </w:rPr>
              <w:t>72,326</w:t>
            </w:r>
          </w:p>
        </w:tc>
        <w:tc>
          <w:tcPr>
            <w:tcW w:w="320" w:type="dxa"/>
            <w:vAlign w:val="bottom"/>
          </w:tcPr>
          <w:p>
            <w:pPr>
              <w:spacing w:after="0"/>
              <w:rPr>
                <w:sz w:val="18"/>
                <w:szCs w:val="18"/>
                <w:color w:val="auto"/>
              </w:rPr>
            </w:pPr>
          </w:p>
        </w:tc>
        <w:tc>
          <w:tcPr>
            <w:tcW w:w="520" w:type="dxa"/>
            <w:vAlign w:val="bottom"/>
          </w:tcPr>
          <w:p>
            <w:pPr>
              <w:jc w:val="center"/>
              <w:ind w:right="309"/>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4"/>
          </w:tcPr>
          <w:p>
            <w:pPr>
              <w:ind w:left="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40" w:type="dxa"/>
            <w:vAlign w:val="bottom"/>
            <w:gridSpan w:val="14"/>
          </w:tcPr>
          <w:p>
            <w:pPr>
              <w:jc w:val="right"/>
              <w:ind w:right="4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sold were previously transferred to the Dianne Stebbins Revocable Trust (the "DS Trust"), of which Dianne Stebbins, spouse of the reporting person, is the trustee in a transaction exempt from reporting pursuant to Rule 16a-13. The reporting person is an indirect beneficial owner of shares held in the DS Trust. The reporting person disclaims beneficial ownership of any shares in which he does not have a pecuniary interest.</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8"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represents the weighted average sale price for multiple transactions reported on this line. The prices of the transactions ranged from $24.32 to $24.50, inclusive. The reporting person undertakes to provide the issuer and will provide any security holder of the issuer or the SEC staff, upon request, information regarding the number of shares sold at each separate price within the specified range.</w:t>
      </w:r>
    </w:p>
    <w:p>
      <w:pPr>
        <w:spacing w:after="0" w:line="171" w:lineRule="exact"/>
        <w:rPr>
          <w:rFonts w:ascii="Times New Roman" w:cs="Times New Roman" w:eastAsia="Times New Roman" w:hAnsi="Times New Roman"/>
          <w:sz w:val="13"/>
          <w:szCs w:val="13"/>
          <w:color w:val="008000"/>
        </w:rPr>
      </w:pPr>
    </w:p>
    <w:p>
      <w:pPr>
        <w:ind w:left="40" w:right="4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the DS Trust, of which Dianne Stebbins, spouse of the reporting person is the Trustee. The reporting person is an indirect beneficial owner of the shares held in the DS Trust. The reporting person disclaims beneficial ownership of any shares in which he does not have a pecuniary interest.</w:t>
      </w:r>
    </w:p>
    <w:p>
      <w:pPr>
        <w:spacing w:after="0" w:line="7" w:lineRule="exact"/>
        <w:rPr>
          <w:rFonts w:ascii="Times New Roman" w:cs="Times New Roman" w:eastAsia="Times New Roman" w:hAnsi="Times New Roman"/>
          <w:sz w:val="13"/>
          <w:szCs w:val="13"/>
          <w:color w:val="008000"/>
        </w:rPr>
      </w:pPr>
    </w:p>
    <w:p>
      <w:pPr>
        <w:ind w:left="40" w:right="160" w:firstLine="7"/>
        <w:spacing w:after="0" w:line="258"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represents the weighted average sale price for multiple transactions reported on this line. The prices of the transactions ranged from $24.51 to $24.85, inclusive. The reporting person undertakes to provide the issuer and will provide any security holder of the issuer or the SEC staff, upon request, information regarding the number of shares sold at each separate price within the specified range.</w:t>
      </w:r>
    </w:p>
    <w:p>
      <w:pPr>
        <w:spacing w:after="0" w:line="171"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the Boitz Stebbins Irrevocable Family Trust, of which the reporting person is the trustee and a beneficiary. The reporting person disclaims beneficial ownership of any shares in which he does not have a pecuniary interest.</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Amy Quintana Avalos,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03/04/2024</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620" w:type="dxa"/>
            <w:vAlign w:val="bottom"/>
            <w:tcBorders>
              <w:top w:val="single" w:sz="8" w:color="auto"/>
            </w:tcBorders>
            <w:vMerge w:val="restart"/>
          </w:tcPr>
          <w:p>
            <w:pPr>
              <w:spacing w:after="0"/>
              <w:rPr>
                <w:sz w:val="7"/>
                <w:szCs w:val="7"/>
                <w:color w:val="auto"/>
              </w:rPr>
            </w:pPr>
          </w:p>
        </w:tc>
        <w:tc>
          <w:tcPr>
            <w:tcW w:w="2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620" w:type="dxa"/>
            <w:vAlign w:val="bottom"/>
            <w:tcBorders>
              <w:top w:val="single" w:sz="8" w:color="auto"/>
            </w:tcBorders>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8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36725"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2024-03-04T21:03:32Z</dcterms:created>
  <dcterms:modified xsi:type="dcterms:W3CDTF">2024-03-04T21:03:32Z</dcterms:modified>
</cp:coreProperties>
</file>