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tabs>
          <w:tab w:leader="none" w:pos="1360" w:val="left"/>
          <w:tab w:leader="none" w:pos="2200" w:val="left"/>
        </w:tabs>
        <w:rPr>
          <w:sz w:val="20"/>
          <w:szCs w:val="20"/>
          <w:color w:val="auto"/>
        </w:rPr>
      </w:pPr>
      <w:r>
        <w:rPr>
          <w:rFonts w:ascii="Courier New" w:cs="Courier New" w:eastAsia="Courier New" w:hAnsi="Courier New"/>
          <w:sz w:val="18"/>
          <w:szCs w:val="18"/>
          <w:color w:val="auto"/>
        </w:rPr>
        <w:t>Washington,</w:t>
        <w:tab/>
        <w:t>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fee is being paid with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Issuer:</w:t>
      </w:r>
      <w:r>
        <w:rPr>
          <w:sz w:val="20"/>
          <w:szCs w:val="20"/>
          <w:color w:val="auto"/>
        </w:rPr>
        <w:tab/>
      </w: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________________________________________________</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w:t>
      </w:r>
    </w:p>
    <w:p>
      <w:pPr>
        <w:spacing w:after="0"/>
        <w:tabs>
          <w:tab w:leader="none" w:pos="1680" w:val="left"/>
        </w:tabs>
        <w:rPr>
          <w:sz w:val="20"/>
          <w:szCs w:val="20"/>
          <w:color w:val="auto"/>
        </w:rPr>
      </w:pPr>
      <w:r>
        <w:rPr>
          <w:rFonts w:ascii="Courier New" w:cs="Courier New" w:eastAsia="Courier New" w:hAnsi="Courier New"/>
          <w:sz w:val="18"/>
          <w:szCs w:val="18"/>
          <w:color w:val="auto"/>
        </w:rPr>
        <w:t>of Securities:</w:t>
      </w:r>
      <w:r>
        <w:rPr>
          <w:sz w:val="20"/>
          <w:szCs w:val="20"/>
          <w:color w:val="auto"/>
        </w:rPr>
        <w:tab/>
      </w:r>
      <w:r>
        <w:rPr>
          <w:rFonts w:ascii="Courier New" w:cs="Courier New" w:eastAsia="Courier New" w:hAnsi="Courier New"/>
          <w:sz w:val="16"/>
          <w:szCs w:val="16"/>
          <w:color w:val="auto"/>
        </w:rPr>
        <w:t>Common Stock</w:t>
      </w:r>
    </w:p>
    <w:p>
      <w:pPr>
        <w:spacing w:after="0" w:line="202"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I.R.S. IDENTIFICATION NO. OF REPORTING PERSON</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4780" w:type="dxa"/>
            <w:vAlign w:val="bottom"/>
          </w:tcPr>
          <w:p>
            <w:pPr>
              <w:spacing w:after="0"/>
              <w:rPr>
                <w:sz w:val="20"/>
                <w:szCs w:val="20"/>
                <w:color w:val="auto"/>
              </w:rPr>
            </w:pPr>
            <w:r>
              <w:rPr>
                <w:rFonts w:ascii="Courier New" w:cs="Courier New" w:eastAsia="Courier New" w:hAnsi="Courier New"/>
                <w:sz w:val="18"/>
                <w:szCs w:val="18"/>
                <w:color w:val="auto"/>
              </w:rPr>
              <w:t>The Prudential Insurance Company of America</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22-1211670</w:t>
            </w:r>
          </w:p>
        </w:tc>
      </w:tr>
    </w:tbl>
    <w:p>
      <w:pPr>
        <w:spacing w:after="0" w:line="201" w:lineRule="exact"/>
        <w:rPr>
          <w:sz w:val="24"/>
          <w:szCs w:val="24"/>
          <w:color w:val="auto"/>
        </w:rPr>
      </w:pPr>
    </w:p>
    <w:p>
      <w:pPr>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2.)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w:t>
      </w:r>
    </w:p>
    <w:p>
      <w:pPr>
        <w:ind w:left="6120"/>
        <w:spacing w:after="0" w:line="238" w:lineRule="auto"/>
        <w:tabs>
          <w:tab w:leader="none" w:pos="6620" w:val="left"/>
        </w:tabs>
        <w:rPr>
          <w:sz w:val="20"/>
          <w:szCs w:val="20"/>
          <w:color w:val="auto"/>
        </w:rPr>
      </w:pPr>
      <w:r>
        <w:rPr>
          <w:rFonts w:ascii="Courier New" w:cs="Courier New" w:eastAsia="Courier New" w:hAnsi="Courier New"/>
          <w:sz w:val="18"/>
          <w:szCs w:val="18"/>
          <w:color w:val="auto"/>
        </w:rPr>
        <w:t>(b)</w:t>
        <w:tab/>
        <w:t>N/A</w:t>
      </w:r>
    </w:p>
    <w:p>
      <w:pPr>
        <w:spacing w:after="0" w:line="202"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PLACE OF ORGANIZATION:</w:t>
            </w:r>
          </w:p>
        </w:tc>
        <w:tc>
          <w:tcPr>
            <w:tcW w:w="22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A mutual insurance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company organized</w:t>
            </w:r>
          </w:p>
        </w:tc>
      </w:tr>
      <w:tr>
        <w:trPr>
          <w:trHeight w:val="203"/>
        </w:trPr>
        <w:tc>
          <w:tcPr>
            <w:tcW w:w="320" w:type="dxa"/>
            <w:vAlign w:val="bottom"/>
          </w:tcPr>
          <w:p>
            <w:pPr>
              <w:spacing w:after="0"/>
              <w:rPr>
                <w:sz w:val="17"/>
                <w:szCs w:val="17"/>
                <w:color w:val="auto"/>
              </w:rPr>
            </w:pPr>
          </w:p>
        </w:tc>
        <w:tc>
          <w:tcPr>
            <w:tcW w:w="4280" w:type="dxa"/>
            <w:vAlign w:val="bottom"/>
            <w:gridSpan w:val="3"/>
          </w:tcPr>
          <w:p>
            <w:pPr>
              <w:ind w:left="1380"/>
              <w:spacing w:after="0" w:line="203" w:lineRule="exact"/>
              <w:rPr>
                <w:sz w:val="20"/>
                <w:szCs w:val="20"/>
                <w:color w:val="auto"/>
              </w:rPr>
            </w:pPr>
            <w:r>
              <w:rPr>
                <w:rFonts w:ascii="Courier New" w:cs="Courier New" w:eastAsia="Courier New" w:hAnsi="Courier New"/>
                <w:sz w:val="18"/>
                <w:szCs w:val="18"/>
                <w:color w:val="auto"/>
                <w:w w:val="98"/>
              </w:rPr>
              <w:t>under the laws of the State</w:t>
            </w:r>
          </w:p>
        </w:tc>
        <w:tc>
          <w:tcPr>
            <w:tcW w:w="2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of New Jersey</w:t>
            </w:r>
          </w:p>
        </w:tc>
      </w:tr>
      <w:tr>
        <w:trPr>
          <w:trHeight w:val="405"/>
        </w:trPr>
        <w:tc>
          <w:tcPr>
            <w:tcW w:w="7280" w:type="dxa"/>
            <w:vAlign w:val="bottom"/>
            <w:gridSpan w:val="7"/>
          </w:tcPr>
          <w:p>
            <w:pPr>
              <w:spacing w:after="0"/>
              <w:rPr>
                <w:sz w:val="20"/>
                <w:szCs w:val="20"/>
                <w:color w:val="auto"/>
              </w:rPr>
            </w:pPr>
            <w:r>
              <w:rPr>
                <w:rFonts w:ascii="Courier New" w:cs="Courier New" w:eastAsia="Courier New" w:hAnsi="Courier New"/>
                <w:sz w:val="18"/>
                <w:szCs w:val="18"/>
                <w:color w:val="auto"/>
              </w:rPr>
              <w:t>NUMBER OF SHARES BENEFICIALLY OWNED BY REPORTING PERSON WITH:</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166,500</w:t>
            </w: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See</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Exhibit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558,600</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Exhibit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940" w:type="dxa"/>
            <w:vAlign w:val="bottom"/>
          </w:tcPr>
          <w:p>
            <w:pPr>
              <w:spacing w:after="0"/>
              <w:rPr>
                <w:sz w:val="17"/>
                <w:szCs w:val="17"/>
                <w:color w:val="auto"/>
              </w:rPr>
            </w:pP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166,500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 A</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940" w:type="dxa"/>
            <w:vAlign w:val="bottom"/>
          </w:tcPr>
          <w:p>
            <w:pPr>
              <w:spacing w:after="0"/>
              <w:rPr>
                <w:sz w:val="17"/>
                <w:szCs w:val="17"/>
                <w:color w:val="auto"/>
              </w:rPr>
            </w:pP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558,600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 A</w:t>
            </w:r>
          </w:p>
        </w:tc>
      </w:tr>
    </w:tbl>
    <w:p>
      <w:pPr>
        <w:spacing w:after="0" w:line="207" w:lineRule="exact"/>
        <w:rPr>
          <w:sz w:val="24"/>
          <w:szCs w:val="24"/>
          <w:color w:val="auto"/>
        </w:rPr>
      </w:pPr>
    </w:p>
    <w:p>
      <w:pPr>
        <w:ind w:left="2540" w:right="5479" w:hanging="2532"/>
        <w:spacing w:after="0" w:line="290" w:lineRule="auto"/>
        <w:tabs>
          <w:tab w:leader="none" w:pos="43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725,100 See Exhibit A</w:t>
      </w:r>
    </w:p>
    <w:p>
      <w:pPr>
        <w:spacing w:after="0" w:line="164" w:lineRule="exact"/>
        <w:rPr>
          <w:sz w:val="24"/>
          <w:szCs w:val="24"/>
          <w:color w:val="auto"/>
        </w:rPr>
      </w:pPr>
    </w:p>
    <w:p>
      <w:pPr>
        <w:spacing w:after="0"/>
        <w:tabs>
          <w:tab w:leader="none" w:pos="520" w:val="left"/>
          <w:tab w:leader="none" w:pos="5880" w:val="left"/>
        </w:tabs>
        <w:rPr>
          <w:sz w:val="20"/>
          <w:szCs w:val="20"/>
          <w:color w:val="auto"/>
        </w:rPr>
      </w:pPr>
      <w:r>
        <w:rPr>
          <w:rFonts w:ascii="Courier New" w:cs="Courier New" w:eastAsia="Courier New" w:hAnsi="Courier New"/>
          <w:sz w:val="18"/>
          <w:szCs w:val="18"/>
          <w:color w:val="auto"/>
        </w:rPr>
        <w:t>10)</w:t>
        <w:tab/>
        <w:t>AGGREGATE AMOUNT IN ROW (9) EXCLUDES SHARES:</w:t>
      </w:r>
      <w:r>
        <w:rPr>
          <w:sz w:val="20"/>
          <w:szCs w:val="20"/>
          <w:color w:val="auto"/>
        </w:rPr>
        <w:tab/>
      </w:r>
      <w:r>
        <w:rPr>
          <w:rFonts w:ascii="Courier New" w:cs="Courier New" w:eastAsia="Courier New" w:hAnsi="Courier New"/>
          <w:sz w:val="16"/>
          <w:szCs w:val="16"/>
          <w:color w:val="auto"/>
        </w:rPr>
        <w:t>Not Applicable</w:t>
      </w:r>
    </w:p>
    <w:p>
      <w:pPr>
        <w:spacing w:after="0" w:line="207" w:lineRule="exact"/>
        <w:rPr>
          <w:sz w:val="24"/>
          <w:szCs w:val="24"/>
          <w:color w:val="auto"/>
        </w:rPr>
      </w:pPr>
    </w:p>
    <w:p>
      <w:pPr>
        <w:ind w:left="2540" w:right="4519" w:hanging="2532"/>
        <w:spacing w:after="0" w:line="235" w:lineRule="auto"/>
        <w:tabs>
          <w:tab w:leader="none" w:pos="4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5.96 See Exhibit 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IA</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EXECUTIVE OFFICES:</w:t>
      </w:r>
    </w:p>
    <w:p>
      <w:pPr>
        <w:spacing w:after="0" w:line="207" w:lineRule="exact"/>
        <w:rPr>
          <w:sz w:val="24"/>
          <w:szCs w:val="24"/>
          <w:color w:val="auto"/>
        </w:rPr>
      </w:pPr>
    </w:p>
    <w:p>
      <w:pPr>
        <w:ind w:right="4619" w:firstLine="2318"/>
        <w:spacing w:after="0" w:line="236" w:lineRule="auto"/>
        <w:rPr>
          <w:sz w:val="20"/>
          <w:szCs w:val="20"/>
          <w:color w:val="auto"/>
        </w:rPr>
      </w:pPr>
      <w:r>
        <w:rPr>
          <w:rFonts w:ascii="Courier New" w:cs="Courier New" w:eastAsia="Courier New" w:hAnsi="Courier New"/>
          <w:sz w:val="18"/>
          <w:szCs w:val="18"/>
          <w:color w:val="auto"/>
        </w:rPr>
        <w:t>WORLD FUEL SERVICES CORPORATION 700 South Royal Poinciana Boulevard, Suite 800 Miami Springs, Florida 33166</w:t>
      </w:r>
    </w:p>
    <w:p>
      <w:pPr>
        <w:spacing w:after="0" w:line="200" w:lineRule="exact"/>
        <w:rPr>
          <w:sz w:val="24"/>
          <w:szCs w:val="24"/>
          <w:color w:val="auto"/>
        </w:rPr>
      </w:pPr>
    </w:p>
    <w:p>
      <w:pPr>
        <w:spacing w:after="0" w:line="206"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Prudential Insurance Company of America</w:t>
      </w:r>
    </w:p>
    <w:p>
      <w:pPr>
        <w:spacing w:after="0" w:line="201" w:lineRule="exact"/>
        <w:rPr>
          <w:sz w:val="24"/>
          <w:szCs w:val="24"/>
          <w:color w:val="auto"/>
        </w:rPr>
      </w:pPr>
    </w:p>
    <w:p>
      <w:pPr>
        <w:jc w:val="center"/>
        <w:ind w:right="5059"/>
        <w:spacing w:after="0"/>
        <w:tabs>
          <w:tab w:leader="none" w:pos="20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751 Broad Street</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Newark, New Jersey</w:t>
      </w:r>
      <w:r>
        <w:rPr>
          <w:sz w:val="20"/>
          <w:szCs w:val="20"/>
          <w:color w:val="auto"/>
        </w:rPr>
        <w:tab/>
      </w:r>
      <w:r>
        <w:rPr>
          <w:rFonts w:ascii="Courier New" w:cs="Courier New" w:eastAsia="Courier New" w:hAnsi="Courier New"/>
          <w:sz w:val="16"/>
          <w:szCs w:val="16"/>
          <w:color w:val="auto"/>
        </w:rPr>
        <w:t>07102-3777</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 mutual insurance company organized under the laws</w:t>
      </w:r>
    </w:p>
    <w:p>
      <w:pPr>
        <w:spacing w:after="0" w:line="238" w:lineRule="auto"/>
        <w:rPr>
          <w:sz w:val="20"/>
          <w:szCs w:val="20"/>
          <w:color w:val="auto"/>
        </w:rPr>
      </w:pPr>
      <w:r>
        <w:rPr>
          <w:rFonts w:ascii="Courier New" w:cs="Courier New" w:eastAsia="Courier New" w:hAnsi="Courier New"/>
          <w:sz w:val="18"/>
          <w:szCs w:val="18"/>
          <w:color w:val="auto"/>
        </w:rPr>
        <w:t>of the</w:t>
      </w:r>
    </w:p>
    <w:p>
      <w:pPr>
        <w:ind w:left="1700"/>
        <w:spacing w:after="0"/>
        <w:rPr>
          <w:sz w:val="20"/>
          <w:szCs w:val="20"/>
          <w:color w:val="auto"/>
        </w:rPr>
      </w:pPr>
      <w:r>
        <w:rPr>
          <w:rFonts w:ascii="Courier New" w:cs="Courier New" w:eastAsia="Courier New" w:hAnsi="Courier New"/>
          <w:sz w:val="18"/>
          <w:szCs w:val="18"/>
          <w:color w:val="auto"/>
        </w:rPr>
        <w:t>State of New Jersey</w:t>
      </w:r>
    </w:p>
    <w:p>
      <w:pPr>
        <w:spacing w:after="0" w:line="20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649" w:right="1440" w:bottom="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981475106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statement is an Insurance Company</w:t>
      </w:r>
    </w:p>
    <w:p>
      <w:pPr>
        <w:ind w:left="2540"/>
        <w:spacing w:after="0" w:line="238" w:lineRule="auto"/>
        <w:rPr>
          <w:sz w:val="20"/>
          <w:szCs w:val="20"/>
          <w:color w:val="auto"/>
        </w:rPr>
      </w:pPr>
      <w:r>
        <w:rPr>
          <w:rFonts w:ascii="Courier New" w:cs="Courier New" w:eastAsia="Courier New" w:hAnsi="Courier New"/>
          <w:sz w:val="18"/>
          <w:szCs w:val="18"/>
          <w:color w:val="auto"/>
        </w:rPr>
        <w:t>as defined in Section 3(a) (19) of the Securities</w:t>
      </w:r>
    </w:p>
    <w:p>
      <w:pPr>
        <w:spacing w:after="0"/>
        <w:rPr>
          <w:sz w:val="20"/>
          <w:szCs w:val="20"/>
          <w:color w:val="auto"/>
        </w:rPr>
      </w:pPr>
      <w:r>
        <w:rPr>
          <w:rFonts w:ascii="Courier New" w:cs="Courier New" w:eastAsia="Courier New" w:hAnsi="Courier New"/>
          <w:sz w:val="18"/>
          <w:szCs w:val="18"/>
          <w:color w:val="auto"/>
        </w:rPr>
        <w:t>Exchange</w:t>
      </w:r>
    </w:p>
    <w:p>
      <w:pPr>
        <w:jc w:val="center"/>
        <w:ind w:right="-20"/>
        <w:spacing w:after="0" w:line="237" w:lineRule="auto"/>
        <w:rPr>
          <w:sz w:val="20"/>
          <w:szCs w:val="20"/>
          <w:color w:val="auto"/>
        </w:rPr>
      </w:pPr>
      <w:r>
        <w:rPr>
          <w:rFonts w:ascii="Courier New" w:cs="Courier New" w:eastAsia="Courier New" w:hAnsi="Courier New"/>
          <w:sz w:val="18"/>
          <w:szCs w:val="18"/>
          <w:color w:val="auto"/>
        </w:rPr>
        <w:t>Act of 1934, and an Investment Adviser registered</w:t>
      </w:r>
    </w:p>
    <w:p>
      <w:pPr>
        <w:spacing w:after="0" w:line="238" w:lineRule="auto"/>
        <w:rPr>
          <w:sz w:val="20"/>
          <w:szCs w:val="20"/>
          <w:color w:val="auto"/>
        </w:rPr>
      </w:pPr>
      <w:r>
        <w:rPr>
          <w:rFonts w:ascii="Courier New" w:cs="Courier New" w:eastAsia="Courier New" w:hAnsi="Courier New"/>
          <w:sz w:val="18"/>
          <w:szCs w:val="18"/>
          <w:color w:val="auto"/>
        </w:rPr>
        <w:t>under</w:t>
      </w:r>
    </w:p>
    <w:p>
      <w:pPr>
        <w:jc w:val="center"/>
        <w:ind w:right="-220"/>
        <w:spacing w:after="0"/>
        <w:rPr>
          <w:sz w:val="20"/>
          <w:szCs w:val="20"/>
          <w:color w:val="auto"/>
        </w:rPr>
      </w:pPr>
      <w:r>
        <w:rPr>
          <w:rFonts w:ascii="Courier New" w:cs="Courier New" w:eastAsia="Courier New" w:hAnsi="Courier New"/>
          <w:sz w:val="18"/>
          <w:szCs w:val="18"/>
          <w:color w:val="auto"/>
        </w:rPr>
        <w:t>Section 203 of the Investment Advisers Act of 1940.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ITEM 4.  OWNERSHIP:</w:t>
            </w: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900" w:type="dxa"/>
            <w:vAlign w:val="bottom"/>
          </w:tcPr>
          <w:p>
            <w:pPr>
              <w:ind w:left="1700"/>
              <w:spacing w:after="0"/>
              <w:rPr>
                <w:sz w:val="20"/>
                <w:szCs w:val="20"/>
                <w:color w:val="auto"/>
              </w:rPr>
            </w:pPr>
            <w:r>
              <w:rPr>
                <w:rFonts w:ascii="Courier New" w:cs="Courier New" w:eastAsia="Courier New" w:hAnsi="Courier New"/>
                <w:sz w:val="18"/>
                <w:szCs w:val="18"/>
                <w:color w:val="auto"/>
              </w:rPr>
              <w:t>(a) Number of Shares</w:t>
            </w:r>
          </w:p>
        </w:tc>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9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725,100</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See Exhibit A</w:t>
            </w:r>
          </w:p>
        </w:tc>
      </w:tr>
      <w:tr>
        <w:trPr>
          <w:trHeight w:val="405"/>
        </w:trPr>
        <w:tc>
          <w:tcPr>
            <w:tcW w:w="4900" w:type="dxa"/>
            <w:vAlign w:val="bottom"/>
          </w:tcPr>
          <w:p>
            <w:pPr>
              <w:ind w:left="1700"/>
              <w:spacing w:after="0"/>
              <w:rPr>
                <w:sz w:val="20"/>
                <w:szCs w:val="20"/>
                <w:color w:val="auto"/>
              </w:rPr>
            </w:pPr>
            <w:r>
              <w:rPr>
                <w:rFonts w:ascii="Courier New" w:cs="Courier New" w:eastAsia="Courier New" w:hAnsi="Courier New"/>
                <w:sz w:val="18"/>
                <w:szCs w:val="18"/>
                <w:color w:val="auto"/>
              </w:rPr>
              <w:t>(b) Percent of Class:</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5.96</w:t>
            </w:r>
          </w:p>
        </w:tc>
        <w:tc>
          <w:tcPr>
            <w:tcW w:w="2260" w:type="dxa"/>
            <w:vAlign w:val="bottom"/>
          </w:tcPr>
          <w:p>
            <w:pPr>
              <w:spacing w:after="0"/>
              <w:rPr>
                <w:sz w:val="24"/>
                <w:szCs w:val="24"/>
                <w:color w:val="auto"/>
              </w:rPr>
            </w:pPr>
          </w:p>
        </w:tc>
      </w:tr>
      <w:tr>
        <w:trPr>
          <w:trHeight w:val="405"/>
        </w:trPr>
        <w:tc>
          <w:tcPr>
            <w:tcW w:w="4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490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 Powers</w:t>
            </w:r>
          </w:p>
        </w:tc>
        <w:tc>
          <w:tcPr>
            <w:tcW w:w="960" w:type="dxa"/>
            <w:vAlign w:val="bottom"/>
          </w:tcPr>
          <w:p>
            <w:pPr>
              <w:spacing w:after="0"/>
              <w:rPr>
                <w:sz w:val="17"/>
                <w:szCs w:val="17"/>
                <w:color w:val="auto"/>
              </w:rPr>
            </w:pP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Shares</w:t>
            </w:r>
          </w:p>
        </w:tc>
      </w:tr>
      <w:tr>
        <w:trPr>
          <w:trHeight w:val="405"/>
        </w:trPr>
        <w:tc>
          <w:tcPr>
            <w:tcW w:w="8120" w:type="dxa"/>
            <w:vAlign w:val="bottom"/>
            <w:gridSpan w:val="3"/>
          </w:tcPr>
          <w:p>
            <w:pPr>
              <w:spacing w:after="0"/>
              <w:rPr>
                <w:sz w:val="20"/>
                <w:szCs w:val="20"/>
                <w:color w:val="auto"/>
              </w:rPr>
            </w:pPr>
            <w:r>
              <w:rPr>
                <w:rFonts w:ascii="Courier New" w:cs="Courier New" w:eastAsia="Courier New" w:hAnsi="Courier New"/>
                <w:sz w:val="18"/>
                <w:szCs w:val="18"/>
                <w:color w:val="auto"/>
              </w:rPr>
              <w:t>- ------------------------------------- --------------------------</w:t>
            </w:r>
          </w:p>
        </w:tc>
      </w:tr>
      <w:tr>
        <w:trPr>
          <w:trHeight w:val="203"/>
        </w:trPr>
        <w:tc>
          <w:tcPr>
            <w:tcW w:w="49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Sole power to vote or</w:t>
            </w:r>
          </w:p>
        </w:tc>
        <w:tc>
          <w:tcPr>
            <w:tcW w:w="960" w:type="dxa"/>
            <w:vAlign w:val="bottom"/>
          </w:tcPr>
          <w:p>
            <w:pPr>
              <w:spacing w:after="0"/>
              <w:rPr>
                <w:sz w:val="17"/>
                <w:szCs w:val="17"/>
                <w:color w:val="auto"/>
              </w:rPr>
            </w:pP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166,500 See Exhibit A</w:t>
            </w:r>
          </w:p>
        </w:tc>
      </w:tr>
      <w:tr>
        <w:trPr>
          <w:trHeight w:val="203"/>
        </w:trPr>
        <w:tc>
          <w:tcPr>
            <w:tcW w:w="49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to direct the vote</w:t>
            </w: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900" w:type="dxa"/>
            <w:vAlign w:val="bottom"/>
          </w:tcPr>
          <w:p>
            <w:pPr>
              <w:ind w:left="2220"/>
              <w:spacing w:after="0"/>
              <w:rPr>
                <w:sz w:val="20"/>
                <w:szCs w:val="20"/>
                <w:color w:val="auto"/>
              </w:rPr>
            </w:pPr>
            <w:r>
              <w:rPr>
                <w:rFonts w:ascii="Courier New" w:cs="Courier New" w:eastAsia="Courier New" w:hAnsi="Courier New"/>
                <w:sz w:val="18"/>
                <w:szCs w:val="18"/>
                <w:color w:val="auto"/>
              </w:rPr>
              <w:t>Shared power to vote or</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558,600</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See Exhibit A</w:t>
            </w:r>
          </w:p>
        </w:tc>
      </w:tr>
      <w:tr>
        <w:trPr>
          <w:trHeight w:val="203"/>
        </w:trPr>
        <w:tc>
          <w:tcPr>
            <w:tcW w:w="49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to direct the vote</w:t>
            </w: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900" w:type="dxa"/>
            <w:vAlign w:val="bottom"/>
          </w:tcPr>
          <w:p>
            <w:pPr>
              <w:ind w:left="2220"/>
              <w:spacing w:after="0"/>
              <w:rPr>
                <w:sz w:val="20"/>
                <w:szCs w:val="20"/>
                <w:color w:val="auto"/>
              </w:rPr>
            </w:pPr>
            <w:r>
              <w:rPr>
                <w:rFonts w:ascii="Courier New" w:cs="Courier New" w:eastAsia="Courier New" w:hAnsi="Courier New"/>
                <w:sz w:val="18"/>
                <w:szCs w:val="18"/>
                <w:color w:val="auto"/>
              </w:rPr>
              <w:t>Sole power to dispose or</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166,500</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See Exhibit A</w:t>
            </w:r>
          </w:p>
        </w:tc>
      </w:tr>
      <w:tr>
        <w:trPr>
          <w:trHeight w:val="203"/>
        </w:trPr>
        <w:tc>
          <w:tcPr>
            <w:tcW w:w="49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to direct disposition</w:t>
            </w: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900" w:type="dxa"/>
            <w:vAlign w:val="bottom"/>
          </w:tcPr>
          <w:p>
            <w:pPr>
              <w:ind w:left="2220"/>
              <w:spacing w:after="0"/>
              <w:rPr>
                <w:sz w:val="20"/>
                <w:szCs w:val="20"/>
                <w:color w:val="auto"/>
              </w:rPr>
            </w:pPr>
            <w:r>
              <w:rPr>
                <w:rFonts w:ascii="Courier New" w:cs="Courier New" w:eastAsia="Courier New" w:hAnsi="Courier New"/>
                <w:sz w:val="18"/>
                <w:szCs w:val="18"/>
                <w:color w:val="auto"/>
              </w:rPr>
              <w:t>Shared power to dispose</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558,600</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See Exhibit A</w:t>
            </w:r>
          </w:p>
        </w:tc>
      </w:tr>
    </w:tbl>
    <w:p>
      <w:pPr>
        <w:ind w:left="2220"/>
        <w:spacing w:after="0" w:line="238" w:lineRule="auto"/>
        <w:rPr>
          <w:sz w:val="20"/>
          <w:szCs w:val="20"/>
          <w:color w:val="auto"/>
        </w:rPr>
      </w:pPr>
      <w:r>
        <w:rPr>
          <w:rFonts w:ascii="Courier New" w:cs="Courier New" w:eastAsia="Courier New" w:hAnsi="Courier New"/>
          <w:sz w:val="18"/>
          <w:szCs w:val="18"/>
          <w:color w:val="auto"/>
        </w:rPr>
        <w:t>or to direct disposition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w:t>
      </w:r>
    </w:p>
    <w:p>
      <w:pPr>
        <w:ind w:left="1060"/>
        <w:spacing w:after="0" w:line="238" w:lineRule="auto"/>
        <w:rPr>
          <w:sz w:val="20"/>
          <w:szCs w:val="20"/>
          <w:color w:val="auto"/>
        </w:rPr>
      </w:pPr>
      <w:r>
        <w:rPr>
          <w:rFonts w:ascii="Courier New" w:cs="Courier New" w:eastAsia="Courier New" w:hAnsi="Courier New"/>
          <w:sz w:val="18"/>
          <w:szCs w:val="18"/>
          <w:color w:val="auto"/>
        </w:rPr>
        <w:t>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w:t>
      </w:r>
    </w:p>
    <w:p>
      <w:pPr>
        <w:ind w:left="860"/>
        <w:spacing w:after="0" w:line="238" w:lineRule="auto"/>
        <w:rPr>
          <w:sz w:val="20"/>
          <w:szCs w:val="20"/>
          <w:color w:val="auto"/>
        </w:rPr>
      </w:pPr>
      <w:r>
        <w:rPr>
          <w:rFonts w:ascii="Courier New" w:cs="Courier New" w:eastAsia="Courier New" w:hAnsi="Courier New"/>
          <w:sz w:val="18"/>
          <w:szCs w:val="18"/>
          <w:color w:val="auto"/>
        </w:rPr>
        <w:t>SUBSIDIARY WHICH ACQUIRED THE SECURITY BEING</w:t>
      </w:r>
    </w:p>
    <w:p>
      <w:pPr>
        <w:ind w:left="860"/>
        <w:spacing w:after="0"/>
        <w:rPr>
          <w:sz w:val="20"/>
          <w:szCs w:val="20"/>
          <w:color w:val="auto"/>
        </w:rPr>
      </w:pPr>
      <w:r>
        <w:rPr>
          <w:rFonts w:ascii="Courier New" w:cs="Courier New" w:eastAsia="Courier New" w:hAnsi="Courier New"/>
          <w:sz w:val="18"/>
          <w:szCs w:val="18"/>
          <w:color w:val="auto"/>
        </w:rPr>
        <w:t>REPORTED ON BY THE ULTIMATE PARENT COMPANY:</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w:t>
      </w:r>
    </w:p>
    <w:p>
      <w:pPr>
        <w:ind w:left="960"/>
        <w:spacing w:after="0" w:line="238" w:lineRule="auto"/>
        <w:rPr>
          <w:sz w:val="20"/>
          <w:szCs w:val="20"/>
          <w:color w:val="auto"/>
        </w:rPr>
      </w:pPr>
      <w:r>
        <w:rPr>
          <w:rFonts w:ascii="Courier New" w:cs="Courier New" w:eastAsia="Courier New" w:hAnsi="Courier New"/>
          <w:sz w:val="18"/>
          <w:szCs w:val="18"/>
          <w:color w:val="auto"/>
        </w:rPr>
        <w:t>OF THE GROUP:</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860" w:right="2519"/>
        <w:spacing w:after="0" w:line="237" w:lineRule="auto"/>
        <w:rPr>
          <w:sz w:val="20"/>
          <w:szCs w:val="20"/>
          <w:color w:val="auto"/>
        </w:rPr>
      </w:pPr>
      <w:r>
        <w:rPr>
          <w:rFonts w:ascii="Courier New" w:cs="Courier New" w:eastAsia="Courier New" w:hAnsi="Courier New"/>
          <w:sz w:val="18"/>
          <w:szCs w:val="18"/>
          <w:color w:val="auto"/>
        </w:rPr>
        <w:t>By signing below, the Prudential Insurance Company of America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12"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filing of this statement should not be construed as an admission that Prudential is, for purposes of Sections 13 or 16 of the Securities Exchange Act of 1934, the beneficial owner of such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860" w:right="2419"/>
        <w:spacing w:after="0" w:line="279" w:lineRule="auto"/>
        <w:rPr>
          <w:sz w:val="20"/>
          <w:szCs w:val="20"/>
          <w:color w:val="auto"/>
        </w:rPr>
      </w:pPr>
      <w:r>
        <w:rPr>
          <w:rFonts w:ascii="Courier New" w:cs="Courier New" w:eastAsia="Courier New" w:hAnsi="Courier New"/>
          <w:sz w:val="16"/>
          <w:szCs w:val="16"/>
          <w:color w:val="auto"/>
        </w:rPr>
        <w:t>After reasonable inquiry and to the best of its knowledge and belief, The Prudential Insurance Company of America certifies that the information set forth in this statement is true, complete and</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correct.</w:t>
      </w: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PRUDENTIAL INSURANCE COMPANY OF AMERICA</w:t>
      </w:r>
    </w:p>
    <w:p>
      <w:pPr>
        <w:sectPr>
          <w:pgSz w:w="11900" w:h="16838" w:orient="portrait"/>
          <w:cols w:equalWidth="0" w:num="1">
            <w:col w:w="10219"/>
          </w:cols>
          <w:pgMar w:left="240" w:top="136" w:right="1440" w:bottom="1440" w:gutter="0" w:footer="0" w:header="0"/>
        </w:sectPr>
      </w:pP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Karen L. Shapiro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Corporate Compliance</w:t>
      </w:r>
    </w:p>
    <w:p>
      <w:pPr>
        <w:spacing w:after="0" w:line="200" w:lineRule="exact"/>
        <w:rPr>
          <w:sz w:val="20"/>
          <w:szCs w:val="20"/>
          <w:color w:val="auto"/>
        </w:rPr>
      </w:pPr>
    </w:p>
    <w:p>
      <w:pPr>
        <w:sectPr>
          <w:pgSz w:w="11900" w:h="16838" w:orient="portrait"/>
          <w:cols w:equalWidth="0" w:num="2">
            <w:col w:w="1160" w:space="540"/>
            <w:col w:w="8519"/>
          </w:cols>
          <w:pgMar w:left="240" w:top="136"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As of: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02/10/98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12/31/97</w:t>
      </w:r>
    </w:p>
    <w:p>
      <w:pPr>
        <w:spacing w:after="0" w:line="200" w:lineRule="exact"/>
        <w:rPr>
          <w:sz w:val="20"/>
          <w:szCs w:val="20"/>
          <w:color w:val="auto"/>
        </w:rPr>
      </w:pPr>
    </w:p>
    <w:p>
      <w:pPr>
        <w:sectPr>
          <w:pgSz w:w="11900" w:h="16838" w:orient="portrait"/>
          <w:cols w:equalWidth="0" w:num="2">
            <w:col w:w="1480" w:space="220"/>
            <w:col w:w="8519"/>
          </w:cols>
          <w:pgMar w:left="240" w:top="136" w:right="1440" w:bottom="1440" w:gutter="0" w:footer="0" w:header="0"/>
          <w:type w:val="continuous"/>
        </w:sect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Prudential Insurance Company of America ('Prudential') presently holds 2,700 shares of Issuer's common stock for the benefit of its general account.</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addition, Prudential may have direct or indirect voting and/or investment discretion over 722,400 shares which are held for the benefit of its clients by its separate accounts, externally managed accounts, registered investment companies, subsidiaries and/or other affiliates. Prudential is reporting the combined holdings of these entities for the purpose of administrative convenience.</w:t>
      </w:r>
    </w:p>
    <w:p>
      <w:pPr>
        <w:spacing w:after="0" w:line="210"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is, for the purposes of Sections 13 or 16 of the Securities Exchange Act of 1934, the beneficial owner of these shares.</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2019-12-13T16:08:44Z</dcterms:created>
  <dcterms:modified xsi:type="dcterms:W3CDTF">2019-12-13T16:08:44Z</dcterms:modified>
</cp:coreProperties>
</file>