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64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5407025" cy="13849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407025" cy="1384935"/>
                    </a:xfrm>
                    <a:prstGeom prst="rect">
                      <a:avLst/>
                    </a:prstGeom>
                    <a:noFill/>
                  </pic:spPr>
                </pic:pic>
              </a:graphicData>
            </a:graphic>
          </wp:anchor>
        </w:drawing>
        <w:t>UNITED STATES</w:t>
      </w:r>
    </w:p>
    <w:p>
      <w:pPr>
        <w:spacing w:after="0" w:line="206" w:lineRule="exact"/>
        <w:rPr>
          <w:sz w:val="24"/>
          <w:szCs w:val="24"/>
          <w:color w:val="auto"/>
        </w:rPr>
      </w:pPr>
    </w:p>
    <w:p>
      <w:pPr>
        <w:jc w:val="center"/>
        <w:ind w:left="640"/>
        <w:spacing w:after="0"/>
        <w:rPr>
          <w:sz w:val="20"/>
          <w:szCs w:val="20"/>
          <w:color w:val="auto"/>
        </w:rPr>
      </w:pPr>
      <w:r>
        <w:rPr>
          <w:rFonts w:ascii="Arial" w:cs="Arial" w:eastAsia="Arial" w:hAnsi="Arial"/>
          <w:sz w:val="21"/>
          <w:szCs w:val="21"/>
          <w:b w:val="1"/>
          <w:bCs w:val="1"/>
          <w:color w:val="auto"/>
        </w:rPr>
        <w:t>SECURITIES AND EXCHANGE COMMISSION</w:t>
      </w:r>
    </w:p>
    <w:p>
      <w:pPr>
        <w:spacing w:after="0" w:line="218" w:lineRule="exact"/>
        <w:rPr>
          <w:sz w:val="24"/>
          <w:szCs w:val="24"/>
          <w:color w:val="auto"/>
        </w:rPr>
      </w:pPr>
    </w:p>
    <w:p>
      <w:pPr>
        <w:jc w:val="center"/>
        <w:ind w:left="64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br w:type="column"/>
      </w:r>
    </w:p>
    <w:p>
      <w:pPr>
        <w:ind w:left="360"/>
        <w:spacing w:after="0"/>
        <w:rPr>
          <w:sz w:val="20"/>
          <w:szCs w:val="20"/>
          <w:color w:val="auto"/>
        </w:rPr>
      </w:pPr>
      <w:r>
        <w:rPr>
          <w:rFonts w:ascii="Arial" w:cs="Arial" w:eastAsia="Arial" w:hAnsi="Arial"/>
          <w:sz w:val="18"/>
          <w:szCs w:val="18"/>
          <w:u w:val="single" w:color="auto"/>
          <w:color w:val="auto"/>
        </w:rPr>
        <w:t>OMB APPROVAL</w:t>
      </w:r>
    </w:p>
    <w:p>
      <w:pPr>
        <w:spacing w:after="0" w:line="225" w:lineRule="exact"/>
        <w:rPr>
          <w:sz w:val="24"/>
          <w:szCs w:val="24"/>
          <w:color w:val="auto"/>
        </w:rPr>
      </w:pPr>
    </w:p>
    <w:p>
      <w:pPr>
        <w:spacing w:after="0"/>
        <w:rPr>
          <w:sz w:val="20"/>
          <w:szCs w:val="20"/>
          <w:color w:val="auto"/>
        </w:rPr>
      </w:pPr>
      <w:r>
        <w:rPr>
          <w:rFonts w:ascii="Arial" w:cs="Arial" w:eastAsia="Arial" w:hAnsi="Arial"/>
          <w:sz w:val="16"/>
          <w:szCs w:val="16"/>
          <w:color w:val="auto"/>
        </w:rPr>
        <w:t>OMB Number: 3235-0145</w:t>
      </w:r>
    </w:p>
    <w:p>
      <w:pPr>
        <w:spacing w:after="0" w:line="248" w:lineRule="exact"/>
        <w:rPr>
          <w:sz w:val="24"/>
          <w:szCs w:val="24"/>
          <w:color w:val="auto"/>
        </w:rPr>
      </w:pPr>
    </w:p>
    <w:p>
      <w:pPr>
        <w:spacing w:after="0"/>
        <w:rPr>
          <w:sz w:val="20"/>
          <w:szCs w:val="20"/>
          <w:color w:val="auto"/>
        </w:rPr>
      </w:pPr>
      <w:r>
        <w:rPr>
          <w:rFonts w:ascii="Arial" w:cs="Arial" w:eastAsia="Arial" w:hAnsi="Arial"/>
          <w:sz w:val="15"/>
          <w:szCs w:val="15"/>
          <w:color w:val="auto"/>
        </w:rPr>
        <w:t>Expires: December 31, 2005</w:t>
      </w:r>
    </w:p>
    <w:p>
      <w:pPr>
        <w:spacing w:after="0" w:line="219" w:lineRule="exact"/>
        <w:rPr>
          <w:sz w:val="24"/>
          <w:szCs w:val="24"/>
          <w:color w:val="auto"/>
        </w:rPr>
      </w:pPr>
    </w:p>
    <w:p>
      <w:pPr>
        <w:spacing w:after="0"/>
        <w:rPr>
          <w:sz w:val="20"/>
          <w:szCs w:val="20"/>
          <w:color w:val="auto"/>
        </w:rPr>
      </w:pPr>
      <w:r>
        <w:rPr>
          <w:rFonts w:ascii="Arial" w:cs="Arial" w:eastAsia="Arial" w:hAnsi="Arial"/>
          <w:sz w:val="16"/>
          <w:szCs w:val="16"/>
          <w:color w:val="auto"/>
        </w:rPr>
        <w:t>Estimated average burden</w:t>
      </w:r>
    </w:p>
    <w:p>
      <w:pPr>
        <w:spacing w:after="0" w:line="248" w:lineRule="exact"/>
        <w:rPr>
          <w:sz w:val="24"/>
          <w:szCs w:val="24"/>
          <w:color w:val="auto"/>
        </w:rPr>
      </w:pPr>
    </w:p>
    <w:p>
      <w:pPr>
        <w:spacing w:after="0"/>
        <w:rPr>
          <w:sz w:val="20"/>
          <w:szCs w:val="20"/>
          <w:color w:val="auto"/>
        </w:rPr>
      </w:pPr>
      <w:r>
        <w:rPr>
          <w:rFonts w:ascii="Arial" w:cs="Arial" w:eastAsia="Arial" w:hAnsi="Arial"/>
          <w:sz w:val="18"/>
          <w:szCs w:val="18"/>
          <w:color w:val="auto"/>
        </w:rPr>
        <w:t>hours per response 11</w:t>
      </w:r>
    </w:p>
    <w:p>
      <w:pPr>
        <w:spacing w:after="0" w:line="200" w:lineRule="exact"/>
        <w:rPr>
          <w:sz w:val="24"/>
          <w:szCs w:val="24"/>
          <w:color w:val="auto"/>
        </w:rPr>
      </w:pPr>
    </w:p>
    <w:p>
      <w:pPr>
        <w:sectPr>
          <w:pgSz w:w="11900" w:h="16838" w:orient="portrait"/>
          <w:cols w:equalWidth="0" w:num="2">
            <w:col w:w="5600" w:space="720"/>
            <w:col w:w="5040"/>
          </w:cols>
          <w:pgMar w:left="240" w:top="355" w:right="299" w:bottom="0" w:gutter="0" w:footer="0" w:header="0"/>
        </w:sectPr>
      </w:pPr>
    </w:p>
    <w:p>
      <w:pPr>
        <w:spacing w:after="0" w:line="141"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SCHEDULE 13G</w:t>
      </w:r>
    </w:p>
    <w:p>
      <w:pPr>
        <w:spacing w:after="0" w:line="23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(Amendment No. 1)</w:t>
      </w:r>
    </w:p>
    <w:p>
      <w:pPr>
        <w:spacing w:after="0" w:line="182" w:lineRule="exact"/>
        <w:rPr>
          <w:sz w:val="24"/>
          <w:szCs w:val="24"/>
          <w:color w:val="auto"/>
        </w:rPr>
      </w:pPr>
    </w:p>
    <w:p>
      <w:pPr>
        <w:ind w:left="4480"/>
        <w:spacing w:after="0"/>
        <w:rPr>
          <w:sz w:val="20"/>
          <w:szCs w:val="20"/>
          <w:color w:val="auto"/>
        </w:rPr>
      </w:pPr>
      <w:r>
        <w:rPr>
          <w:rFonts w:ascii="Arial" w:cs="Arial" w:eastAsia="Arial" w:hAnsi="Arial"/>
          <w:sz w:val="22"/>
          <w:szCs w:val="22"/>
          <w:b w:val="1"/>
          <w:bCs w:val="1"/>
          <w:color w:val="auto"/>
        </w:rPr>
        <w:t>World Fuel Services Corp.</w:t>
      </w:r>
    </w:p>
    <w:p>
      <w:pPr>
        <w:spacing w:after="0" w:line="212" w:lineRule="exact"/>
        <w:rPr>
          <w:sz w:val="24"/>
          <w:szCs w:val="24"/>
          <w:color w:val="auto"/>
        </w:rPr>
      </w:pPr>
    </w:p>
    <w:p>
      <w:pPr>
        <w:ind w:left="4980"/>
        <w:spacing w:after="0"/>
        <w:rPr>
          <w:sz w:val="20"/>
          <w:szCs w:val="20"/>
          <w:color w:val="auto"/>
        </w:rPr>
      </w:pPr>
      <w:r>
        <w:rPr>
          <w:rFonts w:ascii="Arial" w:cs="Arial" w:eastAsia="Arial" w:hAnsi="Arial"/>
          <w:sz w:val="22"/>
          <w:szCs w:val="22"/>
          <w:color w:val="auto"/>
        </w:rPr>
        <w:t>(Name of Issuer)</w:t>
      </w:r>
    </w:p>
    <w:p>
      <w:pPr>
        <w:spacing w:after="0" w:line="200" w:lineRule="exact"/>
        <w:rPr>
          <w:sz w:val="24"/>
          <w:szCs w:val="24"/>
          <w:color w:val="auto"/>
        </w:rPr>
      </w:pPr>
    </w:p>
    <w:p>
      <w:pPr>
        <w:ind w:left="5000"/>
        <w:spacing w:after="0"/>
        <w:rPr>
          <w:sz w:val="20"/>
          <w:szCs w:val="20"/>
          <w:color w:val="auto"/>
        </w:rPr>
      </w:pPr>
      <w:r>
        <w:rPr>
          <w:rFonts w:ascii="Arial" w:cs="Arial" w:eastAsia="Arial" w:hAnsi="Arial"/>
          <w:sz w:val="22"/>
          <w:szCs w:val="22"/>
          <w:b w:val="1"/>
          <w:bCs w:val="1"/>
          <w:color w:val="auto"/>
        </w:rPr>
        <w:t>Common Stock</w:t>
      </w:r>
    </w:p>
    <w:p>
      <w:pPr>
        <w:spacing w:after="0" w:line="212" w:lineRule="exact"/>
        <w:rPr>
          <w:sz w:val="24"/>
          <w:szCs w:val="24"/>
          <w:color w:val="auto"/>
        </w:rPr>
      </w:pPr>
    </w:p>
    <w:p>
      <w:pPr>
        <w:ind w:left="4500"/>
        <w:spacing w:after="0"/>
        <w:rPr>
          <w:sz w:val="20"/>
          <w:szCs w:val="20"/>
          <w:color w:val="auto"/>
        </w:rPr>
      </w:pPr>
      <w:r>
        <w:rPr>
          <w:rFonts w:ascii="Arial" w:cs="Arial" w:eastAsia="Arial" w:hAnsi="Arial"/>
          <w:sz w:val="22"/>
          <w:szCs w:val="22"/>
          <w:color w:val="auto"/>
        </w:rPr>
        <w:t>(Title of Class of Securities)</w:t>
      </w:r>
    </w:p>
    <w:p>
      <w:pPr>
        <w:spacing w:after="0" w:line="200" w:lineRule="exact"/>
        <w:rPr>
          <w:sz w:val="24"/>
          <w:szCs w:val="24"/>
          <w:color w:val="auto"/>
        </w:rPr>
      </w:pPr>
    </w:p>
    <w:p>
      <w:pPr>
        <w:ind w:left="5220"/>
        <w:spacing w:after="0"/>
        <w:rPr>
          <w:sz w:val="20"/>
          <w:szCs w:val="20"/>
          <w:color w:val="auto"/>
        </w:rPr>
      </w:pPr>
      <w:r>
        <w:rPr>
          <w:rFonts w:ascii="Arial" w:cs="Arial" w:eastAsia="Arial" w:hAnsi="Arial"/>
          <w:sz w:val="22"/>
          <w:szCs w:val="22"/>
          <w:b w:val="1"/>
          <w:bCs w:val="1"/>
          <w:color w:val="auto"/>
        </w:rPr>
        <w:t>981475106</w:t>
      </w:r>
    </w:p>
    <w:p>
      <w:pPr>
        <w:spacing w:after="0" w:line="212" w:lineRule="exact"/>
        <w:rPr>
          <w:sz w:val="24"/>
          <w:szCs w:val="24"/>
          <w:color w:val="auto"/>
        </w:rPr>
      </w:pPr>
    </w:p>
    <w:p>
      <w:pPr>
        <w:ind w:left="4960"/>
        <w:spacing w:after="0"/>
        <w:rPr>
          <w:sz w:val="20"/>
          <w:szCs w:val="20"/>
          <w:color w:val="auto"/>
        </w:rPr>
      </w:pPr>
      <w:r>
        <w:rPr>
          <w:rFonts w:ascii="Arial" w:cs="Arial" w:eastAsia="Arial" w:hAnsi="Arial"/>
          <w:sz w:val="22"/>
          <w:szCs w:val="22"/>
          <w:color w:val="auto"/>
        </w:rPr>
        <w:t>(CUSIP Number)</w:t>
      </w:r>
    </w:p>
    <w:p>
      <w:pPr>
        <w:spacing w:after="0" w:line="200" w:lineRule="exact"/>
        <w:rPr>
          <w:sz w:val="24"/>
          <w:szCs w:val="24"/>
          <w:color w:val="auto"/>
        </w:rPr>
      </w:pPr>
    </w:p>
    <w:p>
      <w:pPr>
        <w:ind w:left="4860"/>
        <w:spacing w:after="0"/>
        <w:rPr>
          <w:sz w:val="20"/>
          <w:szCs w:val="20"/>
          <w:color w:val="auto"/>
        </w:rPr>
      </w:pPr>
      <w:r>
        <w:rPr>
          <w:rFonts w:ascii="Arial" w:cs="Arial" w:eastAsia="Arial" w:hAnsi="Arial"/>
          <w:sz w:val="22"/>
          <w:szCs w:val="22"/>
          <w:b w:val="1"/>
          <w:bCs w:val="1"/>
          <w:color w:val="auto"/>
        </w:rPr>
        <w:t>September 2, 2003</w:t>
      </w:r>
    </w:p>
    <w:p>
      <w:pPr>
        <w:spacing w:after="0" w:line="212" w:lineRule="exact"/>
        <w:rPr>
          <w:sz w:val="24"/>
          <w:szCs w:val="24"/>
          <w:color w:val="auto"/>
        </w:rPr>
      </w:pPr>
    </w:p>
    <w:p>
      <w:pPr>
        <w:ind w:left="32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06" w:lineRule="exact"/>
        <w:rPr>
          <w:sz w:val="24"/>
          <w:szCs w:val="24"/>
          <w:color w:val="auto"/>
        </w:rPr>
      </w:pPr>
    </w:p>
    <w:p>
      <w:pPr>
        <w:ind w:left="520" w:hanging="512"/>
        <w:spacing w:after="0"/>
        <w:tabs>
          <w:tab w:leader="none" w:pos="520" w:val="left"/>
        </w:tabs>
        <w:numPr>
          <w:ilvl w:val="0"/>
          <w:numId w:val="1"/>
        </w:numPr>
        <w:rPr>
          <w:rFonts w:ascii="Arial" w:cs="Arial" w:eastAsia="Arial" w:hAnsi="Arial"/>
          <w:sz w:val="22"/>
          <w:szCs w:val="22"/>
          <w:color w:val="auto"/>
        </w:rPr>
      </w:pPr>
      <w:r>
        <w:rPr>
          <w:rFonts w:ascii="Arial" w:cs="Arial" w:eastAsia="Arial" w:hAnsi="Arial"/>
          <w:sz w:val="22"/>
          <w:szCs w:val="22"/>
          <w:color w:val="auto"/>
        </w:rPr>
        <w:t>Rule 13d-1(b)</w:t>
      </w:r>
    </w:p>
    <w:p>
      <w:pPr>
        <w:spacing w:after="0" w:line="206" w:lineRule="exact"/>
        <w:rPr>
          <w:rFonts w:ascii="Arial" w:cs="Arial" w:eastAsia="Arial" w:hAnsi="Arial"/>
          <w:sz w:val="22"/>
          <w:szCs w:val="22"/>
          <w:color w:val="auto"/>
        </w:rPr>
      </w:pPr>
    </w:p>
    <w:p>
      <w:pPr>
        <w:ind w:right="9640" w:firstLine="8"/>
        <w:spacing w:after="0" w:line="504" w:lineRule="auto"/>
        <w:tabs>
          <w:tab w:leader="none" w:pos="510" w:val="left"/>
        </w:tabs>
        <w:numPr>
          <w:ilvl w:val="0"/>
          <w:numId w:val="2"/>
        </w:numPr>
        <w:rPr>
          <w:rFonts w:ascii="Arial" w:cs="Arial" w:eastAsia="Arial" w:hAnsi="Arial"/>
          <w:sz w:val="19"/>
          <w:szCs w:val="19"/>
          <w:color w:val="auto"/>
        </w:rPr>
      </w:pPr>
      <w:r>
        <w:rPr>
          <w:rFonts w:ascii="Arial" w:cs="Arial" w:eastAsia="Arial" w:hAnsi="Arial"/>
          <w:sz w:val="19"/>
          <w:szCs w:val="19"/>
          <w:color w:val="auto"/>
        </w:rPr>
        <w:t>Rule 13d-1(c) [ ] Rule 13d-1(d)</w:t>
      </w:r>
    </w:p>
    <w:p>
      <w:pPr>
        <w:spacing w:after="0" w:line="1" w:lineRule="exact"/>
        <w:rPr>
          <w:sz w:val="24"/>
          <w:szCs w:val="24"/>
          <w:color w:val="auto"/>
        </w:rPr>
      </w:pPr>
    </w:p>
    <w:p>
      <w:pPr>
        <w:ind w:firstLine="8"/>
        <w:spacing w:after="0"/>
        <w:tabs>
          <w:tab w:leader="none" w:pos="162" w:val="left"/>
        </w:tabs>
        <w:numPr>
          <w:ilvl w:val="0"/>
          <w:numId w:val="3"/>
        </w:numPr>
        <w:rPr>
          <w:rFonts w:ascii="Arial" w:cs="Arial" w:eastAsia="Arial" w:hAnsi="Arial"/>
          <w:sz w:val="22"/>
          <w:szCs w:val="22"/>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ind w:right="10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80" w:lineRule="exact"/>
        <w:rPr>
          <w:sz w:val="24"/>
          <w:szCs w:val="24"/>
          <w:color w:val="auto"/>
        </w:rPr>
      </w:pPr>
    </w:p>
    <w:p>
      <w:pPr>
        <w:ind w:right="380"/>
        <w:spacing w:after="0" w:line="256" w:lineRule="auto"/>
        <w:rPr>
          <w:sz w:val="20"/>
          <w:szCs w:val="20"/>
          <w:color w:val="auto"/>
        </w:rPr>
      </w:pPr>
      <w:r>
        <w:rPr>
          <w:rFonts w:ascii="Arial" w:cs="Arial" w:eastAsia="Arial" w:hAnsi="Arial"/>
          <w:sz w:val="22"/>
          <w:szCs w:val="22"/>
          <w:b w:val="1"/>
          <w:bCs w:val="1"/>
          <w:color w:val="auto"/>
        </w:rPr>
        <w:t>Potential persons who are to respond to the collection of information contained in this form are not required to respond unless the form displays a currently valid OMB control number.</w:t>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ind w:left="2160"/>
        <w:spacing w:after="0"/>
        <w:rPr>
          <w:sz w:val="20"/>
          <w:szCs w:val="20"/>
          <w:color w:val="auto"/>
        </w:rPr>
      </w:pPr>
      <w:r>
        <w:rPr>
          <w:rFonts w:ascii="Arial" w:cs="Arial" w:eastAsia="Arial" w:hAnsi="Arial"/>
          <w:sz w:val="22"/>
          <w:szCs w:val="22"/>
          <w:color w:val="auto"/>
        </w:rPr>
        <w:t>1. Names of Reporting Persons.</w:t>
      </w:r>
    </w:p>
    <w:p>
      <w:pPr>
        <w:spacing w:after="0" w:line="8" w:lineRule="exact"/>
        <w:rPr>
          <w:sz w:val="24"/>
          <w:szCs w:val="24"/>
          <w:color w:val="auto"/>
        </w:rPr>
      </w:pPr>
    </w:p>
    <w:p>
      <w:pPr>
        <w:ind w:left="2160"/>
        <w:spacing w:after="0"/>
        <w:rPr>
          <w:sz w:val="20"/>
          <w:szCs w:val="20"/>
          <w:color w:val="auto"/>
        </w:rPr>
      </w:pPr>
      <w:r>
        <w:rPr>
          <w:rFonts w:ascii="Arial" w:cs="Arial" w:eastAsia="Arial" w:hAnsi="Arial"/>
          <w:sz w:val="22"/>
          <w:szCs w:val="22"/>
          <w:color w:val="auto"/>
        </w:rPr>
        <w:t>I.R.S. Identification Nos. of above persons (entities only).</w:t>
      </w:r>
    </w:p>
    <w:p>
      <w:pPr>
        <w:spacing w:after="0" w:line="209" w:lineRule="exact"/>
        <w:rPr>
          <w:sz w:val="24"/>
          <w:szCs w:val="24"/>
          <w:color w:val="auto"/>
        </w:rPr>
      </w:pPr>
    </w:p>
    <w:p>
      <w:pPr>
        <w:ind w:left="2160"/>
        <w:spacing w:after="0"/>
        <w:rPr>
          <w:sz w:val="20"/>
          <w:szCs w:val="20"/>
          <w:color w:val="auto"/>
        </w:rPr>
      </w:pPr>
      <w:r>
        <w:rPr>
          <w:rFonts w:ascii="Arial" w:cs="Arial" w:eastAsia="Arial" w:hAnsi="Arial"/>
          <w:sz w:val="22"/>
          <w:szCs w:val="22"/>
          <w:b w:val="1"/>
          <w:bCs w:val="1"/>
          <w:color w:val="auto"/>
        </w:rPr>
        <w:t>Stadium Capital Management, LLC</w:t>
      </w:r>
    </w:p>
    <w:p>
      <w:pPr>
        <w:spacing w:after="0" w:line="212" w:lineRule="exact"/>
        <w:rPr>
          <w:sz w:val="24"/>
          <w:szCs w:val="24"/>
          <w:color w:val="auto"/>
        </w:rPr>
      </w:pPr>
    </w:p>
    <w:p>
      <w:pPr>
        <w:ind w:left="2380" w:hanging="211"/>
        <w:spacing w:after="0"/>
        <w:tabs>
          <w:tab w:leader="none" w:pos="2380" w:val="left"/>
        </w:tabs>
        <w:numPr>
          <w:ilvl w:val="0"/>
          <w:numId w:val="4"/>
        </w:numPr>
        <w:rPr>
          <w:rFonts w:ascii="Arial" w:cs="Arial" w:eastAsia="Arial" w:hAnsi="Arial"/>
          <w:sz w:val="22"/>
          <w:szCs w:val="22"/>
          <w:color w:val="auto"/>
        </w:rPr>
      </w:pPr>
      <w:r>
        <w:rPr>
          <w:rFonts w:ascii="Arial" w:cs="Arial" w:eastAsia="Arial" w:hAnsi="Arial"/>
          <w:sz w:val="22"/>
          <w:szCs w:val="22"/>
          <w:color w:val="auto"/>
        </w:rPr>
        <w:t>Check the Appropriate Box if a Member of a Group (See Instructions)</w:t>
      </w:r>
    </w:p>
    <w:p>
      <w:pPr>
        <w:spacing w:after="0" w:line="227" w:lineRule="exact"/>
        <w:rPr>
          <w:rFonts w:ascii="Arial" w:cs="Arial" w:eastAsia="Arial" w:hAnsi="Arial"/>
          <w:sz w:val="22"/>
          <w:szCs w:val="22"/>
          <w:color w:val="auto"/>
        </w:rPr>
      </w:pPr>
    </w:p>
    <w:p>
      <w:pPr>
        <w:ind w:left="2160"/>
        <w:spacing w:after="0"/>
        <w:rPr>
          <w:rFonts w:ascii="Arial" w:cs="Arial" w:eastAsia="Arial" w:hAnsi="Arial"/>
          <w:sz w:val="22"/>
          <w:szCs w:val="22"/>
          <w:color w:val="auto"/>
        </w:rPr>
      </w:pPr>
      <w:r>
        <w:rPr>
          <w:rFonts w:ascii="Arial" w:cs="Arial" w:eastAsia="Arial" w:hAnsi="Arial"/>
          <w:sz w:val="22"/>
          <w:szCs w:val="22"/>
          <w:color w:val="auto"/>
        </w:rPr>
        <w:t xml:space="preserve">(a) </w:t>
      </w:r>
      <w:r>
        <w:rPr>
          <w:rFonts w:ascii="Arial" w:cs="Arial" w:eastAsia="Arial" w:hAnsi="Arial"/>
          <w:sz w:val="22"/>
          <w:szCs w:val="22"/>
          <w:b w:val="1"/>
          <w:bCs w:val="1"/>
          <w:color w:val="auto"/>
        </w:rPr>
        <w:t>XXX</w:t>
      </w:r>
    </w:p>
    <w:p>
      <w:pPr>
        <w:spacing w:after="0" w:line="239" w:lineRule="exact"/>
        <w:rPr>
          <w:sz w:val="24"/>
          <w:szCs w:val="24"/>
          <w:color w:val="auto"/>
        </w:rPr>
      </w:pPr>
    </w:p>
    <w:p>
      <w:pPr>
        <w:ind w:left="2160"/>
        <w:spacing w:after="0"/>
        <w:rPr>
          <w:sz w:val="20"/>
          <w:szCs w:val="20"/>
          <w:color w:val="auto"/>
        </w:rPr>
      </w:pPr>
      <w:r>
        <w:rPr>
          <w:rFonts w:ascii="Arial" w:cs="Arial" w:eastAsia="Arial" w:hAnsi="Arial"/>
          <w:sz w:val="22"/>
          <w:szCs w:val="22"/>
          <w:color w:val="auto"/>
        </w:rPr>
        <w:t>(b) ______</w:t>
      </w:r>
    </w:p>
    <w:p>
      <w:pPr>
        <w:spacing w:after="0" w:line="206" w:lineRule="exact"/>
        <w:rPr>
          <w:sz w:val="24"/>
          <w:szCs w:val="24"/>
          <w:color w:val="auto"/>
        </w:rPr>
      </w:pPr>
    </w:p>
    <w:p>
      <w:pPr>
        <w:ind w:left="2380" w:hanging="211"/>
        <w:spacing w:after="0"/>
        <w:tabs>
          <w:tab w:leader="none" w:pos="2380" w:val="left"/>
        </w:tabs>
        <w:numPr>
          <w:ilvl w:val="0"/>
          <w:numId w:val="5"/>
        </w:numPr>
        <w:rPr>
          <w:rFonts w:ascii="Arial" w:cs="Arial" w:eastAsia="Arial" w:hAnsi="Arial"/>
          <w:sz w:val="22"/>
          <w:szCs w:val="22"/>
          <w:color w:val="auto"/>
        </w:rPr>
      </w:pPr>
      <w:r>
        <w:rPr>
          <w:rFonts w:ascii="Arial" w:cs="Arial" w:eastAsia="Arial" w:hAnsi="Arial"/>
          <w:sz w:val="22"/>
          <w:szCs w:val="22"/>
          <w:color w:val="auto"/>
        </w:rPr>
        <w:t>SEC Use Only</w:t>
      </w:r>
    </w:p>
    <w:p>
      <w:pPr>
        <w:spacing w:after="0" w:line="200" w:lineRule="exact"/>
        <w:rPr>
          <w:rFonts w:ascii="Arial" w:cs="Arial" w:eastAsia="Arial" w:hAnsi="Arial"/>
          <w:sz w:val="22"/>
          <w:szCs w:val="22"/>
          <w:color w:val="auto"/>
        </w:rPr>
      </w:pPr>
    </w:p>
    <w:p>
      <w:pPr>
        <w:ind w:left="2380" w:hanging="211"/>
        <w:spacing w:after="0"/>
        <w:tabs>
          <w:tab w:leader="none" w:pos="2380" w:val="left"/>
        </w:tabs>
        <w:numPr>
          <w:ilvl w:val="0"/>
          <w:numId w:val="5"/>
        </w:numPr>
        <w:rPr>
          <w:rFonts w:ascii="Arial" w:cs="Arial" w:eastAsia="Arial" w:hAnsi="Arial"/>
          <w:sz w:val="22"/>
          <w:szCs w:val="22"/>
          <w:color w:val="auto"/>
        </w:rPr>
      </w:pPr>
      <w:r>
        <w:rPr>
          <w:rFonts w:ascii="Arial" w:cs="Arial" w:eastAsia="Arial" w:hAnsi="Arial"/>
          <w:sz w:val="22"/>
          <w:szCs w:val="22"/>
          <w:color w:val="auto"/>
        </w:rPr>
        <w:t xml:space="preserve">Citizenship or Place of Organization </w:t>
      </w:r>
      <w:r>
        <w:rPr>
          <w:rFonts w:ascii="Arial" w:cs="Arial" w:eastAsia="Arial" w:hAnsi="Arial"/>
          <w:sz w:val="22"/>
          <w:szCs w:val="22"/>
          <w:b w:val="1"/>
          <w:bCs w:val="1"/>
          <w:color w:val="auto"/>
        </w:rPr>
        <w:t>Delaware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5496560" cy="502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96560" cy="502920"/>
                    </a:xfrm>
                    <a:prstGeom prst="rect">
                      <a:avLst/>
                    </a:prstGeom>
                    <a:noFill/>
                  </pic:spPr>
                </pic:pic>
              </a:graphicData>
            </a:graphic>
          </wp:anchor>
        </w:drawing>
      </w:r>
    </w:p>
    <w:p>
      <w:pPr>
        <w:spacing w:after="0" w:line="174" w:lineRule="exact"/>
        <w:rPr>
          <w:sz w:val="24"/>
          <w:szCs w:val="24"/>
          <w:color w:val="auto"/>
        </w:rPr>
      </w:pPr>
    </w:p>
    <w:p>
      <w:pPr>
        <w:ind w:left="140"/>
        <w:spacing w:after="0"/>
        <w:rPr>
          <w:sz w:val="20"/>
          <w:szCs w:val="20"/>
          <w:color w:val="auto"/>
        </w:rPr>
      </w:pPr>
      <w:r>
        <w:rPr>
          <w:rFonts w:ascii="Arial" w:cs="Arial" w:eastAsia="Arial" w:hAnsi="Arial"/>
          <w:sz w:val="22"/>
          <w:szCs w:val="22"/>
          <w:color w:val="auto"/>
        </w:rPr>
        <w:t xml:space="preserve">Number of      </w:t>
      </w:r>
      <w:r>
        <w:rPr>
          <w:sz w:val="1"/>
          <w:szCs w:val="1"/>
          <w:color w:val="auto"/>
        </w:rPr>
        <w:drawing>
          <wp:inline distT="0" distB="0" distL="0" distR="0">
            <wp:extent cx="34290" cy="31686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316865"/>
                    </a:xfrm>
                    <a:prstGeom prst="rect">
                      <a:avLst/>
                    </a:prstGeom>
                    <a:noFill/>
                    <a:ln>
                      <a:noFill/>
                    </a:ln>
                  </pic:spPr>
                </pic:pic>
              </a:graphicData>
            </a:graphic>
          </wp:inline>
        </w:drawing>
      </w:r>
      <w:r>
        <w:rPr>
          <w:rFonts w:ascii="Arial" w:cs="Arial" w:eastAsia="Arial" w:hAnsi="Arial"/>
          <w:sz w:val="22"/>
          <w:szCs w:val="22"/>
          <w:color w:val="auto"/>
        </w:rPr>
        <w:t xml:space="preserve"> 5. Sole Voting Power </w:t>
      </w:r>
      <w:r>
        <w:rPr>
          <w:rFonts w:ascii="Arial" w:cs="Arial" w:eastAsia="Arial" w:hAnsi="Arial"/>
          <w:sz w:val="22"/>
          <w:szCs w:val="22"/>
          <w:b w:val="1"/>
          <w:bCs w:val="1"/>
          <w:color w:val="auto"/>
        </w:rPr>
        <w:t>-0-</w:t>
      </w:r>
    </w:p>
    <w:p>
      <w:pPr>
        <w:sectPr>
          <w:pgSz w:w="11900" w:h="16838" w:orient="portrait"/>
          <w:cols w:equalWidth="0" w:num="1">
            <w:col w:w="11360"/>
          </w:cols>
          <w:pgMar w:left="240" w:top="355" w:right="29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81"/>
        </w:trPr>
        <w:tc>
          <w:tcPr>
            <w:tcW w:w="40" w:type="dxa"/>
            <w:vAlign w:val="bottom"/>
          </w:tcPr>
          <w:p>
            <w:pPr>
              <w:spacing w:after="0"/>
              <w:rPr>
                <w:sz w:val="24"/>
                <w:szCs w:val="24"/>
                <w:color w:val="auto"/>
              </w:rPr>
            </w:pPr>
          </w:p>
        </w:tc>
        <w:tc>
          <w:tcPr>
            <w:tcW w:w="1720" w:type="dxa"/>
            <w:vAlign w:val="bottom"/>
          </w:tcPr>
          <w:p>
            <w:pPr>
              <w:ind w:left="100"/>
              <w:spacing w:after="0"/>
              <w:rPr>
                <w:sz w:val="20"/>
                <w:szCs w:val="20"/>
                <w:color w:val="auto"/>
              </w:rPr>
            </w:pPr>
            <w:r>
              <w:rPr>
                <w:rFonts w:ascii="Arial" w:cs="Arial" w:eastAsia="Arial" w:hAnsi="Arial"/>
                <w:sz w:val="22"/>
                <w:szCs w:val="22"/>
                <w:color w:val="auto"/>
              </w:rPr>
              <w:t>Shares</w:t>
            </w:r>
          </w:p>
        </w:tc>
        <w:tc>
          <w:tcPr>
            <w:tcW w:w="300" w:type="dxa"/>
            <w:vAlign w:val="bottom"/>
          </w:tcPr>
          <w:p>
            <w:pPr>
              <w:jc w:val="right"/>
              <w:spacing w:after="0"/>
              <w:rPr>
                <w:sz w:val="20"/>
                <w:szCs w:val="20"/>
                <w:color w:val="auto"/>
              </w:rPr>
            </w:pPr>
            <w:r>
              <w:rPr>
                <w:rFonts w:ascii="Arial" w:cs="Arial" w:eastAsia="Arial" w:hAnsi="Arial"/>
                <w:sz w:val="22"/>
                <w:szCs w:val="22"/>
                <w:color w:val="auto"/>
              </w:rPr>
              <w:t>6.</w:t>
            </w:r>
          </w:p>
        </w:tc>
        <w:tc>
          <w:tcPr>
            <w:tcW w:w="6560" w:type="dxa"/>
            <w:vAlign w:val="bottom"/>
            <w:gridSpan w:val="2"/>
          </w:tcPr>
          <w:p>
            <w:pPr>
              <w:ind w:left="20"/>
              <w:spacing w:after="0"/>
              <w:rPr>
                <w:sz w:val="20"/>
                <w:szCs w:val="20"/>
                <w:color w:val="auto"/>
              </w:rPr>
            </w:pPr>
            <w:r>
              <w:rPr>
                <w:rFonts w:ascii="Arial" w:cs="Arial" w:eastAsia="Arial" w:hAnsi="Arial"/>
                <w:sz w:val="22"/>
                <w:szCs w:val="22"/>
                <w:color w:val="auto"/>
              </w:rPr>
              <w:t xml:space="preserve">Shared Voting Power </w:t>
            </w:r>
            <w:r>
              <w:rPr>
                <w:rFonts w:ascii="Arial" w:cs="Arial" w:eastAsia="Arial" w:hAnsi="Arial"/>
                <w:sz w:val="22"/>
                <w:szCs w:val="22"/>
                <w:b w:val="1"/>
                <w:bCs w:val="1"/>
                <w:color w:val="auto"/>
              </w:rPr>
              <w:t>411,887</w:t>
            </w:r>
          </w:p>
        </w:tc>
        <w:tc>
          <w:tcPr>
            <w:tcW w:w="0" w:type="dxa"/>
            <w:vAlign w:val="bottom"/>
          </w:tcPr>
          <w:p>
            <w:pPr>
              <w:spacing w:after="0"/>
              <w:rPr>
                <w:sz w:val="1"/>
                <w:szCs w:val="1"/>
                <w:color w:val="auto"/>
              </w:rPr>
            </w:pPr>
          </w:p>
        </w:tc>
      </w:tr>
      <w:tr>
        <w:trPr>
          <w:trHeight w:val="85"/>
        </w:trPr>
        <w:tc>
          <w:tcPr>
            <w:tcW w:w="40" w:type="dxa"/>
            <w:vAlign w:val="bottom"/>
          </w:tcPr>
          <w:p>
            <w:pPr>
              <w:spacing w:after="0"/>
              <w:rPr>
                <w:sz w:val="7"/>
                <w:szCs w:val="7"/>
                <w:color w:val="auto"/>
              </w:rPr>
            </w:pPr>
          </w:p>
        </w:tc>
        <w:tc>
          <w:tcPr>
            <w:tcW w:w="1720" w:type="dxa"/>
            <w:vAlign w:val="bottom"/>
            <w:vMerge w:val="restart"/>
          </w:tcPr>
          <w:p>
            <w:pPr>
              <w:ind w:left="100"/>
              <w:spacing w:after="0"/>
              <w:rPr>
                <w:sz w:val="20"/>
                <w:szCs w:val="20"/>
                <w:color w:val="auto"/>
              </w:rPr>
            </w:pPr>
            <w:r>
              <w:rPr>
                <w:rFonts w:ascii="Arial" w:cs="Arial" w:eastAsia="Arial" w:hAnsi="Arial"/>
                <w:sz w:val="22"/>
                <w:szCs w:val="22"/>
                <w:color w:val="auto"/>
              </w:rPr>
              <w:t>Beneficially</w:t>
            </w:r>
          </w:p>
        </w:tc>
        <w:tc>
          <w:tcPr>
            <w:tcW w:w="300" w:type="dxa"/>
            <w:vAlign w:val="bottom"/>
            <w:tcBorders>
              <w:bottom w:val="single" w:sz="8" w:color="808080"/>
            </w:tcBorders>
          </w:tcPr>
          <w:p>
            <w:pPr>
              <w:spacing w:after="0"/>
              <w:rPr>
                <w:sz w:val="7"/>
                <w:szCs w:val="7"/>
                <w:color w:val="auto"/>
              </w:rPr>
            </w:pPr>
          </w:p>
        </w:tc>
        <w:tc>
          <w:tcPr>
            <w:tcW w:w="654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720" w:type="dxa"/>
            <w:vAlign w:val="bottom"/>
            <w:vMerge w:val="continue"/>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6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40" w:type="dxa"/>
            <w:vAlign w:val="bottom"/>
          </w:tcPr>
          <w:p>
            <w:pPr>
              <w:spacing w:after="0"/>
              <w:rPr>
                <w:sz w:val="24"/>
                <w:szCs w:val="24"/>
                <w:color w:val="auto"/>
              </w:rPr>
            </w:pPr>
          </w:p>
        </w:tc>
        <w:tc>
          <w:tcPr>
            <w:tcW w:w="1720" w:type="dxa"/>
            <w:vAlign w:val="bottom"/>
            <w:vMerge w:val="continue"/>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22"/>
                <w:szCs w:val="22"/>
                <w:color w:val="auto"/>
              </w:rPr>
              <w:t>7.</w:t>
            </w:r>
          </w:p>
        </w:tc>
        <w:tc>
          <w:tcPr>
            <w:tcW w:w="6560" w:type="dxa"/>
            <w:vAlign w:val="bottom"/>
            <w:gridSpan w:val="2"/>
          </w:tcPr>
          <w:p>
            <w:pPr>
              <w:ind w:left="20"/>
              <w:spacing w:after="0"/>
              <w:rPr>
                <w:sz w:val="20"/>
                <w:szCs w:val="20"/>
                <w:color w:val="auto"/>
              </w:rPr>
            </w:pPr>
            <w:r>
              <w:rPr>
                <w:rFonts w:ascii="Arial" w:cs="Arial" w:eastAsia="Arial" w:hAnsi="Arial"/>
                <w:sz w:val="22"/>
                <w:szCs w:val="22"/>
                <w:color w:val="auto"/>
              </w:rPr>
              <w:t xml:space="preserve">Sole Dispositive Power </w:t>
            </w:r>
            <w:r>
              <w:rPr>
                <w:rFonts w:ascii="Arial" w:cs="Arial" w:eastAsia="Arial" w:hAnsi="Arial"/>
                <w:sz w:val="22"/>
                <w:szCs w:val="22"/>
                <w:b w:val="1"/>
                <w:bCs w:val="1"/>
                <w:color w:val="auto"/>
              </w:rPr>
              <w:t>-0-</w:t>
            </w:r>
          </w:p>
        </w:tc>
        <w:tc>
          <w:tcPr>
            <w:tcW w:w="0" w:type="dxa"/>
            <w:vAlign w:val="bottom"/>
          </w:tcPr>
          <w:p>
            <w:pPr>
              <w:spacing w:after="0"/>
              <w:rPr>
                <w:sz w:val="1"/>
                <w:szCs w:val="1"/>
                <w:color w:val="auto"/>
              </w:rPr>
            </w:pPr>
          </w:p>
        </w:tc>
      </w:tr>
      <w:tr>
        <w:trPr>
          <w:trHeight w:val="85"/>
        </w:trPr>
        <w:tc>
          <w:tcPr>
            <w:tcW w:w="40" w:type="dxa"/>
            <w:vAlign w:val="bottom"/>
          </w:tcPr>
          <w:p>
            <w:pPr>
              <w:spacing w:after="0"/>
              <w:rPr>
                <w:sz w:val="7"/>
                <w:szCs w:val="7"/>
                <w:color w:val="auto"/>
              </w:rPr>
            </w:pPr>
          </w:p>
        </w:tc>
        <w:tc>
          <w:tcPr>
            <w:tcW w:w="1720" w:type="dxa"/>
            <w:vAlign w:val="bottom"/>
            <w:vMerge w:val="restart"/>
          </w:tcPr>
          <w:p>
            <w:pPr>
              <w:ind w:left="100"/>
              <w:spacing w:after="0"/>
              <w:rPr>
                <w:sz w:val="20"/>
                <w:szCs w:val="20"/>
                <w:color w:val="auto"/>
              </w:rPr>
            </w:pPr>
            <w:r>
              <w:rPr>
                <w:rFonts w:ascii="Arial" w:cs="Arial" w:eastAsia="Arial" w:hAnsi="Arial"/>
                <w:sz w:val="22"/>
                <w:szCs w:val="22"/>
                <w:color w:val="auto"/>
              </w:rPr>
              <w:t>Owned by</w:t>
            </w:r>
          </w:p>
        </w:tc>
        <w:tc>
          <w:tcPr>
            <w:tcW w:w="300" w:type="dxa"/>
            <w:vAlign w:val="bottom"/>
            <w:tcBorders>
              <w:bottom w:val="single" w:sz="8" w:color="808080"/>
            </w:tcBorders>
          </w:tcPr>
          <w:p>
            <w:pPr>
              <w:spacing w:after="0"/>
              <w:rPr>
                <w:sz w:val="7"/>
                <w:szCs w:val="7"/>
                <w:color w:val="auto"/>
              </w:rPr>
            </w:pPr>
          </w:p>
        </w:tc>
        <w:tc>
          <w:tcPr>
            <w:tcW w:w="654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720" w:type="dxa"/>
            <w:vAlign w:val="bottom"/>
            <w:vMerge w:val="continue"/>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6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40" w:type="dxa"/>
            <w:vAlign w:val="bottom"/>
          </w:tcPr>
          <w:p>
            <w:pPr>
              <w:spacing w:after="0"/>
              <w:rPr>
                <w:sz w:val="24"/>
                <w:szCs w:val="24"/>
                <w:color w:val="auto"/>
              </w:rPr>
            </w:pPr>
          </w:p>
        </w:tc>
        <w:tc>
          <w:tcPr>
            <w:tcW w:w="1720" w:type="dxa"/>
            <w:vAlign w:val="bottom"/>
            <w:vMerge w:val="continue"/>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22"/>
                <w:szCs w:val="22"/>
                <w:color w:val="auto"/>
              </w:rPr>
              <w:t>8.</w:t>
            </w:r>
          </w:p>
        </w:tc>
        <w:tc>
          <w:tcPr>
            <w:tcW w:w="6560" w:type="dxa"/>
            <w:vAlign w:val="bottom"/>
            <w:gridSpan w:val="2"/>
          </w:tcPr>
          <w:p>
            <w:pPr>
              <w:ind w:left="20"/>
              <w:spacing w:after="0"/>
              <w:rPr>
                <w:sz w:val="20"/>
                <w:szCs w:val="20"/>
                <w:color w:val="auto"/>
              </w:rPr>
            </w:pPr>
            <w:r>
              <w:rPr>
                <w:rFonts w:ascii="Arial" w:cs="Arial" w:eastAsia="Arial" w:hAnsi="Arial"/>
                <w:sz w:val="22"/>
                <w:szCs w:val="22"/>
                <w:color w:val="auto"/>
              </w:rPr>
              <w:t xml:space="preserve">Shared Dispositive Power </w:t>
            </w:r>
            <w:r>
              <w:rPr>
                <w:rFonts w:ascii="Arial" w:cs="Arial" w:eastAsia="Arial" w:hAnsi="Arial"/>
                <w:sz w:val="22"/>
                <w:szCs w:val="22"/>
                <w:b w:val="1"/>
                <w:bCs w:val="1"/>
                <w:color w:val="auto"/>
              </w:rPr>
              <w:t>411,887</w:t>
            </w:r>
          </w:p>
        </w:tc>
        <w:tc>
          <w:tcPr>
            <w:tcW w:w="0" w:type="dxa"/>
            <w:vAlign w:val="bottom"/>
          </w:tcPr>
          <w:p>
            <w:pPr>
              <w:spacing w:after="0"/>
              <w:rPr>
                <w:sz w:val="1"/>
                <w:szCs w:val="1"/>
                <w:color w:val="auto"/>
              </w:rPr>
            </w:pPr>
          </w:p>
        </w:tc>
      </w:tr>
      <w:tr>
        <w:trPr>
          <w:trHeight w:val="432"/>
        </w:trPr>
        <w:tc>
          <w:tcPr>
            <w:tcW w:w="40" w:type="dxa"/>
            <w:vAlign w:val="bottom"/>
          </w:tcPr>
          <w:p>
            <w:pPr>
              <w:spacing w:after="0"/>
              <w:rPr>
                <w:sz w:val="24"/>
                <w:szCs w:val="24"/>
                <w:color w:val="auto"/>
              </w:rPr>
            </w:pPr>
          </w:p>
        </w:tc>
        <w:tc>
          <w:tcPr>
            <w:tcW w:w="1720" w:type="dxa"/>
            <w:vAlign w:val="bottom"/>
          </w:tcPr>
          <w:p>
            <w:pPr>
              <w:ind w:left="100"/>
              <w:spacing w:after="0"/>
              <w:rPr>
                <w:sz w:val="20"/>
                <w:szCs w:val="20"/>
                <w:color w:val="auto"/>
              </w:rPr>
            </w:pPr>
            <w:r>
              <w:rPr>
                <w:rFonts w:ascii="Arial" w:cs="Arial" w:eastAsia="Arial" w:hAnsi="Arial"/>
                <w:sz w:val="22"/>
                <w:szCs w:val="22"/>
                <w:color w:val="auto"/>
              </w:rPr>
              <w:t>Each Reporting</w:t>
            </w:r>
          </w:p>
        </w:tc>
        <w:tc>
          <w:tcPr>
            <w:tcW w:w="300" w:type="dxa"/>
            <w:vAlign w:val="bottom"/>
          </w:tcPr>
          <w:p>
            <w:pPr>
              <w:spacing w:after="0"/>
              <w:rPr>
                <w:sz w:val="24"/>
                <w:szCs w:val="24"/>
                <w:color w:val="auto"/>
              </w:rPr>
            </w:pPr>
          </w:p>
        </w:tc>
        <w:tc>
          <w:tcPr>
            <w:tcW w:w="6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0" w:type="dxa"/>
            <w:vAlign w:val="bottom"/>
          </w:tcPr>
          <w:p>
            <w:pPr>
              <w:spacing w:after="0"/>
              <w:rPr>
                <w:sz w:val="24"/>
                <w:szCs w:val="24"/>
                <w:color w:val="auto"/>
              </w:rPr>
            </w:pPr>
          </w:p>
        </w:tc>
        <w:tc>
          <w:tcPr>
            <w:tcW w:w="1720" w:type="dxa"/>
            <w:vAlign w:val="bottom"/>
          </w:tcPr>
          <w:p>
            <w:pPr>
              <w:ind w:left="100"/>
              <w:spacing w:after="0"/>
              <w:rPr>
                <w:sz w:val="20"/>
                <w:szCs w:val="20"/>
                <w:color w:val="auto"/>
              </w:rPr>
            </w:pPr>
            <w:r>
              <w:rPr>
                <w:rFonts w:ascii="Arial" w:cs="Arial" w:eastAsia="Arial" w:hAnsi="Arial"/>
                <w:sz w:val="22"/>
                <w:szCs w:val="22"/>
                <w:color w:val="auto"/>
              </w:rPr>
              <w:t>Person With</w:t>
            </w:r>
          </w:p>
        </w:tc>
        <w:tc>
          <w:tcPr>
            <w:tcW w:w="300" w:type="dxa"/>
            <w:vAlign w:val="bottom"/>
          </w:tcPr>
          <w:p>
            <w:pPr>
              <w:spacing w:after="0"/>
              <w:rPr>
                <w:sz w:val="24"/>
                <w:szCs w:val="24"/>
                <w:color w:val="auto"/>
              </w:rPr>
            </w:pPr>
          </w:p>
        </w:tc>
        <w:tc>
          <w:tcPr>
            <w:tcW w:w="6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40" w:type="dxa"/>
            <w:vAlign w:val="bottom"/>
          </w:tcPr>
          <w:p>
            <w:pPr>
              <w:spacing w:after="0"/>
              <w:rPr>
                <w:sz w:val="7"/>
                <w:szCs w:val="7"/>
                <w:color w:val="auto"/>
              </w:rPr>
            </w:pPr>
          </w:p>
        </w:tc>
        <w:tc>
          <w:tcPr>
            <w:tcW w:w="172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654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2C2C2C"/>
            </w:tcBorders>
          </w:tcPr>
          <w:p>
            <w:pPr>
              <w:spacing w:after="0" w:line="20" w:lineRule="exact"/>
              <w:rPr>
                <w:sz w:val="1"/>
                <w:szCs w:val="1"/>
                <w:color w:val="auto"/>
              </w:rPr>
            </w:pPr>
          </w:p>
        </w:tc>
        <w:tc>
          <w:tcPr>
            <w:tcW w:w="172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65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-1405890</wp:posOffset>
            </wp:positionV>
            <wp:extent cx="51435" cy="1419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 cy="1419225"/>
                    </a:xfrm>
                    <a:prstGeom prst="rect">
                      <a:avLst/>
                    </a:prstGeom>
                    <a:noFill/>
                  </pic:spPr>
                </pic:pic>
              </a:graphicData>
            </a:graphic>
          </wp:anchor>
        </w:drawing>
        <w:drawing>
          <wp:anchor simplePos="0" relativeHeight="251657728" behindDoc="1" locked="0" layoutInCell="0" allowOverlap="1">
            <wp:simplePos x="0" y="0"/>
            <wp:positionH relativeFrom="column">
              <wp:posOffset>5438140</wp:posOffset>
            </wp:positionH>
            <wp:positionV relativeFrom="paragraph">
              <wp:posOffset>-1405890</wp:posOffset>
            </wp:positionV>
            <wp:extent cx="51435" cy="1419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35" cy="1419225"/>
                    </a:xfrm>
                    <a:prstGeom prst="rect">
                      <a:avLst/>
                    </a:prstGeom>
                    <a:noFill/>
                  </pic:spPr>
                </pic:pic>
              </a:graphicData>
            </a:graphic>
          </wp:anchor>
        </w:drawing>
        <w:drawing>
          <wp:anchor simplePos="0" relativeHeight="251657728" behindDoc="1" locked="0" layoutInCell="0" allowOverlap="1">
            <wp:simplePos x="0" y="0"/>
            <wp:positionH relativeFrom="column">
              <wp:posOffset>1090295</wp:posOffset>
            </wp:positionH>
            <wp:positionV relativeFrom="paragraph">
              <wp:posOffset>-1405890</wp:posOffset>
            </wp:positionV>
            <wp:extent cx="51435" cy="14020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435" cy="1402080"/>
                    </a:xfrm>
                    <a:prstGeom prst="rect">
                      <a:avLst/>
                    </a:prstGeom>
                    <a:noFill/>
                  </pic:spPr>
                </pic:pic>
              </a:graphicData>
            </a:graphic>
          </wp:anchor>
        </w:drawing>
      </w:r>
    </w:p>
    <w:p>
      <w:pPr>
        <w:spacing w:after="0" w:line="169" w:lineRule="exact"/>
        <w:rPr>
          <w:sz w:val="20"/>
          <w:szCs w:val="20"/>
          <w:color w:val="auto"/>
        </w:rPr>
      </w:pPr>
    </w:p>
    <w:p>
      <w:pPr>
        <w:ind w:left="2380" w:hanging="211"/>
        <w:spacing w:after="0"/>
        <w:tabs>
          <w:tab w:leader="none" w:pos="2380" w:val="left"/>
        </w:tabs>
        <w:numPr>
          <w:ilvl w:val="0"/>
          <w:numId w:val="6"/>
        </w:numPr>
        <w:rPr>
          <w:rFonts w:ascii="Arial" w:cs="Arial" w:eastAsia="Arial" w:hAnsi="Arial"/>
          <w:sz w:val="19"/>
          <w:szCs w:val="19"/>
          <w:color w:val="auto"/>
        </w:rPr>
      </w:pPr>
      <w:r>
        <w:rPr>
          <w:rFonts w:ascii="Arial" w:cs="Arial" w:eastAsia="Arial" w:hAnsi="Arial"/>
          <w:sz w:val="19"/>
          <w:szCs w:val="19"/>
          <w:color w:val="auto"/>
        </w:rPr>
        <w:t xml:space="preserve">Aggregate Amount Beneficially Owned by Each Reporting Person </w:t>
      </w:r>
      <w:r>
        <w:rPr>
          <w:rFonts w:ascii="Arial" w:cs="Arial" w:eastAsia="Arial" w:hAnsi="Arial"/>
          <w:sz w:val="19"/>
          <w:szCs w:val="19"/>
          <w:b w:val="1"/>
          <w:bCs w:val="1"/>
          <w:color w:val="auto"/>
        </w:rPr>
        <w:t>411,887</w:t>
      </w:r>
    </w:p>
    <w:p>
      <w:pPr>
        <w:spacing w:after="0" w:line="246" w:lineRule="exact"/>
        <w:rPr>
          <w:rFonts w:ascii="Arial" w:cs="Arial" w:eastAsia="Arial" w:hAnsi="Arial"/>
          <w:sz w:val="19"/>
          <w:szCs w:val="19"/>
          <w:color w:val="auto"/>
        </w:rPr>
      </w:pPr>
    </w:p>
    <w:p>
      <w:pPr>
        <w:ind w:left="2160" w:right="1359" w:firstLine="9"/>
        <w:spacing w:after="0" w:line="251" w:lineRule="auto"/>
        <w:tabs>
          <w:tab w:leader="none" w:pos="2484" w:val="left"/>
        </w:tabs>
        <w:numPr>
          <w:ilvl w:val="0"/>
          <w:numId w:val="6"/>
        </w:numPr>
        <w:rPr>
          <w:rFonts w:ascii="Arial" w:cs="Arial" w:eastAsia="Arial" w:hAnsi="Arial"/>
          <w:sz w:val="22"/>
          <w:szCs w:val="22"/>
          <w:color w:val="auto"/>
        </w:rPr>
      </w:pPr>
      <w:r>
        <w:rPr>
          <w:rFonts w:ascii="Arial" w:cs="Arial" w:eastAsia="Arial" w:hAnsi="Arial"/>
          <w:sz w:val="22"/>
          <w:szCs w:val="22"/>
          <w:color w:val="auto"/>
        </w:rPr>
        <w:t xml:space="preserve">Check if the Aggregate Amount in Row (9) Excludes Certain Shares (See Instructions) </w:t>
      </w:r>
      <w:r>
        <w:rPr>
          <w:rFonts w:ascii="Arial" w:cs="Arial" w:eastAsia="Arial" w:hAnsi="Arial"/>
          <w:sz w:val="22"/>
          <w:szCs w:val="22"/>
          <w:b w:val="1"/>
          <w:bCs w:val="1"/>
          <w:color w:val="auto"/>
        </w:rPr>
        <w:t>______</w:t>
      </w:r>
    </w:p>
    <w:p>
      <w:pPr>
        <w:spacing w:after="0" w:line="167" w:lineRule="exact"/>
        <w:rPr>
          <w:rFonts w:ascii="Arial" w:cs="Arial" w:eastAsia="Arial" w:hAnsi="Arial"/>
          <w:sz w:val="22"/>
          <w:szCs w:val="22"/>
          <w:color w:val="auto"/>
        </w:rPr>
      </w:pPr>
    </w:p>
    <w:p>
      <w:pPr>
        <w:ind w:left="2480" w:hanging="311"/>
        <w:spacing w:after="0"/>
        <w:tabs>
          <w:tab w:leader="none" w:pos="2480" w:val="left"/>
        </w:tabs>
        <w:numPr>
          <w:ilvl w:val="0"/>
          <w:numId w:val="6"/>
        </w:numPr>
        <w:rPr>
          <w:rFonts w:ascii="Arial" w:cs="Arial" w:eastAsia="Arial" w:hAnsi="Arial"/>
          <w:sz w:val="22"/>
          <w:szCs w:val="22"/>
          <w:color w:val="auto"/>
        </w:rPr>
      </w:pPr>
      <w:r>
        <w:rPr>
          <w:rFonts w:ascii="Arial" w:cs="Arial" w:eastAsia="Arial" w:hAnsi="Arial"/>
          <w:sz w:val="22"/>
          <w:szCs w:val="22"/>
          <w:color w:val="auto"/>
        </w:rPr>
        <w:t xml:space="preserve">Percent of Class Represented by Amount in Row (9) </w:t>
      </w:r>
      <w:r>
        <w:rPr>
          <w:rFonts w:ascii="Arial" w:cs="Arial" w:eastAsia="Arial" w:hAnsi="Arial"/>
          <w:sz w:val="22"/>
          <w:szCs w:val="22"/>
          <w:b w:val="1"/>
          <w:bCs w:val="1"/>
          <w:color w:val="auto"/>
        </w:rPr>
        <w:t>3.8%</w:t>
      </w:r>
    </w:p>
    <w:p>
      <w:pPr>
        <w:spacing w:after="0" w:line="212" w:lineRule="exact"/>
        <w:rPr>
          <w:rFonts w:ascii="Arial" w:cs="Arial" w:eastAsia="Arial" w:hAnsi="Arial"/>
          <w:sz w:val="22"/>
          <w:szCs w:val="22"/>
          <w:color w:val="auto"/>
        </w:rPr>
      </w:pPr>
    </w:p>
    <w:p>
      <w:pPr>
        <w:ind w:left="2500" w:hanging="331"/>
        <w:spacing w:after="0"/>
        <w:tabs>
          <w:tab w:leader="none" w:pos="2500" w:val="left"/>
        </w:tabs>
        <w:numPr>
          <w:ilvl w:val="0"/>
          <w:numId w:val="6"/>
        </w:numPr>
        <w:rPr>
          <w:rFonts w:ascii="Arial" w:cs="Arial" w:eastAsia="Arial" w:hAnsi="Arial"/>
          <w:sz w:val="22"/>
          <w:szCs w:val="22"/>
          <w:color w:val="auto"/>
        </w:rPr>
      </w:pPr>
      <w:r>
        <w:rPr>
          <w:rFonts w:ascii="Arial" w:cs="Arial" w:eastAsia="Arial" w:hAnsi="Arial"/>
          <w:sz w:val="22"/>
          <w:szCs w:val="22"/>
          <w:color w:val="auto"/>
        </w:rPr>
        <w:t>Type of Reporting Person (See Instructions)</w:t>
      </w:r>
    </w:p>
    <w:p>
      <w:pPr>
        <w:spacing w:after="0" w:line="200" w:lineRule="exact"/>
        <w:rPr>
          <w:sz w:val="20"/>
          <w:szCs w:val="20"/>
          <w:color w:val="auto"/>
        </w:rPr>
      </w:pPr>
    </w:p>
    <w:p>
      <w:pPr>
        <w:ind w:left="2160"/>
        <w:spacing w:after="0"/>
        <w:rPr>
          <w:sz w:val="20"/>
          <w:szCs w:val="20"/>
          <w:color w:val="auto"/>
        </w:rPr>
      </w:pPr>
      <w:r>
        <w:rPr>
          <w:rFonts w:ascii="Arial" w:cs="Arial" w:eastAsia="Arial" w:hAnsi="Arial"/>
          <w:sz w:val="22"/>
          <w:szCs w:val="22"/>
          <w:b w:val="1"/>
          <w:bCs w:val="1"/>
          <w:color w:val="auto"/>
        </w:rPr>
        <w:t>OO, IA</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560" w:type="dxa"/>
            <w:vAlign w:val="bottom"/>
            <w:gridSpan w:val="2"/>
          </w:tcPr>
          <w:p>
            <w:pPr>
              <w:ind w:left="100"/>
              <w:spacing w:after="0"/>
              <w:rPr>
                <w:sz w:val="20"/>
                <w:szCs w:val="20"/>
                <w:color w:val="auto"/>
              </w:rPr>
            </w:pPr>
            <w:r>
              <w:rPr>
                <w:rFonts w:ascii="Arial" w:cs="Arial" w:eastAsia="Arial" w:hAnsi="Arial"/>
                <w:sz w:val="22"/>
                <w:szCs w:val="22"/>
                <w:color w:val="auto"/>
              </w:rPr>
              <w:t>1. Names of Reporting Persons.</w:t>
            </w:r>
          </w:p>
        </w:tc>
        <w:tc>
          <w:tcPr>
            <w:tcW w:w="0" w:type="dxa"/>
            <w:vAlign w:val="bottom"/>
          </w:tcPr>
          <w:p>
            <w:pPr>
              <w:spacing w:after="0"/>
              <w:rPr>
                <w:sz w:val="1"/>
                <w:szCs w:val="1"/>
                <w:color w:val="auto"/>
              </w:rPr>
            </w:pPr>
          </w:p>
        </w:tc>
      </w:tr>
      <w:tr>
        <w:trPr>
          <w:trHeight w:val="275"/>
        </w:trPr>
        <w:tc>
          <w:tcPr>
            <w:tcW w:w="4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560" w:type="dxa"/>
            <w:vAlign w:val="bottom"/>
            <w:gridSpan w:val="2"/>
          </w:tcPr>
          <w:p>
            <w:pPr>
              <w:ind w:left="100"/>
              <w:spacing w:after="0"/>
              <w:rPr>
                <w:sz w:val="20"/>
                <w:szCs w:val="20"/>
                <w:color w:val="auto"/>
              </w:rPr>
            </w:pPr>
            <w:r>
              <w:rPr>
                <w:rFonts w:ascii="Arial" w:cs="Arial" w:eastAsia="Arial" w:hAnsi="Arial"/>
                <w:sz w:val="22"/>
                <w:szCs w:val="22"/>
                <w:color w:val="auto"/>
              </w:rPr>
              <w:t>I.R.S. Identification Nos. of above persons (entities only).</w:t>
            </w:r>
          </w:p>
        </w:tc>
        <w:tc>
          <w:tcPr>
            <w:tcW w:w="0" w:type="dxa"/>
            <w:vAlign w:val="bottom"/>
          </w:tcPr>
          <w:p>
            <w:pPr>
              <w:spacing w:after="0"/>
              <w:rPr>
                <w:sz w:val="1"/>
                <w:szCs w:val="1"/>
                <w:color w:val="auto"/>
              </w:rPr>
            </w:pPr>
          </w:p>
        </w:tc>
      </w:tr>
      <w:tr>
        <w:trPr>
          <w:trHeight w:val="486"/>
        </w:trPr>
        <w:tc>
          <w:tcPr>
            <w:tcW w:w="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560" w:type="dxa"/>
            <w:vAlign w:val="bottom"/>
            <w:gridSpan w:val="2"/>
          </w:tcPr>
          <w:p>
            <w:pPr>
              <w:ind w:left="100"/>
              <w:spacing w:after="0"/>
              <w:rPr>
                <w:sz w:val="20"/>
                <w:szCs w:val="20"/>
                <w:color w:val="auto"/>
              </w:rPr>
            </w:pPr>
            <w:r>
              <w:rPr>
                <w:rFonts w:ascii="Arial" w:cs="Arial" w:eastAsia="Arial" w:hAnsi="Arial"/>
                <w:sz w:val="22"/>
                <w:szCs w:val="22"/>
                <w:b w:val="1"/>
                <w:bCs w:val="1"/>
                <w:color w:val="auto"/>
              </w:rPr>
              <w:t>Alexander M. Seaver</w:t>
            </w:r>
          </w:p>
        </w:tc>
        <w:tc>
          <w:tcPr>
            <w:tcW w:w="0" w:type="dxa"/>
            <w:vAlign w:val="bottom"/>
          </w:tcPr>
          <w:p>
            <w:pPr>
              <w:spacing w:after="0"/>
              <w:rPr>
                <w:sz w:val="1"/>
                <w:szCs w:val="1"/>
                <w:color w:val="auto"/>
              </w:rPr>
            </w:pPr>
          </w:p>
        </w:tc>
      </w:tr>
      <w:tr>
        <w:trPr>
          <w:trHeight w:val="459"/>
        </w:trPr>
        <w:tc>
          <w:tcPr>
            <w:tcW w:w="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560" w:type="dxa"/>
            <w:vAlign w:val="bottom"/>
            <w:gridSpan w:val="2"/>
          </w:tcPr>
          <w:p>
            <w:pPr>
              <w:ind w:left="100"/>
              <w:spacing w:after="0"/>
              <w:rPr>
                <w:sz w:val="20"/>
                <w:szCs w:val="20"/>
                <w:color w:val="auto"/>
              </w:rPr>
            </w:pPr>
            <w:r>
              <w:rPr>
                <w:rFonts w:ascii="Arial" w:cs="Arial" w:eastAsia="Arial" w:hAnsi="Arial"/>
                <w:sz w:val="22"/>
                <w:szCs w:val="22"/>
                <w:color w:val="auto"/>
                <w:w w:val="92"/>
              </w:rPr>
              <w:t>2. Check the Appropriate Box if a Member of a Group (See Instructions)</w:t>
            </w:r>
          </w:p>
        </w:tc>
        <w:tc>
          <w:tcPr>
            <w:tcW w:w="0" w:type="dxa"/>
            <w:vAlign w:val="bottom"/>
          </w:tcPr>
          <w:p>
            <w:pPr>
              <w:spacing w:after="0"/>
              <w:rPr>
                <w:sz w:val="1"/>
                <w:szCs w:val="1"/>
                <w:color w:val="auto"/>
              </w:rPr>
            </w:pPr>
          </w:p>
        </w:tc>
      </w:tr>
      <w:tr>
        <w:trPr>
          <w:trHeight w:val="486"/>
        </w:trPr>
        <w:tc>
          <w:tcPr>
            <w:tcW w:w="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560" w:type="dxa"/>
            <w:vAlign w:val="bottom"/>
            <w:gridSpan w:val="2"/>
          </w:tcPr>
          <w:p>
            <w:pPr>
              <w:ind w:left="100"/>
              <w:spacing w:after="0"/>
              <w:rPr>
                <w:sz w:val="20"/>
                <w:szCs w:val="20"/>
                <w:color w:val="auto"/>
              </w:rPr>
            </w:pPr>
            <w:r>
              <w:rPr>
                <w:rFonts w:ascii="Arial" w:cs="Arial" w:eastAsia="Arial" w:hAnsi="Arial"/>
                <w:sz w:val="22"/>
                <w:szCs w:val="22"/>
                <w:color w:val="auto"/>
              </w:rPr>
              <w:t xml:space="preserve">(a) </w:t>
            </w:r>
            <w:r>
              <w:rPr>
                <w:rFonts w:ascii="Arial" w:cs="Arial" w:eastAsia="Arial" w:hAnsi="Arial"/>
                <w:sz w:val="22"/>
                <w:szCs w:val="22"/>
                <w:b w:val="1"/>
                <w:bCs w:val="1"/>
                <w:color w:val="auto"/>
              </w:rPr>
              <w:t>XXX</w:t>
            </w:r>
          </w:p>
        </w:tc>
        <w:tc>
          <w:tcPr>
            <w:tcW w:w="0" w:type="dxa"/>
            <w:vAlign w:val="bottom"/>
          </w:tcPr>
          <w:p>
            <w:pPr>
              <w:spacing w:after="0"/>
              <w:rPr>
                <w:sz w:val="1"/>
                <w:szCs w:val="1"/>
                <w:color w:val="auto"/>
              </w:rPr>
            </w:pPr>
          </w:p>
        </w:tc>
      </w:tr>
      <w:tr>
        <w:trPr>
          <w:trHeight w:val="486"/>
        </w:trPr>
        <w:tc>
          <w:tcPr>
            <w:tcW w:w="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560" w:type="dxa"/>
            <w:vAlign w:val="bottom"/>
            <w:gridSpan w:val="2"/>
          </w:tcPr>
          <w:p>
            <w:pPr>
              <w:ind w:left="100"/>
              <w:spacing w:after="0"/>
              <w:rPr>
                <w:sz w:val="20"/>
                <w:szCs w:val="20"/>
                <w:color w:val="auto"/>
              </w:rPr>
            </w:pPr>
            <w:r>
              <w:rPr>
                <w:rFonts w:ascii="Arial" w:cs="Arial" w:eastAsia="Arial" w:hAnsi="Arial"/>
                <w:sz w:val="22"/>
                <w:szCs w:val="22"/>
                <w:color w:val="auto"/>
              </w:rPr>
              <w:t>(b) ______</w:t>
            </w:r>
          </w:p>
        </w:tc>
        <w:tc>
          <w:tcPr>
            <w:tcW w:w="0" w:type="dxa"/>
            <w:vAlign w:val="bottom"/>
          </w:tcPr>
          <w:p>
            <w:pPr>
              <w:spacing w:after="0"/>
              <w:rPr>
                <w:sz w:val="1"/>
                <w:szCs w:val="1"/>
                <w:color w:val="auto"/>
              </w:rPr>
            </w:pPr>
          </w:p>
        </w:tc>
      </w:tr>
      <w:tr>
        <w:trPr>
          <w:trHeight w:val="459"/>
        </w:trPr>
        <w:tc>
          <w:tcPr>
            <w:tcW w:w="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560" w:type="dxa"/>
            <w:vAlign w:val="bottom"/>
            <w:gridSpan w:val="2"/>
          </w:tcPr>
          <w:p>
            <w:pPr>
              <w:ind w:left="100"/>
              <w:spacing w:after="0"/>
              <w:rPr>
                <w:sz w:val="20"/>
                <w:szCs w:val="20"/>
                <w:color w:val="auto"/>
              </w:rPr>
            </w:pPr>
            <w:r>
              <w:rPr>
                <w:rFonts w:ascii="Arial" w:cs="Arial" w:eastAsia="Arial" w:hAnsi="Arial"/>
                <w:sz w:val="22"/>
                <w:szCs w:val="22"/>
                <w:color w:val="auto"/>
              </w:rPr>
              <w:t>3. SEC Use Only</w:t>
            </w:r>
          </w:p>
        </w:tc>
        <w:tc>
          <w:tcPr>
            <w:tcW w:w="0" w:type="dxa"/>
            <w:vAlign w:val="bottom"/>
          </w:tcPr>
          <w:p>
            <w:pPr>
              <w:spacing w:after="0"/>
              <w:rPr>
                <w:sz w:val="1"/>
                <w:szCs w:val="1"/>
                <w:color w:val="auto"/>
              </w:rPr>
            </w:pPr>
          </w:p>
        </w:tc>
      </w:tr>
      <w:tr>
        <w:trPr>
          <w:trHeight w:val="459"/>
        </w:trPr>
        <w:tc>
          <w:tcPr>
            <w:tcW w:w="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560" w:type="dxa"/>
            <w:vAlign w:val="bottom"/>
            <w:gridSpan w:val="2"/>
          </w:tcPr>
          <w:p>
            <w:pPr>
              <w:ind w:left="100"/>
              <w:spacing w:after="0"/>
              <w:rPr>
                <w:sz w:val="20"/>
                <w:szCs w:val="20"/>
                <w:color w:val="auto"/>
              </w:rPr>
            </w:pPr>
            <w:r>
              <w:rPr>
                <w:rFonts w:ascii="Arial" w:cs="Arial" w:eastAsia="Arial" w:hAnsi="Arial"/>
                <w:sz w:val="22"/>
                <w:szCs w:val="22"/>
                <w:color w:val="auto"/>
              </w:rPr>
              <w:t xml:space="preserve">4. Citizenship or Place of Organization </w:t>
            </w:r>
            <w:r>
              <w:rPr>
                <w:rFonts w:ascii="Arial" w:cs="Arial" w:eastAsia="Arial" w:hAnsi="Arial"/>
                <w:sz w:val="22"/>
                <w:szCs w:val="22"/>
                <w:b w:val="1"/>
                <w:bCs w:val="1"/>
                <w:color w:val="auto"/>
              </w:rPr>
              <w:t>United States</w:t>
            </w:r>
          </w:p>
        </w:tc>
        <w:tc>
          <w:tcPr>
            <w:tcW w:w="0" w:type="dxa"/>
            <w:vAlign w:val="bottom"/>
          </w:tcPr>
          <w:p>
            <w:pPr>
              <w:spacing w:after="0"/>
              <w:rPr>
                <w:sz w:val="1"/>
                <w:szCs w:val="1"/>
                <w:color w:val="auto"/>
              </w:rPr>
            </w:pPr>
          </w:p>
        </w:tc>
      </w:tr>
      <w:tr>
        <w:trPr>
          <w:trHeight w:val="206"/>
        </w:trPr>
        <w:tc>
          <w:tcPr>
            <w:tcW w:w="40" w:type="dxa"/>
            <w:vAlign w:val="bottom"/>
            <w:tcBorders>
              <w:bottom w:val="single" w:sz="8" w:color="808080"/>
            </w:tcBorders>
          </w:tcPr>
          <w:p>
            <w:pPr>
              <w:spacing w:after="0"/>
              <w:rPr>
                <w:sz w:val="17"/>
                <w:szCs w:val="17"/>
                <w:color w:val="auto"/>
              </w:rPr>
            </w:pPr>
          </w:p>
        </w:tc>
        <w:tc>
          <w:tcPr>
            <w:tcW w:w="172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6540" w:type="dxa"/>
            <w:vAlign w:val="bottom"/>
            <w:tcBorders>
              <w:bottom w:val="single" w:sz="8" w:color="808080"/>
            </w:tcBorders>
          </w:tcPr>
          <w:p>
            <w:pPr>
              <w:spacing w:after="0"/>
              <w:rPr>
                <w:sz w:val="17"/>
                <w:szCs w:val="17"/>
                <w:color w:val="auto"/>
              </w:rPr>
            </w:pPr>
          </w:p>
        </w:tc>
        <w:tc>
          <w:tcPr>
            <w:tcW w:w="2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72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6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40" w:type="dxa"/>
            <w:vAlign w:val="bottom"/>
          </w:tcPr>
          <w:p>
            <w:pPr>
              <w:spacing w:after="0"/>
              <w:rPr>
                <w:sz w:val="24"/>
                <w:szCs w:val="24"/>
                <w:color w:val="auto"/>
              </w:rPr>
            </w:pPr>
          </w:p>
        </w:tc>
        <w:tc>
          <w:tcPr>
            <w:tcW w:w="1720" w:type="dxa"/>
            <w:vAlign w:val="bottom"/>
          </w:tcPr>
          <w:p>
            <w:pPr>
              <w:ind w:left="100"/>
              <w:spacing w:after="0"/>
              <w:rPr>
                <w:sz w:val="20"/>
                <w:szCs w:val="20"/>
                <w:color w:val="auto"/>
              </w:rPr>
            </w:pPr>
            <w:r>
              <w:rPr>
                <w:rFonts w:ascii="Arial" w:cs="Arial" w:eastAsia="Arial" w:hAnsi="Arial"/>
                <w:sz w:val="22"/>
                <w:szCs w:val="22"/>
                <w:color w:val="auto"/>
              </w:rPr>
              <w:t>Number of</w:t>
            </w:r>
          </w:p>
        </w:tc>
        <w:tc>
          <w:tcPr>
            <w:tcW w:w="300" w:type="dxa"/>
            <w:vAlign w:val="bottom"/>
          </w:tcPr>
          <w:p>
            <w:pPr>
              <w:jc w:val="right"/>
              <w:spacing w:after="0"/>
              <w:rPr>
                <w:sz w:val="20"/>
                <w:szCs w:val="20"/>
                <w:color w:val="auto"/>
              </w:rPr>
            </w:pPr>
            <w:r>
              <w:rPr>
                <w:rFonts w:ascii="Arial" w:cs="Arial" w:eastAsia="Arial" w:hAnsi="Arial"/>
                <w:sz w:val="22"/>
                <w:szCs w:val="22"/>
                <w:color w:val="auto"/>
              </w:rPr>
              <w:t>5.</w:t>
            </w:r>
          </w:p>
        </w:tc>
        <w:tc>
          <w:tcPr>
            <w:tcW w:w="6560" w:type="dxa"/>
            <w:vAlign w:val="bottom"/>
            <w:gridSpan w:val="2"/>
          </w:tcPr>
          <w:p>
            <w:pPr>
              <w:ind w:left="20"/>
              <w:spacing w:after="0"/>
              <w:rPr>
                <w:sz w:val="20"/>
                <w:szCs w:val="20"/>
                <w:color w:val="auto"/>
              </w:rPr>
            </w:pPr>
            <w:r>
              <w:rPr>
                <w:rFonts w:ascii="Arial" w:cs="Arial" w:eastAsia="Arial" w:hAnsi="Arial"/>
                <w:sz w:val="22"/>
                <w:szCs w:val="22"/>
                <w:color w:val="auto"/>
              </w:rPr>
              <w:t xml:space="preserve">Sole Voting Power </w:t>
            </w:r>
            <w:r>
              <w:rPr>
                <w:rFonts w:ascii="Arial" w:cs="Arial" w:eastAsia="Arial" w:hAnsi="Arial"/>
                <w:sz w:val="22"/>
                <w:szCs w:val="22"/>
                <w:b w:val="1"/>
                <w:bCs w:val="1"/>
                <w:color w:val="auto"/>
              </w:rPr>
              <w:t>-0-</w:t>
            </w:r>
          </w:p>
        </w:tc>
        <w:tc>
          <w:tcPr>
            <w:tcW w:w="0" w:type="dxa"/>
            <w:vAlign w:val="bottom"/>
          </w:tcPr>
          <w:p>
            <w:pPr>
              <w:spacing w:after="0"/>
              <w:rPr>
                <w:sz w:val="1"/>
                <w:szCs w:val="1"/>
                <w:color w:val="auto"/>
              </w:rPr>
            </w:pPr>
          </w:p>
        </w:tc>
      </w:tr>
      <w:tr>
        <w:trPr>
          <w:trHeight w:val="301"/>
        </w:trPr>
        <w:tc>
          <w:tcPr>
            <w:tcW w:w="40" w:type="dxa"/>
            <w:vAlign w:val="bottom"/>
          </w:tcPr>
          <w:p>
            <w:pPr>
              <w:spacing w:after="0"/>
              <w:rPr>
                <w:sz w:val="24"/>
                <w:szCs w:val="24"/>
                <w:color w:val="auto"/>
              </w:rPr>
            </w:pPr>
          </w:p>
        </w:tc>
        <w:tc>
          <w:tcPr>
            <w:tcW w:w="1720" w:type="dxa"/>
            <w:vAlign w:val="bottom"/>
            <w:vMerge w:val="restart"/>
          </w:tcPr>
          <w:p>
            <w:pPr>
              <w:ind w:left="100"/>
              <w:spacing w:after="0"/>
              <w:rPr>
                <w:sz w:val="20"/>
                <w:szCs w:val="20"/>
                <w:color w:val="auto"/>
              </w:rPr>
            </w:pPr>
            <w:r>
              <w:rPr>
                <w:rFonts w:ascii="Arial" w:cs="Arial" w:eastAsia="Arial" w:hAnsi="Arial"/>
                <w:sz w:val="22"/>
                <w:szCs w:val="22"/>
                <w:color w:val="auto"/>
              </w:rPr>
              <w:t>Shares</w:t>
            </w:r>
          </w:p>
        </w:tc>
        <w:tc>
          <w:tcPr>
            <w:tcW w:w="300" w:type="dxa"/>
            <w:vAlign w:val="bottom"/>
            <w:tcBorders>
              <w:bottom w:val="single" w:sz="8" w:color="808080"/>
            </w:tcBorders>
          </w:tcPr>
          <w:p>
            <w:pPr>
              <w:spacing w:after="0"/>
              <w:rPr>
                <w:sz w:val="24"/>
                <w:szCs w:val="24"/>
                <w:color w:val="auto"/>
              </w:rPr>
            </w:pPr>
          </w:p>
        </w:tc>
        <w:tc>
          <w:tcPr>
            <w:tcW w:w="654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720" w:type="dxa"/>
            <w:vAlign w:val="bottom"/>
            <w:vMerge w:val="continue"/>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6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40" w:type="dxa"/>
            <w:vAlign w:val="bottom"/>
          </w:tcPr>
          <w:p>
            <w:pPr>
              <w:spacing w:after="0"/>
              <w:rPr>
                <w:sz w:val="8"/>
                <w:szCs w:val="8"/>
                <w:color w:val="auto"/>
              </w:rPr>
            </w:pPr>
          </w:p>
        </w:tc>
        <w:tc>
          <w:tcPr>
            <w:tcW w:w="1720" w:type="dxa"/>
            <w:vAlign w:val="bottom"/>
            <w:vMerge w:val="continue"/>
          </w:tcPr>
          <w:p>
            <w:pPr>
              <w:spacing w:after="0"/>
              <w:rPr>
                <w:sz w:val="8"/>
                <w:szCs w:val="8"/>
                <w:color w:val="auto"/>
              </w:rPr>
            </w:pPr>
          </w:p>
        </w:tc>
        <w:tc>
          <w:tcPr>
            <w:tcW w:w="300" w:type="dxa"/>
            <w:vAlign w:val="bottom"/>
            <w:vMerge w:val="restart"/>
          </w:tcPr>
          <w:p>
            <w:pPr>
              <w:jc w:val="right"/>
              <w:spacing w:after="0"/>
              <w:rPr>
                <w:sz w:val="20"/>
                <w:szCs w:val="20"/>
                <w:color w:val="auto"/>
              </w:rPr>
            </w:pPr>
            <w:r>
              <w:rPr>
                <w:rFonts w:ascii="Arial" w:cs="Arial" w:eastAsia="Arial" w:hAnsi="Arial"/>
                <w:sz w:val="22"/>
                <w:szCs w:val="22"/>
                <w:color w:val="auto"/>
              </w:rPr>
              <w:t>6.</w:t>
            </w:r>
          </w:p>
        </w:tc>
        <w:tc>
          <w:tcPr>
            <w:tcW w:w="6560" w:type="dxa"/>
            <w:vAlign w:val="bottom"/>
            <w:gridSpan w:val="2"/>
            <w:vMerge w:val="restart"/>
          </w:tcPr>
          <w:p>
            <w:pPr>
              <w:ind w:left="20"/>
              <w:spacing w:after="0"/>
              <w:rPr>
                <w:sz w:val="20"/>
                <w:szCs w:val="20"/>
                <w:color w:val="auto"/>
              </w:rPr>
            </w:pPr>
            <w:r>
              <w:rPr>
                <w:rFonts w:ascii="Arial" w:cs="Arial" w:eastAsia="Arial" w:hAnsi="Arial"/>
                <w:sz w:val="22"/>
                <w:szCs w:val="22"/>
                <w:color w:val="auto"/>
              </w:rPr>
              <w:t xml:space="preserve">Shared Voting Power </w:t>
            </w:r>
            <w:r>
              <w:rPr>
                <w:rFonts w:ascii="Arial" w:cs="Arial" w:eastAsia="Arial" w:hAnsi="Arial"/>
                <w:sz w:val="22"/>
                <w:szCs w:val="22"/>
                <w:b w:val="1"/>
                <w:bCs w:val="1"/>
                <w:color w:val="auto"/>
              </w:rPr>
              <w:t>411,887</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720" w:type="dxa"/>
            <w:vAlign w:val="bottom"/>
            <w:vMerge w:val="restart"/>
          </w:tcPr>
          <w:p>
            <w:pPr>
              <w:ind w:left="100"/>
              <w:spacing w:after="0"/>
              <w:rPr>
                <w:sz w:val="20"/>
                <w:szCs w:val="20"/>
                <w:color w:val="auto"/>
              </w:rPr>
            </w:pPr>
            <w:r>
              <w:rPr>
                <w:rFonts w:ascii="Arial" w:cs="Arial" w:eastAsia="Arial" w:hAnsi="Arial"/>
                <w:sz w:val="22"/>
                <w:szCs w:val="22"/>
                <w:color w:val="auto"/>
              </w:rPr>
              <w:t>Beneficially</w:t>
            </w:r>
          </w:p>
        </w:tc>
        <w:tc>
          <w:tcPr>
            <w:tcW w:w="300" w:type="dxa"/>
            <w:vAlign w:val="bottom"/>
            <w:vMerge w:val="continue"/>
          </w:tcPr>
          <w:p>
            <w:pPr>
              <w:spacing w:after="0"/>
              <w:rPr>
                <w:sz w:val="19"/>
                <w:szCs w:val="19"/>
                <w:color w:val="auto"/>
              </w:rPr>
            </w:pPr>
          </w:p>
        </w:tc>
        <w:tc>
          <w:tcPr>
            <w:tcW w:w="65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72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6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1"/>
        </w:trPr>
        <w:tc>
          <w:tcPr>
            <w:tcW w:w="40" w:type="dxa"/>
            <w:vAlign w:val="bottom"/>
          </w:tcPr>
          <w:p>
            <w:pPr>
              <w:spacing w:after="0"/>
              <w:rPr>
                <w:sz w:val="6"/>
                <w:szCs w:val="6"/>
                <w:color w:val="auto"/>
              </w:rPr>
            </w:pPr>
          </w:p>
        </w:tc>
        <w:tc>
          <w:tcPr>
            <w:tcW w:w="1720" w:type="dxa"/>
            <w:vAlign w:val="bottom"/>
          </w:tcPr>
          <w:p>
            <w:pPr>
              <w:spacing w:after="0"/>
              <w:rPr>
                <w:sz w:val="6"/>
                <w:szCs w:val="6"/>
                <w:color w:val="auto"/>
              </w:rPr>
            </w:pPr>
          </w:p>
        </w:tc>
        <w:tc>
          <w:tcPr>
            <w:tcW w:w="300" w:type="dxa"/>
            <w:vAlign w:val="bottom"/>
            <w:tcBorders>
              <w:bottom w:val="single" w:sz="8" w:color="808080"/>
            </w:tcBorders>
          </w:tcPr>
          <w:p>
            <w:pPr>
              <w:spacing w:after="0"/>
              <w:rPr>
                <w:sz w:val="6"/>
                <w:szCs w:val="6"/>
                <w:color w:val="auto"/>
              </w:rPr>
            </w:pPr>
          </w:p>
        </w:tc>
        <w:tc>
          <w:tcPr>
            <w:tcW w:w="65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6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40" w:type="dxa"/>
            <w:vAlign w:val="bottom"/>
          </w:tcPr>
          <w:p>
            <w:pPr>
              <w:spacing w:after="0"/>
              <w:rPr>
                <w:sz w:val="24"/>
                <w:szCs w:val="24"/>
                <w:color w:val="auto"/>
              </w:rPr>
            </w:pPr>
          </w:p>
        </w:tc>
        <w:tc>
          <w:tcPr>
            <w:tcW w:w="1720" w:type="dxa"/>
            <w:vAlign w:val="bottom"/>
          </w:tcPr>
          <w:p>
            <w:pPr>
              <w:ind w:left="100"/>
              <w:spacing w:after="0"/>
              <w:rPr>
                <w:sz w:val="20"/>
                <w:szCs w:val="20"/>
                <w:color w:val="auto"/>
              </w:rPr>
            </w:pPr>
            <w:r>
              <w:rPr>
                <w:rFonts w:ascii="Arial" w:cs="Arial" w:eastAsia="Arial" w:hAnsi="Arial"/>
                <w:sz w:val="22"/>
                <w:szCs w:val="22"/>
                <w:color w:val="auto"/>
              </w:rPr>
              <w:t>Owned by</w:t>
            </w:r>
          </w:p>
        </w:tc>
        <w:tc>
          <w:tcPr>
            <w:tcW w:w="300" w:type="dxa"/>
            <w:vAlign w:val="bottom"/>
          </w:tcPr>
          <w:p>
            <w:pPr>
              <w:jc w:val="right"/>
              <w:spacing w:after="0"/>
              <w:rPr>
                <w:sz w:val="20"/>
                <w:szCs w:val="20"/>
                <w:color w:val="auto"/>
              </w:rPr>
            </w:pPr>
            <w:r>
              <w:rPr>
                <w:rFonts w:ascii="Arial" w:cs="Arial" w:eastAsia="Arial" w:hAnsi="Arial"/>
                <w:sz w:val="22"/>
                <w:szCs w:val="22"/>
                <w:color w:val="auto"/>
              </w:rPr>
              <w:t>7.</w:t>
            </w:r>
          </w:p>
        </w:tc>
        <w:tc>
          <w:tcPr>
            <w:tcW w:w="6560" w:type="dxa"/>
            <w:vAlign w:val="bottom"/>
            <w:gridSpan w:val="2"/>
          </w:tcPr>
          <w:p>
            <w:pPr>
              <w:ind w:left="20"/>
              <w:spacing w:after="0"/>
              <w:rPr>
                <w:sz w:val="20"/>
                <w:szCs w:val="20"/>
                <w:color w:val="auto"/>
              </w:rPr>
            </w:pPr>
            <w:r>
              <w:rPr>
                <w:rFonts w:ascii="Arial" w:cs="Arial" w:eastAsia="Arial" w:hAnsi="Arial"/>
                <w:sz w:val="22"/>
                <w:szCs w:val="22"/>
                <w:color w:val="auto"/>
              </w:rPr>
              <w:t xml:space="preserve">Sole Dispositive Power </w:t>
            </w:r>
            <w:r>
              <w:rPr>
                <w:rFonts w:ascii="Arial" w:cs="Arial" w:eastAsia="Arial" w:hAnsi="Arial"/>
                <w:sz w:val="22"/>
                <w:szCs w:val="22"/>
                <w:b w:val="1"/>
                <w:bCs w:val="1"/>
                <w:color w:val="auto"/>
              </w:rPr>
              <w:t>-0-</w:t>
            </w:r>
          </w:p>
        </w:tc>
        <w:tc>
          <w:tcPr>
            <w:tcW w:w="0" w:type="dxa"/>
            <w:vAlign w:val="bottom"/>
          </w:tcPr>
          <w:p>
            <w:pPr>
              <w:spacing w:after="0"/>
              <w:rPr>
                <w:sz w:val="1"/>
                <w:szCs w:val="1"/>
                <w:color w:val="auto"/>
              </w:rPr>
            </w:pPr>
          </w:p>
        </w:tc>
      </w:tr>
      <w:tr>
        <w:trPr>
          <w:trHeight w:val="301"/>
        </w:trPr>
        <w:tc>
          <w:tcPr>
            <w:tcW w:w="40" w:type="dxa"/>
            <w:vAlign w:val="bottom"/>
          </w:tcPr>
          <w:p>
            <w:pPr>
              <w:spacing w:after="0"/>
              <w:rPr>
                <w:sz w:val="24"/>
                <w:szCs w:val="24"/>
                <w:color w:val="auto"/>
              </w:rPr>
            </w:pPr>
          </w:p>
        </w:tc>
        <w:tc>
          <w:tcPr>
            <w:tcW w:w="1720" w:type="dxa"/>
            <w:vAlign w:val="bottom"/>
            <w:vMerge w:val="restart"/>
          </w:tcPr>
          <w:p>
            <w:pPr>
              <w:ind w:left="100"/>
              <w:spacing w:after="0"/>
              <w:rPr>
                <w:sz w:val="20"/>
                <w:szCs w:val="20"/>
                <w:color w:val="auto"/>
              </w:rPr>
            </w:pPr>
            <w:r>
              <w:rPr>
                <w:rFonts w:ascii="Arial" w:cs="Arial" w:eastAsia="Arial" w:hAnsi="Arial"/>
                <w:sz w:val="22"/>
                <w:szCs w:val="22"/>
                <w:color w:val="auto"/>
              </w:rPr>
              <w:t>Each Reporting</w:t>
            </w:r>
          </w:p>
        </w:tc>
        <w:tc>
          <w:tcPr>
            <w:tcW w:w="300" w:type="dxa"/>
            <w:vAlign w:val="bottom"/>
            <w:tcBorders>
              <w:bottom w:val="single" w:sz="8" w:color="808080"/>
            </w:tcBorders>
          </w:tcPr>
          <w:p>
            <w:pPr>
              <w:spacing w:after="0"/>
              <w:rPr>
                <w:sz w:val="24"/>
                <w:szCs w:val="24"/>
                <w:color w:val="auto"/>
              </w:rPr>
            </w:pPr>
          </w:p>
        </w:tc>
        <w:tc>
          <w:tcPr>
            <w:tcW w:w="654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720" w:type="dxa"/>
            <w:vAlign w:val="bottom"/>
            <w:vMerge w:val="continue"/>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6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40" w:type="dxa"/>
            <w:vAlign w:val="bottom"/>
          </w:tcPr>
          <w:p>
            <w:pPr>
              <w:spacing w:after="0"/>
              <w:rPr>
                <w:sz w:val="8"/>
                <w:szCs w:val="8"/>
                <w:color w:val="auto"/>
              </w:rPr>
            </w:pPr>
          </w:p>
        </w:tc>
        <w:tc>
          <w:tcPr>
            <w:tcW w:w="1720" w:type="dxa"/>
            <w:vAlign w:val="bottom"/>
            <w:vMerge w:val="continue"/>
          </w:tcPr>
          <w:p>
            <w:pPr>
              <w:spacing w:after="0"/>
              <w:rPr>
                <w:sz w:val="8"/>
                <w:szCs w:val="8"/>
                <w:color w:val="auto"/>
              </w:rPr>
            </w:pPr>
          </w:p>
        </w:tc>
        <w:tc>
          <w:tcPr>
            <w:tcW w:w="300" w:type="dxa"/>
            <w:vAlign w:val="bottom"/>
            <w:vMerge w:val="restart"/>
          </w:tcPr>
          <w:p>
            <w:pPr>
              <w:jc w:val="right"/>
              <w:spacing w:after="0"/>
              <w:rPr>
                <w:sz w:val="20"/>
                <w:szCs w:val="20"/>
                <w:color w:val="auto"/>
              </w:rPr>
            </w:pPr>
            <w:r>
              <w:rPr>
                <w:rFonts w:ascii="Arial" w:cs="Arial" w:eastAsia="Arial" w:hAnsi="Arial"/>
                <w:sz w:val="22"/>
                <w:szCs w:val="22"/>
                <w:color w:val="auto"/>
              </w:rPr>
              <w:t>8.</w:t>
            </w:r>
          </w:p>
        </w:tc>
        <w:tc>
          <w:tcPr>
            <w:tcW w:w="6560" w:type="dxa"/>
            <w:vAlign w:val="bottom"/>
            <w:gridSpan w:val="2"/>
            <w:vMerge w:val="restart"/>
          </w:tcPr>
          <w:p>
            <w:pPr>
              <w:ind w:left="20"/>
              <w:spacing w:after="0"/>
              <w:rPr>
                <w:sz w:val="20"/>
                <w:szCs w:val="20"/>
                <w:color w:val="auto"/>
              </w:rPr>
            </w:pPr>
            <w:r>
              <w:rPr>
                <w:rFonts w:ascii="Arial" w:cs="Arial" w:eastAsia="Arial" w:hAnsi="Arial"/>
                <w:sz w:val="22"/>
                <w:szCs w:val="22"/>
                <w:color w:val="auto"/>
              </w:rPr>
              <w:t xml:space="preserve">Shared Dispositive Power </w:t>
            </w:r>
            <w:r>
              <w:rPr>
                <w:rFonts w:ascii="Arial" w:cs="Arial" w:eastAsia="Arial" w:hAnsi="Arial"/>
                <w:sz w:val="22"/>
                <w:szCs w:val="22"/>
                <w:b w:val="1"/>
                <w:bCs w:val="1"/>
                <w:color w:val="auto"/>
              </w:rPr>
              <w:t>411,887</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720" w:type="dxa"/>
            <w:vAlign w:val="bottom"/>
            <w:vMerge w:val="restart"/>
          </w:tcPr>
          <w:p>
            <w:pPr>
              <w:ind w:left="100"/>
              <w:spacing w:after="0"/>
              <w:rPr>
                <w:sz w:val="20"/>
                <w:szCs w:val="20"/>
                <w:color w:val="auto"/>
              </w:rPr>
            </w:pPr>
            <w:r>
              <w:rPr>
                <w:rFonts w:ascii="Arial" w:cs="Arial" w:eastAsia="Arial" w:hAnsi="Arial"/>
                <w:sz w:val="22"/>
                <w:szCs w:val="22"/>
                <w:color w:val="auto"/>
              </w:rPr>
              <w:t>Person With</w:t>
            </w:r>
          </w:p>
        </w:tc>
        <w:tc>
          <w:tcPr>
            <w:tcW w:w="300" w:type="dxa"/>
            <w:vAlign w:val="bottom"/>
            <w:vMerge w:val="continue"/>
          </w:tcPr>
          <w:p>
            <w:pPr>
              <w:spacing w:after="0"/>
              <w:rPr>
                <w:sz w:val="19"/>
                <w:szCs w:val="19"/>
                <w:color w:val="auto"/>
              </w:rPr>
            </w:pPr>
          </w:p>
        </w:tc>
        <w:tc>
          <w:tcPr>
            <w:tcW w:w="65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72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6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5"/>
        </w:trPr>
        <w:tc>
          <w:tcPr>
            <w:tcW w:w="40" w:type="dxa"/>
            <w:vAlign w:val="bottom"/>
          </w:tcPr>
          <w:p>
            <w:pPr>
              <w:spacing w:after="0"/>
              <w:rPr>
                <w:sz w:val="7"/>
                <w:szCs w:val="7"/>
                <w:color w:val="auto"/>
              </w:rPr>
            </w:pPr>
          </w:p>
        </w:tc>
        <w:tc>
          <w:tcPr>
            <w:tcW w:w="172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654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2C2C2C"/>
            </w:tcBorders>
          </w:tcPr>
          <w:p>
            <w:pPr>
              <w:spacing w:after="0" w:line="20" w:lineRule="exact"/>
              <w:rPr>
                <w:sz w:val="1"/>
                <w:szCs w:val="1"/>
                <w:color w:val="auto"/>
              </w:rPr>
            </w:pPr>
          </w:p>
        </w:tc>
        <w:tc>
          <w:tcPr>
            <w:tcW w:w="172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65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-1795780</wp:posOffset>
            </wp:positionV>
            <wp:extent cx="51435" cy="18091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435" cy="1809115"/>
                    </a:xfrm>
                    <a:prstGeom prst="rect">
                      <a:avLst/>
                    </a:prstGeom>
                    <a:noFill/>
                  </pic:spPr>
                </pic:pic>
              </a:graphicData>
            </a:graphic>
          </wp:anchor>
        </w:drawing>
        <w:drawing>
          <wp:anchor simplePos="0" relativeHeight="251657728" behindDoc="1" locked="0" layoutInCell="0" allowOverlap="1">
            <wp:simplePos x="0" y="0"/>
            <wp:positionH relativeFrom="column">
              <wp:posOffset>5438140</wp:posOffset>
            </wp:positionH>
            <wp:positionV relativeFrom="paragraph">
              <wp:posOffset>-1795780</wp:posOffset>
            </wp:positionV>
            <wp:extent cx="51435" cy="18091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35" cy="1809115"/>
                    </a:xfrm>
                    <a:prstGeom prst="rect">
                      <a:avLst/>
                    </a:prstGeom>
                    <a:noFill/>
                  </pic:spPr>
                </pic:pic>
              </a:graphicData>
            </a:graphic>
          </wp:anchor>
        </w:drawing>
        <w:drawing>
          <wp:anchor simplePos="0" relativeHeight="251657728" behindDoc="1" locked="0" layoutInCell="0" allowOverlap="1">
            <wp:simplePos x="0" y="0"/>
            <wp:positionH relativeFrom="column">
              <wp:posOffset>1090295</wp:posOffset>
            </wp:positionH>
            <wp:positionV relativeFrom="paragraph">
              <wp:posOffset>-1778635</wp:posOffset>
            </wp:positionV>
            <wp:extent cx="51435" cy="17748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35" cy="1774825"/>
                    </a:xfrm>
                    <a:prstGeom prst="rect">
                      <a:avLst/>
                    </a:prstGeom>
                    <a:noFill/>
                  </pic:spPr>
                </pic:pic>
              </a:graphicData>
            </a:graphic>
          </wp:anchor>
        </w:drawing>
      </w:r>
    </w:p>
    <w:p>
      <w:pPr>
        <w:spacing w:after="0" w:line="169" w:lineRule="exact"/>
        <w:rPr>
          <w:sz w:val="20"/>
          <w:szCs w:val="20"/>
          <w:color w:val="auto"/>
        </w:rPr>
      </w:pPr>
    </w:p>
    <w:p>
      <w:pPr>
        <w:ind w:left="2380" w:hanging="211"/>
        <w:spacing w:after="0"/>
        <w:tabs>
          <w:tab w:leader="none" w:pos="2380" w:val="left"/>
        </w:tabs>
        <w:numPr>
          <w:ilvl w:val="0"/>
          <w:numId w:val="7"/>
        </w:numPr>
        <w:rPr>
          <w:rFonts w:ascii="Arial" w:cs="Arial" w:eastAsia="Arial" w:hAnsi="Arial"/>
          <w:sz w:val="19"/>
          <w:szCs w:val="19"/>
          <w:color w:val="auto"/>
        </w:rPr>
      </w:pPr>
      <w:r>
        <w:rPr>
          <w:rFonts w:ascii="Arial" w:cs="Arial" w:eastAsia="Arial" w:hAnsi="Arial"/>
          <w:sz w:val="19"/>
          <w:szCs w:val="19"/>
          <w:color w:val="auto"/>
        </w:rPr>
        <w:t xml:space="preserve">Aggregate Amount Beneficially Owned by Each Reporting Person </w:t>
      </w:r>
      <w:r>
        <w:rPr>
          <w:rFonts w:ascii="Arial" w:cs="Arial" w:eastAsia="Arial" w:hAnsi="Arial"/>
          <w:sz w:val="19"/>
          <w:szCs w:val="19"/>
          <w:b w:val="1"/>
          <w:bCs w:val="1"/>
          <w:color w:val="auto"/>
        </w:rPr>
        <w:t>411,887</w:t>
      </w:r>
    </w:p>
    <w:p>
      <w:pPr>
        <w:spacing w:after="0" w:line="246" w:lineRule="exact"/>
        <w:rPr>
          <w:rFonts w:ascii="Arial" w:cs="Arial" w:eastAsia="Arial" w:hAnsi="Arial"/>
          <w:sz w:val="19"/>
          <w:szCs w:val="19"/>
          <w:color w:val="auto"/>
        </w:rPr>
      </w:pPr>
    </w:p>
    <w:p>
      <w:pPr>
        <w:ind w:left="2160" w:right="1359" w:firstLine="9"/>
        <w:spacing w:after="0" w:line="251" w:lineRule="auto"/>
        <w:tabs>
          <w:tab w:leader="none" w:pos="2484" w:val="left"/>
        </w:tabs>
        <w:numPr>
          <w:ilvl w:val="0"/>
          <w:numId w:val="7"/>
        </w:numPr>
        <w:rPr>
          <w:rFonts w:ascii="Arial" w:cs="Arial" w:eastAsia="Arial" w:hAnsi="Arial"/>
          <w:sz w:val="22"/>
          <w:szCs w:val="22"/>
          <w:color w:val="auto"/>
        </w:rPr>
      </w:pPr>
      <w:r>
        <w:rPr>
          <w:rFonts w:ascii="Arial" w:cs="Arial" w:eastAsia="Arial" w:hAnsi="Arial"/>
          <w:sz w:val="22"/>
          <w:szCs w:val="22"/>
          <w:color w:val="auto"/>
        </w:rPr>
        <w:t xml:space="preserve">Check if the Aggregate Amount in Row (9) Excludes Certain Shares (See Instructions) </w:t>
      </w:r>
      <w:r>
        <w:rPr>
          <w:rFonts w:ascii="Arial" w:cs="Arial" w:eastAsia="Arial" w:hAnsi="Arial"/>
          <w:sz w:val="22"/>
          <w:szCs w:val="22"/>
          <w:b w:val="1"/>
          <w:bCs w:val="1"/>
          <w:color w:val="auto"/>
        </w:rPr>
        <w:t>______</w:t>
      </w:r>
    </w:p>
    <w:p>
      <w:pPr>
        <w:spacing w:after="0" w:line="167" w:lineRule="exact"/>
        <w:rPr>
          <w:rFonts w:ascii="Arial" w:cs="Arial" w:eastAsia="Arial" w:hAnsi="Arial"/>
          <w:sz w:val="22"/>
          <w:szCs w:val="22"/>
          <w:color w:val="auto"/>
        </w:rPr>
      </w:pPr>
    </w:p>
    <w:p>
      <w:pPr>
        <w:ind w:left="2480" w:hanging="311"/>
        <w:spacing w:after="0"/>
        <w:tabs>
          <w:tab w:leader="none" w:pos="2480" w:val="left"/>
        </w:tabs>
        <w:numPr>
          <w:ilvl w:val="0"/>
          <w:numId w:val="7"/>
        </w:numPr>
        <w:rPr>
          <w:rFonts w:ascii="Arial" w:cs="Arial" w:eastAsia="Arial" w:hAnsi="Arial"/>
          <w:sz w:val="22"/>
          <w:szCs w:val="22"/>
          <w:color w:val="auto"/>
        </w:rPr>
      </w:pPr>
      <w:r>
        <w:rPr>
          <w:rFonts w:ascii="Arial" w:cs="Arial" w:eastAsia="Arial" w:hAnsi="Arial"/>
          <w:sz w:val="22"/>
          <w:szCs w:val="22"/>
          <w:color w:val="auto"/>
        </w:rPr>
        <w:t xml:space="preserve">Percent of Class Represented by Amount in Row (9) </w:t>
      </w:r>
      <w:r>
        <w:rPr>
          <w:rFonts w:ascii="Arial" w:cs="Arial" w:eastAsia="Arial" w:hAnsi="Arial"/>
          <w:sz w:val="22"/>
          <w:szCs w:val="22"/>
          <w:b w:val="1"/>
          <w:bCs w:val="1"/>
          <w:color w:val="auto"/>
        </w:rPr>
        <w:t>3.8%</w:t>
      </w:r>
    </w:p>
    <w:p>
      <w:pPr>
        <w:spacing w:after="0" w:line="212" w:lineRule="exact"/>
        <w:rPr>
          <w:rFonts w:ascii="Arial" w:cs="Arial" w:eastAsia="Arial" w:hAnsi="Arial"/>
          <w:sz w:val="22"/>
          <w:szCs w:val="22"/>
          <w:color w:val="auto"/>
        </w:rPr>
      </w:pPr>
    </w:p>
    <w:p>
      <w:pPr>
        <w:ind w:left="2500" w:hanging="331"/>
        <w:spacing w:after="0"/>
        <w:tabs>
          <w:tab w:leader="none" w:pos="2500" w:val="left"/>
        </w:tabs>
        <w:numPr>
          <w:ilvl w:val="0"/>
          <w:numId w:val="7"/>
        </w:numPr>
        <w:rPr>
          <w:rFonts w:ascii="Arial" w:cs="Arial" w:eastAsia="Arial" w:hAnsi="Arial"/>
          <w:sz w:val="22"/>
          <w:szCs w:val="22"/>
          <w:color w:val="auto"/>
        </w:rPr>
      </w:pPr>
      <w:r>
        <w:rPr>
          <w:rFonts w:ascii="Arial" w:cs="Arial" w:eastAsia="Arial" w:hAnsi="Arial"/>
          <w:sz w:val="22"/>
          <w:szCs w:val="22"/>
          <w:color w:val="auto"/>
        </w:rPr>
        <w:t>Type of Reporting Person (See Instructions)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160"/>
        <w:spacing w:after="0"/>
        <w:rPr>
          <w:sz w:val="20"/>
          <w:szCs w:val="20"/>
          <w:color w:val="auto"/>
        </w:rPr>
      </w:pPr>
      <w:r>
        <w:rPr>
          <w:rFonts w:ascii="Arial" w:cs="Arial" w:eastAsia="Arial" w:hAnsi="Arial"/>
          <w:sz w:val="22"/>
          <w:szCs w:val="22"/>
          <w:color w:val="auto"/>
        </w:rPr>
        <w:t>1. Names of Reporting Persons.</w:t>
      </w:r>
    </w:p>
    <w:p>
      <w:pPr>
        <w:spacing w:after="0" w:line="8" w:lineRule="exact"/>
        <w:rPr>
          <w:sz w:val="20"/>
          <w:szCs w:val="20"/>
          <w:color w:val="auto"/>
        </w:rPr>
      </w:pPr>
    </w:p>
    <w:p>
      <w:pPr>
        <w:ind w:left="2160"/>
        <w:spacing w:after="0"/>
        <w:rPr>
          <w:sz w:val="20"/>
          <w:szCs w:val="20"/>
          <w:color w:val="auto"/>
        </w:rPr>
      </w:pPr>
      <w:r>
        <w:rPr>
          <w:rFonts w:ascii="Arial" w:cs="Arial" w:eastAsia="Arial" w:hAnsi="Arial"/>
          <w:sz w:val="22"/>
          <w:szCs w:val="22"/>
          <w:color w:val="auto"/>
        </w:rPr>
        <w:t>I.R.S. Identification Nos. of above persons (entities only).</w:t>
      </w:r>
    </w:p>
    <w:p>
      <w:pPr>
        <w:spacing w:after="0" w:line="209" w:lineRule="exact"/>
        <w:rPr>
          <w:sz w:val="20"/>
          <w:szCs w:val="20"/>
          <w:color w:val="auto"/>
        </w:rPr>
      </w:pPr>
    </w:p>
    <w:p>
      <w:pPr>
        <w:ind w:left="2160"/>
        <w:spacing w:after="0"/>
        <w:rPr>
          <w:sz w:val="20"/>
          <w:szCs w:val="20"/>
          <w:color w:val="auto"/>
        </w:rPr>
      </w:pPr>
      <w:r>
        <w:rPr>
          <w:rFonts w:ascii="Arial" w:cs="Arial" w:eastAsia="Arial" w:hAnsi="Arial"/>
          <w:sz w:val="22"/>
          <w:szCs w:val="22"/>
          <w:b w:val="1"/>
          <w:bCs w:val="1"/>
          <w:color w:val="auto"/>
        </w:rPr>
        <w:t>Bradley R. Kent</w:t>
      </w:r>
    </w:p>
    <w:p>
      <w:pPr>
        <w:sectPr>
          <w:pgSz w:w="11900" w:h="16838" w:orient="portrait"/>
          <w:cols w:equalWidth="0" w:num="1">
            <w:col w:w="10219"/>
          </w:cols>
          <w:pgMar w:left="240" w:top="111" w:right="1440" w:bottom="188" w:gutter="0" w:footer="0" w:header="0"/>
        </w:sectPr>
      </w:pPr>
    </w:p>
    <w:bookmarkStart w:id="2" w:name="page3"/>
    <w:bookmarkEnd w:id="2"/>
    <w:p>
      <w:pPr>
        <w:spacing w:after="0" w:line="47" w:lineRule="exact"/>
        <w:rPr>
          <w:sz w:val="20"/>
          <w:szCs w:val="20"/>
          <w:color w:val="auto"/>
        </w:rPr>
      </w:pPr>
    </w:p>
    <w:p>
      <w:pPr>
        <w:ind w:left="2160"/>
        <w:spacing w:after="0"/>
        <w:rPr>
          <w:sz w:val="20"/>
          <w:szCs w:val="20"/>
          <w:color w:val="auto"/>
        </w:rPr>
      </w:pPr>
      <w:r>
        <w:rPr>
          <w:rFonts w:ascii="Arial" w:cs="Arial" w:eastAsia="Arial" w:hAnsi="Arial"/>
          <w:sz w:val="21"/>
          <w:szCs w:val="21"/>
          <w:color w:val="auto"/>
        </w:rPr>
        <w:t>2. Check the Appropriate Box if a Member of a Group (See Instructions)</w:t>
      </w:r>
    </w:p>
    <w:p>
      <w:pPr>
        <w:spacing w:after="0" w:line="239" w:lineRule="exact"/>
        <w:rPr>
          <w:sz w:val="20"/>
          <w:szCs w:val="20"/>
          <w:color w:val="auto"/>
        </w:rPr>
      </w:pPr>
    </w:p>
    <w:p>
      <w:pPr>
        <w:ind w:left="2460" w:hanging="291"/>
        <w:spacing w:after="0"/>
        <w:tabs>
          <w:tab w:leader="none" w:pos="2460" w:val="left"/>
        </w:tabs>
        <w:numPr>
          <w:ilvl w:val="0"/>
          <w:numId w:val="8"/>
        </w:numPr>
        <w:rPr>
          <w:rFonts w:ascii="Arial" w:cs="Arial" w:eastAsia="Arial" w:hAnsi="Arial"/>
          <w:sz w:val="22"/>
          <w:szCs w:val="22"/>
          <w:color w:val="auto"/>
        </w:rPr>
      </w:pPr>
      <w:r>
        <w:rPr>
          <w:rFonts w:ascii="Arial" w:cs="Arial" w:eastAsia="Arial" w:hAnsi="Arial"/>
          <w:sz w:val="22"/>
          <w:szCs w:val="22"/>
          <w:b w:val="1"/>
          <w:bCs w:val="1"/>
          <w:color w:val="auto"/>
        </w:rPr>
        <w:t>XXX</w:t>
      </w:r>
    </w:p>
    <w:p>
      <w:pPr>
        <w:spacing w:after="0" w:line="239" w:lineRule="exact"/>
        <w:rPr>
          <w:rFonts w:ascii="Arial" w:cs="Arial" w:eastAsia="Arial" w:hAnsi="Arial"/>
          <w:sz w:val="22"/>
          <w:szCs w:val="22"/>
          <w:color w:val="auto"/>
        </w:rPr>
      </w:pPr>
    </w:p>
    <w:p>
      <w:pPr>
        <w:ind w:left="2480" w:hanging="311"/>
        <w:spacing w:after="0"/>
        <w:tabs>
          <w:tab w:leader="none" w:pos="2480" w:val="left"/>
        </w:tabs>
        <w:numPr>
          <w:ilvl w:val="0"/>
          <w:numId w:val="8"/>
        </w:numPr>
        <w:rPr>
          <w:rFonts w:ascii="Arial" w:cs="Arial" w:eastAsia="Arial" w:hAnsi="Arial"/>
          <w:sz w:val="22"/>
          <w:szCs w:val="22"/>
          <w:color w:val="auto"/>
        </w:rPr>
      </w:pPr>
      <w:r>
        <w:rPr>
          <w:rFonts w:ascii="Arial" w:cs="Arial" w:eastAsia="Arial" w:hAnsi="Arial"/>
          <w:sz w:val="22"/>
          <w:szCs w:val="22"/>
          <w:color w:val="auto"/>
        </w:rPr>
        <w:t>______</w:t>
      </w:r>
    </w:p>
    <w:p>
      <w:pPr>
        <w:spacing w:after="0" w:line="206" w:lineRule="exact"/>
        <w:rPr>
          <w:sz w:val="20"/>
          <w:szCs w:val="20"/>
          <w:color w:val="auto"/>
        </w:rPr>
      </w:pPr>
    </w:p>
    <w:p>
      <w:pPr>
        <w:ind w:left="2380" w:hanging="211"/>
        <w:spacing w:after="0"/>
        <w:tabs>
          <w:tab w:leader="none" w:pos="2380" w:val="left"/>
        </w:tabs>
        <w:numPr>
          <w:ilvl w:val="0"/>
          <w:numId w:val="9"/>
        </w:numPr>
        <w:rPr>
          <w:rFonts w:ascii="Arial" w:cs="Arial" w:eastAsia="Arial" w:hAnsi="Arial"/>
          <w:sz w:val="22"/>
          <w:szCs w:val="22"/>
          <w:color w:val="auto"/>
        </w:rPr>
      </w:pPr>
      <w:r>
        <w:rPr>
          <w:rFonts w:ascii="Arial" w:cs="Arial" w:eastAsia="Arial" w:hAnsi="Arial"/>
          <w:sz w:val="22"/>
          <w:szCs w:val="22"/>
          <w:color w:val="auto"/>
        </w:rPr>
        <w:t>SEC Use Only</w:t>
      </w:r>
    </w:p>
    <w:p>
      <w:pPr>
        <w:spacing w:after="0" w:line="200" w:lineRule="exact"/>
        <w:rPr>
          <w:rFonts w:ascii="Arial" w:cs="Arial" w:eastAsia="Arial" w:hAnsi="Arial"/>
          <w:sz w:val="22"/>
          <w:szCs w:val="22"/>
          <w:color w:val="auto"/>
        </w:rPr>
      </w:pPr>
    </w:p>
    <w:p>
      <w:pPr>
        <w:ind w:left="2380" w:hanging="211"/>
        <w:spacing w:after="0"/>
        <w:tabs>
          <w:tab w:leader="none" w:pos="2380" w:val="left"/>
        </w:tabs>
        <w:numPr>
          <w:ilvl w:val="0"/>
          <w:numId w:val="9"/>
        </w:numPr>
        <w:rPr>
          <w:rFonts w:ascii="Arial" w:cs="Arial" w:eastAsia="Arial" w:hAnsi="Arial"/>
          <w:sz w:val="22"/>
          <w:szCs w:val="22"/>
          <w:color w:val="auto"/>
        </w:rPr>
      </w:pPr>
      <w:r>
        <w:rPr>
          <w:rFonts w:ascii="Arial" w:cs="Arial" w:eastAsia="Arial" w:hAnsi="Arial"/>
          <w:sz w:val="22"/>
          <w:szCs w:val="22"/>
          <w:color w:val="auto"/>
        </w:rPr>
        <w:t xml:space="preserve">Citizenship or Place of Organization </w:t>
      </w:r>
      <w:r>
        <w:rPr>
          <w:rFonts w:ascii="Arial" w:cs="Arial" w:eastAsia="Arial" w:hAnsi="Arial"/>
          <w:sz w:val="22"/>
          <w:szCs w:val="22"/>
          <w:b w:val="1"/>
          <w:bCs w:val="1"/>
          <w:color w:val="auto"/>
        </w:rPr>
        <w:t>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5496560" cy="18091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96560" cy="1809115"/>
                    </a:xfrm>
                    <a:prstGeom prst="rect">
                      <a:avLst/>
                    </a:prstGeom>
                    <a:noFill/>
                  </pic:spPr>
                </pic:pic>
              </a:graphicData>
            </a:graphic>
          </wp:anchor>
        </w:drawing>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40" w:type="dxa"/>
            <w:vAlign w:val="bottom"/>
          </w:tcPr>
          <w:p>
            <w:pPr>
              <w:spacing w:after="0"/>
              <w:rPr>
                <w:sz w:val="24"/>
                <w:szCs w:val="24"/>
                <w:color w:val="auto"/>
              </w:rPr>
            </w:pPr>
          </w:p>
        </w:tc>
        <w:tc>
          <w:tcPr>
            <w:tcW w:w="1720" w:type="dxa"/>
            <w:vAlign w:val="bottom"/>
          </w:tcPr>
          <w:p>
            <w:pPr>
              <w:ind w:left="100"/>
              <w:spacing w:after="0"/>
              <w:rPr>
                <w:sz w:val="20"/>
                <w:szCs w:val="20"/>
                <w:color w:val="auto"/>
              </w:rPr>
            </w:pPr>
            <w:r>
              <w:rPr>
                <w:rFonts w:ascii="Arial" w:cs="Arial" w:eastAsia="Arial" w:hAnsi="Arial"/>
                <w:sz w:val="22"/>
                <w:szCs w:val="22"/>
                <w:color w:val="auto"/>
              </w:rPr>
              <w:t>Number of</w:t>
            </w:r>
          </w:p>
        </w:tc>
        <w:tc>
          <w:tcPr>
            <w:tcW w:w="300" w:type="dxa"/>
            <w:vAlign w:val="bottom"/>
          </w:tcPr>
          <w:p>
            <w:pPr>
              <w:jc w:val="right"/>
              <w:spacing w:after="0"/>
              <w:rPr>
                <w:sz w:val="20"/>
                <w:szCs w:val="20"/>
                <w:color w:val="auto"/>
              </w:rPr>
            </w:pPr>
            <w:r>
              <w:rPr>
                <w:rFonts w:ascii="Arial" w:cs="Arial" w:eastAsia="Arial" w:hAnsi="Arial"/>
                <w:sz w:val="22"/>
                <w:szCs w:val="22"/>
                <w:color w:val="auto"/>
              </w:rPr>
              <w:t>5.</w:t>
            </w:r>
          </w:p>
        </w:tc>
        <w:tc>
          <w:tcPr>
            <w:tcW w:w="6560" w:type="dxa"/>
            <w:vAlign w:val="bottom"/>
            <w:gridSpan w:val="2"/>
          </w:tcPr>
          <w:p>
            <w:pPr>
              <w:ind w:left="20"/>
              <w:spacing w:after="0"/>
              <w:rPr>
                <w:sz w:val="20"/>
                <w:szCs w:val="20"/>
                <w:color w:val="auto"/>
              </w:rPr>
            </w:pPr>
            <w:r>
              <w:rPr>
                <w:rFonts w:ascii="Arial" w:cs="Arial" w:eastAsia="Arial" w:hAnsi="Arial"/>
                <w:sz w:val="22"/>
                <w:szCs w:val="22"/>
                <w:color w:val="auto"/>
              </w:rPr>
              <w:t xml:space="preserve">Sole Voting Power </w:t>
            </w:r>
            <w:r>
              <w:rPr>
                <w:rFonts w:ascii="Arial" w:cs="Arial" w:eastAsia="Arial" w:hAnsi="Arial"/>
                <w:sz w:val="22"/>
                <w:szCs w:val="22"/>
                <w:b w:val="1"/>
                <w:bCs w:val="1"/>
                <w:color w:val="auto"/>
              </w:rPr>
              <w:t>-0-</w:t>
            </w:r>
          </w:p>
        </w:tc>
        <w:tc>
          <w:tcPr>
            <w:tcW w:w="0" w:type="dxa"/>
            <w:vAlign w:val="bottom"/>
          </w:tcPr>
          <w:p>
            <w:pPr>
              <w:spacing w:after="0"/>
              <w:rPr>
                <w:sz w:val="1"/>
                <w:szCs w:val="1"/>
                <w:color w:val="auto"/>
              </w:rPr>
            </w:pPr>
          </w:p>
        </w:tc>
      </w:tr>
      <w:tr>
        <w:trPr>
          <w:trHeight w:val="301"/>
        </w:trPr>
        <w:tc>
          <w:tcPr>
            <w:tcW w:w="40" w:type="dxa"/>
            <w:vAlign w:val="bottom"/>
          </w:tcPr>
          <w:p>
            <w:pPr>
              <w:spacing w:after="0"/>
              <w:rPr>
                <w:sz w:val="24"/>
                <w:szCs w:val="24"/>
                <w:color w:val="auto"/>
              </w:rPr>
            </w:pPr>
          </w:p>
        </w:tc>
        <w:tc>
          <w:tcPr>
            <w:tcW w:w="1720" w:type="dxa"/>
            <w:vAlign w:val="bottom"/>
            <w:vMerge w:val="restart"/>
          </w:tcPr>
          <w:p>
            <w:pPr>
              <w:ind w:left="100"/>
              <w:spacing w:after="0"/>
              <w:rPr>
                <w:sz w:val="20"/>
                <w:szCs w:val="20"/>
                <w:color w:val="auto"/>
              </w:rPr>
            </w:pPr>
            <w:r>
              <w:rPr>
                <w:rFonts w:ascii="Arial" w:cs="Arial" w:eastAsia="Arial" w:hAnsi="Arial"/>
                <w:sz w:val="22"/>
                <w:szCs w:val="22"/>
                <w:color w:val="auto"/>
              </w:rPr>
              <w:t>Shares</w:t>
            </w:r>
          </w:p>
        </w:tc>
        <w:tc>
          <w:tcPr>
            <w:tcW w:w="300" w:type="dxa"/>
            <w:vAlign w:val="bottom"/>
            <w:tcBorders>
              <w:bottom w:val="single" w:sz="8" w:color="808080"/>
            </w:tcBorders>
          </w:tcPr>
          <w:p>
            <w:pPr>
              <w:spacing w:after="0"/>
              <w:rPr>
                <w:sz w:val="24"/>
                <w:szCs w:val="24"/>
                <w:color w:val="auto"/>
              </w:rPr>
            </w:pPr>
          </w:p>
        </w:tc>
        <w:tc>
          <w:tcPr>
            <w:tcW w:w="654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720" w:type="dxa"/>
            <w:vAlign w:val="bottom"/>
            <w:vMerge w:val="continue"/>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6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40" w:type="dxa"/>
            <w:vAlign w:val="bottom"/>
          </w:tcPr>
          <w:p>
            <w:pPr>
              <w:spacing w:after="0"/>
              <w:rPr>
                <w:sz w:val="8"/>
                <w:szCs w:val="8"/>
                <w:color w:val="auto"/>
              </w:rPr>
            </w:pPr>
          </w:p>
        </w:tc>
        <w:tc>
          <w:tcPr>
            <w:tcW w:w="1720" w:type="dxa"/>
            <w:vAlign w:val="bottom"/>
            <w:vMerge w:val="continue"/>
          </w:tcPr>
          <w:p>
            <w:pPr>
              <w:spacing w:after="0"/>
              <w:rPr>
                <w:sz w:val="8"/>
                <w:szCs w:val="8"/>
                <w:color w:val="auto"/>
              </w:rPr>
            </w:pPr>
          </w:p>
        </w:tc>
        <w:tc>
          <w:tcPr>
            <w:tcW w:w="300" w:type="dxa"/>
            <w:vAlign w:val="bottom"/>
            <w:vMerge w:val="restart"/>
          </w:tcPr>
          <w:p>
            <w:pPr>
              <w:jc w:val="right"/>
              <w:spacing w:after="0"/>
              <w:rPr>
                <w:sz w:val="20"/>
                <w:szCs w:val="20"/>
                <w:color w:val="auto"/>
              </w:rPr>
            </w:pPr>
            <w:r>
              <w:rPr>
                <w:rFonts w:ascii="Arial" w:cs="Arial" w:eastAsia="Arial" w:hAnsi="Arial"/>
                <w:sz w:val="22"/>
                <w:szCs w:val="22"/>
                <w:color w:val="auto"/>
              </w:rPr>
              <w:t>6.</w:t>
            </w:r>
          </w:p>
        </w:tc>
        <w:tc>
          <w:tcPr>
            <w:tcW w:w="6560" w:type="dxa"/>
            <w:vAlign w:val="bottom"/>
            <w:gridSpan w:val="2"/>
            <w:vMerge w:val="restart"/>
          </w:tcPr>
          <w:p>
            <w:pPr>
              <w:ind w:left="20"/>
              <w:spacing w:after="0"/>
              <w:rPr>
                <w:sz w:val="20"/>
                <w:szCs w:val="20"/>
                <w:color w:val="auto"/>
              </w:rPr>
            </w:pPr>
            <w:r>
              <w:rPr>
                <w:rFonts w:ascii="Arial" w:cs="Arial" w:eastAsia="Arial" w:hAnsi="Arial"/>
                <w:sz w:val="22"/>
                <w:szCs w:val="22"/>
                <w:color w:val="auto"/>
              </w:rPr>
              <w:t xml:space="preserve">Shared Voting Power </w:t>
            </w:r>
            <w:r>
              <w:rPr>
                <w:rFonts w:ascii="Arial" w:cs="Arial" w:eastAsia="Arial" w:hAnsi="Arial"/>
                <w:sz w:val="22"/>
                <w:szCs w:val="22"/>
                <w:b w:val="1"/>
                <w:bCs w:val="1"/>
                <w:color w:val="auto"/>
              </w:rPr>
              <w:t>411,887</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720" w:type="dxa"/>
            <w:vAlign w:val="bottom"/>
            <w:vMerge w:val="restart"/>
          </w:tcPr>
          <w:p>
            <w:pPr>
              <w:ind w:left="100"/>
              <w:spacing w:after="0"/>
              <w:rPr>
                <w:sz w:val="20"/>
                <w:szCs w:val="20"/>
                <w:color w:val="auto"/>
              </w:rPr>
            </w:pPr>
            <w:r>
              <w:rPr>
                <w:rFonts w:ascii="Arial" w:cs="Arial" w:eastAsia="Arial" w:hAnsi="Arial"/>
                <w:sz w:val="22"/>
                <w:szCs w:val="22"/>
                <w:color w:val="auto"/>
              </w:rPr>
              <w:t>Beneficially</w:t>
            </w:r>
          </w:p>
        </w:tc>
        <w:tc>
          <w:tcPr>
            <w:tcW w:w="300" w:type="dxa"/>
            <w:vAlign w:val="bottom"/>
            <w:vMerge w:val="continue"/>
          </w:tcPr>
          <w:p>
            <w:pPr>
              <w:spacing w:after="0"/>
              <w:rPr>
                <w:sz w:val="19"/>
                <w:szCs w:val="19"/>
                <w:color w:val="auto"/>
              </w:rPr>
            </w:pPr>
          </w:p>
        </w:tc>
        <w:tc>
          <w:tcPr>
            <w:tcW w:w="65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72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6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1"/>
        </w:trPr>
        <w:tc>
          <w:tcPr>
            <w:tcW w:w="40" w:type="dxa"/>
            <w:vAlign w:val="bottom"/>
          </w:tcPr>
          <w:p>
            <w:pPr>
              <w:spacing w:after="0"/>
              <w:rPr>
                <w:sz w:val="6"/>
                <w:szCs w:val="6"/>
                <w:color w:val="auto"/>
              </w:rPr>
            </w:pPr>
          </w:p>
        </w:tc>
        <w:tc>
          <w:tcPr>
            <w:tcW w:w="1720" w:type="dxa"/>
            <w:vAlign w:val="bottom"/>
          </w:tcPr>
          <w:p>
            <w:pPr>
              <w:spacing w:after="0"/>
              <w:rPr>
                <w:sz w:val="6"/>
                <w:szCs w:val="6"/>
                <w:color w:val="auto"/>
              </w:rPr>
            </w:pPr>
          </w:p>
        </w:tc>
        <w:tc>
          <w:tcPr>
            <w:tcW w:w="300" w:type="dxa"/>
            <w:vAlign w:val="bottom"/>
            <w:tcBorders>
              <w:bottom w:val="single" w:sz="8" w:color="808080"/>
            </w:tcBorders>
          </w:tcPr>
          <w:p>
            <w:pPr>
              <w:spacing w:after="0"/>
              <w:rPr>
                <w:sz w:val="6"/>
                <w:szCs w:val="6"/>
                <w:color w:val="auto"/>
              </w:rPr>
            </w:pPr>
          </w:p>
        </w:tc>
        <w:tc>
          <w:tcPr>
            <w:tcW w:w="65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6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40" w:type="dxa"/>
            <w:vAlign w:val="bottom"/>
          </w:tcPr>
          <w:p>
            <w:pPr>
              <w:spacing w:after="0"/>
              <w:rPr>
                <w:sz w:val="24"/>
                <w:szCs w:val="24"/>
                <w:color w:val="auto"/>
              </w:rPr>
            </w:pPr>
          </w:p>
        </w:tc>
        <w:tc>
          <w:tcPr>
            <w:tcW w:w="1720" w:type="dxa"/>
            <w:vAlign w:val="bottom"/>
          </w:tcPr>
          <w:p>
            <w:pPr>
              <w:ind w:left="100"/>
              <w:spacing w:after="0"/>
              <w:rPr>
                <w:sz w:val="20"/>
                <w:szCs w:val="20"/>
                <w:color w:val="auto"/>
              </w:rPr>
            </w:pPr>
            <w:r>
              <w:rPr>
                <w:rFonts w:ascii="Arial" w:cs="Arial" w:eastAsia="Arial" w:hAnsi="Arial"/>
                <w:sz w:val="22"/>
                <w:szCs w:val="22"/>
                <w:color w:val="auto"/>
              </w:rPr>
              <w:t>Owned by</w:t>
            </w:r>
          </w:p>
        </w:tc>
        <w:tc>
          <w:tcPr>
            <w:tcW w:w="300" w:type="dxa"/>
            <w:vAlign w:val="bottom"/>
          </w:tcPr>
          <w:p>
            <w:pPr>
              <w:jc w:val="right"/>
              <w:spacing w:after="0"/>
              <w:rPr>
                <w:sz w:val="20"/>
                <w:szCs w:val="20"/>
                <w:color w:val="auto"/>
              </w:rPr>
            </w:pPr>
            <w:r>
              <w:rPr>
                <w:rFonts w:ascii="Arial" w:cs="Arial" w:eastAsia="Arial" w:hAnsi="Arial"/>
                <w:sz w:val="22"/>
                <w:szCs w:val="22"/>
                <w:color w:val="auto"/>
              </w:rPr>
              <w:t>7.</w:t>
            </w:r>
          </w:p>
        </w:tc>
        <w:tc>
          <w:tcPr>
            <w:tcW w:w="6560" w:type="dxa"/>
            <w:vAlign w:val="bottom"/>
            <w:gridSpan w:val="2"/>
          </w:tcPr>
          <w:p>
            <w:pPr>
              <w:ind w:left="20"/>
              <w:spacing w:after="0"/>
              <w:rPr>
                <w:sz w:val="20"/>
                <w:szCs w:val="20"/>
                <w:color w:val="auto"/>
              </w:rPr>
            </w:pPr>
            <w:r>
              <w:rPr>
                <w:rFonts w:ascii="Arial" w:cs="Arial" w:eastAsia="Arial" w:hAnsi="Arial"/>
                <w:sz w:val="22"/>
                <w:szCs w:val="22"/>
                <w:color w:val="auto"/>
              </w:rPr>
              <w:t xml:space="preserve">Sole Dispositive Power </w:t>
            </w:r>
            <w:r>
              <w:rPr>
                <w:rFonts w:ascii="Arial" w:cs="Arial" w:eastAsia="Arial" w:hAnsi="Arial"/>
                <w:sz w:val="22"/>
                <w:szCs w:val="22"/>
                <w:b w:val="1"/>
                <w:bCs w:val="1"/>
                <w:color w:val="auto"/>
              </w:rPr>
              <w:t>-0-</w:t>
            </w:r>
          </w:p>
        </w:tc>
        <w:tc>
          <w:tcPr>
            <w:tcW w:w="0" w:type="dxa"/>
            <w:vAlign w:val="bottom"/>
          </w:tcPr>
          <w:p>
            <w:pPr>
              <w:spacing w:after="0"/>
              <w:rPr>
                <w:sz w:val="1"/>
                <w:szCs w:val="1"/>
                <w:color w:val="auto"/>
              </w:rPr>
            </w:pPr>
          </w:p>
        </w:tc>
      </w:tr>
      <w:tr>
        <w:trPr>
          <w:trHeight w:val="301"/>
        </w:trPr>
        <w:tc>
          <w:tcPr>
            <w:tcW w:w="40" w:type="dxa"/>
            <w:vAlign w:val="bottom"/>
          </w:tcPr>
          <w:p>
            <w:pPr>
              <w:spacing w:after="0"/>
              <w:rPr>
                <w:sz w:val="24"/>
                <w:szCs w:val="24"/>
                <w:color w:val="auto"/>
              </w:rPr>
            </w:pPr>
          </w:p>
        </w:tc>
        <w:tc>
          <w:tcPr>
            <w:tcW w:w="1720" w:type="dxa"/>
            <w:vAlign w:val="bottom"/>
            <w:vMerge w:val="restart"/>
          </w:tcPr>
          <w:p>
            <w:pPr>
              <w:ind w:left="100"/>
              <w:spacing w:after="0"/>
              <w:rPr>
                <w:sz w:val="20"/>
                <w:szCs w:val="20"/>
                <w:color w:val="auto"/>
              </w:rPr>
            </w:pPr>
            <w:r>
              <w:rPr>
                <w:rFonts w:ascii="Arial" w:cs="Arial" w:eastAsia="Arial" w:hAnsi="Arial"/>
                <w:sz w:val="22"/>
                <w:szCs w:val="22"/>
                <w:color w:val="auto"/>
              </w:rPr>
              <w:t>Each Reporting</w:t>
            </w:r>
          </w:p>
        </w:tc>
        <w:tc>
          <w:tcPr>
            <w:tcW w:w="300" w:type="dxa"/>
            <w:vAlign w:val="bottom"/>
            <w:tcBorders>
              <w:bottom w:val="single" w:sz="8" w:color="808080"/>
            </w:tcBorders>
          </w:tcPr>
          <w:p>
            <w:pPr>
              <w:spacing w:after="0"/>
              <w:rPr>
                <w:sz w:val="24"/>
                <w:szCs w:val="24"/>
                <w:color w:val="auto"/>
              </w:rPr>
            </w:pPr>
          </w:p>
        </w:tc>
        <w:tc>
          <w:tcPr>
            <w:tcW w:w="654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720" w:type="dxa"/>
            <w:vAlign w:val="bottom"/>
            <w:vMerge w:val="continue"/>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6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40" w:type="dxa"/>
            <w:vAlign w:val="bottom"/>
          </w:tcPr>
          <w:p>
            <w:pPr>
              <w:spacing w:after="0"/>
              <w:rPr>
                <w:sz w:val="8"/>
                <w:szCs w:val="8"/>
                <w:color w:val="auto"/>
              </w:rPr>
            </w:pPr>
          </w:p>
        </w:tc>
        <w:tc>
          <w:tcPr>
            <w:tcW w:w="1720" w:type="dxa"/>
            <w:vAlign w:val="bottom"/>
            <w:vMerge w:val="continue"/>
          </w:tcPr>
          <w:p>
            <w:pPr>
              <w:spacing w:after="0"/>
              <w:rPr>
                <w:sz w:val="8"/>
                <w:szCs w:val="8"/>
                <w:color w:val="auto"/>
              </w:rPr>
            </w:pPr>
          </w:p>
        </w:tc>
        <w:tc>
          <w:tcPr>
            <w:tcW w:w="300" w:type="dxa"/>
            <w:vAlign w:val="bottom"/>
            <w:vMerge w:val="restart"/>
          </w:tcPr>
          <w:p>
            <w:pPr>
              <w:jc w:val="right"/>
              <w:spacing w:after="0"/>
              <w:rPr>
                <w:sz w:val="20"/>
                <w:szCs w:val="20"/>
                <w:color w:val="auto"/>
              </w:rPr>
            </w:pPr>
            <w:r>
              <w:rPr>
                <w:rFonts w:ascii="Arial" w:cs="Arial" w:eastAsia="Arial" w:hAnsi="Arial"/>
                <w:sz w:val="22"/>
                <w:szCs w:val="22"/>
                <w:color w:val="auto"/>
              </w:rPr>
              <w:t>8.</w:t>
            </w:r>
          </w:p>
        </w:tc>
        <w:tc>
          <w:tcPr>
            <w:tcW w:w="6560" w:type="dxa"/>
            <w:vAlign w:val="bottom"/>
            <w:gridSpan w:val="2"/>
            <w:vMerge w:val="restart"/>
          </w:tcPr>
          <w:p>
            <w:pPr>
              <w:ind w:left="20"/>
              <w:spacing w:after="0"/>
              <w:rPr>
                <w:sz w:val="20"/>
                <w:szCs w:val="20"/>
                <w:color w:val="auto"/>
              </w:rPr>
            </w:pPr>
            <w:r>
              <w:rPr>
                <w:rFonts w:ascii="Arial" w:cs="Arial" w:eastAsia="Arial" w:hAnsi="Arial"/>
                <w:sz w:val="22"/>
                <w:szCs w:val="22"/>
                <w:color w:val="auto"/>
              </w:rPr>
              <w:t xml:space="preserve">Shared Dispositive Power </w:t>
            </w:r>
            <w:r>
              <w:rPr>
                <w:rFonts w:ascii="Arial" w:cs="Arial" w:eastAsia="Arial" w:hAnsi="Arial"/>
                <w:sz w:val="22"/>
                <w:szCs w:val="22"/>
                <w:b w:val="1"/>
                <w:bCs w:val="1"/>
                <w:color w:val="auto"/>
              </w:rPr>
              <w:t>411,887</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720" w:type="dxa"/>
            <w:vAlign w:val="bottom"/>
            <w:vMerge w:val="restart"/>
          </w:tcPr>
          <w:p>
            <w:pPr>
              <w:ind w:left="100"/>
              <w:spacing w:after="0"/>
              <w:rPr>
                <w:sz w:val="20"/>
                <w:szCs w:val="20"/>
                <w:color w:val="auto"/>
              </w:rPr>
            </w:pPr>
            <w:r>
              <w:rPr>
                <w:rFonts w:ascii="Arial" w:cs="Arial" w:eastAsia="Arial" w:hAnsi="Arial"/>
                <w:sz w:val="22"/>
                <w:szCs w:val="22"/>
                <w:color w:val="auto"/>
              </w:rPr>
              <w:t>Person With</w:t>
            </w:r>
          </w:p>
        </w:tc>
        <w:tc>
          <w:tcPr>
            <w:tcW w:w="300" w:type="dxa"/>
            <w:vAlign w:val="bottom"/>
            <w:vMerge w:val="continue"/>
          </w:tcPr>
          <w:p>
            <w:pPr>
              <w:spacing w:after="0"/>
              <w:rPr>
                <w:sz w:val="19"/>
                <w:szCs w:val="19"/>
                <w:color w:val="auto"/>
              </w:rPr>
            </w:pPr>
          </w:p>
        </w:tc>
        <w:tc>
          <w:tcPr>
            <w:tcW w:w="65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72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6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5"/>
        </w:trPr>
        <w:tc>
          <w:tcPr>
            <w:tcW w:w="40" w:type="dxa"/>
            <w:vAlign w:val="bottom"/>
          </w:tcPr>
          <w:p>
            <w:pPr>
              <w:spacing w:after="0"/>
              <w:rPr>
                <w:sz w:val="7"/>
                <w:szCs w:val="7"/>
                <w:color w:val="auto"/>
              </w:rPr>
            </w:pPr>
          </w:p>
        </w:tc>
        <w:tc>
          <w:tcPr>
            <w:tcW w:w="172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654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2C2C2C"/>
            </w:tcBorders>
          </w:tcPr>
          <w:p>
            <w:pPr>
              <w:spacing w:after="0" w:line="20" w:lineRule="exact"/>
              <w:rPr>
                <w:sz w:val="1"/>
                <w:szCs w:val="1"/>
                <w:color w:val="auto"/>
              </w:rPr>
            </w:pPr>
          </w:p>
        </w:tc>
        <w:tc>
          <w:tcPr>
            <w:tcW w:w="172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65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ind w:left="2380" w:hanging="211"/>
        <w:spacing w:after="0"/>
        <w:tabs>
          <w:tab w:leader="none" w:pos="2380" w:val="left"/>
        </w:tabs>
        <w:numPr>
          <w:ilvl w:val="0"/>
          <w:numId w:val="10"/>
        </w:numPr>
        <w:rPr>
          <w:rFonts w:ascii="Arial" w:cs="Arial" w:eastAsia="Arial" w:hAnsi="Arial"/>
          <w:sz w:val="19"/>
          <w:szCs w:val="19"/>
          <w:color w:val="auto"/>
        </w:rPr>
      </w:pPr>
      <w:r>
        <w:rPr>
          <w:rFonts w:ascii="Arial" w:cs="Arial" w:eastAsia="Arial" w:hAnsi="Arial"/>
          <w:sz w:val="19"/>
          <w:szCs w:val="19"/>
          <w:color w:val="auto"/>
        </w:rPr>
        <w:t xml:space="preserve">Aggregate Amount Beneficially Owned by Each Reporting Person </w:t>
      </w:r>
      <w:r>
        <w:rPr>
          <w:rFonts w:ascii="Arial" w:cs="Arial" w:eastAsia="Arial" w:hAnsi="Arial"/>
          <w:sz w:val="19"/>
          <w:szCs w:val="19"/>
          <w:b w:val="1"/>
          <w:bCs w:val="1"/>
          <w:color w:val="auto"/>
        </w:rPr>
        <w:t>411,887</w:t>
      </w:r>
    </w:p>
    <w:p>
      <w:pPr>
        <w:spacing w:after="0" w:line="246" w:lineRule="exact"/>
        <w:rPr>
          <w:rFonts w:ascii="Arial" w:cs="Arial" w:eastAsia="Arial" w:hAnsi="Arial"/>
          <w:sz w:val="19"/>
          <w:szCs w:val="19"/>
          <w:color w:val="auto"/>
        </w:rPr>
      </w:pPr>
    </w:p>
    <w:p>
      <w:pPr>
        <w:ind w:left="2160" w:right="1359" w:firstLine="9"/>
        <w:spacing w:after="0" w:line="251" w:lineRule="auto"/>
        <w:tabs>
          <w:tab w:leader="none" w:pos="2484" w:val="left"/>
        </w:tabs>
        <w:numPr>
          <w:ilvl w:val="0"/>
          <w:numId w:val="10"/>
        </w:numPr>
        <w:rPr>
          <w:rFonts w:ascii="Arial" w:cs="Arial" w:eastAsia="Arial" w:hAnsi="Arial"/>
          <w:sz w:val="22"/>
          <w:szCs w:val="22"/>
          <w:color w:val="auto"/>
        </w:rPr>
      </w:pPr>
      <w:r>
        <w:rPr>
          <w:rFonts w:ascii="Arial" w:cs="Arial" w:eastAsia="Arial" w:hAnsi="Arial"/>
          <w:sz w:val="22"/>
          <w:szCs w:val="22"/>
          <w:color w:val="auto"/>
        </w:rPr>
        <w:t xml:space="preserve">Check if the Aggregate Amount in Row (9) Excludes Certain Shares (See Instructions) </w:t>
      </w:r>
      <w:r>
        <w:rPr>
          <w:rFonts w:ascii="Arial" w:cs="Arial" w:eastAsia="Arial" w:hAnsi="Arial"/>
          <w:sz w:val="22"/>
          <w:szCs w:val="22"/>
          <w:b w:val="1"/>
          <w:bCs w:val="1"/>
          <w:color w:val="auto"/>
        </w:rPr>
        <w:t>______</w:t>
      </w:r>
    </w:p>
    <w:p>
      <w:pPr>
        <w:spacing w:after="0" w:line="167" w:lineRule="exact"/>
        <w:rPr>
          <w:rFonts w:ascii="Arial" w:cs="Arial" w:eastAsia="Arial" w:hAnsi="Arial"/>
          <w:sz w:val="22"/>
          <w:szCs w:val="22"/>
          <w:color w:val="auto"/>
        </w:rPr>
      </w:pPr>
    </w:p>
    <w:p>
      <w:pPr>
        <w:ind w:left="2480" w:hanging="311"/>
        <w:spacing w:after="0"/>
        <w:tabs>
          <w:tab w:leader="none" w:pos="2480" w:val="left"/>
        </w:tabs>
        <w:numPr>
          <w:ilvl w:val="0"/>
          <w:numId w:val="10"/>
        </w:numPr>
        <w:rPr>
          <w:rFonts w:ascii="Arial" w:cs="Arial" w:eastAsia="Arial" w:hAnsi="Arial"/>
          <w:sz w:val="22"/>
          <w:szCs w:val="22"/>
          <w:color w:val="auto"/>
        </w:rPr>
      </w:pPr>
      <w:r>
        <w:rPr>
          <w:rFonts w:ascii="Arial" w:cs="Arial" w:eastAsia="Arial" w:hAnsi="Arial"/>
          <w:sz w:val="22"/>
          <w:szCs w:val="22"/>
          <w:color w:val="auto"/>
        </w:rPr>
        <w:t xml:space="preserve">Percent of Class Represented by Amount in Row (9) </w:t>
      </w:r>
      <w:r>
        <w:rPr>
          <w:rFonts w:ascii="Arial" w:cs="Arial" w:eastAsia="Arial" w:hAnsi="Arial"/>
          <w:sz w:val="22"/>
          <w:szCs w:val="22"/>
          <w:b w:val="1"/>
          <w:bCs w:val="1"/>
          <w:color w:val="auto"/>
        </w:rPr>
        <w:t>3.8%</w:t>
      </w:r>
    </w:p>
    <w:p>
      <w:pPr>
        <w:spacing w:after="0" w:line="212" w:lineRule="exact"/>
        <w:rPr>
          <w:rFonts w:ascii="Arial" w:cs="Arial" w:eastAsia="Arial" w:hAnsi="Arial"/>
          <w:sz w:val="22"/>
          <w:szCs w:val="22"/>
          <w:color w:val="auto"/>
        </w:rPr>
      </w:pPr>
    </w:p>
    <w:p>
      <w:pPr>
        <w:ind w:left="2500" w:hanging="331"/>
        <w:spacing w:after="0"/>
        <w:tabs>
          <w:tab w:leader="none" w:pos="2500" w:val="left"/>
        </w:tabs>
        <w:numPr>
          <w:ilvl w:val="0"/>
          <w:numId w:val="10"/>
        </w:numPr>
        <w:rPr>
          <w:rFonts w:ascii="Arial" w:cs="Arial" w:eastAsia="Arial" w:hAnsi="Arial"/>
          <w:sz w:val="22"/>
          <w:szCs w:val="22"/>
          <w:color w:val="auto"/>
        </w:rPr>
      </w:pPr>
      <w:r>
        <w:rPr>
          <w:rFonts w:ascii="Arial" w:cs="Arial" w:eastAsia="Arial" w:hAnsi="Arial"/>
          <w:sz w:val="22"/>
          <w:szCs w:val="22"/>
          <w:color w:val="auto"/>
        </w:rPr>
        <w:t>Type of Reporting Person (See Instructions)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160"/>
        <w:spacing w:after="0"/>
        <w:rPr>
          <w:sz w:val="20"/>
          <w:szCs w:val="20"/>
          <w:color w:val="auto"/>
        </w:rPr>
      </w:pPr>
      <w:r>
        <w:rPr>
          <w:rFonts w:ascii="Arial" w:cs="Arial" w:eastAsia="Arial" w:hAnsi="Arial"/>
          <w:sz w:val="22"/>
          <w:szCs w:val="22"/>
          <w:color w:val="auto"/>
        </w:rPr>
        <w:t>1. Names of Reporting Persons.</w:t>
      </w:r>
    </w:p>
    <w:p>
      <w:pPr>
        <w:spacing w:after="0" w:line="8" w:lineRule="exact"/>
        <w:rPr>
          <w:sz w:val="20"/>
          <w:szCs w:val="20"/>
          <w:color w:val="auto"/>
        </w:rPr>
      </w:pPr>
    </w:p>
    <w:p>
      <w:pPr>
        <w:ind w:left="2160"/>
        <w:spacing w:after="0"/>
        <w:rPr>
          <w:sz w:val="20"/>
          <w:szCs w:val="20"/>
          <w:color w:val="auto"/>
        </w:rPr>
      </w:pPr>
      <w:r>
        <w:rPr>
          <w:rFonts w:ascii="Arial" w:cs="Arial" w:eastAsia="Arial" w:hAnsi="Arial"/>
          <w:sz w:val="22"/>
          <w:szCs w:val="22"/>
          <w:color w:val="auto"/>
        </w:rPr>
        <w:t>I.R.S. Identification Nos. of above persons (entities only).</w:t>
      </w:r>
    </w:p>
    <w:p>
      <w:pPr>
        <w:spacing w:after="0" w:line="209" w:lineRule="exact"/>
        <w:rPr>
          <w:sz w:val="20"/>
          <w:szCs w:val="20"/>
          <w:color w:val="auto"/>
        </w:rPr>
      </w:pPr>
    </w:p>
    <w:p>
      <w:pPr>
        <w:ind w:left="2160"/>
        <w:spacing w:after="0"/>
        <w:rPr>
          <w:sz w:val="20"/>
          <w:szCs w:val="20"/>
          <w:color w:val="auto"/>
        </w:rPr>
      </w:pPr>
      <w:r>
        <w:rPr>
          <w:rFonts w:ascii="Arial" w:cs="Arial" w:eastAsia="Arial" w:hAnsi="Arial"/>
          <w:sz w:val="22"/>
          <w:szCs w:val="22"/>
          <w:b w:val="1"/>
          <w:bCs w:val="1"/>
          <w:color w:val="auto"/>
        </w:rPr>
        <w:t>Stadium Capital Partners, L.P.</w:t>
      </w:r>
    </w:p>
    <w:p>
      <w:pPr>
        <w:spacing w:after="0" w:line="212" w:lineRule="exact"/>
        <w:rPr>
          <w:sz w:val="20"/>
          <w:szCs w:val="20"/>
          <w:color w:val="auto"/>
        </w:rPr>
      </w:pPr>
    </w:p>
    <w:p>
      <w:pPr>
        <w:ind w:left="2160"/>
        <w:spacing w:after="0"/>
        <w:rPr>
          <w:sz w:val="20"/>
          <w:szCs w:val="20"/>
          <w:color w:val="auto"/>
        </w:rPr>
      </w:pPr>
      <w:r>
        <w:rPr>
          <w:rFonts w:ascii="Arial" w:cs="Arial" w:eastAsia="Arial" w:hAnsi="Arial"/>
          <w:sz w:val="21"/>
          <w:szCs w:val="21"/>
          <w:color w:val="auto"/>
        </w:rPr>
        <w:t>2. Check the Appropriate Box if a Member of a Group (See Instructions)</w:t>
      </w:r>
    </w:p>
    <w:p>
      <w:pPr>
        <w:spacing w:after="0" w:line="245" w:lineRule="exact"/>
        <w:rPr>
          <w:sz w:val="20"/>
          <w:szCs w:val="20"/>
          <w:color w:val="auto"/>
        </w:rPr>
      </w:pPr>
    </w:p>
    <w:p>
      <w:pPr>
        <w:ind w:left="2460" w:hanging="291"/>
        <w:spacing w:after="0"/>
        <w:tabs>
          <w:tab w:leader="none" w:pos="2460" w:val="left"/>
        </w:tabs>
        <w:numPr>
          <w:ilvl w:val="0"/>
          <w:numId w:val="11"/>
        </w:numPr>
        <w:rPr>
          <w:rFonts w:ascii="Arial" w:cs="Arial" w:eastAsia="Arial" w:hAnsi="Arial"/>
          <w:sz w:val="22"/>
          <w:szCs w:val="22"/>
          <w:color w:val="auto"/>
        </w:rPr>
      </w:pPr>
      <w:r>
        <w:rPr>
          <w:rFonts w:ascii="Arial" w:cs="Arial" w:eastAsia="Arial" w:hAnsi="Arial"/>
          <w:sz w:val="22"/>
          <w:szCs w:val="22"/>
          <w:color w:val="auto"/>
        </w:rPr>
        <w:t>______</w:t>
      </w:r>
    </w:p>
    <w:p>
      <w:pPr>
        <w:spacing w:after="0" w:line="8" w:lineRule="exact"/>
        <w:rPr>
          <w:rFonts w:ascii="Arial" w:cs="Arial" w:eastAsia="Arial" w:hAnsi="Arial"/>
          <w:sz w:val="22"/>
          <w:szCs w:val="22"/>
          <w:color w:val="auto"/>
        </w:rPr>
      </w:pPr>
    </w:p>
    <w:p>
      <w:pPr>
        <w:ind w:left="2480" w:hanging="311"/>
        <w:spacing w:after="0"/>
        <w:tabs>
          <w:tab w:leader="none" w:pos="2480" w:val="left"/>
        </w:tabs>
        <w:numPr>
          <w:ilvl w:val="0"/>
          <w:numId w:val="11"/>
        </w:numPr>
        <w:rPr>
          <w:rFonts w:ascii="Arial" w:cs="Arial" w:eastAsia="Arial" w:hAnsi="Arial"/>
          <w:sz w:val="22"/>
          <w:szCs w:val="22"/>
          <w:color w:val="auto"/>
        </w:rPr>
      </w:pPr>
      <w:r>
        <w:rPr>
          <w:rFonts w:ascii="Arial" w:cs="Arial" w:eastAsia="Arial" w:hAnsi="Arial"/>
          <w:sz w:val="22"/>
          <w:szCs w:val="22"/>
          <w:b w:val="1"/>
          <w:bCs w:val="1"/>
          <w:color w:val="auto"/>
        </w:rPr>
        <w:t>XX</w:t>
      </w:r>
    </w:p>
    <w:p>
      <w:pPr>
        <w:spacing w:after="0" w:line="188" w:lineRule="exact"/>
        <w:rPr>
          <w:sz w:val="20"/>
          <w:szCs w:val="20"/>
          <w:color w:val="auto"/>
        </w:rPr>
      </w:pPr>
    </w:p>
    <w:p>
      <w:pPr>
        <w:ind w:left="2380" w:hanging="211"/>
        <w:spacing w:after="0"/>
        <w:tabs>
          <w:tab w:leader="none" w:pos="2380" w:val="left"/>
        </w:tabs>
        <w:numPr>
          <w:ilvl w:val="0"/>
          <w:numId w:val="12"/>
        </w:numPr>
        <w:rPr>
          <w:rFonts w:ascii="Arial" w:cs="Arial" w:eastAsia="Arial" w:hAnsi="Arial"/>
          <w:sz w:val="22"/>
          <w:szCs w:val="22"/>
          <w:color w:val="auto"/>
        </w:rPr>
      </w:pPr>
      <w:r>
        <w:rPr>
          <w:rFonts w:ascii="Arial" w:cs="Arial" w:eastAsia="Arial" w:hAnsi="Arial"/>
          <w:sz w:val="22"/>
          <w:szCs w:val="22"/>
          <w:color w:val="auto"/>
        </w:rPr>
        <w:t>SEC Use Only</w:t>
      </w:r>
    </w:p>
    <w:p>
      <w:pPr>
        <w:spacing w:after="0" w:line="200" w:lineRule="exact"/>
        <w:rPr>
          <w:rFonts w:ascii="Arial" w:cs="Arial" w:eastAsia="Arial" w:hAnsi="Arial"/>
          <w:sz w:val="22"/>
          <w:szCs w:val="22"/>
          <w:color w:val="auto"/>
        </w:rPr>
      </w:pPr>
    </w:p>
    <w:p>
      <w:pPr>
        <w:ind w:left="2380" w:hanging="211"/>
        <w:spacing w:after="0"/>
        <w:tabs>
          <w:tab w:leader="none" w:pos="2380" w:val="left"/>
        </w:tabs>
        <w:numPr>
          <w:ilvl w:val="0"/>
          <w:numId w:val="12"/>
        </w:numPr>
        <w:rPr>
          <w:rFonts w:ascii="Arial" w:cs="Arial" w:eastAsia="Arial" w:hAnsi="Arial"/>
          <w:sz w:val="22"/>
          <w:szCs w:val="22"/>
          <w:color w:val="auto"/>
        </w:rPr>
      </w:pPr>
      <w:r>
        <w:rPr>
          <w:rFonts w:ascii="Arial" w:cs="Arial" w:eastAsia="Arial" w:hAnsi="Arial"/>
          <w:sz w:val="22"/>
          <w:szCs w:val="22"/>
          <w:color w:val="auto"/>
        </w:rPr>
        <w:t xml:space="preserve">Citizenship or Place of Organization </w:t>
      </w:r>
      <w:r>
        <w:rPr>
          <w:rFonts w:ascii="Arial" w:cs="Arial" w:eastAsia="Arial" w:hAnsi="Arial"/>
          <w:sz w:val="22"/>
          <w:szCs w:val="22"/>
          <w:b w:val="1"/>
          <w:bCs w:val="1"/>
          <w:color w:val="auto"/>
        </w:rPr>
        <w:t>California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5496560" cy="18091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96560" cy="1809115"/>
                    </a:xfrm>
                    <a:prstGeom prst="rect">
                      <a:avLst/>
                    </a:prstGeom>
                    <a:noFill/>
                  </pic:spPr>
                </pic:pic>
              </a:graphicData>
            </a:graphic>
          </wp:anchor>
        </w:drawing>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40" w:type="dxa"/>
            <w:vAlign w:val="bottom"/>
          </w:tcPr>
          <w:p>
            <w:pPr>
              <w:spacing w:after="0"/>
              <w:rPr>
                <w:sz w:val="24"/>
                <w:szCs w:val="24"/>
                <w:color w:val="auto"/>
              </w:rPr>
            </w:pPr>
          </w:p>
        </w:tc>
        <w:tc>
          <w:tcPr>
            <w:tcW w:w="1720" w:type="dxa"/>
            <w:vAlign w:val="bottom"/>
          </w:tcPr>
          <w:p>
            <w:pPr>
              <w:ind w:left="100"/>
              <w:spacing w:after="0"/>
              <w:rPr>
                <w:sz w:val="20"/>
                <w:szCs w:val="20"/>
                <w:color w:val="auto"/>
              </w:rPr>
            </w:pPr>
            <w:r>
              <w:rPr>
                <w:rFonts w:ascii="Arial" w:cs="Arial" w:eastAsia="Arial" w:hAnsi="Arial"/>
                <w:sz w:val="22"/>
                <w:szCs w:val="22"/>
                <w:color w:val="auto"/>
              </w:rPr>
              <w:t>Number of</w:t>
            </w:r>
          </w:p>
        </w:tc>
        <w:tc>
          <w:tcPr>
            <w:tcW w:w="300" w:type="dxa"/>
            <w:vAlign w:val="bottom"/>
          </w:tcPr>
          <w:p>
            <w:pPr>
              <w:jc w:val="right"/>
              <w:spacing w:after="0"/>
              <w:rPr>
                <w:sz w:val="20"/>
                <w:szCs w:val="20"/>
                <w:color w:val="auto"/>
              </w:rPr>
            </w:pPr>
            <w:r>
              <w:rPr>
                <w:rFonts w:ascii="Arial" w:cs="Arial" w:eastAsia="Arial" w:hAnsi="Arial"/>
                <w:sz w:val="22"/>
                <w:szCs w:val="22"/>
                <w:color w:val="auto"/>
              </w:rPr>
              <w:t>5.</w:t>
            </w:r>
          </w:p>
        </w:tc>
        <w:tc>
          <w:tcPr>
            <w:tcW w:w="6560" w:type="dxa"/>
            <w:vAlign w:val="bottom"/>
            <w:gridSpan w:val="2"/>
          </w:tcPr>
          <w:p>
            <w:pPr>
              <w:ind w:left="20"/>
              <w:spacing w:after="0"/>
              <w:rPr>
                <w:sz w:val="20"/>
                <w:szCs w:val="20"/>
                <w:color w:val="auto"/>
              </w:rPr>
            </w:pPr>
            <w:r>
              <w:rPr>
                <w:rFonts w:ascii="Arial" w:cs="Arial" w:eastAsia="Arial" w:hAnsi="Arial"/>
                <w:sz w:val="22"/>
                <w:szCs w:val="22"/>
                <w:color w:val="auto"/>
              </w:rPr>
              <w:t xml:space="preserve">Sole Voting Power </w:t>
            </w:r>
            <w:r>
              <w:rPr>
                <w:rFonts w:ascii="Arial" w:cs="Arial" w:eastAsia="Arial" w:hAnsi="Arial"/>
                <w:sz w:val="22"/>
                <w:szCs w:val="22"/>
                <w:b w:val="1"/>
                <w:bCs w:val="1"/>
                <w:color w:val="auto"/>
              </w:rPr>
              <w:t>-0-</w:t>
            </w:r>
          </w:p>
        </w:tc>
        <w:tc>
          <w:tcPr>
            <w:tcW w:w="0" w:type="dxa"/>
            <w:vAlign w:val="bottom"/>
          </w:tcPr>
          <w:p>
            <w:pPr>
              <w:spacing w:after="0"/>
              <w:rPr>
                <w:sz w:val="1"/>
                <w:szCs w:val="1"/>
                <w:color w:val="auto"/>
              </w:rPr>
            </w:pPr>
          </w:p>
        </w:tc>
      </w:tr>
      <w:tr>
        <w:trPr>
          <w:trHeight w:val="301"/>
        </w:trPr>
        <w:tc>
          <w:tcPr>
            <w:tcW w:w="40" w:type="dxa"/>
            <w:vAlign w:val="bottom"/>
          </w:tcPr>
          <w:p>
            <w:pPr>
              <w:spacing w:after="0"/>
              <w:rPr>
                <w:sz w:val="24"/>
                <w:szCs w:val="24"/>
                <w:color w:val="auto"/>
              </w:rPr>
            </w:pPr>
          </w:p>
        </w:tc>
        <w:tc>
          <w:tcPr>
            <w:tcW w:w="1720" w:type="dxa"/>
            <w:vAlign w:val="bottom"/>
            <w:vMerge w:val="restart"/>
          </w:tcPr>
          <w:p>
            <w:pPr>
              <w:ind w:left="100"/>
              <w:spacing w:after="0"/>
              <w:rPr>
                <w:sz w:val="20"/>
                <w:szCs w:val="20"/>
                <w:color w:val="auto"/>
              </w:rPr>
            </w:pPr>
            <w:r>
              <w:rPr>
                <w:rFonts w:ascii="Arial" w:cs="Arial" w:eastAsia="Arial" w:hAnsi="Arial"/>
                <w:sz w:val="22"/>
                <w:szCs w:val="22"/>
                <w:color w:val="auto"/>
              </w:rPr>
              <w:t>Shares</w:t>
            </w:r>
          </w:p>
        </w:tc>
        <w:tc>
          <w:tcPr>
            <w:tcW w:w="300" w:type="dxa"/>
            <w:vAlign w:val="bottom"/>
            <w:tcBorders>
              <w:bottom w:val="single" w:sz="8" w:color="808080"/>
            </w:tcBorders>
          </w:tcPr>
          <w:p>
            <w:pPr>
              <w:spacing w:after="0"/>
              <w:rPr>
                <w:sz w:val="24"/>
                <w:szCs w:val="24"/>
                <w:color w:val="auto"/>
              </w:rPr>
            </w:pPr>
          </w:p>
        </w:tc>
        <w:tc>
          <w:tcPr>
            <w:tcW w:w="654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720" w:type="dxa"/>
            <w:vAlign w:val="bottom"/>
            <w:vMerge w:val="continue"/>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6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40" w:type="dxa"/>
            <w:vAlign w:val="bottom"/>
          </w:tcPr>
          <w:p>
            <w:pPr>
              <w:spacing w:after="0"/>
              <w:rPr>
                <w:sz w:val="8"/>
                <w:szCs w:val="8"/>
                <w:color w:val="auto"/>
              </w:rPr>
            </w:pPr>
          </w:p>
        </w:tc>
        <w:tc>
          <w:tcPr>
            <w:tcW w:w="1720" w:type="dxa"/>
            <w:vAlign w:val="bottom"/>
            <w:vMerge w:val="continue"/>
          </w:tcPr>
          <w:p>
            <w:pPr>
              <w:spacing w:after="0"/>
              <w:rPr>
                <w:sz w:val="8"/>
                <w:szCs w:val="8"/>
                <w:color w:val="auto"/>
              </w:rPr>
            </w:pPr>
          </w:p>
        </w:tc>
        <w:tc>
          <w:tcPr>
            <w:tcW w:w="300" w:type="dxa"/>
            <w:vAlign w:val="bottom"/>
            <w:vMerge w:val="restart"/>
          </w:tcPr>
          <w:p>
            <w:pPr>
              <w:jc w:val="right"/>
              <w:spacing w:after="0"/>
              <w:rPr>
                <w:sz w:val="20"/>
                <w:szCs w:val="20"/>
                <w:color w:val="auto"/>
              </w:rPr>
            </w:pPr>
            <w:r>
              <w:rPr>
                <w:rFonts w:ascii="Arial" w:cs="Arial" w:eastAsia="Arial" w:hAnsi="Arial"/>
                <w:sz w:val="22"/>
                <w:szCs w:val="22"/>
                <w:color w:val="auto"/>
              </w:rPr>
              <w:t>6.</w:t>
            </w:r>
          </w:p>
        </w:tc>
        <w:tc>
          <w:tcPr>
            <w:tcW w:w="6560" w:type="dxa"/>
            <w:vAlign w:val="bottom"/>
            <w:gridSpan w:val="2"/>
            <w:vMerge w:val="restart"/>
          </w:tcPr>
          <w:p>
            <w:pPr>
              <w:ind w:left="20"/>
              <w:spacing w:after="0"/>
              <w:rPr>
                <w:sz w:val="20"/>
                <w:szCs w:val="20"/>
                <w:color w:val="auto"/>
              </w:rPr>
            </w:pPr>
            <w:r>
              <w:rPr>
                <w:rFonts w:ascii="Arial" w:cs="Arial" w:eastAsia="Arial" w:hAnsi="Arial"/>
                <w:sz w:val="22"/>
                <w:szCs w:val="22"/>
                <w:color w:val="auto"/>
              </w:rPr>
              <w:t xml:space="preserve">Shared Voting Power </w:t>
            </w:r>
            <w:r>
              <w:rPr>
                <w:rFonts w:ascii="Arial" w:cs="Arial" w:eastAsia="Arial" w:hAnsi="Arial"/>
                <w:sz w:val="22"/>
                <w:szCs w:val="22"/>
                <w:b w:val="1"/>
                <w:bCs w:val="1"/>
                <w:color w:val="auto"/>
              </w:rPr>
              <w:t>319,450</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720" w:type="dxa"/>
            <w:vAlign w:val="bottom"/>
            <w:vMerge w:val="restart"/>
          </w:tcPr>
          <w:p>
            <w:pPr>
              <w:ind w:left="100"/>
              <w:spacing w:after="0"/>
              <w:rPr>
                <w:sz w:val="20"/>
                <w:szCs w:val="20"/>
                <w:color w:val="auto"/>
              </w:rPr>
            </w:pPr>
            <w:r>
              <w:rPr>
                <w:rFonts w:ascii="Arial" w:cs="Arial" w:eastAsia="Arial" w:hAnsi="Arial"/>
                <w:sz w:val="22"/>
                <w:szCs w:val="22"/>
                <w:color w:val="auto"/>
              </w:rPr>
              <w:t>Beneficially</w:t>
            </w:r>
          </w:p>
        </w:tc>
        <w:tc>
          <w:tcPr>
            <w:tcW w:w="300" w:type="dxa"/>
            <w:vAlign w:val="bottom"/>
            <w:vMerge w:val="continue"/>
          </w:tcPr>
          <w:p>
            <w:pPr>
              <w:spacing w:after="0"/>
              <w:rPr>
                <w:sz w:val="19"/>
                <w:szCs w:val="19"/>
                <w:color w:val="auto"/>
              </w:rPr>
            </w:pPr>
          </w:p>
        </w:tc>
        <w:tc>
          <w:tcPr>
            <w:tcW w:w="65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72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6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1"/>
        </w:trPr>
        <w:tc>
          <w:tcPr>
            <w:tcW w:w="40" w:type="dxa"/>
            <w:vAlign w:val="bottom"/>
          </w:tcPr>
          <w:p>
            <w:pPr>
              <w:spacing w:after="0"/>
              <w:rPr>
                <w:sz w:val="6"/>
                <w:szCs w:val="6"/>
                <w:color w:val="auto"/>
              </w:rPr>
            </w:pPr>
          </w:p>
        </w:tc>
        <w:tc>
          <w:tcPr>
            <w:tcW w:w="1720" w:type="dxa"/>
            <w:vAlign w:val="bottom"/>
          </w:tcPr>
          <w:p>
            <w:pPr>
              <w:spacing w:after="0"/>
              <w:rPr>
                <w:sz w:val="6"/>
                <w:szCs w:val="6"/>
                <w:color w:val="auto"/>
              </w:rPr>
            </w:pPr>
          </w:p>
        </w:tc>
        <w:tc>
          <w:tcPr>
            <w:tcW w:w="300" w:type="dxa"/>
            <w:vAlign w:val="bottom"/>
            <w:tcBorders>
              <w:bottom w:val="single" w:sz="8" w:color="808080"/>
            </w:tcBorders>
          </w:tcPr>
          <w:p>
            <w:pPr>
              <w:spacing w:after="0"/>
              <w:rPr>
                <w:sz w:val="6"/>
                <w:szCs w:val="6"/>
                <w:color w:val="auto"/>
              </w:rPr>
            </w:pPr>
          </w:p>
        </w:tc>
        <w:tc>
          <w:tcPr>
            <w:tcW w:w="65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6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40" w:type="dxa"/>
            <w:vAlign w:val="bottom"/>
          </w:tcPr>
          <w:p>
            <w:pPr>
              <w:spacing w:after="0"/>
              <w:rPr>
                <w:sz w:val="24"/>
                <w:szCs w:val="24"/>
                <w:color w:val="auto"/>
              </w:rPr>
            </w:pPr>
          </w:p>
        </w:tc>
        <w:tc>
          <w:tcPr>
            <w:tcW w:w="1720" w:type="dxa"/>
            <w:vAlign w:val="bottom"/>
          </w:tcPr>
          <w:p>
            <w:pPr>
              <w:ind w:left="100"/>
              <w:spacing w:after="0"/>
              <w:rPr>
                <w:sz w:val="20"/>
                <w:szCs w:val="20"/>
                <w:color w:val="auto"/>
              </w:rPr>
            </w:pPr>
            <w:r>
              <w:rPr>
                <w:rFonts w:ascii="Arial" w:cs="Arial" w:eastAsia="Arial" w:hAnsi="Arial"/>
                <w:sz w:val="22"/>
                <w:szCs w:val="22"/>
                <w:color w:val="auto"/>
              </w:rPr>
              <w:t>Owned by</w:t>
            </w:r>
          </w:p>
        </w:tc>
        <w:tc>
          <w:tcPr>
            <w:tcW w:w="300" w:type="dxa"/>
            <w:vAlign w:val="bottom"/>
          </w:tcPr>
          <w:p>
            <w:pPr>
              <w:jc w:val="right"/>
              <w:spacing w:after="0"/>
              <w:rPr>
                <w:sz w:val="20"/>
                <w:szCs w:val="20"/>
                <w:color w:val="auto"/>
              </w:rPr>
            </w:pPr>
            <w:r>
              <w:rPr>
                <w:rFonts w:ascii="Arial" w:cs="Arial" w:eastAsia="Arial" w:hAnsi="Arial"/>
                <w:sz w:val="22"/>
                <w:szCs w:val="22"/>
                <w:color w:val="auto"/>
              </w:rPr>
              <w:t>7.</w:t>
            </w:r>
          </w:p>
        </w:tc>
        <w:tc>
          <w:tcPr>
            <w:tcW w:w="6560" w:type="dxa"/>
            <w:vAlign w:val="bottom"/>
            <w:gridSpan w:val="2"/>
          </w:tcPr>
          <w:p>
            <w:pPr>
              <w:ind w:left="20"/>
              <w:spacing w:after="0"/>
              <w:rPr>
                <w:sz w:val="20"/>
                <w:szCs w:val="20"/>
                <w:color w:val="auto"/>
              </w:rPr>
            </w:pPr>
            <w:r>
              <w:rPr>
                <w:rFonts w:ascii="Arial" w:cs="Arial" w:eastAsia="Arial" w:hAnsi="Arial"/>
                <w:sz w:val="22"/>
                <w:szCs w:val="22"/>
                <w:color w:val="auto"/>
              </w:rPr>
              <w:t xml:space="preserve">Sole Dispositive Power </w:t>
            </w:r>
            <w:r>
              <w:rPr>
                <w:rFonts w:ascii="Arial" w:cs="Arial" w:eastAsia="Arial" w:hAnsi="Arial"/>
                <w:sz w:val="22"/>
                <w:szCs w:val="22"/>
                <w:b w:val="1"/>
                <w:bCs w:val="1"/>
                <w:color w:val="auto"/>
              </w:rPr>
              <w:t>-0-</w:t>
            </w:r>
          </w:p>
        </w:tc>
        <w:tc>
          <w:tcPr>
            <w:tcW w:w="0" w:type="dxa"/>
            <w:vAlign w:val="bottom"/>
          </w:tcPr>
          <w:p>
            <w:pPr>
              <w:spacing w:after="0"/>
              <w:rPr>
                <w:sz w:val="1"/>
                <w:szCs w:val="1"/>
                <w:color w:val="auto"/>
              </w:rPr>
            </w:pPr>
          </w:p>
        </w:tc>
      </w:tr>
      <w:tr>
        <w:trPr>
          <w:trHeight w:val="301"/>
        </w:trPr>
        <w:tc>
          <w:tcPr>
            <w:tcW w:w="40" w:type="dxa"/>
            <w:vAlign w:val="bottom"/>
          </w:tcPr>
          <w:p>
            <w:pPr>
              <w:spacing w:after="0"/>
              <w:rPr>
                <w:sz w:val="24"/>
                <w:szCs w:val="24"/>
                <w:color w:val="auto"/>
              </w:rPr>
            </w:pPr>
          </w:p>
        </w:tc>
        <w:tc>
          <w:tcPr>
            <w:tcW w:w="1720" w:type="dxa"/>
            <w:vAlign w:val="bottom"/>
            <w:vMerge w:val="restart"/>
          </w:tcPr>
          <w:p>
            <w:pPr>
              <w:ind w:left="100"/>
              <w:spacing w:after="0"/>
              <w:rPr>
                <w:sz w:val="20"/>
                <w:szCs w:val="20"/>
                <w:color w:val="auto"/>
              </w:rPr>
            </w:pPr>
            <w:r>
              <w:rPr>
                <w:rFonts w:ascii="Arial" w:cs="Arial" w:eastAsia="Arial" w:hAnsi="Arial"/>
                <w:sz w:val="22"/>
                <w:szCs w:val="22"/>
                <w:color w:val="auto"/>
              </w:rPr>
              <w:t>Each Reporting</w:t>
            </w:r>
          </w:p>
        </w:tc>
        <w:tc>
          <w:tcPr>
            <w:tcW w:w="300" w:type="dxa"/>
            <w:vAlign w:val="bottom"/>
            <w:tcBorders>
              <w:bottom w:val="single" w:sz="8" w:color="808080"/>
            </w:tcBorders>
          </w:tcPr>
          <w:p>
            <w:pPr>
              <w:spacing w:after="0"/>
              <w:rPr>
                <w:sz w:val="24"/>
                <w:szCs w:val="24"/>
                <w:color w:val="auto"/>
              </w:rPr>
            </w:pPr>
          </w:p>
        </w:tc>
        <w:tc>
          <w:tcPr>
            <w:tcW w:w="654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720" w:type="dxa"/>
            <w:vAlign w:val="bottom"/>
            <w:vMerge w:val="continue"/>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6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40" w:type="dxa"/>
            <w:vAlign w:val="bottom"/>
          </w:tcPr>
          <w:p>
            <w:pPr>
              <w:spacing w:after="0"/>
              <w:rPr>
                <w:sz w:val="8"/>
                <w:szCs w:val="8"/>
                <w:color w:val="auto"/>
              </w:rPr>
            </w:pPr>
          </w:p>
        </w:tc>
        <w:tc>
          <w:tcPr>
            <w:tcW w:w="1720" w:type="dxa"/>
            <w:vAlign w:val="bottom"/>
            <w:vMerge w:val="continue"/>
          </w:tcPr>
          <w:p>
            <w:pPr>
              <w:spacing w:after="0"/>
              <w:rPr>
                <w:sz w:val="8"/>
                <w:szCs w:val="8"/>
                <w:color w:val="auto"/>
              </w:rPr>
            </w:pPr>
          </w:p>
        </w:tc>
        <w:tc>
          <w:tcPr>
            <w:tcW w:w="300" w:type="dxa"/>
            <w:vAlign w:val="bottom"/>
            <w:vMerge w:val="restart"/>
          </w:tcPr>
          <w:p>
            <w:pPr>
              <w:jc w:val="right"/>
              <w:spacing w:after="0"/>
              <w:rPr>
                <w:sz w:val="20"/>
                <w:szCs w:val="20"/>
                <w:color w:val="auto"/>
              </w:rPr>
            </w:pPr>
            <w:r>
              <w:rPr>
                <w:rFonts w:ascii="Arial" w:cs="Arial" w:eastAsia="Arial" w:hAnsi="Arial"/>
                <w:sz w:val="22"/>
                <w:szCs w:val="22"/>
                <w:color w:val="auto"/>
              </w:rPr>
              <w:t>8.</w:t>
            </w:r>
          </w:p>
        </w:tc>
        <w:tc>
          <w:tcPr>
            <w:tcW w:w="6560" w:type="dxa"/>
            <w:vAlign w:val="bottom"/>
            <w:gridSpan w:val="2"/>
            <w:vMerge w:val="restart"/>
          </w:tcPr>
          <w:p>
            <w:pPr>
              <w:ind w:left="20"/>
              <w:spacing w:after="0"/>
              <w:rPr>
                <w:sz w:val="20"/>
                <w:szCs w:val="20"/>
                <w:color w:val="auto"/>
              </w:rPr>
            </w:pPr>
            <w:r>
              <w:rPr>
                <w:rFonts w:ascii="Arial" w:cs="Arial" w:eastAsia="Arial" w:hAnsi="Arial"/>
                <w:sz w:val="22"/>
                <w:szCs w:val="22"/>
                <w:color w:val="auto"/>
              </w:rPr>
              <w:t xml:space="preserve">Shared Dispositive Power </w:t>
            </w:r>
            <w:r>
              <w:rPr>
                <w:rFonts w:ascii="Arial" w:cs="Arial" w:eastAsia="Arial" w:hAnsi="Arial"/>
                <w:sz w:val="22"/>
                <w:szCs w:val="22"/>
                <w:b w:val="1"/>
                <w:bCs w:val="1"/>
                <w:color w:val="auto"/>
              </w:rPr>
              <w:t>319,450</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720" w:type="dxa"/>
            <w:vAlign w:val="bottom"/>
            <w:vMerge w:val="restart"/>
          </w:tcPr>
          <w:p>
            <w:pPr>
              <w:ind w:left="100"/>
              <w:spacing w:after="0"/>
              <w:rPr>
                <w:sz w:val="20"/>
                <w:szCs w:val="20"/>
                <w:color w:val="auto"/>
              </w:rPr>
            </w:pPr>
            <w:r>
              <w:rPr>
                <w:rFonts w:ascii="Arial" w:cs="Arial" w:eastAsia="Arial" w:hAnsi="Arial"/>
                <w:sz w:val="22"/>
                <w:szCs w:val="22"/>
                <w:color w:val="auto"/>
              </w:rPr>
              <w:t>Person With</w:t>
            </w:r>
          </w:p>
        </w:tc>
        <w:tc>
          <w:tcPr>
            <w:tcW w:w="300" w:type="dxa"/>
            <w:vAlign w:val="bottom"/>
            <w:vMerge w:val="continue"/>
          </w:tcPr>
          <w:p>
            <w:pPr>
              <w:spacing w:after="0"/>
              <w:rPr>
                <w:sz w:val="19"/>
                <w:szCs w:val="19"/>
                <w:color w:val="auto"/>
              </w:rPr>
            </w:pPr>
          </w:p>
        </w:tc>
        <w:tc>
          <w:tcPr>
            <w:tcW w:w="65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72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6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5"/>
        </w:trPr>
        <w:tc>
          <w:tcPr>
            <w:tcW w:w="40" w:type="dxa"/>
            <w:vAlign w:val="bottom"/>
          </w:tcPr>
          <w:p>
            <w:pPr>
              <w:spacing w:after="0"/>
              <w:rPr>
                <w:sz w:val="7"/>
                <w:szCs w:val="7"/>
                <w:color w:val="auto"/>
              </w:rPr>
            </w:pPr>
          </w:p>
        </w:tc>
        <w:tc>
          <w:tcPr>
            <w:tcW w:w="172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654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2C2C2C"/>
            </w:tcBorders>
          </w:tcPr>
          <w:p>
            <w:pPr>
              <w:spacing w:after="0" w:line="20" w:lineRule="exact"/>
              <w:rPr>
                <w:sz w:val="1"/>
                <w:szCs w:val="1"/>
                <w:color w:val="auto"/>
              </w:rPr>
            </w:pPr>
          </w:p>
        </w:tc>
        <w:tc>
          <w:tcPr>
            <w:tcW w:w="172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65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ind w:left="2380" w:hanging="211"/>
        <w:spacing w:after="0"/>
        <w:tabs>
          <w:tab w:leader="none" w:pos="2380" w:val="left"/>
        </w:tabs>
        <w:numPr>
          <w:ilvl w:val="0"/>
          <w:numId w:val="13"/>
        </w:numPr>
        <w:rPr>
          <w:rFonts w:ascii="Arial" w:cs="Arial" w:eastAsia="Arial" w:hAnsi="Arial"/>
          <w:sz w:val="19"/>
          <w:szCs w:val="19"/>
          <w:color w:val="auto"/>
        </w:rPr>
      </w:pPr>
      <w:r>
        <w:rPr>
          <w:rFonts w:ascii="Arial" w:cs="Arial" w:eastAsia="Arial" w:hAnsi="Arial"/>
          <w:sz w:val="19"/>
          <w:szCs w:val="19"/>
          <w:color w:val="auto"/>
        </w:rPr>
        <w:t xml:space="preserve">Aggregate Amount Beneficially Owned by Each Reporting Person </w:t>
      </w:r>
      <w:r>
        <w:rPr>
          <w:rFonts w:ascii="Arial" w:cs="Arial" w:eastAsia="Arial" w:hAnsi="Arial"/>
          <w:sz w:val="19"/>
          <w:szCs w:val="19"/>
          <w:b w:val="1"/>
          <w:bCs w:val="1"/>
          <w:color w:val="auto"/>
        </w:rPr>
        <w:t>319,450</w:t>
      </w:r>
    </w:p>
    <w:p>
      <w:pPr>
        <w:spacing w:after="0" w:line="246" w:lineRule="exact"/>
        <w:rPr>
          <w:rFonts w:ascii="Arial" w:cs="Arial" w:eastAsia="Arial" w:hAnsi="Arial"/>
          <w:sz w:val="19"/>
          <w:szCs w:val="19"/>
          <w:color w:val="auto"/>
        </w:rPr>
      </w:pPr>
    </w:p>
    <w:p>
      <w:pPr>
        <w:ind w:left="2160" w:right="1259" w:firstLine="9"/>
        <w:spacing w:after="0" w:line="251" w:lineRule="auto"/>
        <w:tabs>
          <w:tab w:leader="none" w:pos="2484" w:val="left"/>
        </w:tabs>
        <w:numPr>
          <w:ilvl w:val="0"/>
          <w:numId w:val="13"/>
        </w:numPr>
        <w:rPr>
          <w:rFonts w:ascii="Arial" w:cs="Arial" w:eastAsia="Arial" w:hAnsi="Arial"/>
          <w:sz w:val="22"/>
          <w:szCs w:val="22"/>
          <w:color w:val="auto"/>
        </w:rPr>
      </w:pPr>
      <w:r>
        <w:rPr>
          <w:rFonts w:ascii="Arial" w:cs="Arial" w:eastAsia="Arial" w:hAnsi="Arial"/>
          <w:sz w:val="22"/>
          <w:szCs w:val="22"/>
          <w:color w:val="auto"/>
        </w:rPr>
        <w:t xml:space="preserve">Check if the Aggregate Amount in Row (11) Excludes Certain Shares (See Instructions) </w:t>
      </w:r>
      <w:r>
        <w:rPr>
          <w:rFonts w:ascii="Arial" w:cs="Arial" w:eastAsia="Arial" w:hAnsi="Arial"/>
          <w:sz w:val="22"/>
          <w:szCs w:val="22"/>
          <w:b w:val="1"/>
          <w:bCs w:val="1"/>
          <w:color w:val="auto"/>
        </w:rPr>
        <w:t>______</w:t>
      </w:r>
    </w:p>
    <w:p>
      <w:pPr>
        <w:spacing w:after="0" w:line="167" w:lineRule="exact"/>
        <w:rPr>
          <w:rFonts w:ascii="Arial" w:cs="Arial" w:eastAsia="Arial" w:hAnsi="Arial"/>
          <w:sz w:val="22"/>
          <w:szCs w:val="22"/>
          <w:color w:val="auto"/>
        </w:rPr>
      </w:pPr>
    </w:p>
    <w:p>
      <w:pPr>
        <w:ind w:left="2480" w:hanging="311"/>
        <w:spacing w:after="0"/>
        <w:tabs>
          <w:tab w:leader="none" w:pos="2480" w:val="left"/>
        </w:tabs>
        <w:numPr>
          <w:ilvl w:val="0"/>
          <w:numId w:val="13"/>
        </w:numPr>
        <w:rPr>
          <w:rFonts w:ascii="Arial" w:cs="Arial" w:eastAsia="Arial" w:hAnsi="Arial"/>
          <w:sz w:val="22"/>
          <w:szCs w:val="22"/>
          <w:color w:val="auto"/>
        </w:rPr>
      </w:pPr>
      <w:r>
        <w:rPr>
          <w:rFonts w:ascii="Arial" w:cs="Arial" w:eastAsia="Arial" w:hAnsi="Arial"/>
          <w:sz w:val="22"/>
          <w:szCs w:val="22"/>
          <w:color w:val="auto"/>
        </w:rPr>
        <w:t xml:space="preserve">Percent of Class Represented by Amount in Row (11) </w:t>
      </w:r>
      <w:r>
        <w:rPr>
          <w:rFonts w:ascii="Arial" w:cs="Arial" w:eastAsia="Arial" w:hAnsi="Arial"/>
          <w:sz w:val="22"/>
          <w:szCs w:val="22"/>
          <w:b w:val="1"/>
          <w:bCs w:val="1"/>
          <w:color w:val="auto"/>
        </w:rPr>
        <w:t>3.0</w:t>
      </w:r>
      <w:r>
        <w:rPr>
          <w:rFonts w:ascii="Arial" w:cs="Arial" w:eastAsia="Arial" w:hAnsi="Arial"/>
          <w:sz w:val="22"/>
          <w:szCs w:val="22"/>
          <w:color w:val="auto"/>
        </w:rPr>
        <w:t>%</w:t>
      </w:r>
    </w:p>
    <w:p>
      <w:pPr>
        <w:spacing w:after="0" w:line="212" w:lineRule="exact"/>
        <w:rPr>
          <w:rFonts w:ascii="Arial" w:cs="Arial" w:eastAsia="Arial" w:hAnsi="Arial"/>
          <w:sz w:val="22"/>
          <w:szCs w:val="22"/>
          <w:color w:val="auto"/>
        </w:rPr>
      </w:pPr>
    </w:p>
    <w:p>
      <w:pPr>
        <w:ind w:left="2500" w:hanging="331"/>
        <w:spacing w:after="0"/>
        <w:tabs>
          <w:tab w:leader="none" w:pos="2500" w:val="left"/>
        </w:tabs>
        <w:numPr>
          <w:ilvl w:val="0"/>
          <w:numId w:val="13"/>
        </w:numPr>
        <w:rPr>
          <w:rFonts w:ascii="Arial" w:cs="Arial" w:eastAsia="Arial" w:hAnsi="Arial"/>
          <w:sz w:val="22"/>
          <w:szCs w:val="22"/>
          <w:color w:val="auto"/>
        </w:rPr>
      </w:pPr>
      <w:r>
        <w:rPr>
          <w:rFonts w:ascii="Arial" w:cs="Arial" w:eastAsia="Arial" w:hAnsi="Arial"/>
          <w:sz w:val="22"/>
          <w:szCs w:val="22"/>
          <w:color w:val="auto"/>
        </w:rPr>
        <w:t>Type of Reporting Person (See Instructions)</w:t>
      </w:r>
    </w:p>
    <w:p>
      <w:pPr>
        <w:sectPr>
          <w:pgSz w:w="11900" w:h="16886" w:orient="portrait"/>
          <w:cols w:equalWidth="0" w:num="1">
            <w:col w:w="10219"/>
          </w:cols>
          <w:pgMar w:left="240" w:top="118" w:right="1440" w:bottom="0" w:gutter="0" w:footer="0" w:header="0"/>
        </w:sectPr>
      </w:pPr>
    </w:p>
    <w:bookmarkStart w:id="3" w:name="page4"/>
    <w:bookmarkEnd w:id="3"/>
    <w:p>
      <w:pPr>
        <w:spacing w:after="0"/>
        <w:rPr>
          <w:sz w:val="20"/>
          <w:szCs w:val="20"/>
          <w:color w:val="auto"/>
        </w:rPr>
      </w:pPr>
      <w:r>
        <w:rPr>
          <w:rFonts w:ascii="Arial" w:cs="Arial" w:eastAsia="Arial" w:hAnsi="Arial"/>
          <w:sz w:val="22"/>
          <w:szCs w:val="22"/>
          <w:b w:val="1"/>
          <w:bCs w:val="1"/>
          <w:color w:val="auto"/>
        </w:rPr>
        <w:t>PN</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w:t>
      </w:r>
    </w:p>
    <w:p>
      <w:pPr>
        <w:spacing w:after="0" w:line="212" w:lineRule="exact"/>
        <w:rPr>
          <w:sz w:val="20"/>
          <w:szCs w:val="20"/>
          <w:color w:val="auto"/>
        </w:rPr>
      </w:pPr>
    </w:p>
    <w:p>
      <w:pPr>
        <w:ind w:left="2160"/>
        <w:spacing w:after="0"/>
        <w:rPr>
          <w:sz w:val="20"/>
          <w:szCs w:val="20"/>
          <w:color w:val="auto"/>
        </w:rPr>
      </w:pPr>
      <w:r>
        <w:rPr>
          <w:rFonts w:ascii="Arial" w:cs="Arial" w:eastAsia="Arial" w:hAnsi="Arial"/>
          <w:sz w:val="22"/>
          <w:szCs w:val="22"/>
          <w:color w:val="auto"/>
        </w:rPr>
        <w:t>(a) Name of Issuer</w:t>
      </w:r>
    </w:p>
    <w:p>
      <w:pPr>
        <w:spacing w:after="0" w:line="227" w:lineRule="exact"/>
        <w:rPr>
          <w:sz w:val="20"/>
          <w:szCs w:val="20"/>
          <w:color w:val="auto"/>
        </w:rPr>
      </w:pPr>
    </w:p>
    <w:p>
      <w:pPr>
        <w:ind w:left="2160"/>
        <w:spacing w:after="0"/>
        <w:rPr>
          <w:sz w:val="20"/>
          <w:szCs w:val="20"/>
          <w:color w:val="auto"/>
        </w:rPr>
      </w:pPr>
      <w:r>
        <w:rPr>
          <w:rFonts w:ascii="Arial" w:cs="Arial" w:eastAsia="Arial" w:hAnsi="Arial"/>
          <w:sz w:val="22"/>
          <w:szCs w:val="22"/>
          <w:b w:val="1"/>
          <w:bCs w:val="1"/>
          <w:color w:val="auto"/>
        </w:rPr>
        <w:t>World Fuel Services Corp.</w:t>
      </w:r>
    </w:p>
    <w:p>
      <w:pPr>
        <w:spacing w:after="0" w:line="212" w:lineRule="exact"/>
        <w:rPr>
          <w:sz w:val="20"/>
          <w:szCs w:val="20"/>
          <w:color w:val="auto"/>
        </w:rPr>
      </w:pPr>
    </w:p>
    <w:p>
      <w:pPr>
        <w:ind w:left="2160"/>
        <w:spacing w:after="0"/>
        <w:rPr>
          <w:sz w:val="20"/>
          <w:szCs w:val="20"/>
          <w:color w:val="auto"/>
        </w:rPr>
      </w:pPr>
      <w:r>
        <w:rPr>
          <w:rFonts w:ascii="Arial" w:cs="Arial" w:eastAsia="Arial" w:hAnsi="Arial"/>
          <w:sz w:val="22"/>
          <w:szCs w:val="22"/>
          <w:color w:val="auto"/>
        </w:rPr>
        <w:t>(b) Address of Issuer's Principal Executive Offices</w:t>
      </w:r>
    </w:p>
    <w:p>
      <w:pPr>
        <w:spacing w:after="0" w:line="227" w:lineRule="exact"/>
        <w:rPr>
          <w:sz w:val="20"/>
          <w:szCs w:val="20"/>
          <w:color w:val="auto"/>
        </w:rPr>
      </w:pPr>
    </w:p>
    <w:p>
      <w:pPr>
        <w:ind w:left="2160"/>
        <w:spacing w:after="0"/>
        <w:rPr>
          <w:sz w:val="20"/>
          <w:szCs w:val="20"/>
          <w:color w:val="auto"/>
        </w:rPr>
      </w:pPr>
      <w:r>
        <w:rPr>
          <w:rFonts w:ascii="Arial" w:cs="Arial" w:eastAsia="Arial" w:hAnsi="Arial"/>
          <w:sz w:val="22"/>
          <w:szCs w:val="22"/>
          <w:b w:val="1"/>
          <w:bCs w:val="1"/>
          <w:color w:val="auto"/>
        </w:rPr>
        <w:t>9800 N.W. 41st Street, Suite 400, Miami, FL 33178</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212" w:lineRule="exact"/>
        <w:rPr>
          <w:sz w:val="20"/>
          <w:szCs w:val="20"/>
          <w:color w:val="auto"/>
        </w:rPr>
      </w:pPr>
    </w:p>
    <w:p>
      <w:pPr>
        <w:ind w:left="2160"/>
        <w:spacing w:after="0"/>
        <w:rPr>
          <w:sz w:val="20"/>
          <w:szCs w:val="20"/>
          <w:color w:val="auto"/>
        </w:rPr>
      </w:pPr>
      <w:r>
        <w:rPr>
          <w:rFonts w:ascii="Arial" w:cs="Arial" w:eastAsia="Arial" w:hAnsi="Arial"/>
          <w:sz w:val="22"/>
          <w:szCs w:val="22"/>
          <w:color w:val="auto"/>
        </w:rPr>
        <w:t>(a) The names of the persons filing this statement are:</w:t>
      </w:r>
    </w:p>
    <w:p>
      <w:pPr>
        <w:spacing w:after="0" w:line="227" w:lineRule="exact"/>
        <w:rPr>
          <w:sz w:val="20"/>
          <w:szCs w:val="20"/>
          <w:color w:val="auto"/>
        </w:rPr>
      </w:pPr>
    </w:p>
    <w:p>
      <w:pPr>
        <w:ind w:left="2160"/>
        <w:spacing w:after="0"/>
        <w:rPr>
          <w:sz w:val="20"/>
          <w:szCs w:val="20"/>
          <w:color w:val="auto"/>
        </w:rPr>
      </w:pPr>
      <w:r>
        <w:rPr>
          <w:rFonts w:ascii="Arial" w:cs="Arial" w:eastAsia="Arial" w:hAnsi="Arial"/>
          <w:sz w:val="22"/>
          <w:szCs w:val="22"/>
          <w:b w:val="1"/>
          <w:bCs w:val="1"/>
          <w:color w:val="auto"/>
        </w:rPr>
        <w:t>Stadium Capital Management, LLC, a Delaware limited liability company ("SCM");</w:t>
      </w:r>
    </w:p>
    <w:p>
      <w:pPr>
        <w:spacing w:after="0" w:line="4" w:lineRule="exact"/>
        <w:rPr>
          <w:sz w:val="20"/>
          <w:szCs w:val="20"/>
          <w:color w:val="auto"/>
        </w:rPr>
      </w:pPr>
    </w:p>
    <w:p>
      <w:pPr>
        <w:ind w:left="2160"/>
        <w:spacing w:after="0"/>
        <w:rPr>
          <w:sz w:val="20"/>
          <w:szCs w:val="20"/>
          <w:color w:val="auto"/>
        </w:rPr>
      </w:pPr>
      <w:r>
        <w:rPr>
          <w:rFonts w:ascii="Arial" w:cs="Arial" w:eastAsia="Arial" w:hAnsi="Arial"/>
          <w:sz w:val="22"/>
          <w:szCs w:val="22"/>
          <w:b w:val="1"/>
          <w:bCs w:val="1"/>
          <w:color w:val="auto"/>
        </w:rPr>
        <w:t>Alexander M. Seaver ("Seaver");</w:t>
      </w:r>
    </w:p>
    <w:p>
      <w:pPr>
        <w:ind w:left="2160"/>
        <w:spacing w:after="0" w:line="230" w:lineRule="auto"/>
        <w:rPr>
          <w:sz w:val="20"/>
          <w:szCs w:val="20"/>
          <w:color w:val="auto"/>
        </w:rPr>
      </w:pPr>
      <w:r>
        <w:rPr>
          <w:rFonts w:ascii="Arial" w:cs="Arial" w:eastAsia="Arial" w:hAnsi="Arial"/>
          <w:sz w:val="22"/>
          <w:szCs w:val="22"/>
          <w:b w:val="1"/>
          <w:bCs w:val="1"/>
          <w:color w:val="auto"/>
        </w:rPr>
        <w:t>Bradley R. Kent ("Kent"); and</w:t>
      </w:r>
    </w:p>
    <w:p>
      <w:pPr>
        <w:ind w:left="2160"/>
        <w:spacing w:after="0" w:line="231" w:lineRule="auto"/>
        <w:rPr>
          <w:sz w:val="20"/>
          <w:szCs w:val="20"/>
          <w:color w:val="auto"/>
        </w:rPr>
      </w:pPr>
      <w:r>
        <w:rPr>
          <w:rFonts w:ascii="Arial" w:cs="Arial" w:eastAsia="Arial" w:hAnsi="Arial"/>
          <w:sz w:val="22"/>
          <w:szCs w:val="22"/>
          <w:b w:val="1"/>
          <w:bCs w:val="1"/>
          <w:color w:val="auto"/>
        </w:rPr>
        <w:t>Stadium Capital Partners, L.P., a California limited partnership ("SCP")</w:t>
      </w:r>
    </w:p>
    <w:p>
      <w:pPr>
        <w:ind w:left="2160"/>
        <w:spacing w:after="0"/>
        <w:rPr>
          <w:sz w:val="20"/>
          <w:szCs w:val="20"/>
          <w:color w:val="auto"/>
        </w:rPr>
      </w:pPr>
      <w:r>
        <w:rPr>
          <w:rFonts w:ascii="Arial" w:cs="Arial" w:eastAsia="Arial" w:hAnsi="Arial"/>
          <w:sz w:val="22"/>
          <w:szCs w:val="22"/>
          <w:color w:val="auto"/>
        </w:rPr>
        <w:t>(collectively, the "Filers").</w:t>
      </w:r>
    </w:p>
    <w:p>
      <w:pPr>
        <w:spacing w:after="0" w:line="209" w:lineRule="exact"/>
        <w:rPr>
          <w:sz w:val="20"/>
          <w:szCs w:val="20"/>
          <w:color w:val="auto"/>
        </w:rPr>
      </w:pPr>
    </w:p>
    <w:p>
      <w:pPr>
        <w:ind w:left="2160"/>
        <w:spacing w:after="0" w:line="284" w:lineRule="auto"/>
        <w:rPr>
          <w:sz w:val="20"/>
          <w:szCs w:val="20"/>
          <w:color w:val="auto"/>
        </w:rPr>
      </w:pPr>
      <w:r>
        <w:rPr>
          <w:rFonts w:ascii="Arial" w:cs="Arial" w:eastAsia="Arial" w:hAnsi="Arial"/>
          <w:sz w:val="19"/>
          <w:szCs w:val="19"/>
          <w:b w:val="1"/>
          <w:bCs w:val="1"/>
          <w:color w:val="auto"/>
        </w:rPr>
        <w:t>SCM, Seaver and Kent disclaim beneficial ownership of the Stock except to the extent of their respective pecuniary interests therein. SCP is filing jointly with the other filers, but not as a member of a group, and expressly disclaims membership in a group. In addition, the filing of this Schedule 13G on behalf of SCP should not be construed as an admission that it is, and it disclaims that it is, the beneficial owner of any of the Stock covered by this Statement.</w:t>
      </w:r>
    </w:p>
    <w:p>
      <w:pPr>
        <w:spacing w:after="0" w:line="145" w:lineRule="exact"/>
        <w:rPr>
          <w:sz w:val="20"/>
          <w:szCs w:val="20"/>
          <w:color w:val="auto"/>
        </w:rPr>
      </w:pPr>
    </w:p>
    <w:p>
      <w:pPr>
        <w:ind w:left="2160"/>
        <w:spacing w:after="0"/>
        <w:rPr>
          <w:sz w:val="20"/>
          <w:szCs w:val="20"/>
          <w:color w:val="auto"/>
        </w:rPr>
      </w:pPr>
      <w:r>
        <w:rPr>
          <w:rFonts w:ascii="Arial" w:cs="Arial" w:eastAsia="Arial" w:hAnsi="Arial"/>
          <w:sz w:val="22"/>
          <w:szCs w:val="22"/>
          <w:color w:val="auto"/>
        </w:rPr>
        <w:t>(b) The principal business office of the Filers is located at:</w:t>
      </w:r>
    </w:p>
    <w:p>
      <w:pPr>
        <w:spacing w:after="0" w:line="227" w:lineRule="exact"/>
        <w:rPr>
          <w:sz w:val="20"/>
          <w:szCs w:val="20"/>
          <w:color w:val="auto"/>
        </w:rPr>
      </w:pPr>
    </w:p>
    <w:p>
      <w:pPr>
        <w:ind w:left="2160"/>
        <w:spacing w:after="0"/>
        <w:rPr>
          <w:sz w:val="20"/>
          <w:szCs w:val="20"/>
          <w:color w:val="auto"/>
        </w:rPr>
      </w:pPr>
      <w:r>
        <w:rPr>
          <w:rFonts w:ascii="Arial" w:cs="Arial" w:eastAsia="Arial" w:hAnsi="Arial"/>
          <w:sz w:val="22"/>
          <w:szCs w:val="22"/>
          <w:b w:val="1"/>
          <w:bCs w:val="1"/>
          <w:color w:val="auto"/>
        </w:rPr>
        <w:t>19785 Village Office Court, Bend, Oregon 97702</w:t>
      </w:r>
    </w:p>
    <w:p>
      <w:pPr>
        <w:spacing w:after="0" w:line="212" w:lineRule="exact"/>
        <w:rPr>
          <w:sz w:val="20"/>
          <w:szCs w:val="20"/>
          <w:color w:val="auto"/>
        </w:rPr>
      </w:pPr>
    </w:p>
    <w:p>
      <w:pPr>
        <w:ind w:left="2460" w:hanging="291"/>
        <w:spacing w:after="0"/>
        <w:tabs>
          <w:tab w:leader="none" w:pos="2460" w:val="left"/>
        </w:tabs>
        <w:numPr>
          <w:ilvl w:val="0"/>
          <w:numId w:val="14"/>
        </w:numPr>
        <w:rPr>
          <w:rFonts w:ascii="Arial" w:cs="Arial" w:eastAsia="Arial" w:hAnsi="Arial"/>
          <w:sz w:val="22"/>
          <w:szCs w:val="22"/>
          <w:color w:val="auto"/>
        </w:rPr>
      </w:pPr>
      <w:r>
        <w:rPr>
          <w:rFonts w:ascii="Arial" w:cs="Arial" w:eastAsia="Arial" w:hAnsi="Arial"/>
          <w:sz w:val="22"/>
          <w:szCs w:val="22"/>
          <w:color w:val="auto"/>
        </w:rPr>
        <w:t>For citizenship of Filers, see Item 4 of the cover sheet for each Filer.</w:t>
      </w:r>
    </w:p>
    <w:p>
      <w:pPr>
        <w:spacing w:after="0" w:line="206" w:lineRule="exact"/>
        <w:rPr>
          <w:rFonts w:ascii="Arial" w:cs="Arial" w:eastAsia="Arial" w:hAnsi="Arial"/>
          <w:sz w:val="22"/>
          <w:szCs w:val="22"/>
          <w:color w:val="auto"/>
        </w:rPr>
      </w:pPr>
    </w:p>
    <w:p>
      <w:pPr>
        <w:ind w:left="2480" w:hanging="311"/>
        <w:spacing w:after="0"/>
        <w:tabs>
          <w:tab w:leader="none" w:pos="2480" w:val="left"/>
        </w:tabs>
        <w:numPr>
          <w:ilvl w:val="0"/>
          <w:numId w:val="14"/>
        </w:numPr>
        <w:rPr>
          <w:rFonts w:ascii="Arial" w:cs="Arial" w:eastAsia="Arial" w:hAnsi="Arial"/>
          <w:sz w:val="22"/>
          <w:szCs w:val="22"/>
          <w:color w:val="auto"/>
        </w:rPr>
      </w:pPr>
      <w:r>
        <w:rPr>
          <w:rFonts w:ascii="Arial" w:cs="Arial" w:eastAsia="Arial" w:hAnsi="Arial"/>
          <w:sz w:val="22"/>
          <w:szCs w:val="22"/>
          <w:color w:val="auto"/>
        </w:rPr>
        <w:t>This statement relates to shares of Class A common stock of the Issuer (the "Stock").</w:t>
      </w:r>
    </w:p>
    <w:p>
      <w:pPr>
        <w:spacing w:after="0" w:line="200" w:lineRule="exact"/>
        <w:rPr>
          <w:rFonts w:ascii="Arial" w:cs="Arial" w:eastAsia="Arial" w:hAnsi="Arial"/>
          <w:sz w:val="22"/>
          <w:szCs w:val="22"/>
          <w:color w:val="auto"/>
        </w:rPr>
      </w:pPr>
    </w:p>
    <w:p>
      <w:pPr>
        <w:ind w:left="2460" w:hanging="291"/>
        <w:spacing w:after="0"/>
        <w:tabs>
          <w:tab w:leader="none" w:pos="2460" w:val="left"/>
        </w:tabs>
        <w:numPr>
          <w:ilvl w:val="0"/>
          <w:numId w:val="14"/>
        </w:numPr>
        <w:rPr>
          <w:rFonts w:ascii="Arial" w:cs="Arial" w:eastAsia="Arial" w:hAnsi="Arial"/>
          <w:sz w:val="22"/>
          <w:szCs w:val="22"/>
          <w:color w:val="auto"/>
        </w:rPr>
      </w:pPr>
      <w:r>
        <w:rPr>
          <w:rFonts w:ascii="Arial" w:cs="Arial" w:eastAsia="Arial" w:hAnsi="Arial"/>
          <w:sz w:val="22"/>
          <w:szCs w:val="22"/>
          <w:color w:val="auto"/>
        </w:rPr>
        <w:t xml:space="preserve">The CUSIP number of the Issuer is: </w:t>
      </w:r>
      <w:r>
        <w:rPr>
          <w:rFonts w:ascii="Arial" w:cs="Arial" w:eastAsia="Arial" w:hAnsi="Arial"/>
          <w:sz w:val="22"/>
          <w:szCs w:val="22"/>
          <w:b w:val="1"/>
          <w:bCs w:val="1"/>
          <w:color w:val="auto"/>
        </w:rPr>
        <w:t>981475106.</w:t>
      </w:r>
    </w:p>
    <w:p>
      <w:pPr>
        <w:spacing w:after="0" w:line="206" w:lineRule="exact"/>
        <w:rPr>
          <w:sz w:val="20"/>
          <w:szCs w:val="20"/>
          <w:color w:val="auto"/>
        </w:rPr>
      </w:pPr>
    </w:p>
    <w:p>
      <w:pPr>
        <w:ind w:left="2160" w:right="120"/>
        <w:spacing w:after="0" w:line="256" w:lineRule="auto"/>
        <w:rPr>
          <w:sz w:val="20"/>
          <w:szCs w:val="20"/>
          <w:color w:val="auto"/>
        </w:rPr>
      </w:pPr>
      <w:r>
        <w:rPr>
          <w:rFonts w:ascii="Arial" w:cs="Arial" w:eastAsia="Arial" w:hAnsi="Arial"/>
          <w:sz w:val="22"/>
          <w:szCs w:val="22"/>
          <w:b w:val="1"/>
          <w:bCs w:val="1"/>
          <w:color w:val="auto"/>
        </w:rPr>
        <w:t>Item 3. If this statement is filed pursuant to rule 240.13d-1(b) or 240.13d-2(b) or (c), check whether the person filing is a:</w:t>
      </w:r>
    </w:p>
    <w:p>
      <w:pPr>
        <w:spacing w:after="0" w:line="169" w:lineRule="exact"/>
        <w:rPr>
          <w:sz w:val="20"/>
          <w:szCs w:val="20"/>
          <w:color w:val="auto"/>
        </w:rPr>
      </w:pPr>
    </w:p>
    <w:p>
      <w:pPr>
        <w:ind w:left="3540" w:hanging="291"/>
        <w:spacing w:after="0"/>
        <w:tabs>
          <w:tab w:leader="none" w:pos="3540" w:val="left"/>
        </w:tabs>
        <w:numPr>
          <w:ilvl w:val="0"/>
          <w:numId w:val="15"/>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78o).</w:t>
      </w:r>
    </w:p>
    <w:p>
      <w:pPr>
        <w:spacing w:after="0" w:line="206" w:lineRule="exact"/>
        <w:rPr>
          <w:rFonts w:ascii="Arial" w:cs="Arial" w:eastAsia="Arial" w:hAnsi="Arial"/>
          <w:sz w:val="22"/>
          <w:szCs w:val="22"/>
          <w:color w:val="auto"/>
        </w:rPr>
      </w:pPr>
    </w:p>
    <w:p>
      <w:pPr>
        <w:ind w:left="3560" w:hanging="311"/>
        <w:spacing w:after="0"/>
        <w:tabs>
          <w:tab w:leader="none" w:pos="3560" w:val="left"/>
        </w:tabs>
        <w:numPr>
          <w:ilvl w:val="0"/>
          <w:numId w:val="15"/>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206" w:lineRule="exact"/>
        <w:rPr>
          <w:rFonts w:ascii="Arial" w:cs="Arial" w:eastAsia="Arial" w:hAnsi="Arial"/>
          <w:sz w:val="22"/>
          <w:szCs w:val="22"/>
          <w:color w:val="auto"/>
        </w:rPr>
      </w:pPr>
    </w:p>
    <w:p>
      <w:pPr>
        <w:ind w:left="3540" w:hanging="291"/>
        <w:spacing w:after="0"/>
        <w:tabs>
          <w:tab w:leader="none" w:pos="3540" w:val="left"/>
        </w:tabs>
        <w:numPr>
          <w:ilvl w:val="0"/>
          <w:numId w:val="15"/>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206" w:lineRule="exact"/>
        <w:rPr>
          <w:rFonts w:ascii="Arial" w:cs="Arial" w:eastAsia="Arial" w:hAnsi="Arial"/>
          <w:sz w:val="22"/>
          <w:szCs w:val="22"/>
          <w:color w:val="auto"/>
        </w:rPr>
      </w:pPr>
    </w:p>
    <w:p>
      <w:pPr>
        <w:ind w:left="3240" w:right="420" w:firstLine="9"/>
        <w:spacing w:after="0" w:line="251" w:lineRule="auto"/>
        <w:tabs>
          <w:tab w:leader="none" w:pos="3546" w:val="left"/>
        </w:tabs>
        <w:numPr>
          <w:ilvl w:val="0"/>
          <w:numId w:val="15"/>
        </w:numPr>
        <w:rPr>
          <w:rFonts w:ascii="Arial" w:cs="Arial" w:eastAsia="Arial" w:hAnsi="Arial"/>
          <w:sz w:val="22"/>
          <w:szCs w:val="22"/>
          <w:color w:val="auto"/>
        </w:rPr>
      </w:pPr>
      <w:r>
        <w:rPr>
          <w:rFonts w:ascii="Arial" w:cs="Arial" w:eastAsia="Arial" w:hAnsi="Arial"/>
          <w:sz w:val="22"/>
          <w:szCs w:val="22"/>
          <w:color w:val="auto"/>
        </w:rPr>
        <w:t>[ ] Investment company registered under section 8 of the Investment Company Act of 1940 (15 U.S.C. 80a-8).</w:t>
      </w:r>
    </w:p>
    <w:p>
      <w:pPr>
        <w:spacing w:after="0" w:line="167" w:lineRule="exact"/>
        <w:rPr>
          <w:rFonts w:ascii="Arial" w:cs="Arial" w:eastAsia="Arial" w:hAnsi="Arial"/>
          <w:sz w:val="22"/>
          <w:szCs w:val="22"/>
          <w:color w:val="auto"/>
        </w:rPr>
      </w:pPr>
    </w:p>
    <w:p>
      <w:pPr>
        <w:ind w:left="3540" w:hanging="291"/>
        <w:spacing w:after="0"/>
        <w:tabs>
          <w:tab w:leader="none" w:pos="3540" w:val="left"/>
        </w:tabs>
        <w:numPr>
          <w:ilvl w:val="0"/>
          <w:numId w:val="1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XX</w:t>
      </w:r>
      <w:r>
        <w:rPr>
          <w:rFonts w:ascii="Arial" w:cs="Arial" w:eastAsia="Arial" w:hAnsi="Arial"/>
          <w:sz w:val="22"/>
          <w:szCs w:val="22"/>
          <w:color w:val="auto"/>
        </w:rPr>
        <w:t>] An investment adviser in accordance with section 240.13d-1(b)(1)(ii)(E).</w:t>
      </w:r>
    </w:p>
    <w:p>
      <w:pPr>
        <w:spacing w:after="0" w:line="212" w:lineRule="exact"/>
        <w:rPr>
          <w:rFonts w:ascii="Arial" w:cs="Arial" w:eastAsia="Arial" w:hAnsi="Arial"/>
          <w:sz w:val="22"/>
          <w:szCs w:val="22"/>
          <w:color w:val="auto"/>
        </w:rPr>
      </w:pPr>
    </w:p>
    <w:p>
      <w:pPr>
        <w:ind w:left="3520" w:hanging="271"/>
        <w:spacing w:after="0"/>
        <w:tabs>
          <w:tab w:leader="none" w:pos="3520" w:val="left"/>
        </w:tabs>
        <w:numPr>
          <w:ilvl w:val="0"/>
          <w:numId w:val="15"/>
        </w:numPr>
        <w:rPr>
          <w:rFonts w:ascii="Arial" w:cs="Arial" w:eastAsia="Arial" w:hAnsi="Arial"/>
          <w:sz w:val="19"/>
          <w:szCs w:val="19"/>
          <w:color w:val="auto"/>
        </w:rPr>
      </w:pPr>
      <w:r>
        <w:rPr>
          <w:rFonts w:ascii="Arial" w:cs="Arial" w:eastAsia="Arial" w:hAnsi="Arial"/>
          <w:sz w:val="19"/>
          <w:szCs w:val="19"/>
          <w:color w:val="auto"/>
        </w:rPr>
        <w:t>[ ] An employee benefit plan or endowment fund in accordance with section 240.13d-1(b)</w:t>
      </w:r>
    </w:p>
    <w:p>
      <w:pPr>
        <w:spacing w:after="0" w:line="42" w:lineRule="exact"/>
        <w:rPr>
          <w:rFonts w:ascii="Arial" w:cs="Arial" w:eastAsia="Arial" w:hAnsi="Arial"/>
          <w:sz w:val="19"/>
          <w:szCs w:val="19"/>
          <w:color w:val="auto"/>
        </w:rPr>
      </w:pPr>
    </w:p>
    <w:p>
      <w:pPr>
        <w:ind w:left="3240"/>
        <w:spacing w:after="0"/>
        <w:rPr>
          <w:rFonts w:ascii="Arial" w:cs="Arial" w:eastAsia="Arial" w:hAnsi="Arial"/>
          <w:sz w:val="19"/>
          <w:szCs w:val="19"/>
          <w:color w:val="auto"/>
        </w:rPr>
      </w:pPr>
      <w:r>
        <w:rPr>
          <w:rFonts w:ascii="Arial" w:cs="Arial" w:eastAsia="Arial" w:hAnsi="Arial"/>
          <w:sz w:val="22"/>
          <w:szCs w:val="22"/>
          <w:color w:val="auto"/>
        </w:rPr>
        <w:t>(1)(ii)(F).</w:t>
      </w:r>
    </w:p>
    <w:p>
      <w:pPr>
        <w:spacing w:after="0" w:line="188" w:lineRule="exact"/>
        <w:rPr>
          <w:rFonts w:ascii="Arial" w:cs="Arial" w:eastAsia="Arial" w:hAnsi="Arial"/>
          <w:sz w:val="19"/>
          <w:szCs w:val="19"/>
          <w:color w:val="auto"/>
        </w:rPr>
      </w:pPr>
    </w:p>
    <w:p>
      <w:pPr>
        <w:ind w:left="3560" w:hanging="311"/>
        <w:spacing w:after="0"/>
        <w:tabs>
          <w:tab w:leader="none" w:pos="3560" w:val="left"/>
        </w:tabs>
        <w:numPr>
          <w:ilvl w:val="0"/>
          <w:numId w:val="15"/>
        </w:numPr>
        <w:rPr>
          <w:rFonts w:ascii="Arial" w:cs="Arial" w:eastAsia="Arial" w:hAnsi="Arial"/>
          <w:sz w:val="19"/>
          <w:szCs w:val="19"/>
          <w:color w:val="auto"/>
        </w:rPr>
      </w:pPr>
      <w:r>
        <w:rPr>
          <w:rFonts w:ascii="Arial" w:cs="Arial" w:eastAsia="Arial" w:hAnsi="Arial"/>
          <w:sz w:val="19"/>
          <w:szCs w:val="19"/>
          <w:color w:val="auto"/>
        </w:rPr>
        <w:t>[ ] A parent holding company or control person in accordance with 240.13d-1(b)(1)(ii)(G)</w:t>
      </w:r>
    </w:p>
    <w:p>
      <w:pPr>
        <w:spacing w:after="0" w:line="240" w:lineRule="exact"/>
        <w:rPr>
          <w:rFonts w:ascii="Arial" w:cs="Arial" w:eastAsia="Arial" w:hAnsi="Arial"/>
          <w:sz w:val="19"/>
          <w:szCs w:val="19"/>
          <w:color w:val="auto"/>
        </w:rPr>
      </w:pPr>
    </w:p>
    <w:p>
      <w:pPr>
        <w:ind w:left="3560" w:hanging="311"/>
        <w:spacing w:after="0"/>
        <w:tabs>
          <w:tab w:leader="none" w:pos="3560" w:val="left"/>
        </w:tabs>
        <w:numPr>
          <w:ilvl w:val="0"/>
          <w:numId w:val="15"/>
        </w:numPr>
        <w:rPr>
          <w:rFonts w:ascii="Arial" w:cs="Arial" w:eastAsia="Arial" w:hAnsi="Arial"/>
          <w:sz w:val="19"/>
          <w:szCs w:val="19"/>
          <w:color w:val="auto"/>
        </w:rPr>
      </w:pPr>
      <w:r>
        <w:rPr>
          <w:rFonts w:ascii="Arial" w:cs="Arial" w:eastAsia="Arial" w:hAnsi="Arial"/>
          <w:sz w:val="19"/>
          <w:szCs w:val="19"/>
          <w:color w:val="auto"/>
        </w:rPr>
        <w:t>[ ] A savings association as defined in section 3(b) of the Federal Deposit Insurance Act</w:t>
      </w:r>
    </w:p>
    <w:p>
      <w:pPr>
        <w:spacing w:after="0" w:line="42" w:lineRule="exact"/>
        <w:rPr>
          <w:rFonts w:ascii="Arial" w:cs="Arial" w:eastAsia="Arial" w:hAnsi="Arial"/>
          <w:sz w:val="19"/>
          <w:szCs w:val="19"/>
          <w:color w:val="auto"/>
        </w:rPr>
      </w:pPr>
    </w:p>
    <w:p>
      <w:pPr>
        <w:ind w:left="3240"/>
        <w:spacing w:after="0"/>
        <w:rPr>
          <w:rFonts w:ascii="Arial" w:cs="Arial" w:eastAsia="Arial" w:hAnsi="Arial"/>
          <w:sz w:val="19"/>
          <w:szCs w:val="19"/>
          <w:color w:val="auto"/>
        </w:rPr>
      </w:pPr>
      <w:r>
        <w:rPr>
          <w:rFonts w:ascii="Arial" w:cs="Arial" w:eastAsia="Arial" w:hAnsi="Arial"/>
          <w:sz w:val="22"/>
          <w:szCs w:val="22"/>
          <w:color w:val="auto"/>
        </w:rPr>
        <w:t>(12 U.S.C. 1813).</w:t>
      </w:r>
    </w:p>
    <w:p>
      <w:pPr>
        <w:spacing w:after="0" w:line="188" w:lineRule="exact"/>
        <w:rPr>
          <w:rFonts w:ascii="Arial" w:cs="Arial" w:eastAsia="Arial" w:hAnsi="Arial"/>
          <w:sz w:val="19"/>
          <w:szCs w:val="19"/>
          <w:color w:val="auto"/>
        </w:rPr>
      </w:pPr>
    </w:p>
    <w:p>
      <w:pPr>
        <w:ind w:left="3240" w:right="420" w:firstLine="9"/>
        <w:spacing w:after="0" w:line="274" w:lineRule="auto"/>
        <w:tabs>
          <w:tab w:leader="none" w:pos="3498" w:val="left"/>
        </w:tabs>
        <w:numPr>
          <w:ilvl w:val="0"/>
          <w:numId w:val="15"/>
        </w:numPr>
        <w:rPr>
          <w:rFonts w:ascii="Arial" w:cs="Arial" w:eastAsia="Arial" w:hAnsi="Arial"/>
          <w:sz w:val="21"/>
          <w:szCs w:val="21"/>
          <w:color w:val="auto"/>
        </w:rPr>
      </w:pPr>
      <w:r>
        <w:rPr>
          <w:rFonts w:ascii="Arial" w:cs="Arial" w:eastAsia="Arial" w:hAnsi="Arial"/>
          <w:sz w:val="21"/>
          <w:szCs w:val="21"/>
          <w:color w:val="auto"/>
        </w:rPr>
        <w:t>[ ] A church plan that is excluded from the definition of an investment company under section 3(c)(14) of the Investment Company Act of 1940 (15 U.S.C. 80a-3).</w:t>
      </w:r>
    </w:p>
    <w:p>
      <w:pPr>
        <w:spacing w:after="0" w:line="150" w:lineRule="exact"/>
        <w:rPr>
          <w:rFonts w:ascii="Arial" w:cs="Arial" w:eastAsia="Arial" w:hAnsi="Arial"/>
          <w:sz w:val="21"/>
          <w:szCs w:val="21"/>
          <w:color w:val="auto"/>
        </w:rPr>
      </w:pPr>
    </w:p>
    <w:p>
      <w:pPr>
        <w:ind w:left="3500" w:hanging="251"/>
        <w:spacing w:after="0"/>
        <w:tabs>
          <w:tab w:leader="none" w:pos="3500" w:val="left"/>
        </w:tabs>
        <w:numPr>
          <w:ilvl w:val="0"/>
          <w:numId w:val="15"/>
        </w:numPr>
        <w:rPr>
          <w:rFonts w:ascii="Arial" w:cs="Arial" w:eastAsia="Arial" w:hAnsi="Arial"/>
          <w:sz w:val="22"/>
          <w:szCs w:val="22"/>
          <w:color w:val="auto"/>
        </w:rPr>
      </w:pPr>
      <w:r>
        <w:rPr>
          <w:rFonts w:ascii="Arial" w:cs="Arial" w:eastAsia="Arial" w:hAnsi="Arial"/>
          <w:sz w:val="22"/>
          <w:szCs w:val="22"/>
          <w:color w:val="auto"/>
        </w:rPr>
        <w:t>[ ] Group, in accordance with section 240.13d-1(b)(1)(ii)(J).</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160"/>
        <w:spacing w:after="0"/>
        <w:rPr>
          <w:sz w:val="20"/>
          <w:szCs w:val="20"/>
          <w:color w:val="auto"/>
        </w:rPr>
      </w:pPr>
      <w:r>
        <w:rPr>
          <w:rFonts w:ascii="Arial" w:cs="Arial" w:eastAsia="Arial" w:hAnsi="Arial"/>
          <w:sz w:val="22"/>
          <w:szCs w:val="22"/>
          <w:b w:val="1"/>
          <w:bCs w:val="1"/>
          <w:color w:val="auto"/>
        </w:rPr>
        <w:t>Item 4. Ownership.</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See Items 5-9 and 11 of the cover page for each Filer.</w:t>
      </w:r>
    </w:p>
    <w:p>
      <w:pPr>
        <w:sectPr>
          <w:pgSz w:w="11900" w:h="16838" w:orient="portrait"/>
          <w:cols w:equalWidth="0" w:num="1">
            <w:col w:w="11380"/>
          </w:cols>
          <w:pgMar w:left="240" w:top="112" w:right="279" w:bottom="0" w:gutter="0" w:footer="0" w:header="0"/>
        </w:sectPr>
      </w:pPr>
    </w:p>
    <w:bookmarkStart w:id="4" w:name="page5"/>
    <w:bookmarkEnd w:id="4"/>
    <w:p>
      <w:pPr>
        <w:ind w:left="2160"/>
        <w:spacing w:after="0"/>
        <w:rPr>
          <w:sz w:val="20"/>
          <w:szCs w:val="20"/>
          <w:color w:val="auto"/>
        </w:rPr>
      </w:pPr>
      <w:r>
        <w:rPr>
          <w:rFonts w:ascii="Arial" w:cs="Arial" w:eastAsia="Arial" w:hAnsi="Arial"/>
          <w:sz w:val="22"/>
          <w:szCs w:val="22"/>
          <w:b w:val="1"/>
          <w:bCs w:val="1"/>
          <w:color w:val="auto"/>
        </w:rPr>
        <w:t>Item 5. Ownership of Five Percent or Less of a Class</w:t>
      </w:r>
    </w:p>
    <w:p>
      <w:pPr>
        <w:spacing w:after="0" w:line="213" w:lineRule="exact"/>
        <w:rPr>
          <w:sz w:val="20"/>
          <w:szCs w:val="20"/>
          <w:color w:val="auto"/>
        </w:rPr>
      </w:pPr>
    </w:p>
    <w:p>
      <w:pPr>
        <w:ind w:right="80"/>
        <w:spacing w:after="0" w:line="251" w:lineRule="auto"/>
        <w:rPr>
          <w:sz w:val="20"/>
          <w:szCs w:val="20"/>
          <w:color w:val="auto"/>
        </w:rPr>
      </w:pPr>
      <w:r>
        <w:rPr>
          <w:rFonts w:ascii="Arial" w:cs="Arial" w:eastAsia="Arial" w:hAnsi="Arial"/>
          <w:sz w:val="22"/>
          <w:szCs w:val="22"/>
          <w:color w:val="auto"/>
        </w:rPr>
        <w:t>If this statement is being filed to report the fact that as of the date hereof the reporting person has ceased to be the beneficial owner of more than five percent of the class of securities, check the following [</w:t>
      </w:r>
      <w:r>
        <w:rPr>
          <w:rFonts w:ascii="Arial" w:cs="Arial" w:eastAsia="Arial" w:hAnsi="Arial"/>
          <w:sz w:val="22"/>
          <w:szCs w:val="22"/>
          <w:b w:val="1"/>
          <w:bCs w:val="1"/>
          <w:color w:val="auto"/>
        </w:rPr>
        <w:t>XX</w:t>
      </w:r>
      <w:r>
        <w:rPr>
          <w:rFonts w:ascii="Arial" w:cs="Arial" w:eastAsia="Arial" w:hAnsi="Arial"/>
          <w:sz w:val="22"/>
          <w:szCs w:val="22"/>
          <w:color w:val="auto"/>
        </w:rPr>
        <w:t>].</w:t>
      </w:r>
    </w:p>
    <w:p>
      <w:pPr>
        <w:spacing w:after="0" w:line="167" w:lineRule="exact"/>
        <w:rPr>
          <w:sz w:val="20"/>
          <w:szCs w:val="20"/>
          <w:color w:val="auto"/>
        </w:rPr>
      </w:pPr>
    </w:p>
    <w:p>
      <w:pPr>
        <w:jc w:val="center"/>
        <w:ind w:right="140"/>
        <w:spacing w:after="0"/>
        <w:rPr>
          <w:sz w:val="20"/>
          <w:szCs w:val="20"/>
          <w:color w:val="auto"/>
        </w:rPr>
      </w:pPr>
      <w:r>
        <w:rPr>
          <w:rFonts w:ascii="Arial" w:cs="Arial" w:eastAsia="Arial" w:hAnsi="Arial"/>
          <w:sz w:val="22"/>
          <w:szCs w:val="22"/>
          <w:b w:val="1"/>
          <w:bCs w:val="1"/>
          <w:color w:val="auto"/>
        </w:rPr>
        <w:t>Item 6. Ownership of More than Five Percent on Behalf of Another Person.</w:t>
      </w:r>
    </w:p>
    <w:p>
      <w:pPr>
        <w:spacing w:after="0" w:line="212" w:lineRule="exact"/>
        <w:rPr>
          <w:sz w:val="20"/>
          <w:szCs w:val="20"/>
          <w:color w:val="auto"/>
        </w:rPr>
      </w:pPr>
    </w:p>
    <w:p>
      <w:pPr>
        <w:jc w:val="both"/>
        <w:ind w:right="140"/>
        <w:spacing w:after="0"/>
        <w:rPr>
          <w:sz w:val="20"/>
          <w:szCs w:val="20"/>
          <w:color w:val="auto"/>
        </w:rPr>
      </w:pPr>
      <w:r>
        <w:rPr>
          <w:rFonts w:ascii="Arial" w:cs="Arial" w:eastAsia="Arial" w:hAnsi="Arial"/>
          <w:sz w:val="22"/>
          <w:szCs w:val="22"/>
          <w:color w:val="auto"/>
        </w:rPr>
        <w:t>SCM is the general partner of SCP and an investment adviser whose clients, including SCP, have the right to receive or the power to direct the receipt of dividends from, or the proceeds from the sale of, the Stock. Seaver and Kent are the Managing Members of SCM.</w:t>
      </w:r>
    </w:p>
    <w:p>
      <w:pPr>
        <w:spacing w:after="0" w:line="180" w:lineRule="exact"/>
        <w:rPr>
          <w:sz w:val="20"/>
          <w:szCs w:val="20"/>
          <w:color w:val="auto"/>
        </w:rPr>
      </w:pPr>
    </w:p>
    <w:p>
      <w:pPr>
        <w:ind w:left="2160" w:right="620"/>
        <w:spacing w:after="0" w:line="256" w:lineRule="auto"/>
        <w:rPr>
          <w:sz w:val="20"/>
          <w:szCs w:val="20"/>
          <w:color w:val="auto"/>
        </w:rPr>
      </w:pPr>
      <w:r>
        <w:rPr>
          <w:rFonts w:ascii="Arial" w:cs="Arial" w:eastAsia="Arial" w:hAnsi="Arial"/>
          <w:sz w:val="22"/>
          <w:szCs w:val="22"/>
          <w:b w:val="1"/>
          <w:bCs w:val="1"/>
          <w:color w:val="auto"/>
        </w:rPr>
        <w:t>Item 7. Identification and Classification of the Subsidiary Which Acquired the Security Being Reported on By the Parent Holding Company.</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ind w:left="2160"/>
        <w:spacing w:after="0"/>
        <w:rPr>
          <w:sz w:val="20"/>
          <w:szCs w:val="20"/>
          <w:color w:val="auto"/>
        </w:rPr>
      </w:pPr>
      <w:r>
        <w:rPr>
          <w:rFonts w:ascii="Arial" w:cs="Arial" w:eastAsia="Arial" w:hAnsi="Arial"/>
          <w:sz w:val="22"/>
          <w:szCs w:val="22"/>
          <w:b w:val="1"/>
          <w:bCs w:val="1"/>
          <w:color w:val="auto"/>
        </w:rPr>
        <w:t>Item 8. Identification and Classification of Members of the Group.</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See Item 2(a) of this Schedule.</w:t>
      </w:r>
    </w:p>
    <w:p>
      <w:pPr>
        <w:spacing w:after="0" w:line="206" w:lineRule="exact"/>
        <w:rPr>
          <w:sz w:val="20"/>
          <w:szCs w:val="20"/>
          <w:color w:val="auto"/>
        </w:rPr>
      </w:pPr>
    </w:p>
    <w:p>
      <w:pPr>
        <w:ind w:left="2160"/>
        <w:spacing w:after="0"/>
        <w:rPr>
          <w:sz w:val="20"/>
          <w:szCs w:val="20"/>
          <w:color w:val="auto"/>
        </w:rPr>
      </w:pPr>
      <w:r>
        <w:rPr>
          <w:rFonts w:ascii="Arial" w:cs="Arial" w:eastAsia="Arial" w:hAnsi="Arial"/>
          <w:sz w:val="22"/>
          <w:szCs w:val="22"/>
          <w:b w:val="1"/>
          <w:bCs w:val="1"/>
          <w:color w:val="auto"/>
        </w:rPr>
        <w:t>Item 9. Notice of Dissolution of Group</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ind w:left="2160"/>
        <w:spacing w:after="0"/>
        <w:rPr>
          <w:sz w:val="20"/>
          <w:szCs w:val="20"/>
          <w:color w:val="auto"/>
        </w:rPr>
      </w:pPr>
      <w:r>
        <w:rPr>
          <w:rFonts w:ascii="Arial" w:cs="Arial" w:eastAsia="Arial" w:hAnsi="Arial"/>
          <w:sz w:val="22"/>
          <w:szCs w:val="22"/>
          <w:b w:val="1"/>
          <w:bCs w:val="1"/>
          <w:color w:val="auto"/>
        </w:rPr>
        <w:t>Item 10. Certification.</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The following Certification is made by SCM, Kent and Seaver.</w:t>
      </w:r>
    </w:p>
    <w:p>
      <w:pPr>
        <w:spacing w:after="0" w:line="206"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The following Certification is made by SCP.</w:t>
      </w:r>
    </w:p>
    <w:p>
      <w:pPr>
        <w:spacing w:after="0" w:line="206" w:lineRule="exact"/>
        <w:rPr>
          <w:sz w:val="20"/>
          <w:szCs w:val="20"/>
          <w:color w:val="auto"/>
        </w:rPr>
      </w:pPr>
    </w:p>
    <w:p>
      <w:pPr>
        <w:ind w:right="220"/>
        <w:spacing w:after="0" w:line="29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SIGNATURE</w:t>
      </w:r>
    </w:p>
    <w:p>
      <w:pPr>
        <w:spacing w:after="0" w:line="206" w:lineRule="exact"/>
        <w:rPr>
          <w:sz w:val="20"/>
          <w:szCs w:val="20"/>
          <w:color w:val="auto"/>
        </w:rPr>
      </w:pPr>
    </w:p>
    <w:p>
      <w:pPr>
        <w:ind w:right="40"/>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Dated: </w:t>
      </w:r>
      <w:r>
        <w:rPr>
          <w:rFonts w:ascii="Arial" w:cs="Arial" w:eastAsia="Arial" w:hAnsi="Arial"/>
          <w:sz w:val="22"/>
          <w:szCs w:val="22"/>
          <w:b w:val="1"/>
          <w:bCs w:val="1"/>
          <w:color w:val="auto"/>
        </w:rPr>
        <w:t>September 12, 2003</w:t>
      </w:r>
    </w:p>
    <w:p>
      <w:pPr>
        <w:spacing w:after="0" w:line="200" w:lineRule="exact"/>
        <w:rPr>
          <w:sz w:val="20"/>
          <w:szCs w:val="20"/>
          <w:color w:val="auto"/>
        </w:rPr>
      </w:pPr>
    </w:p>
    <w:p>
      <w:pPr>
        <w:spacing w:after="0" w:line="384"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STADIUM CAPITAL MANAGEMENT,</w:t>
      </w:r>
    </w:p>
    <w:p>
      <w:pPr>
        <w:spacing w:after="0" w:line="14"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LLC</w:t>
      </w:r>
    </w:p>
    <w:p>
      <w:pPr>
        <w:spacing w:after="0" w:line="398" w:lineRule="exact"/>
        <w:rPr>
          <w:sz w:val="20"/>
          <w:szCs w:val="20"/>
          <w:color w:val="auto"/>
        </w:rPr>
      </w:pPr>
    </w:p>
    <w:p>
      <w:pPr>
        <w:ind w:left="4420"/>
        <w:spacing w:after="0"/>
        <w:rPr>
          <w:sz w:val="20"/>
          <w:szCs w:val="20"/>
          <w:color w:val="auto"/>
        </w:rPr>
      </w:pPr>
      <w:r>
        <w:rPr>
          <w:rFonts w:ascii="Arial" w:cs="Arial" w:eastAsia="Arial" w:hAnsi="Arial"/>
          <w:sz w:val="22"/>
          <w:szCs w:val="22"/>
          <w:b w:val="1"/>
          <w:bCs w:val="1"/>
          <w:color w:val="auto"/>
        </w:rPr>
        <w:t>Alexander M. Seaver</w:t>
      </w:r>
    </w:p>
    <w:p>
      <w:pPr>
        <w:spacing w:after="0" w:line="14" w:lineRule="exact"/>
        <w:rPr>
          <w:sz w:val="20"/>
          <w:szCs w:val="20"/>
          <w:color w:val="auto"/>
        </w:rPr>
      </w:pPr>
    </w:p>
    <w:p>
      <w:pPr>
        <w:ind w:left="1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b w:val="1"/>
          <w:bCs w:val="1"/>
          <w:color w:val="auto"/>
        </w:rPr>
        <w:t>Bradley R. Kent,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2800985</wp:posOffset>
            </wp:positionH>
            <wp:positionV relativeFrom="paragraph">
              <wp:posOffset>398780</wp:posOffset>
            </wp:positionV>
            <wp:extent cx="342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420"/>
        <w:spacing w:after="0"/>
        <w:rPr>
          <w:sz w:val="20"/>
          <w:szCs w:val="20"/>
          <w:color w:val="auto"/>
        </w:rPr>
      </w:pPr>
      <w:r>
        <w:rPr>
          <w:rFonts w:ascii="Arial" w:cs="Arial" w:eastAsia="Arial" w:hAnsi="Arial"/>
          <w:sz w:val="22"/>
          <w:szCs w:val="22"/>
          <w:b w:val="1"/>
          <w:bCs w:val="1"/>
          <w:color w:val="auto"/>
        </w:rPr>
        <w:t>Bradley R. Kent</w:t>
      </w:r>
    </w:p>
    <w:p>
      <w:pPr>
        <w:spacing w:after="0" w:line="179"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STADIUM CAPITAL PARTNERS, L.P.</w:t>
      </w:r>
    </w:p>
    <w:p>
      <w:pPr>
        <w:spacing w:after="0" w:line="206" w:lineRule="exact"/>
        <w:rPr>
          <w:sz w:val="20"/>
          <w:szCs w:val="20"/>
          <w:color w:val="auto"/>
        </w:rPr>
      </w:pPr>
    </w:p>
    <w:p>
      <w:pPr>
        <w:ind w:left="1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b w:val="1"/>
          <w:bCs w:val="1"/>
          <w:color w:val="auto"/>
        </w:rPr>
        <w:t>Stadium Capital Management, LLC</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b w:val="1"/>
          <w:bCs w:val="1"/>
          <w:color w:val="auto"/>
        </w:rPr>
        <w:t>Bradley R. Kent, Manager</w:t>
      </w:r>
    </w:p>
    <w:p>
      <w:pPr>
        <w:sectPr>
          <w:pgSz w:w="11900" w:h="16838" w:orient="portrait"/>
          <w:cols w:equalWidth="0" w:num="1">
            <w:col w:w="11400"/>
          </w:cols>
          <w:pgMar w:left="240" w:top="112" w:right="259" w:bottom="729"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upperLetter"/>
      <w:start w:val="50"/>
    </w:lvl>
  </w:abstractNum>
  <w:abstractNum w:abstractNumId="1">
    <w:nsid w:val="515F007C"/>
    <w:multiLevelType w:val="hybridMultilevel"/>
    <w:lvl w:ilvl="0">
      <w:lvlJc w:val="left"/>
      <w:lvlText w:val="[%1]"/>
      <w:numFmt w:val="upperLetter"/>
      <w:start w:val="50"/>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1."/>
      <w:numFmt w:val="decimal"/>
      <w:start w:val="2"/>
    </w:lvl>
  </w:abstractNum>
  <w:abstractNum w:abstractNumId="4">
    <w:nsid w:val="4DB127F8"/>
    <w:multiLevelType w:val="hybridMultilevel"/>
    <w:lvl w:ilvl="0">
      <w:lvlJc w:val="left"/>
      <w:lvlText w:val="%1."/>
      <w:numFmt w:val="decimal"/>
      <w:start w:val="3"/>
    </w:lvl>
  </w:abstractNum>
  <w:abstractNum w:abstractNumId="5">
    <w:nsid w:val="216231B"/>
    <w:multiLevelType w:val="hybridMultilevel"/>
    <w:lvl w:ilvl="0">
      <w:lvlJc w:val="left"/>
      <w:lvlText w:val="%1."/>
      <w:numFmt w:val="decimal"/>
      <w:start w:val="9"/>
    </w:lvl>
  </w:abstractNum>
  <w:abstractNum w:abstractNumId="6">
    <w:nsid w:val="1F16E9E8"/>
    <w:multiLevelType w:val="hybridMultilevel"/>
    <w:lvl w:ilvl="0">
      <w:lvlJc w:val="left"/>
      <w:lvlText w:val="%1."/>
      <w:numFmt w:val="decimal"/>
      <w:start w:val="9"/>
    </w:lvl>
  </w:abstractNum>
  <w:abstractNum w:abstractNumId="7">
    <w:nsid w:val="1190CDE7"/>
    <w:multiLevelType w:val="hybridMultilevel"/>
    <w:lvl w:ilvl="0">
      <w:lvlJc w:val="left"/>
      <w:lvlText w:val="(%1)"/>
      <w:numFmt w:val="lowerLetter"/>
      <w:start w:val="1"/>
    </w:lvl>
  </w:abstractNum>
  <w:abstractNum w:abstractNumId="8">
    <w:nsid w:val="66EF438D"/>
    <w:multiLevelType w:val="hybridMultilevel"/>
    <w:lvl w:ilvl="0">
      <w:lvlJc w:val="left"/>
      <w:lvlText w:val="%1."/>
      <w:numFmt w:val="decimal"/>
      <w:start w:val="3"/>
    </w:lvl>
  </w:abstractNum>
  <w:abstractNum w:abstractNumId="9">
    <w:nsid w:val="140E0F76"/>
    <w:multiLevelType w:val="hybridMultilevel"/>
    <w:lvl w:ilvl="0">
      <w:lvlJc w:val="left"/>
      <w:lvlText w:val="%1."/>
      <w:numFmt w:val="decimal"/>
      <w:start w:val="9"/>
    </w:lvl>
  </w:abstractNum>
  <w:abstractNum w:abstractNumId="10">
    <w:nsid w:val="3352255A"/>
    <w:multiLevelType w:val="hybridMultilevel"/>
    <w:lvl w:ilvl="0">
      <w:lvlJc w:val="left"/>
      <w:lvlText w:val="(%1)"/>
      <w:numFmt w:val="lowerLetter"/>
      <w:start w:val="1"/>
    </w:lvl>
  </w:abstractNum>
  <w:abstractNum w:abstractNumId="11">
    <w:nsid w:val="109CF92E"/>
    <w:multiLevelType w:val="hybridMultilevel"/>
    <w:lvl w:ilvl="0">
      <w:lvlJc w:val="left"/>
      <w:lvlText w:val="%1."/>
      <w:numFmt w:val="decimal"/>
      <w:start w:val="3"/>
    </w:lvl>
  </w:abstractNum>
  <w:abstractNum w:abstractNumId="12">
    <w:nsid w:val="DED7263"/>
    <w:multiLevelType w:val="hybridMultilevel"/>
    <w:lvl w:ilvl="0">
      <w:lvlJc w:val="left"/>
      <w:lvlText w:val="%1."/>
      <w:numFmt w:val="decimal"/>
      <w:start w:val="9"/>
    </w:lvl>
  </w:abstractNum>
  <w:abstractNum w:abstractNumId="13">
    <w:nsid w:val="7FDCC233"/>
    <w:multiLevelType w:val="hybridMultilevel"/>
    <w:lvl w:ilvl="0">
      <w:lvlJc w:val="left"/>
      <w:lvlText w:val="(%1)"/>
      <w:numFmt w:val="lowerLetter"/>
      <w:start w:val="3"/>
    </w:lvl>
  </w:abstractNum>
  <w:abstractNum w:abstractNumId="14">
    <w:nsid w:val="1BEFD79F"/>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2019-12-11T21:07:50Z</dcterms:created>
  <dcterms:modified xsi:type="dcterms:W3CDTF">2019-12-11T21:07:50Z</dcterms:modified>
</cp:coreProperties>
</file>