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DECEMBER 31, 1997</w:t>
      </w:r>
    </w:p>
    <w:p>
      <w:pPr>
        <w:spacing w:after="0" w:line="20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FOR THE TRANSITION PERIOD FROM___________TO__________</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COMMISSION FILE NUMBER 1-9533</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WORLD FUEL SERVICES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59-2459427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880" w:space="720"/>
            <w:col w:w="4619"/>
          </w:cols>
          <w:pgMar w:left="240" w:top="447" w:right="1440" w:bottom="1440" w:gutter="0" w:footer="0" w:header="0"/>
          <w:type w:val="continuous"/>
        </w:sectPr>
      </w:pPr>
    </w:p>
    <w:p>
      <w:pPr>
        <w:spacing w:after="0" w:line="209" w:lineRule="exact"/>
        <w:rPr>
          <w:sz w:val="24"/>
          <w:szCs w:val="24"/>
          <w:color w:val="auto"/>
        </w:rPr>
      </w:pPr>
    </w:p>
    <w:p>
      <w:pPr>
        <w:jc w:val="center"/>
        <w:ind w:left="860" w:right="320"/>
        <w:spacing w:after="0" w:line="237" w:lineRule="auto"/>
        <w:rPr>
          <w:sz w:val="20"/>
          <w:szCs w:val="20"/>
          <w:color w:val="auto"/>
        </w:rPr>
      </w:pPr>
      <w:r>
        <w:rPr>
          <w:rFonts w:ascii="Courier New" w:cs="Courier New" w:eastAsia="Courier New" w:hAnsi="Courier New"/>
          <w:sz w:val="18"/>
          <w:szCs w:val="18"/>
          <w:color w:val="auto"/>
        </w:rPr>
        <w:t>700 SOUTH ROYAL POINCIANA BLVD., SUITE 800 MIAMI SPRINGS, FLORIDA ------------------------------------------ (Address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33166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6" w:lineRule="exact"/>
        <w:rPr>
          <w:sz w:val="24"/>
          <w:szCs w:val="24"/>
          <w:color w:val="auto"/>
        </w:rPr>
      </w:pPr>
    </w:p>
    <w:p>
      <w:pPr>
        <w:sectPr>
          <w:pgSz w:w="11900" w:h="16838" w:orient="portrait"/>
          <w:cols w:equalWidth="0" w:num="2">
            <w:col w:w="5600" w:space="720"/>
            <w:col w:w="3899"/>
          </w:cols>
          <w:pgMar w:left="240" w:top="447" w:right="1440" w:bottom="1440" w:gutter="0" w:footer="0" w:header="0"/>
          <w:type w:val="continuous"/>
        </w:sectPr>
      </w:pPr>
    </w:p>
    <w:p>
      <w:pPr>
        <w:spacing w:after="0" w:line="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Registrant's Telephone Number, including area code: (305) 884-2001</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jc w:val="both"/>
        <w:ind w:right="2419" w:firstLine="948"/>
        <w:spacing w:after="0" w:line="290" w:lineRule="auto"/>
        <w:rPr>
          <w:sz w:val="20"/>
          <w:szCs w:val="20"/>
          <w:color w:val="auto"/>
        </w:rPr>
      </w:pPr>
      <w:r>
        <w:rPr>
          <w:rFonts w:ascii="Courier New" w:cs="Courier New" w:eastAsia="Courier New" w:hAnsi="Courier New"/>
          <w:sz w:val="16"/>
          <w:szCs w:val="16"/>
          <w:color w:val="auto"/>
        </w:rPr>
        <w:t>As of December 31, 1997, the registrant had a total of 12,163,152 shares of common stock, par value $0.01 per share, issued and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following unaudited, condensed consolidated financial statements of World Fuel Services Corporation (the "Company") have been prepared in accordance with the instructions to Form 10-Q and, therefore, omit or condense certain footnotes and other information normally included in financial statements prepared in accordance with generally accepted accounting principles. In the opinion of management, all adjustments necessary for a fair presentation of the financial information for the interim periods reported have been made. Results of operations for the nine months ended December 31, 1997, will not be necessarily indicative of the results for the entire fiscal year ending March 31, 1998.</w:t>
      </w:r>
    </w:p>
    <w:p>
      <w:pPr>
        <w:spacing w:after="0" w:line="38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2 of 17</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tbl>
      <w:tblPr>
        <w:tblLayout w:type="fixed"/>
        <w:tblInd w:w="0" w:type="dxa"/>
        <w:tblCellMar>
          <w:top w:w="0" w:type="dxa"/>
          <w:left w:w="0" w:type="dxa"/>
          <w:bottom w:w="0" w:type="dxa"/>
          <w:right w:w="0" w:type="dxa"/>
        </w:tblCellMar>
      </w:tblPr>
      <w:tr>
        <w:trPr>
          <w:trHeight w:val="203"/>
        </w:trPr>
        <w:tc>
          <w:tcPr>
            <w:tcW w:w="580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580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5"/>
        </w:trPr>
        <w:tc>
          <w:tcPr>
            <w:tcW w:w="5800" w:type="dxa"/>
            <w:vAlign w:val="bottom"/>
          </w:tcPr>
          <w:p>
            <w:pPr>
              <w:ind w:left="3900"/>
              <w:spacing w:after="0"/>
              <w:rPr>
                <w:sz w:val="20"/>
                <w:szCs w:val="20"/>
                <w:color w:val="auto"/>
              </w:rPr>
            </w:pPr>
            <w:r>
              <w:rPr>
                <w:rFonts w:ascii="Courier New" w:cs="Courier New" w:eastAsia="Courier New" w:hAnsi="Courier New"/>
                <w:sz w:val="18"/>
                <w:szCs w:val="18"/>
                <w:color w:val="auto"/>
              </w:rPr>
              <w:t>ASSETS</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5"/>
        </w:trPr>
        <w:tc>
          <w:tcPr>
            <w:tcW w:w="5800" w:type="dxa"/>
            <w:vAlign w:val="bottom"/>
          </w:tcPr>
          <w:p>
            <w:pPr>
              <w:spacing w:after="0"/>
              <w:rPr>
                <w:sz w:val="24"/>
                <w:szCs w:val="24"/>
                <w:color w:val="auto"/>
              </w:rPr>
            </w:pP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DECEMBER 31, 1997</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MARCH 31, 1997</w:t>
            </w:r>
          </w:p>
        </w:tc>
      </w:tr>
      <w:tr>
        <w:trPr>
          <w:trHeight w:val="203"/>
        </w:trPr>
        <w:tc>
          <w:tcPr>
            <w:tcW w:w="5800" w:type="dxa"/>
            <w:vAlign w:val="bottom"/>
          </w:tcPr>
          <w:p>
            <w:pPr>
              <w:spacing w:after="0"/>
              <w:rPr>
                <w:sz w:val="17"/>
                <w:szCs w:val="17"/>
                <w:color w:val="auto"/>
              </w:rPr>
            </w:pP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$ 17,464,000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$ 11,035,000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net of allowance for</w:t>
            </w:r>
          </w:p>
        </w:tc>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bad debts of $4,409,000 and $4,360,000 at</w:t>
            </w:r>
          </w:p>
        </w:tc>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December 31 and March 31, 1997, respectively</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81,007,000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70,819,000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8,126,000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6,449,000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6,662,000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5,133,000</w:t>
            </w:r>
          </w:p>
        </w:tc>
      </w:tr>
      <w:tr>
        <w:trPr>
          <w:trHeight w:val="203"/>
        </w:trPr>
        <w:tc>
          <w:tcPr>
            <w:tcW w:w="5800" w:type="dxa"/>
            <w:vAlign w:val="bottom"/>
          </w:tcPr>
          <w:p>
            <w:pPr>
              <w:spacing w:after="0"/>
              <w:rPr>
                <w:sz w:val="17"/>
                <w:szCs w:val="17"/>
                <w:color w:val="auto"/>
              </w:rPr>
            </w:pP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420"/>
              <w:spacing w:after="0"/>
              <w:rPr>
                <w:sz w:val="20"/>
                <w:szCs w:val="20"/>
                <w:color w:val="auto"/>
              </w:rPr>
            </w:pPr>
            <w:r>
              <w:rPr>
                <w:rFonts w:ascii="Courier New" w:cs="Courier New" w:eastAsia="Courier New" w:hAnsi="Courier New"/>
                <w:sz w:val="18"/>
                <w:szCs w:val="18"/>
                <w:color w:val="auto"/>
              </w:rPr>
              <w:t>Total current assets</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113,259,000</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93,436,000</w:t>
            </w:r>
          </w:p>
        </w:tc>
      </w:tr>
      <w:tr>
        <w:trPr>
          <w:trHeight w:val="203"/>
        </w:trPr>
        <w:tc>
          <w:tcPr>
            <w:tcW w:w="5800" w:type="dxa"/>
            <w:vAlign w:val="bottom"/>
          </w:tcPr>
          <w:p>
            <w:pPr>
              <w:spacing w:after="0"/>
              <w:rPr>
                <w:sz w:val="17"/>
                <w:szCs w:val="17"/>
                <w:color w:val="auto"/>
              </w:rPr>
            </w:pP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601,000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601,000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3,063,000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2,998,000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 and furniture</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4,458,000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3,331,000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Plant, machinery and equipment</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17,190,000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16,310,000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222,000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135,000</w:t>
            </w:r>
          </w:p>
        </w:tc>
      </w:tr>
      <w:tr>
        <w:trPr>
          <w:trHeight w:val="203"/>
        </w:trPr>
        <w:tc>
          <w:tcPr>
            <w:tcW w:w="5800" w:type="dxa"/>
            <w:vAlign w:val="bottom"/>
          </w:tcPr>
          <w:p>
            <w:pPr>
              <w:spacing w:after="0"/>
              <w:rPr>
                <w:sz w:val="17"/>
                <w:szCs w:val="17"/>
                <w:color w:val="auto"/>
              </w:rPr>
            </w:pP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4"/>
                <w:szCs w:val="24"/>
                <w:color w:val="auto"/>
              </w:rPr>
            </w:pP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25,534,000</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23,375,000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8,384,000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7,094,000</w:t>
            </w:r>
          </w:p>
        </w:tc>
      </w:tr>
      <w:tr>
        <w:trPr>
          <w:trHeight w:val="203"/>
        </w:trPr>
        <w:tc>
          <w:tcPr>
            <w:tcW w:w="5800" w:type="dxa"/>
            <w:vAlign w:val="bottom"/>
          </w:tcPr>
          <w:p>
            <w:pPr>
              <w:spacing w:after="0"/>
              <w:rPr>
                <w:sz w:val="17"/>
                <w:szCs w:val="17"/>
                <w:color w:val="auto"/>
              </w:rPr>
            </w:pP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4"/>
                <w:szCs w:val="24"/>
                <w:color w:val="auto"/>
              </w:rPr>
            </w:pP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17,150,000</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16,281,000</w:t>
            </w:r>
          </w:p>
        </w:tc>
      </w:tr>
      <w:tr>
        <w:trPr>
          <w:trHeight w:val="203"/>
        </w:trPr>
        <w:tc>
          <w:tcPr>
            <w:tcW w:w="5800" w:type="dxa"/>
            <w:vAlign w:val="bottom"/>
          </w:tcPr>
          <w:p>
            <w:pPr>
              <w:spacing w:after="0"/>
              <w:rPr>
                <w:sz w:val="17"/>
                <w:szCs w:val="17"/>
                <w:color w:val="auto"/>
              </w:rPr>
            </w:pP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Unamortized cost in excess of net</w:t>
            </w:r>
          </w:p>
        </w:tc>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 of acquired companies, net of</w:t>
            </w:r>
          </w:p>
        </w:tc>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11,514,000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11,785,000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1,087,000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1,637,000</w:t>
            </w:r>
          </w:p>
        </w:tc>
      </w:tr>
      <w:tr>
        <w:trPr>
          <w:trHeight w:val="203"/>
        </w:trPr>
        <w:tc>
          <w:tcPr>
            <w:tcW w:w="5800" w:type="dxa"/>
            <w:vAlign w:val="bottom"/>
          </w:tcPr>
          <w:p>
            <w:pPr>
              <w:spacing w:after="0"/>
              <w:rPr>
                <w:sz w:val="17"/>
                <w:szCs w:val="17"/>
                <w:color w:val="auto"/>
              </w:rPr>
            </w:pP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4"/>
                <w:szCs w:val="24"/>
                <w:color w:val="auto"/>
              </w:rPr>
            </w:pP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$143,010,000</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$123,139,000</w:t>
            </w:r>
          </w:p>
        </w:tc>
      </w:tr>
      <w:tr>
        <w:trPr>
          <w:trHeight w:val="203"/>
        </w:trPr>
        <w:tc>
          <w:tcPr>
            <w:tcW w:w="5800" w:type="dxa"/>
            <w:vAlign w:val="bottom"/>
          </w:tcPr>
          <w:p>
            <w:pPr>
              <w:spacing w:after="0"/>
              <w:rPr>
                <w:sz w:val="17"/>
                <w:szCs w:val="17"/>
                <w:color w:val="auto"/>
              </w:rPr>
            </w:pP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17</w:t>
      </w:r>
    </w:p>
    <w:p>
      <w:pPr>
        <w:sectPr>
          <w:pgSz w:w="11900" w:h="16838" w:orient="portrait"/>
          <w:cols w:equalWidth="0" w:num="1">
            <w:col w:w="10219"/>
          </w:cols>
          <w:pgMar w:left="240" w:top="1122"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LIABILITIES AND STOCKHOLDERS' EQUITY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DECEMBER 31, 1997</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MARCH 31, 1997</w:t>
            </w:r>
          </w:p>
        </w:tc>
      </w:tr>
      <w:tr>
        <w:trPr>
          <w:trHeight w:val="203"/>
        </w:trPr>
        <w:tc>
          <w:tcPr>
            <w:tcW w:w="5740" w:type="dxa"/>
            <w:vAlign w:val="bottom"/>
          </w:tcPr>
          <w:p>
            <w:pPr>
              <w:spacing w:after="0"/>
              <w:rPr>
                <w:sz w:val="17"/>
                <w:szCs w:val="17"/>
                <w:color w:val="auto"/>
              </w:rPr>
            </w:pPr>
          </w:p>
        </w:tc>
        <w:tc>
          <w:tcPr>
            <w:tcW w:w="2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2,162,000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2,191,000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45,641,000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37,950,000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1,931,000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2,241,000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2,395,000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2,187,000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1,944,000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282,000</w:t>
            </w:r>
          </w:p>
        </w:tc>
      </w:tr>
      <w:tr>
        <w:trPr>
          <w:trHeight w:val="203"/>
        </w:trPr>
        <w:tc>
          <w:tcPr>
            <w:tcW w:w="5740" w:type="dxa"/>
            <w:vAlign w:val="bottom"/>
          </w:tcPr>
          <w:p>
            <w:pPr>
              <w:spacing w:after="0"/>
              <w:rPr>
                <w:sz w:val="17"/>
                <w:szCs w:val="17"/>
                <w:color w:val="auto"/>
              </w:rPr>
            </w:pP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Total current liabilities</w:t>
            </w:r>
          </w:p>
        </w:tc>
        <w:tc>
          <w:tcPr>
            <w:tcW w:w="23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54,073,000</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44,851,000</w:t>
            </w:r>
          </w:p>
        </w:tc>
      </w:tr>
      <w:tr>
        <w:trPr>
          <w:trHeight w:val="203"/>
        </w:trPr>
        <w:tc>
          <w:tcPr>
            <w:tcW w:w="5740" w:type="dxa"/>
            <w:vAlign w:val="bottom"/>
          </w:tcPr>
          <w:p>
            <w:pPr>
              <w:spacing w:after="0"/>
              <w:rPr>
                <w:sz w:val="17"/>
                <w:szCs w:val="17"/>
                <w:color w:val="auto"/>
              </w:rPr>
            </w:pP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LONG-TERM LIABILITIES:</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debt, net of current maturities</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329,000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396,000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2,122,000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2,166,000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976,000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468,000</w:t>
            </w:r>
          </w:p>
        </w:tc>
      </w:tr>
      <w:tr>
        <w:trPr>
          <w:trHeight w:val="203"/>
        </w:trPr>
        <w:tc>
          <w:tcPr>
            <w:tcW w:w="5740" w:type="dxa"/>
            <w:vAlign w:val="bottom"/>
          </w:tcPr>
          <w:p>
            <w:pPr>
              <w:spacing w:after="0"/>
              <w:rPr>
                <w:sz w:val="17"/>
                <w:szCs w:val="17"/>
                <w:color w:val="auto"/>
              </w:rPr>
            </w:pP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4"/>
                <w:szCs w:val="24"/>
                <w:color w:val="auto"/>
              </w:rPr>
            </w:pPr>
          </w:p>
        </w:tc>
        <w:tc>
          <w:tcPr>
            <w:tcW w:w="23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3,427,000</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3,030,000</w:t>
            </w:r>
          </w:p>
        </w:tc>
      </w:tr>
      <w:tr>
        <w:trPr>
          <w:trHeight w:val="203"/>
        </w:trPr>
        <w:tc>
          <w:tcPr>
            <w:tcW w:w="5740" w:type="dxa"/>
            <w:vAlign w:val="bottom"/>
          </w:tcPr>
          <w:p>
            <w:pPr>
              <w:spacing w:after="0"/>
              <w:rPr>
                <w:sz w:val="17"/>
                <w:szCs w:val="17"/>
                <w:color w:val="auto"/>
              </w:rPr>
            </w:pP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2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100,000 shares authorized, none issued</w:t>
            </w:r>
          </w:p>
        </w:tc>
        <w:tc>
          <w:tcPr>
            <w:tcW w:w="2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2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25,000,000 and 10,000,000 shares authorized</w:t>
            </w:r>
          </w:p>
        </w:tc>
        <w:tc>
          <w:tcPr>
            <w:tcW w:w="2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December 31 and March 31, 1997, respectively;</w:t>
            </w:r>
          </w:p>
        </w:tc>
        <w:tc>
          <w:tcPr>
            <w:tcW w:w="2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12,163,000 shares issued and outstanding at</w:t>
            </w:r>
          </w:p>
        </w:tc>
        <w:tc>
          <w:tcPr>
            <w:tcW w:w="2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December 31 and March 31, 1997 (See Note 2)</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122,000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122,000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23,234,000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23,234,000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62,211,000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51,959,000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57,000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57,000</w:t>
            </w:r>
          </w:p>
        </w:tc>
      </w:tr>
      <w:tr>
        <w:trPr>
          <w:trHeight w:val="203"/>
        </w:trPr>
        <w:tc>
          <w:tcPr>
            <w:tcW w:w="5740" w:type="dxa"/>
            <w:vAlign w:val="bottom"/>
          </w:tcPr>
          <w:p>
            <w:pPr>
              <w:spacing w:after="0"/>
              <w:rPr>
                <w:sz w:val="17"/>
                <w:szCs w:val="17"/>
                <w:color w:val="auto"/>
              </w:rPr>
            </w:pP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4"/>
                <w:szCs w:val="24"/>
                <w:color w:val="auto"/>
              </w:rPr>
            </w:pPr>
          </w:p>
        </w:tc>
        <w:tc>
          <w:tcPr>
            <w:tcW w:w="23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85,510,000</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75,258,000</w:t>
            </w:r>
          </w:p>
        </w:tc>
      </w:tr>
      <w:tr>
        <w:trPr>
          <w:trHeight w:val="203"/>
        </w:trPr>
        <w:tc>
          <w:tcPr>
            <w:tcW w:w="5740" w:type="dxa"/>
            <w:vAlign w:val="bottom"/>
          </w:tcPr>
          <w:p>
            <w:pPr>
              <w:spacing w:after="0"/>
              <w:rPr>
                <w:sz w:val="17"/>
                <w:szCs w:val="17"/>
                <w:color w:val="auto"/>
              </w:rPr>
            </w:pP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4"/>
                <w:szCs w:val="24"/>
                <w:color w:val="auto"/>
              </w:rPr>
            </w:pPr>
          </w:p>
        </w:tc>
        <w:tc>
          <w:tcPr>
            <w:tcW w:w="23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$143,010,000</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$123,139,000</w:t>
            </w:r>
          </w:p>
        </w:tc>
      </w:tr>
      <w:tr>
        <w:trPr>
          <w:trHeight w:val="203"/>
        </w:trPr>
        <w:tc>
          <w:tcPr>
            <w:tcW w:w="5740" w:type="dxa"/>
            <w:vAlign w:val="bottom"/>
          </w:tcPr>
          <w:p>
            <w:pPr>
              <w:spacing w:after="0"/>
              <w:rPr>
                <w:sz w:val="17"/>
                <w:szCs w:val="17"/>
                <w:color w:val="auto"/>
              </w:rPr>
            </w:pPr>
          </w:p>
        </w:tc>
        <w:tc>
          <w:tcPr>
            <w:tcW w:w="2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The accompanying notes to the consolidated financial statements are an integral part of these consolidated balance sheets (unaudited).</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17</w:t>
      </w:r>
    </w:p>
    <w:p>
      <w:pPr>
        <w:sectPr>
          <w:pgSz w:w="11900" w:h="16838" w:orient="portrait"/>
          <w:cols w:equalWidth="0" w:num="1">
            <w:col w:w="10219"/>
          </w:cols>
          <w:pgMar w:left="240" w:top="1122" w:right="1440" w:bottom="1440" w:gutter="0" w:footer="0" w:header="0"/>
        </w:sectPr>
      </w:pPr>
    </w:p>
    <w:bookmarkStart w:id="3" w:name="page4"/>
    <w:bookmarkEnd w:id="3"/>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tbl>
      <w:tblPr>
        <w:tblLayout w:type="fixed"/>
        <w:tblInd w:w="0" w:type="dxa"/>
        <w:tblCellMar>
          <w:top w:w="0" w:type="dxa"/>
          <w:left w:w="0" w:type="dxa"/>
          <w:bottom w:w="0" w:type="dxa"/>
          <w:right w:w="0" w:type="dxa"/>
        </w:tblCellMar>
      </w:tblPr>
      <w:tr>
        <w:trPr>
          <w:trHeight w:val="203"/>
        </w:trPr>
        <w:tc>
          <w:tcPr>
            <w:tcW w:w="6740" w:type="dxa"/>
            <w:vAlign w:val="bottom"/>
            <w:gridSpan w:val="3"/>
          </w:tcPr>
          <w:p>
            <w:pPr>
              <w:jc w:val="right"/>
              <w:ind w:right="632"/>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06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060" w:type="dxa"/>
            <w:vAlign w:val="bottom"/>
          </w:tcPr>
          <w:p>
            <w:pPr>
              <w:spacing w:after="0"/>
              <w:rPr>
                <w:sz w:val="24"/>
                <w:szCs w:val="24"/>
                <w:color w:val="auto"/>
              </w:rPr>
            </w:pPr>
          </w:p>
        </w:tc>
        <w:tc>
          <w:tcPr>
            <w:tcW w:w="32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NINE MONTHS ENDED DECEMBER 31,</w:t>
            </w:r>
          </w:p>
        </w:tc>
      </w:tr>
      <w:tr>
        <w:trPr>
          <w:trHeight w:val="203"/>
        </w:trPr>
        <w:tc>
          <w:tcPr>
            <w:tcW w:w="5060" w:type="dxa"/>
            <w:vAlign w:val="bottom"/>
          </w:tcPr>
          <w:p>
            <w:pPr>
              <w:spacing w:after="0"/>
              <w:rPr>
                <w:sz w:val="17"/>
                <w:szCs w:val="17"/>
                <w:color w:val="auto"/>
              </w:rPr>
            </w:pPr>
          </w:p>
        </w:tc>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1997</w:t>
            </w:r>
          </w:p>
        </w:tc>
        <w:tc>
          <w:tcPr>
            <w:tcW w:w="4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6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$600,978,000</w:t>
            </w:r>
          </w:p>
        </w:tc>
        <w:tc>
          <w:tcPr>
            <w:tcW w:w="16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$558,708,000</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3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565,216,000</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523,734,000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Gross profit</w:t>
            </w:r>
          </w:p>
        </w:tc>
        <w:tc>
          <w:tcPr>
            <w:tcW w:w="3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35,762,000</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34,974,000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12,301,000</w:t>
            </w:r>
          </w:p>
        </w:tc>
        <w:tc>
          <w:tcPr>
            <w:tcW w:w="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10,859,000</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217,000</w:t>
            </w:r>
          </w:p>
        </w:tc>
        <w:tc>
          <w:tcPr>
            <w:tcW w:w="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3,636,000</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9,075,000</w:t>
            </w:r>
          </w:p>
        </w:tc>
        <w:tc>
          <w:tcPr>
            <w:tcW w:w="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8,238,000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21,593,000</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22,733,000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Income from operations</w:t>
            </w:r>
          </w:p>
        </w:tc>
        <w:tc>
          <w:tcPr>
            <w:tcW w:w="3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14,169,000</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12,241,000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Equity in earnings of aviation joint venture</w:t>
            </w:r>
          </w:p>
        </w:tc>
        <w:tc>
          <w:tcPr>
            <w:tcW w:w="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860,000</w:t>
            </w:r>
          </w:p>
        </w:tc>
        <w:tc>
          <w:tcPr>
            <w:tcW w:w="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1,436,000</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net</w:t>
            </w:r>
          </w:p>
        </w:tc>
        <w:tc>
          <w:tcPr>
            <w:tcW w:w="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842,000</w:t>
            </w:r>
          </w:p>
        </w:tc>
        <w:tc>
          <w:tcPr>
            <w:tcW w:w="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1,702,000</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1,673,000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15,871,000</w:t>
            </w:r>
          </w:p>
        </w:tc>
        <w:tc>
          <w:tcPr>
            <w:tcW w:w="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13,914,000</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3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3,795,000</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4,162,000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$ 12,076,000</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9,752,000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06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0.99</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0.81</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3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12,163,000</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12,062,000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0.97</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0.79</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Diluted number of shares</w:t>
            </w:r>
          </w:p>
        </w:tc>
        <w:tc>
          <w:tcPr>
            <w:tcW w:w="3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12,445,000</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12,283,000</w:t>
            </w:r>
          </w:p>
        </w:tc>
      </w:tr>
      <w:tr>
        <w:trPr>
          <w:trHeight w:val="203"/>
        </w:trPr>
        <w:tc>
          <w:tcPr>
            <w:tcW w:w="506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2319"/>
        <w:spacing w:after="0" w:line="290" w:lineRule="auto"/>
        <w:rPr>
          <w:sz w:val="20"/>
          <w:szCs w:val="20"/>
          <w:color w:val="auto"/>
        </w:rPr>
      </w:pPr>
      <w:r>
        <w:rPr>
          <w:rFonts w:ascii="Courier New" w:cs="Courier New" w:eastAsia="Courier New" w:hAnsi="Courier New"/>
          <w:sz w:val="16"/>
          <w:szCs w:val="16"/>
          <w:color w:val="auto"/>
        </w:rPr>
        <w:t>The accompanying notes to the consolidated financial statements are an integral part of these consolidated financial statements (unaudited).</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17</w:t>
      </w:r>
    </w:p>
    <w:p>
      <w:pPr>
        <w:sectPr>
          <w:pgSz w:w="11900" w:h="16838" w:orient="portrait"/>
          <w:cols w:equalWidth="0" w:num="1">
            <w:col w:w="10219"/>
          </w:cols>
          <w:pgMar w:left="240" w:top="717" w:right="1440" w:bottom="1440" w:gutter="0" w:footer="0" w:header="0"/>
        </w:sectPr>
      </w:pPr>
    </w:p>
    <w:bookmarkStart w:id="4" w:name="page5"/>
    <w:bookmarkEnd w:id="4"/>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tbl>
      <w:tblPr>
        <w:tblLayout w:type="fixed"/>
        <w:tblInd w:w="0" w:type="dxa"/>
        <w:tblCellMar>
          <w:top w:w="0" w:type="dxa"/>
          <w:left w:w="0" w:type="dxa"/>
          <w:bottom w:w="0" w:type="dxa"/>
          <w:right w:w="0" w:type="dxa"/>
        </w:tblCellMar>
      </w:tblPr>
      <w:tr>
        <w:trPr>
          <w:trHeight w:val="203"/>
        </w:trPr>
        <w:tc>
          <w:tcPr>
            <w:tcW w:w="7180" w:type="dxa"/>
            <w:vAlign w:val="bottom"/>
            <w:gridSpan w:val="3"/>
          </w:tcPr>
          <w:p>
            <w:pPr>
              <w:jc w:val="right"/>
              <w:ind w:right="1072"/>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22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220" w:type="dxa"/>
            <w:vAlign w:val="bottom"/>
          </w:tcPr>
          <w:p>
            <w:pPr>
              <w:spacing w:after="0"/>
              <w:rPr>
                <w:sz w:val="24"/>
                <w:szCs w:val="24"/>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 DECEMBER 31,</w:t>
            </w:r>
          </w:p>
        </w:tc>
      </w:tr>
      <w:tr>
        <w:trPr>
          <w:trHeight w:val="203"/>
        </w:trPr>
        <w:tc>
          <w:tcPr>
            <w:tcW w:w="5220" w:type="dxa"/>
            <w:vAlign w:val="bottom"/>
          </w:tcPr>
          <w:p>
            <w:pPr>
              <w:spacing w:after="0"/>
              <w:rPr>
                <w:sz w:val="17"/>
                <w:szCs w:val="17"/>
                <w:color w:val="auto"/>
              </w:rPr>
            </w:pPr>
          </w:p>
        </w:tc>
        <w:tc>
          <w:tcPr>
            <w:tcW w:w="3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1997</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9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$208,879,000</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$207,665,000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4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196,424,000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195,949,000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320"/>
              <w:spacing w:after="0"/>
              <w:rPr>
                <w:sz w:val="20"/>
                <w:szCs w:val="20"/>
                <w:color w:val="auto"/>
              </w:rPr>
            </w:pPr>
            <w:r>
              <w:rPr>
                <w:rFonts w:ascii="Courier New" w:cs="Courier New" w:eastAsia="Courier New" w:hAnsi="Courier New"/>
                <w:sz w:val="18"/>
                <w:szCs w:val="18"/>
                <w:color w:val="auto"/>
              </w:rPr>
              <w:t>Gross profit</w:t>
            </w:r>
          </w:p>
        </w:tc>
        <w:tc>
          <w:tcPr>
            <w:tcW w:w="4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12,455,000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11,716,000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48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4,402,000</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3,987,000</w:t>
            </w: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48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203,000</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1,102,000</w:t>
            </w: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3,246,000</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2,653,000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7,851,000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7,742,000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320"/>
              <w:spacing w:after="0"/>
              <w:rPr>
                <w:sz w:val="20"/>
                <w:szCs w:val="20"/>
                <w:color w:val="auto"/>
              </w:rPr>
            </w:pPr>
            <w:r>
              <w:rPr>
                <w:rFonts w:ascii="Courier New" w:cs="Courier New" w:eastAsia="Courier New" w:hAnsi="Courier New"/>
                <w:sz w:val="18"/>
                <w:szCs w:val="18"/>
                <w:color w:val="auto"/>
              </w:rPr>
              <w:t>Income from operations</w:t>
            </w:r>
          </w:p>
        </w:tc>
        <w:tc>
          <w:tcPr>
            <w:tcW w:w="4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4,604,000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3,974,000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in earnings of aviation joint venture</w:t>
            </w:r>
          </w:p>
        </w:tc>
        <w:tc>
          <w:tcPr>
            <w:tcW w:w="48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324,000</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556,000</w:t>
            </w: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net</w:t>
            </w:r>
          </w:p>
        </w:tc>
        <w:tc>
          <w:tcPr>
            <w:tcW w:w="48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249,000</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573,000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595,000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420"/>
              <w:spacing w:after="0"/>
              <w:rPr>
                <w:sz w:val="20"/>
                <w:szCs w:val="20"/>
                <w:color w:val="auto"/>
              </w:rPr>
            </w:pPr>
            <w:r>
              <w:rPr>
                <w:rFonts w:ascii="Courier New" w:cs="Courier New" w:eastAsia="Courier New" w:hAnsi="Courier New"/>
                <w:sz w:val="18"/>
                <w:szCs w:val="18"/>
                <w:color w:val="auto"/>
              </w:rPr>
              <w:t>Income before income taxes</w:t>
            </w:r>
          </w:p>
        </w:tc>
        <w:tc>
          <w:tcPr>
            <w:tcW w:w="4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5,177,000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4,569,000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4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1,029,000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1,174,000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4,148,000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3,395,000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0.34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0.28</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4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12,163,000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12,064,000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0.33</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0.27</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Diluted number of shares</w:t>
            </w:r>
          </w:p>
        </w:tc>
        <w:tc>
          <w:tcPr>
            <w:tcW w:w="4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12,501,000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12,314,000</w:t>
            </w:r>
          </w:p>
        </w:tc>
      </w:tr>
      <w:tr>
        <w:trPr>
          <w:trHeight w:val="203"/>
        </w:trPr>
        <w:tc>
          <w:tcPr>
            <w:tcW w:w="522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2319"/>
        <w:spacing w:after="0" w:line="290" w:lineRule="auto"/>
        <w:rPr>
          <w:sz w:val="20"/>
          <w:szCs w:val="20"/>
          <w:color w:val="auto"/>
        </w:rPr>
      </w:pPr>
      <w:r>
        <w:rPr>
          <w:rFonts w:ascii="Courier New" w:cs="Courier New" w:eastAsia="Courier New" w:hAnsi="Courier New"/>
          <w:sz w:val="16"/>
          <w:szCs w:val="16"/>
          <w:color w:val="auto"/>
        </w:rPr>
        <w:t>The accompanying notes to the consolidated financial statements are an integral part of these consolidated financial statements (unaudited).</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17</w:t>
      </w:r>
    </w:p>
    <w:p>
      <w:pPr>
        <w:sectPr>
          <w:pgSz w:w="11900" w:h="16838" w:orient="portrait"/>
          <w:cols w:equalWidth="0" w:num="1">
            <w:col w:w="10219"/>
          </w:cols>
          <w:pgMar w:left="240" w:top="1122" w:right="1440" w:bottom="1440" w:gutter="0" w:footer="0" w:header="0"/>
        </w:sectPr>
      </w:pPr>
    </w:p>
    <w:bookmarkStart w:id="5" w:name="page6"/>
    <w:bookmarkEnd w:id="5"/>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6180" w:type="dxa"/>
            <w:vAlign w:val="bottom"/>
          </w:tcPr>
          <w:p>
            <w:pPr>
              <w:spacing w:after="0"/>
              <w:rPr>
                <w:sz w:val="24"/>
                <w:szCs w:val="24"/>
                <w:color w:val="auto"/>
              </w:rPr>
            </w:pPr>
          </w:p>
        </w:tc>
        <w:tc>
          <w:tcPr>
            <w:tcW w:w="3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NINE MONTHS ENDED DECEMBER 31,</w:t>
            </w:r>
          </w:p>
        </w:tc>
      </w:tr>
      <w:tr>
        <w:trPr>
          <w:trHeight w:val="203"/>
        </w:trPr>
        <w:tc>
          <w:tcPr>
            <w:tcW w:w="6180" w:type="dxa"/>
            <w:vAlign w:val="bottom"/>
          </w:tcPr>
          <w:p>
            <w:pPr>
              <w:spacing w:after="0"/>
              <w:rPr>
                <w:sz w:val="17"/>
                <w:szCs w:val="17"/>
                <w:color w:val="auto"/>
              </w:rPr>
            </w:pPr>
          </w:p>
        </w:tc>
        <w:tc>
          <w:tcPr>
            <w:tcW w:w="3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21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180" w:type="dxa"/>
            <w:vAlign w:val="bottom"/>
          </w:tcPr>
          <w:p>
            <w:pPr>
              <w:spacing w:after="0"/>
              <w:rPr>
                <w:sz w:val="17"/>
                <w:szCs w:val="17"/>
                <w:color w:val="auto"/>
              </w:rPr>
            </w:pP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$ 12,076,000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9,752,000</w:t>
            </w:r>
          </w:p>
        </w:tc>
      </w:tr>
      <w:tr>
        <w:trPr>
          <w:trHeight w:val="203"/>
        </w:trPr>
        <w:tc>
          <w:tcPr>
            <w:tcW w:w="6180" w:type="dxa"/>
            <w:vAlign w:val="bottom"/>
          </w:tcPr>
          <w:p>
            <w:pPr>
              <w:spacing w:after="0"/>
              <w:rPr>
                <w:sz w:val="17"/>
                <w:szCs w:val="17"/>
                <w:color w:val="auto"/>
              </w:rPr>
            </w:pP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320"/>
              <w:spacing w:after="0"/>
              <w:rPr>
                <w:sz w:val="20"/>
                <w:szCs w:val="20"/>
                <w:color w:val="auto"/>
              </w:rPr>
            </w:pPr>
            <w:r>
              <w:rPr>
                <w:rFonts w:ascii="Courier New" w:cs="Courier New" w:eastAsia="Courier New" w:hAnsi="Courier New"/>
                <w:sz w:val="18"/>
                <w:szCs w:val="18"/>
                <w:color w:val="auto"/>
              </w:rPr>
              <w:t>Adjustments to reconcile net income</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net cash provided by operating activities -</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1,769,000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1,401,000</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217,000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3,636,000</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income tax provision (benefit)</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508,000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(492,000)</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 in earnings of aviation joint venture, net</w:t>
            </w:r>
          </w:p>
        </w:tc>
        <w:tc>
          <w:tcPr>
            <w:tcW w:w="2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(424,000)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(416,000)</w:t>
            </w:r>
          </w:p>
        </w:tc>
      </w:tr>
      <w:tr>
        <w:trPr>
          <w:trHeight w:val="405"/>
        </w:trPr>
        <w:tc>
          <w:tcPr>
            <w:tcW w:w="6180" w:type="dxa"/>
            <w:vAlign w:val="bottom"/>
          </w:tcPr>
          <w:p>
            <w:pPr>
              <w:ind w:left="640"/>
              <w:spacing w:after="0"/>
              <w:rPr>
                <w:sz w:val="20"/>
                <w:szCs w:val="20"/>
                <w:color w:val="auto"/>
              </w:rPr>
            </w:pPr>
            <w:r>
              <w:rPr>
                <w:rFonts w:ascii="Courier New" w:cs="Courier New" w:eastAsia="Courier New" w:hAnsi="Courier New"/>
                <w:sz w:val="18"/>
                <w:szCs w:val="18"/>
                <w:color w:val="auto"/>
              </w:rPr>
              <w:t>Changes in assets and liabilities:</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61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(Increase) decrease in -</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(9,605,000)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(14,780,000)</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2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(1,677,000)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(1,485,000)</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2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(1,919,000)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(3,545,000)</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assets</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415,000</w:t>
            </w:r>
          </w:p>
        </w:tc>
      </w:tr>
      <w:tr>
        <w:trPr>
          <w:trHeight w:val="405"/>
        </w:trPr>
        <w:tc>
          <w:tcPr>
            <w:tcW w:w="6180" w:type="dxa"/>
            <w:vAlign w:val="bottom"/>
          </w:tcPr>
          <w:p>
            <w:pPr>
              <w:ind w:left="740"/>
              <w:spacing w:after="0"/>
              <w:rPr>
                <w:sz w:val="20"/>
                <w:szCs w:val="20"/>
                <w:color w:val="auto"/>
              </w:rPr>
            </w:pPr>
            <w:r>
              <w:rPr>
                <w:rFonts w:ascii="Courier New" w:cs="Courier New" w:eastAsia="Courier New" w:hAnsi="Courier New"/>
                <w:sz w:val="18"/>
                <w:szCs w:val="18"/>
                <w:color w:val="auto"/>
              </w:rPr>
              <w:t>Increase (decrease) in -</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7,691,000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2,765,000</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2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(310,000)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1,167,000</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208,000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1,662,000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1,113,000</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2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94,000</w:t>
            </w:r>
          </w:p>
        </w:tc>
      </w:tr>
      <w:tr>
        <w:trPr>
          <w:trHeight w:val="203"/>
        </w:trPr>
        <w:tc>
          <w:tcPr>
            <w:tcW w:w="6180" w:type="dxa"/>
            <w:vAlign w:val="bottom"/>
          </w:tcPr>
          <w:p>
            <w:pPr>
              <w:spacing w:after="0"/>
              <w:rPr>
                <w:sz w:val="17"/>
                <w:szCs w:val="17"/>
                <w:color w:val="auto"/>
              </w:rPr>
            </w:pP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960"/>
              <w:spacing w:after="0"/>
              <w:rPr>
                <w:sz w:val="20"/>
                <w:szCs w:val="20"/>
                <w:color w:val="auto"/>
              </w:rPr>
            </w:pPr>
            <w:r>
              <w:rPr>
                <w:rFonts w:ascii="Courier New" w:cs="Courier New" w:eastAsia="Courier New" w:hAnsi="Courier New"/>
                <w:sz w:val="18"/>
                <w:szCs w:val="18"/>
                <w:color w:val="auto"/>
              </w:rPr>
              <w:t>Total adjustments</w:t>
            </w:r>
          </w:p>
        </w:tc>
        <w:tc>
          <w:tcPr>
            <w:tcW w:w="2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(1,844,000)</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(10,277,000)</w:t>
            </w:r>
          </w:p>
        </w:tc>
      </w:tr>
      <w:tr>
        <w:trPr>
          <w:trHeight w:val="203"/>
        </w:trPr>
        <w:tc>
          <w:tcPr>
            <w:tcW w:w="6180" w:type="dxa"/>
            <w:vAlign w:val="bottom"/>
          </w:tcPr>
          <w:p>
            <w:pPr>
              <w:spacing w:after="0"/>
              <w:rPr>
                <w:sz w:val="17"/>
                <w:szCs w:val="17"/>
                <w:color w:val="auto"/>
              </w:rPr>
            </w:pP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420"/>
              <w:spacing w:after="0"/>
              <w:rPr>
                <w:sz w:val="20"/>
                <w:szCs w:val="20"/>
                <w:color w:val="auto"/>
              </w:rPr>
            </w:pPr>
            <w:r>
              <w:rPr>
                <w:rFonts w:ascii="Courier New" w:cs="Courier New" w:eastAsia="Courier New" w:hAnsi="Courier New"/>
                <w:sz w:val="18"/>
                <w:szCs w:val="18"/>
                <w:color w:val="auto"/>
              </w:rPr>
              <w:t>Net cash provided by (used in) operating activities</w:t>
            </w:r>
          </w:p>
        </w:tc>
        <w:tc>
          <w:tcPr>
            <w:tcW w:w="2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10,232,000</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(525,000)</w:t>
            </w:r>
          </w:p>
        </w:tc>
      </w:tr>
      <w:tr>
        <w:trPr>
          <w:trHeight w:val="203"/>
        </w:trPr>
        <w:tc>
          <w:tcPr>
            <w:tcW w:w="6180" w:type="dxa"/>
            <w:vAlign w:val="bottom"/>
          </w:tcPr>
          <w:p>
            <w:pPr>
              <w:spacing w:after="0"/>
              <w:rPr>
                <w:sz w:val="17"/>
                <w:szCs w:val="17"/>
                <w:color w:val="auto"/>
              </w:rPr>
            </w:pP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2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(2,279,000)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(2,099,000)</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Advances to aviation joint venture, net</w:t>
            </w:r>
          </w:p>
        </w:tc>
        <w:tc>
          <w:tcPr>
            <w:tcW w:w="2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(259,000)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notes receivable</w:t>
            </w: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655,000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380,000</w:t>
            </w:r>
          </w:p>
        </w:tc>
      </w:tr>
      <w:tr>
        <w:trPr>
          <w:trHeight w:val="203"/>
        </w:trPr>
        <w:tc>
          <w:tcPr>
            <w:tcW w:w="6180" w:type="dxa"/>
            <w:vAlign w:val="bottom"/>
          </w:tcPr>
          <w:p>
            <w:pPr>
              <w:spacing w:after="0"/>
              <w:rPr>
                <w:sz w:val="17"/>
                <w:szCs w:val="17"/>
                <w:color w:val="auto"/>
              </w:rPr>
            </w:pP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640"/>
              <w:spacing w:after="0"/>
              <w:rPr>
                <w:sz w:val="20"/>
                <w:szCs w:val="20"/>
                <w:color w:val="auto"/>
              </w:rPr>
            </w:pPr>
            <w:r>
              <w:rPr>
                <w:rFonts w:ascii="Courier New" w:cs="Courier New" w:eastAsia="Courier New" w:hAnsi="Courier New"/>
                <w:sz w:val="18"/>
                <w:szCs w:val="18"/>
                <w:color w:val="auto"/>
              </w:rPr>
              <w:t>Net cash used in investing activities</w:t>
            </w:r>
          </w:p>
        </w:tc>
        <w:tc>
          <w:tcPr>
            <w:tcW w:w="2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(1,883,000)</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 (1,719,000)</w:t>
            </w:r>
          </w:p>
        </w:tc>
      </w:tr>
      <w:tr>
        <w:trPr>
          <w:trHeight w:val="203"/>
        </w:trPr>
        <w:tc>
          <w:tcPr>
            <w:tcW w:w="6180" w:type="dxa"/>
            <w:vAlign w:val="bottom"/>
          </w:tcPr>
          <w:p>
            <w:pPr>
              <w:spacing w:after="0"/>
              <w:rPr>
                <w:sz w:val="17"/>
                <w:szCs w:val="17"/>
                <w:color w:val="auto"/>
              </w:rPr>
            </w:pPr>
          </w:p>
        </w:tc>
        <w:tc>
          <w:tcPr>
            <w:tcW w:w="2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17</w:t>
      </w:r>
    </w:p>
    <w:p>
      <w:pPr>
        <w:sectPr>
          <w:pgSz w:w="11900" w:h="16838" w:orient="portrait"/>
          <w:cols w:equalWidth="0" w:num="1">
            <w:col w:w="10219"/>
          </w:cols>
          <w:pgMar w:left="240" w:top="1325" w:right="1440" w:bottom="1440" w:gutter="0" w:footer="0" w:header="0"/>
        </w:sectPr>
      </w:pPr>
    </w:p>
    <w:bookmarkStart w:id="6" w:name="page7"/>
    <w:bookmarkEnd w:id="6"/>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6180" w:type="dxa"/>
            <w:vAlign w:val="bottom"/>
          </w:tcPr>
          <w:p>
            <w:pPr>
              <w:ind w:left="3700"/>
              <w:spacing w:after="0"/>
              <w:rPr>
                <w:sz w:val="20"/>
                <w:szCs w:val="20"/>
                <w:color w:val="auto"/>
              </w:rPr>
            </w:pPr>
            <w:r>
              <w:rPr>
                <w:rFonts w:ascii="Courier New" w:cs="Courier New" w:eastAsia="Courier New" w:hAnsi="Courier New"/>
                <w:sz w:val="18"/>
                <w:szCs w:val="18"/>
                <w:color w:val="auto"/>
              </w:rPr>
              <w:t>(Continued)</w:t>
            </w: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w w:val="96"/>
              </w:rPr>
              <w:t>NINE MONTHS ENDED DECEMBER 31,</w:t>
            </w:r>
          </w:p>
        </w:tc>
      </w:tr>
      <w:tr>
        <w:trPr>
          <w:trHeight w:val="203"/>
        </w:trPr>
        <w:tc>
          <w:tcPr>
            <w:tcW w:w="6180" w:type="dxa"/>
            <w:vAlign w:val="bottom"/>
          </w:tcPr>
          <w:p>
            <w:pPr>
              <w:spacing w:after="0"/>
              <w:rPr>
                <w:sz w:val="17"/>
                <w:szCs w:val="17"/>
                <w:color w:val="auto"/>
              </w:rPr>
            </w:pPr>
          </w:p>
        </w:tc>
        <w:tc>
          <w:tcPr>
            <w:tcW w:w="384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1997</w:t>
            </w:r>
          </w:p>
        </w:tc>
        <w:tc>
          <w:tcPr>
            <w:tcW w:w="5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180" w:type="dxa"/>
            <w:vAlign w:val="bottom"/>
          </w:tcPr>
          <w:p>
            <w:pPr>
              <w:spacing w:after="0"/>
              <w:rPr>
                <w:sz w:val="17"/>
                <w:szCs w:val="17"/>
                <w:color w:val="auto"/>
              </w:rPr>
            </w:pP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21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(1,824,000)</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(1,608,000)</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Borrowings under revolving credit facility</w:t>
            </w:r>
          </w:p>
        </w:tc>
        <w:tc>
          <w:tcPr>
            <w:tcW w:w="46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7,000,000</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46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(96,000)</w:t>
            </w:r>
          </w:p>
        </w:tc>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(52,000)</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46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38,000</w:t>
            </w:r>
          </w:p>
        </w:tc>
      </w:tr>
      <w:tr>
        <w:trPr>
          <w:trHeight w:val="203"/>
        </w:trPr>
        <w:tc>
          <w:tcPr>
            <w:tcW w:w="6180" w:type="dxa"/>
            <w:vAlign w:val="bottom"/>
          </w:tcPr>
          <w:p>
            <w:pPr>
              <w:spacing w:after="0"/>
              <w:rPr>
                <w:sz w:val="17"/>
                <w:szCs w:val="17"/>
                <w:color w:val="auto"/>
              </w:rPr>
            </w:pP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420"/>
              <w:spacing w:after="0"/>
              <w:rPr>
                <w:sz w:val="20"/>
                <w:szCs w:val="20"/>
                <w:color w:val="auto"/>
              </w:rPr>
            </w:pPr>
            <w:r>
              <w:rPr>
                <w:rFonts w:ascii="Courier New" w:cs="Courier New" w:eastAsia="Courier New" w:hAnsi="Courier New"/>
                <w:sz w:val="18"/>
                <w:szCs w:val="18"/>
                <w:color w:val="auto"/>
              </w:rPr>
              <w:t>Net cash (used in) provided by financing activities</w:t>
            </w:r>
          </w:p>
        </w:tc>
        <w:tc>
          <w:tcPr>
            <w:tcW w:w="460" w:type="dxa"/>
            <w:vAlign w:val="bottom"/>
          </w:tcPr>
          <w:p>
            <w:pPr>
              <w:spacing w:after="0"/>
              <w:rPr>
                <w:sz w:val="24"/>
                <w:szCs w:val="24"/>
                <w:color w:val="auto"/>
              </w:rPr>
            </w:pP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(1,920,000)</w:t>
            </w:r>
          </w:p>
        </w:tc>
        <w:tc>
          <w:tcPr>
            <w:tcW w:w="5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5,378,000</w:t>
            </w:r>
          </w:p>
        </w:tc>
      </w:tr>
      <w:tr>
        <w:trPr>
          <w:trHeight w:val="203"/>
        </w:trPr>
        <w:tc>
          <w:tcPr>
            <w:tcW w:w="6180" w:type="dxa"/>
            <w:vAlign w:val="bottom"/>
          </w:tcPr>
          <w:p>
            <w:pPr>
              <w:spacing w:after="0"/>
              <w:rPr>
                <w:sz w:val="17"/>
                <w:szCs w:val="17"/>
                <w:color w:val="auto"/>
              </w:rPr>
            </w:pP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460" w:type="dxa"/>
            <w:vAlign w:val="bottom"/>
          </w:tcPr>
          <w:p>
            <w:pPr>
              <w:spacing w:after="0"/>
              <w:rPr>
                <w:sz w:val="24"/>
                <w:szCs w:val="24"/>
                <w:color w:val="auto"/>
              </w:rPr>
            </w:pP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6,429,000</w:t>
            </w:r>
          </w:p>
        </w:tc>
        <w:tc>
          <w:tcPr>
            <w:tcW w:w="5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3,134,000</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 of period</w:t>
            </w:r>
          </w:p>
        </w:tc>
        <w:tc>
          <w:tcPr>
            <w:tcW w:w="460" w:type="dxa"/>
            <w:vAlign w:val="bottom"/>
          </w:tcPr>
          <w:p>
            <w:pPr>
              <w:spacing w:after="0"/>
              <w:rPr>
                <w:sz w:val="24"/>
                <w:szCs w:val="24"/>
                <w:color w:val="auto"/>
              </w:rPr>
            </w:pP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11,035,000</w:t>
            </w:r>
          </w:p>
        </w:tc>
        <w:tc>
          <w:tcPr>
            <w:tcW w:w="5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12,856,000</w:t>
            </w:r>
          </w:p>
        </w:tc>
      </w:tr>
      <w:tr>
        <w:trPr>
          <w:trHeight w:val="203"/>
        </w:trPr>
        <w:tc>
          <w:tcPr>
            <w:tcW w:w="6180" w:type="dxa"/>
            <w:vAlign w:val="bottom"/>
          </w:tcPr>
          <w:p>
            <w:pPr>
              <w:spacing w:after="0"/>
              <w:rPr>
                <w:sz w:val="17"/>
                <w:szCs w:val="17"/>
                <w:color w:val="auto"/>
              </w:rPr>
            </w:pP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210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$ 17,464,000</w:t>
            </w:r>
          </w:p>
        </w:tc>
        <w:tc>
          <w:tcPr>
            <w:tcW w:w="1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$ 15,990,000</w:t>
            </w:r>
          </w:p>
        </w:tc>
      </w:tr>
      <w:tr>
        <w:trPr>
          <w:trHeight w:val="203"/>
        </w:trPr>
        <w:tc>
          <w:tcPr>
            <w:tcW w:w="6180" w:type="dxa"/>
            <w:vAlign w:val="bottom"/>
          </w:tcPr>
          <w:p>
            <w:pPr>
              <w:spacing w:after="0"/>
              <w:rPr>
                <w:sz w:val="17"/>
                <w:szCs w:val="17"/>
                <w:color w:val="auto"/>
              </w:rPr>
            </w:pP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180" w:type="dxa"/>
            <w:vAlign w:val="bottom"/>
          </w:tcPr>
          <w:p>
            <w:pPr>
              <w:spacing w:after="0"/>
              <w:rPr>
                <w:sz w:val="20"/>
                <w:szCs w:val="20"/>
                <w:color w:val="auto"/>
              </w:rPr>
            </w:pPr>
            <w:r>
              <w:rPr>
                <w:rFonts w:ascii="Courier New" w:cs="Courier New" w:eastAsia="Courier New" w:hAnsi="Courier New"/>
                <w:sz w:val="18"/>
                <w:szCs w:val="18"/>
                <w:color w:val="auto"/>
              </w:rPr>
              <w:t>SUPPLEMENTAL DISCLOSURES OF CASH FLOW INFORMATION:</w:t>
            </w: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180" w:type="dxa"/>
            <w:vAlign w:val="bottom"/>
          </w:tcPr>
          <w:p>
            <w:pPr>
              <w:ind w:left="320"/>
              <w:spacing w:after="0"/>
              <w:rPr>
                <w:sz w:val="20"/>
                <w:szCs w:val="20"/>
                <w:color w:val="auto"/>
              </w:rPr>
            </w:pPr>
            <w:r>
              <w:rPr>
                <w:rFonts w:ascii="Courier New" w:cs="Courier New" w:eastAsia="Courier New" w:hAnsi="Courier New"/>
                <w:sz w:val="18"/>
                <w:szCs w:val="18"/>
                <w:color w:val="auto"/>
              </w:rPr>
              <w:t>Cash paid during the period for:</w:t>
            </w: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87,000</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52,000</w:t>
            </w:r>
          </w:p>
        </w:tc>
      </w:tr>
      <w:tr>
        <w:trPr>
          <w:trHeight w:val="203"/>
        </w:trPr>
        <w:tc>
          <w:tcPr>
            <w:tcW w:w="6180" w:type="dxa"/>
            <w:vAlign w:val="bottom"/>
          </w:tcPr>
          <w:p>
            <w:pPr>
              <w:spacing w:after="0"/>
              <w:rPr>
                <w:sz w:val="17"/>
                <w:szCs w:val="17"/>
                <w:color w:val="auto"/>
              </w:rPr>
            </w:pP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420"/>
              <w:spacing w:after="0"/>
              <w:rPr>
                <w:sz w:val="20"/>
                <w:szCs w:val="20"/>
                <w:color w:val="auto"/>
              </w:rPr>
            </w:pPr>
            <w:r>
              <w:rPr>
                <w:rFonts w:ascii="Courier New" w:cs="Courier New" w:eastAsia="Courier New" w:hAnsi="Courier New"/>
                <w:sz w:val="18"/>
                <w:szCs w:val="18"/>
                <w:color w:val="auto"/>
              </w:rPr>
              <w:t>Income taxes</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1,583,000</w:t>
            </w:r>
          </w:p>
        </w:tc>
        <w:tc>
          <w:tcPr>
            <w:tcW w:w="52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3,617,000</w:t>
            </w:r>
          </w:p>
        </w:tc>
      </w:tr>
      <w:tr>
        <w:trPr>
          <w:trHeight w:val="203"/>
        </w:trPr>
        <w:tc>
          <w:tcPr>
            <w:tcW w:w="6180" w:type="dxa"/>
            <w:vAlign w:val="bottom"/>
          </w:tcPr>
          <w:p>
            <w:pPr>
              <w:spacing w:after="0"/>
              <w:rPr>
                <w:sz w:val="17"/>
                <w:szCs w:val="17"/>
                <w:color w:val="auto"/>
              </w:rPr>
            </w:pP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SCHEDULE OF NONCASH FINANCING ACTIVITIES: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Cash dividends declared, but not yet paid, totaling $608,000 and $603,000 are included in accounts payable and accrued expenses as of December 31, 1997 and 1996, respectively.</w:t>
      </w:r>
    </w:p>
    <w:p>
      <w:pPr>
        <w:spacing w:after="0" w:line="200" w:lineRule="exact"/>
        <w:rPr>
          <w:sz w:val="20"/>
          <w:szCs w:val="20"/>
          <w:color w:val="auto"/>
        </w:rPr>
      </w:pPr>
    </w:p>
    <w:p>
      <w:pPr>
        <w:spacing w:after="0" w:line="211" w:lineRule="exact"/>
        <w:rPr>
          <w:sz w:val="20"/>
          <w:szCs w:val="20"/>
          <w:color w:val="auto"/>
        </w:rPr>
      </w:pPr>
    </w:p>
    <w:p>
      <w:pPr>
        <w:jc w:val="right"/>
        <w:ind w:left="540" w:right="2319"/>
        <w:spacing w:after="0" w:line="290" w:lineRule="auto"/>
        <w:rPr>
          <w:sz w:val="20"/>
          <w:szCs w:val="20"/>
          <w:color w:val="auto"/>
        </w:rPr>
      </w:pPr>
      <w:r>
        <w:rPr>
          <w:rFonts w:ascii="Courier New" w:cs="Courier New" w:eastAsia="Courier New" w:hAnsi="Courier New"/>
          <w:sz w:val="16"/>
          <w:szCs w:val="16"/>
          <w:color w:val="auto"/>
        </w:rPr>
        <w:t>The accompanying notes to the consolidated financial statements are an integral part of these consolidated financial statements (unaudited).</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17</w:t>
      </w:r>
    </w:p>
    <w:p>
      <w:pPr>
        <w:sectPr>
          <w:pgSz w:w="11900" w:h="16838" w:orient="portrait"/>
          <w:cols w:equalWidth="0" w:num="1">
            <w:col w:w="10219"/>
          </w:cols>
          <w:pgMar w:left="240" w:top="1122"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CONSOLIDATED FINANCIAL STATEMENTS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ACCOUNTING POLICIES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accounting policies followed for quarterly financial reporting are the same as those disclosed in Note 1 of the Notes to the Consolidated Financial Statements included in the Company's Annual Report on Form 10-K for the year ended March 31, 1997.</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October 30, 1997, the Board of Directors approved a three-for-two stock split for all shares of common stock held by shareholders of record as of November 17, 1997. The shares were distributed on December 1, 1997. The split has been retroactively reflected in the consolidated financial statements for all periods presented.</w:t>
      </w:r>
    </w:p>
    <w:p>
      <w:pPr>
        <w:spacing w:after="0" w:line="203"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1997, the Financial Accounting Standards Board issued Statement of Financial Accounting Standards No. 128, "Earnings Per Share" ("SFAS 128"). The Company adopted this standard as of December 31, 1997. As a result, the Company's reported comparative earnings per share for fiscal year 1997 were restated.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Basic earnings per share were computed by dividing net income by the weighted average number of shares outstanding. Diluted earnings per share were determined on the assumption that all potentially dilutive outstanding stock options were exercised applying the treasury stock method. The effect of this accounting change on previously reported earnings per share ("EPS") data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48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FOR THE NINE</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FOR THE</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THREE</w:t>
            </w:r>
          </w:p>
        </w:tc>
      </w:tr>
      <w:tr>
        <w:trPr>
          <w:trHeight w:val="203"/>
        </w:trPr>
        <w:tc>
          <w:tcPr>
            <w:tcW w:w="29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MONTHS</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ENDED</w:t>
            </w:r>
          </w:p>
        </w:tc>
        <w:tc>
          <w:tcPr>
            <w:tcW w:w="1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MONTHS ENDED</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 amounts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31, 1996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31, 1996</w:t>
            </w:r>
          </w:p>
        </w:tc>
      </w:tr>
      <w:tr>
        <w:trPr>
          <w:trHeight w:val="203"/>
        </w:trPr>
        <w:tc>
          <w:tcPr>
            <w:tcW w:w="296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Primary EPS as reported</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0.79</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SFAS No. 128</w:t>
            </w:r>
          </w:p>
        </w:tc>
        <w:tc>
          <w:tcPr>
            <w:tcW w:w="142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0.02</w:t>
            </w:r>
          </w:p>
        </w:tc>
        <w:tc>
          <w:tcPr>
            <w:tcW w:w="104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2960" w:type="dxa"/>
            <w:vAlign w:val="bottom"/>
          </w:tcPr>
          <w:p>
            <w:pPr>
              <w:spacing w:after="0"/>
              <w:rPr>
                <w:sz w:val="17"/>
                <w:szCs w:val="17"/>
                <w:color w:val="auto"/>
              </w:rPr>
            </w:pPr>
          </w:p>
        </w:tc>
        <w:tc>
          <w:tcPr>
            <w:tcW w:w="2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EPS as restated</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0.81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2960" w:type="dxa"/>
            <w:vAlign w:val="bottom"/>
          </w:tcPr>
          <w:p>
            <w:pPr>
              <w:spacing w:after="0"/>
              <w:rPr>
                <w:sz w:val="17"/>
                <w:szCs w:val="17"/>
                <w:color w:val="auto"/>
              </w:rPr>
            </w:pPr>
          </w:p>
        </w:tc>
        <w:tc>
          <w:tcPr>
            <w:tcW w:w="2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Fully Diluted EPS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0.79</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SFAS No. 128</w:t>
            </w:r>
          </w:p>
        </w:tc>
        <w:tc>
          <w:tcPr>
            <w:tcW w:w="1420" w:type="dxa"/>
            <w:vAlign w:val="bottom"/>
          </w:tcPr>
          <w:p>
            <w:pPr>
              <w:spacing w:after="0"/>
              <w:rPr>
                <w:sz w:val="17"/>
                <w:szCs w:val="17"/>
                <w:color w:val="auto"/>
              </w:rPr>
            </w:pPr>
          </w:p>
        </w:tc>
        <w:tc>
          <w:tcPr>
            <w:tcW w:w="1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2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EPS as restated</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0.79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2960" w:type="dxa"/>
            <w:vAlign w:val="bottom"/>
          </w:tcPr>
          <w:p>
            <w:pPr>
              <w:spacing w:after="0"/>
              <w:rPr>
                <w:sz w:val="17"/>
                <w:szCs w:val="17"/>
                <w:color w:val="auto"/>
              </w:rPr>
            </w:pPr>
          </w:p>
        </w:tc>
        <w:tc>
          <w:tcPr>
            <w:tcW w:w="2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17</w:t>
      </w:r>
    </w:p>
    <w:p>
      <w:pPr>
        <w:sectPr>
          <w:pgSz w:w="11900" w:h="16838" w:orient="portrait"/>
          <w:cols w:equalWidth="0" w:num="1">
            <w:col w:w="10219"/>
          </w:cols>
          <w:pgMar w:left="240" w:top="919" w:right="1440" w:bottom="1440" w:gutter="0" w:footer="0" w:header="0"/>
        </w:sectPr>
      </w:pPr>
    </w:p>
    <w:bookmarkStart w:id="8" w:name="page9"/>
    <w:bookmarkEnd w:id="8"/>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January 1998, the Company purchased all of the outstanding stock of Baseops International, Inc. and its affiliates ("Baseops"). Baseops provides a sophisticated array of aviation services to a diversified clientele of corporate, government, and private aircraft worldwide. The acquisition of Baseops by the Company has been accounted for as a purchase. The aggregate purchase price of the acquisition was approximately $2,988,000. The Company paid approximately $898,000 in cash and 150,000 shares of the Company's common stock valued at $2,090,000 ($13.93 per share, or approximately 65% of the quoted market price) in the Company's restricted stock. The newly issued shares of the Company's common stock issued in connection with the acquisition were valued by the Company's Board of Directors. In accordance with the acquisition agreement, 75,000 shares are being held in escrow until the second anniversary of the closing date. The escrow shares are pledged to the Company to secure the seller's obligation to indemnify the Company pursuant to the acquisition agreement.</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17</w:t>
      </w:r>
    </w:p>
    <w:p>
      <w:pPr>
        <w:sectPr>
          <w:pgSz w:w="11900" w:h="16838" w:orient="portrait"/>
          <w:cols w:equalWidth="0" w:num="1">
            <w:col w:w="10219"/>
          </w:cols>
          <w:pgMar w:left="240" w:top="717" w:right="1440" w:bottom="1440" w:gutter="0" w:footer="0" w:header="0"/>
        </w:sectPr>
      </w:pPr>
    </w:p>
    <w:bookmarkStart w:id="9" w:name="page10"/>
    <w:bookmarkEnd w:id="9"/>
    <w:p>
      <w:pPr>
        <w:ind w:left="1060" w:right="29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NINE MONTHS ENDED DECEMBER 31, 1997 COMPARED TO THE NINE MONTHS ENDED DECEMBER 31, 1996</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revenue for the nine months ended December 31, 1997 was</w:t>
      </w:r>
    </w:p>
    <w:p>
      <w:pPr>
        <w:spacing w:after="0" w:line="238" w:lineRule="auto"/>
        <w:rPr>
          <w:sz w:val="20"/>
          <w:szCs w:val="20"/>
          <w:color w:val="auto"/>
        </w:rPr>
      </w:pPr>
      <w:r>
        <w:rPr>
          <w:rFonts w:ascii="Courier New" w:cs="Courier New" w:eastAsia="Courier New" w:hAnsi="Courier New"/>
          <w:sz w:val="18"/>
          <w:szCs w:val="18"/>
          <w:color w:val="auto"/>
        </w:rPr>
        <w:t>$600,978,000, an increase of $42,270,000, or 7.6%, as compared to revenue of</w:t>
      </w:r>
    </w:p>
    <w:p>
      <w:pPr>
        <w:spacing w:after="0"/>
        <w:rPr>
          <w:sz w:val="20"/>
          <w:szCs w:val="20"/>
          <w:color w:val="auto"/>
        </w:rPr>
      </w:pPr>
      <w:r>
        <w:rPr>
          <w:rFonts w:ascii="Courier New" w:cs="Courier New" w:eastAsia="Courier New" w:hAnsi="Courier New"/>
          <w:sz w:val="18"/>
          <w:szCs w:val="18"/>
          <w:color w:val="auto"/>
        </w:rPr>
        <w:t>$558,708,000 for the corresponding period of the prior year. The Company's</w:t>
      </w:r>
    </w:p>
    <w:p>
      <w:pPr>
        <w:spacing w:after="0" w:line="237" w:lineRule="auto"/>
        <w:rPr>
          <w:sz w:val="20"/>
          <w:szCs w:val="20"/>
          <w:color w:val="auto"/>
        </w:rPr>
      </w:pPr>
      <w:r>
        <w:rPr>
          <w:rFonts w:ascii="Courier New" w:cs="Courier New" w:eastAsia="Courier New" w:hAnsi="Courier New"/>
          <w:sz w:val="18"/>
          <w:szCs w:val="18"/>
          <w:color w:val="auto"/>
        </w:rPr>
        <w:t>revenue during these periods was attributable to the following segments: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38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NINE MONTHS ENDED DECEMBER 31,</w:t>
            </w:r>
          </w:p>
        </w:tc>
      </w:tr>
      <w:tr>
        <w:trPr>
          <w:trHeight w:val="203"/>
        </w:trPr>
        <w:tc>
          <w:tcPr>
            <w:tcW w:w="2160" w:type="dxa"/>
            <w:vAlign w:val="bottom"/>
          </w:tcPr>
          <w:p>
            <w:pPr>
              <w:spacing w:after="0"/>
              <w:rPr>
                <w:sz w:val="17"/>
                <w:szCs w:val="17"/>
                <w:color w:val="auto"/>
              </w:rPr>
            </w:pP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1997</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216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$291,852,000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$276,228,000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289,367,000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264,887,000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19,759,000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17,593,000</w:t>
            </w:r>
          </w:p>
        </w:tc>
      </w:tr>
      <w:tr>
        <w:trPr>
          <w:trHeight w:val="203"/>
        </w:trPr>
        <w:tc>
          <w:tcPr>
            <w:tcW w:w="216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$600,978,000</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$558,708,000</w:t>
            </w:r>
          </w:p>
        </w:tc>
      </w:tr>
      <w:tr>
        <w:trPr>
          <w:trHeight w:val="203"/>
        </w:trPr>
        <w:tc>
          <w:tcPr>
            <w:tcW w:w="216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aviation fueling segment contributed $291,852,000 in revenue for the nine months ended December 31, 1997. This represented an increase in revenue of $15,624,000, or 5.7%, as compared to the same period of the prior year. The increase in revenue was due to a higher volume of gallons sold, partially offset by a decrease in the average price per gallon sold. The marine fueling segment contributed $289,367,000 in revenue for the nine months ended December 31, 1997, an increase of $24,480,000, or 9.2%, over the corresponding period of the prior year. The increase in revenue was related primarily to an increase in the volume of metric tons traded, partially offset by a decrease in the average sales price of metric tons traded. The oil recycling segment contributed $19,759,000 in revenue for the nine months ended December 31, 1997, an increase of $2,166,000, or 12.3%, as compared to the same period of the prior year. The increase in revenue was due to an increase in volume of recycled oil sold and higher used oil and waste water collection revenue, partially offset by a decrease in the average sales price per gallon of recycled oil sold.</w:t>
      </w:r>
    </w:p>
    <w:p>
      <w:pPr>
        <w:spacing w:after="0" w:line="38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Company's gross profit of $35,762,000 for the nine months ended December 31, 1997 increased $788,000, or 2.3%, as compared to the same period of the prior year. The Company's gross margin decreased from 6.3% for the nine months ended December 31, 1996, to 6.0% for the nine months ended December 31, 1997. The Company's aviation fueling business achieved a 5.6% gross margin for the nine months ended December 31, 1997, as compared to 6.3% achieved for the same period during the prior year. This resulted from a decrease in the average gross profit per gallon sold. The Company's marine fueling segment achieved a 4.6% gross margin for the nine months ended December 31, 1997, as compared to a</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4.3% gross margin for the corresponding period of the prior year. This resulted from an increase in the average gross margin per metric ton traded. The gross margin in the Company's oil recycling segment decreased from 34.8% for the nine months ended December 31, 1996, to 30.3% for the nine months ended December 31, 1997. This decrease resulted from a lower gross profit per gallon of recycled oil sold.</w:t>
      </w:r>
    </w:p>
    <w:p>
      <w:pPr>
        <w:spacing w:after="0" w:line="210"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Total operating expenses for the nine months ended December 31, 1997 were $21,593,000, a decrease of $1,140,000, or 5.0%, as compared to the same period of the prior year. The decrease resulted</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17</w:t>
      </w:r>
    </w:p>
    <w:p>
      <w:pPr>
        <w:sectPr>
          <w:pgSz w:w="11900" w:h="16838" w:orient="portrait"/>
          <w:cols w:equalWidth="0" w:num="1">
            <w:col w:w="10219"/>
          </w:cols>
          <w:pgMar w:left="240" w:top="925" w:right="1440" w:bottom="1440" w:gutter="0" w:footer="0" w:header="0"/>
        </w:sectPr>
      </w:pPr>
    </w:p>
    <w:bookmarkStart w:id="10" w:name="page11"/>
    <w:bookmarkEnd w:id="10"/>
    <w:p>
      <w:pPr>
        <w:jc w:val="both"/>
        <w:ind w:right="2099"/>
        <w:spacing w:after="0" w:line="237" w:lineRule="auto"/>
        <w:rPr>
          <w:sz w:val="20"/>
          <w:szCs w:val="20"/>
          <w:color w:val="auto"/>
        </w:rPr>
      </w:pPr>
      <w:r>
        <w:rPr>
          <w:rFonts w:ascii="Courier New" w:cs="Courier New" w:eastAsia="Courier New" w:hAnsi="Courier New"/>
          <w:sz w:val="18"/>
          <w:szCs w:val="18"/>
          <w:color w:val="auto"/>
        </w:rPr>
        <w:t>from a $3,419,000 lower provision for bad debts over the corresponding period during the prior year, partially offset by higher salaries and wages related principally to staff additions and performance bonuses, and higher operating expenses in the marine segment related to business expansion. In relation to revenue, total operating expenses decreased from 4.1% to 3.6%.</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Company's income from operations for the nine months ended December 31,</w:t>
      </w:r>
    </w:p>
    <w:p>
      <w:pPr>
        <w:spacing w:after="0" w:line="2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1997 was $14,169,000, an increase of $1,928,000, or 15.8%, as compared to the same period of the prior year. Income from operations during these periods was attributable to the following segments: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4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NINE MONTHS ENDED DECEMBER 31,</w:t>
            </w:r>
          </w:p>
        </w:tc>
      </w:tr>
      <w:tr>
        <w:trPr>
          <w:trHeight w:val="203"/>
        </w:trPr>
        <w:tc>
          <w:tcPr>
            <w:tcW w:w="2380" w:type="dxa"/>
            <w:vAlign w:val="bottom"/>
          </w:tcPr>
          <w:p>
            <w:pPr>
              <w:spacing w:after="0"/>
              <w:rPr>
                <w:sz w:val="17"/>
                <w:szCs w:val="17"/>
                <w:color w:val="auto"/>
              </w:rPr>
            </w:pP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1997</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2380" w:type="dxa"/>
            <w:vAlign w:val="bottom"/>
          </w:tcPr>
          <w:p>
            <w:pPr>
              <w:spacing w:after="0"/>
              <w:rPr>
                <w:sz w:val="17"/>
                <w:szCs w:val="17"/>
                <w:color w:val="auto"/>
              </w:rPr>
            </w:pPr>
          </w:p>
        </w:tc>
        <w:tc>
          <w:tcPr>
            <w:tcW w:w="2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2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$ 10,023,000</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8,146,000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4,359,000</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3,558,000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3,773,000</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4,159,000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2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(3,986,000)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(3,622,000)</w:t>
            </w:r>
          </w:p>
        </w:tc>
      </w:tr>
      <w:tr>
        <w:trPr>
          <w:trHeight w:val="203"/>
        </w:trPr>
        <w:tc>
          <w:tcPr>
            <w:tcW w:w="2380" w:type="dxa"/>
            <w:vAlign w:val="bottom"/>
          </w:tcPr>
          <w:p>
            <w:pPr>
              <w:spacing w:after="0"/>
              <w:rPr>
                <w:sz w:val="17"/>
                <w:szCs w:val="17"/>
                <w:color w:val="auto"/>
              </w:rPr>
            </w:pPr>
          </w:p>
        </w:tc>
        <w:tc>
          <w:tcPr>
            <w:tcW w:w="2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Total Income from</w:t>
            </w:r>
          </w:p>
        </w:tc>
        <w:tc>
          <w:tcPr>
            <w:tcW w:w="2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2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$ 14,169,000</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$ 12,241,000</w:t>
            </w:r>
          </w:p>
        </w:tc>
      </w:tr>
      <w:tr>
        <w:trPr>
          <w:trHeight w:val="203"/>
        </w:trPr>
        <w:tc>
          <w:tcPr>
            <w:tcW w:w="2380" w:type="dxa"/>
            <w:vAlign w:val="bottom"/>
          </w:tcPr>
          <w:p>
            <w:pPr>
              <w:spacing w:after="0"/>
              <w:rPr>
                <w:sz w:val="17"/>
                <w:szCs w:val="17"/>
                <w:color w:val="auto"/>
              </w:rPr>
            </w:pPr>
          </w:p>
        </w:tc>
        <w:tc>
          <w:tcPr>
            <w:tcW w:w="2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aviation fueling segment's income from operations was $10,023,000 for the nine months ended December 31, 1997, an increase of $1,877,000, or 23.0%, as compared to the nine months ended December 31, 1996. This resulted from a higher volume of gallons sold and a decrease in operating expenses, principally in the provision for bad debts, partially offset by a decrease in average gross profit per gallon sold. The marine fueling segment earned $4,359,000 in income from operations for the nine months ended December 31, 1997, an increase of $801,000, or 22.5%, over the corresponding period of the prior year. This increase was due to a higher volume and average gross profit per metric ton sold, partially offset by an increase in operating expenses. Income from operations of the oil recycling segment was $3,773,000 for the nine months ended December 31, 1997, a decrease of $386,000, or 9.3%, as compared to the nine months ended December 31, 1996. The decrease is primarily the result of lower oil prices, which caused a decrease in gross profit per recycled gallon sold. Corporate overhead costs not charged to the business segments totaled $3,986,000 for the nine months ended December 31, 1997, an increase of $364,000, or 10.0%, as compared to the same period of the prior year.</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income for the nine months ended December 31, 1997 increased $29,000, or 1.7% over the corresponding period of the prior year, as a result of higher interest income from improved liquidity and interest earned on receivables, largely offset by lower equity in earnings from the Company's aviation joint venture. The Company's effective income tax rate for the nine months ended December 31, 1997 was 23.9%, as compared to 29.9% for the same period of the prior year. This decrease is primarily the result of an overall decline in foreign taxes.</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Net income for the nine months ended December 31, 1997 was $12,076,000, an increase of $2,324,000, or 23.8%, as compared to net income of $9,752,000 for the nine months ended December 31, 1996. Basic earnings per share of $0.99 for the nine months ended December 31, 1997 exhibited a $0.18, or 22.2% increase over the $0.81 achieved during the same period of the prior year. Per share amounts reflect a three-for-two stock split declared October 30, 1997, with a record date of November 17, 1997, and the implementation of FASB No. 128.</w:t>
      </w: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17</w:t>
      </w:r>
    </w:p>
    <w:p>
      <w:pPr>
        <w:sectPr>
          <w:pgSz w:w="11900" w:h="16838" w:orient="portrait"/>
          <w:cols w:equalWidth="0" w:num="1">
            <w:col w:w="10219"/>
          </w:cols>
          <w:pgMar w:left="240" w:top="925" w:right="1440" w:bottom="1440" w:gutter="0" w:footer="0" w:header="0"/>
        </w:sectPr>
      </w:pPr>
    </w:p>
    <w:bookmarkStart w:id="11" w:name="page12"/>
    <w:bookmarkEnd w:id="11"/>
    <w:p>
      <w:pPr>
        <w:ind w:right="2319"/>
        <w:spacing w:after="0" w:line="235" w:lineRule="auto"/>
        <w:rPr>
          <w:sz w:val="20"/>
          <w:szCs w:val="20"/>
          <w:color w:val="auto"/>
        </w:rPr>
      </w:pPr>
      <w:r>
        <w:rPr>
          <w:rFonts w:ascii="Courier New" w:cs="Courier New" w:eastAsia="Courier New" w:hAnsi="Courier New"/>
          <w:sz w:val="18"/>
          <w:szCs w:val="18"/>
          <w:color w:val="auto"/>
        </w:rPr>
        <w:t>THE THREE MONTHS ENDED DECEMBER 31, 1997 COMPARED TO THE THREE MONTHS ENDED DECEMBER 31, 1996</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revenue for the three months ended December 31, 1997 was $208,879,000, an increase of $1,214,000, or 0.6%, as compared to revenue of $207,665,000 for the corresponding period of the prior year. Revenue in all three business segments was adversely impacted by lower world oil prices. The Company's revenue during the periods presented was attributable to the following segments: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 DECEMBER 31,</w:t>
            </w:r>
          </w:p>
        </w:tc>
      </w:tr>
      <w:tr>
        <w:trPr>
          <w:trHeight w:val="203"/>
        </w:trPr>
        <w:tc>
          <w:tcPr>
            <w:tcW w:w="216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1997</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2160" w:type="dxa"/>
            <w:vAlign w:val="bottom"/>
          </w:tcPr>
          <w:p>
            <w:pPr>
              <w:spacing w:after="0"/>
              <w:rPr>
                <w:sz w:val="17"/>
                <w:szCs w:val="17"/>
                <w:color w:val="auto"/>
              </w:rPr>
            </w:pPr>
          </w:p>
        </w:tc>
        <w:tc>
          <w:tcPr>
            <w:tcW w:w="2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2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$ 96,398,000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$ 97,743,000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105,656,000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103,965,000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6,825,000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5,957,000</w:t>
            </w:r>
          </w:p>
        </w:tc>
      </w:tr>
      <w:tr>
        <w:trPr>
          <w:trHeight w:val="203"/>
        </w:trPr>
        <w:tc>
          <w:tcPr>
            <w:tcW w:w="2160" w:type="dxa"/>
            <w:vAlign w:val="bottom"/>
          </w:tcPr>
          <w:p>
            <w:pPr>
              <w:spacing w:after="0"/>
              <w:rPr>
                <w:sz w:val="17"/>
                <w:szCs w:val="17"/>
                <w:color w:val="auto"/>
              </w:rPr>
            </w:pPr>
          </w:p>
        </w:tc>
        <w:tc>
          <w:tcPr>
            <w:tcW w:w="2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2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$208,879,000</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$207,665,000</w:t>
            </w:r>
          </w:p>
        </w:tc>
      </w:tr>
      <w:tr>
        <w:trPr>
          <w:trHeight w:val="203"/>
        </w:trPr>
        <w:tc>
          <w:tcPr>
            <w:tcW w:w="2160" w:type="dxa"/>
            <w:vAlign w:val="bottom"/>
          </w:tcPr>
          <w:p>
            <w:pPr>
              <w:spacing w:after="0"/>
              <w:rPr>
                <w:sz w:val="17"/>
                <w:szCs w:val="17"/>
                <w:color w:val="auto"/>
              </w:rPr>
            </w:pPr>
          </w:p>
        </w:tc>
        <w:tc>
          <w:tcPr>
            <w:tcW w:w="2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aviation fueling segment contributed $96,398,000 in revenue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December 31, 1997. This represented a decrease in revenue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$1,345,000, or 1.4%, as compared to the same period of the prior year.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decrease in revenue was due to a decrease in the average price per gallon sold,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largely offset by a higher volume of gallons sold. The marine fueling segment</w:t>
      </w:r>
    </w:p>
    <w:p>
      <w:pPr>
        <w:spacing w:after="0" w:line="238" w:lineRule="auto"/>
        <w:rPr>
          <w:sz w:val="20"/>
          <w:szCs w:val="20"/>
          <w:color w:val="auto"/>
        </w:rPr>
      </w:pPr>
      <w:r>
        <w:rPr>
          <w:rFonts w:ascii="Courier New" w:cs="Courier New" w:eastAsia="Courier New" w:hAnsi="Courier New"/>
          <w:sz w:val="18"/>
          <w:szCs w:val="18"/>
          <w:color w:val="auto"/>
        </w:rPr>
        <w:t>contributed $105,656,000 in revenue for the three months ended December 31,</w:t>
      </w:r>
    </w:p>
    <w:p>
      <w:pPr>
        <w:spacing w:after="0"/>
        <w:rPr>
          <w:sz w:val="20"/>
          <w:szCs w:val="20"/>
          <w:color w:val="auto"/>
        </w:rPr>
      </w:pPr>
      <w:r>
        <w:rPr>
          <w:rFonts w:ascii="Courier New" w:cs="Courier New" w:eastAsia="Courier New" w:hAnsi="Courier New"/>
          <w:sz w:val="18"/>
          <w:szCs w:val="18"/>
          <w:color w:val="auto"/>
        </w:rPr>
        <w:t>1997, an increase of $1,691,000, or 1.6%, over the corresponding period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prior year. The increase in revenue was related primarily to an increase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volume of metric tons traded, partially offset by a decrease in the average</w:t>
      </w:r>
    </w:p>
    <w:p>
      <w:pPr>
        <w:spacing w:after="0" w:line="238" w:lineRule="auto"/>
        <w:rPr>
          <w:sz w:val="20"/>
          <w:szCs w:val="20"/>
          <w:color w:val="auto"/>
        </w:rPr>
      </w:pPr>
      <w:r>
        <w:rPr>
          <w:rFonts w:ascii="Courier New" w:cs="Courier New" w:eastAsia="Courier New" w:hAnsi="Courier New"/>
          <w:sz w:val="18"/>
          <w:szCs w:val="18"/>
          <w:color w:val="auto"/>
        </w:rPr>
        <w:t>sales price of metric tons traded. The oil recycling segment contributed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$6,825,000 in revenue for the three months ended December 31, 1997, an increase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$868,000, or 14.6%, as compared to the same period of the prior year. The</w:t>
      </w:r>
    </w:p>
    <w:p>
      <w:pPr>
        <w:spacing w:after="0" w:line="238" w:lineRule="auto"/>
        <w:rPr>
          <w:sz w:val="20"/>
          <w:szCs w:val="20"/>
          <w:color w:val="auto"/>
        </w:rPr>
      </w:pPr>
      <w:r>
        <w:rPr>
          <w:rFonts w:ascii="Courier New" w:cs="Courier New" w:eastAsia="Courier New" w:hAnsi="Courier New"/>
          <w:sz w:val="18"/>
          <w:szCs w:val="18"/>
          <w:color w:val="auto"/>
        </w:rPr>
        <w:t>increase in revenue was due to an increase in volume of recycled oil sold,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partially offset by a decrease in the average sales price per gallon of recycled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 sold.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gross profit of $12,455,000 for the three months ended December 31, 1997, increased $739,000, or 6.3%, as compared to the same period of the prior year. The Company's gross margin increased from 5.6% for the three months ended December 31, 1996, to 6.0% for the three months ended December 31, 1997. The Company's aviation fueling business achieved a 5.8% gross margin for the three months ended December 31, 1997, a slight increase compared to 5.7% achieved for the same period during the prior year. The Company's marine fueling segment achieved a 4.8% gross margin for the three months ended December 31, 1997, compared to a gross margin of 3.9% for the same period of the prior year. This was due to an increase in the average gross margin per metric ton traded. The gross margin in the Company's oil recycling segment decreased from 35.1% for the three months ended December 31, 1996, to 26.0% for the three months ended December 31, 1997. This decrease resulted from a lower gross profit per gallon of recycled oil sold.</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Total operating expenses for the three months ended December 31, 1997 were $7,851,000, an increase of $109,000, or 1.4%, as compared to the same period of the prior year. The increase resulted from</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17</w:t>
      </w:r>
    </w:p>
    <w:p>
      <w:pPr>
        <w:sectPr>
          <w:pgSz w:w="11900" w:h="16838" w:orient="portrait"/>
          <w:cols w:equalWidth="0" w:num="1">
            <w:col w:w="10219"/>
          </w:cols>
          <w:pgMar w:left="240" w:top="925"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higher salaries and wages related principally to staff additions and performance bonuses, and higher operating expenses in the marine segment related to business expansion, largely offset by a $899,000 lower provision for bad debts over the corresponding period during the prior year. In relation to revenue, total operating expenses increased from 3.7% to 3.8%.</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income from operations for the three months ended December 31, 1997 was $4,604,000, an increase of $630,000, or 15.9%, as compared to the same period of the prior year. Income from operations during these periods was attributable to the following segments: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 DECEMBER 31,</w:t>
            </w:r>
          </w:p>
        </w:tc>
      </w:tr>
      <w:tr>
        <w:trPr>
          <w:trHeight w:val="203"/>
        </w:trPr>
        <w:tc>
          <w:tcPr>
            <w:tcW w:w="2440" w:type="dxa"/>
            <w:vAlign w:val="bottom"/>
          </w:tcPr>
          <w:p>
            <w:pPr>
              <w:spacing w:after="0"/>
              <w:rPr>
                <w:sz w:val="17"/>
                <w:szCs w:val="17"/>
                <w:color w:val="auto"/>
              </w:rPr>
            </w:pPr>
          </w:p>
        </w:tc>
        <w:tc>
          <w:tcPr>
            <w:tcW w:w="21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1997</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2440" w:type="dxa"/>
            <w:vAlign w:val="bottom"/>
          </w:tcPr>
          <w:p>
            <w:pPr>
              <w:spacing w:after="0"/>
              <w:rPr>
                <w:sz w:val="17"/>
                <w:szCs w:val="17"/>
                <w:color w:val="auto"/>
              </w:rPr>
            </w:pP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$ 3,155,000</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$ 2,437,000</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1,802,000</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1,346,000</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1,004,000</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1,352,000</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(1,357,000)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(1,161,000)</w:t>
            </w:r>
          </w:p>
        </w:tc>
      </w:tr>
      <w:tr>
        <w:trPr>
          <w:trHeight w:val="203"/>
        </w:trPr>
        <w:tc>
          <w:tcPr>
            <w:tcW w:w="24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Total Income from</w:t>
            </w:r>
          </w:p>
        </w:tc>
        <w:tc>
          <w:tcPr>
            <w:tcW w:w="2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$ 4,604,000</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$ 3,974,000</w:t>
            </w:r>
          </w:p>
        </w:tc>
      </w:tr>
      <w:tr>
        <w:trPr>
          <w:trHeight w:val="203"/>
        </w:trPr>
        <w:tc>
          <w:tcPr>
            <w:tcW w:w="24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aviation fueling segment's income from operations was $3,155,000 for the three months ended December 31, 1997, an increase of $718,000, or 29.5%, as compared to the three months ended December 31, 1996. This resulted from a higher volume of gallons sold and a decrease in operating expenses, principally in the provision for bad debts. The marine fueling segment earned $1,802,000 in income from operations for the three months ended December 31, 1997, an increase of $456,000, or 33.9%, over the corresponding period of the prior year. This increase is attributed to a higher gross profit, which was partially offset by higher operating expenses. Income from operations of the oil recycling segment decreased by $348,000, or 25.7%, for the three months ended December 31, 1997, as compared to the same period of the prior year. This related primarily to a decrease in gross profit per recycled gallon sold. Corporate overhead costs not charged to the business segments totaled $1,357,000 for the three months ended December 31, 1997, an increase of $196,000, or 16.9%, as compared to the same period of the prior year.</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Other income decreased $22,000, or 3.7% over the same period a year ago, primarily as a result of lower earnings from the aviation joint venture, largely offset by higher interest income due to improved liquidity. The Company's effective income tax rate for the three months ended December 31, 1997 was</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19.9%, as compared to 25.7% for the same period of the prior year. The decrease is primarily the result of an overall decline in foreign taxes.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income for the three months ended December 31, 1997 was $4,148,000, an increase of $753,000, or 22.2%, as compared to net income of $3,395,000 for the three months ended December 31, 1996. Basic earnings per share of $0.34 for the three months ended December 31, 1997 exhibited a $0.06, or 21.4% increase over the $0.28 achieved during the same period of the prior year. Per share amounts have been restated to reflect the stock split and the implementation of FASB No. 128.</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17</w:t>
      </w:r>
    </w:p>
    <w:p>
      <w:pPr>
        <w:sectPr>
          <w:pgSz w:w="11900" w:h="16838" w:orient="portrait"/>
          <w:cols w:equalWidth="0" w:num="1">
            <w:col w:w="10219"/>
          </w:cols>
          <w:pgMar w:left="240" w:top="72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and cash equivalents amounted to $17,464,000 at December 31, 1997, as compared to $11,035,000 at March 31, 1997. The principal sources of cash and cash equivalents during the nine months of fiscal 1998 were $10,232,000 provided by operating activities, partially offset by $2,279,000 for capital expenditures and $1,824,000 in dividends paid on common stock. Other components of changes in cash and cash equivalents are detailed in the Consolidated Statements of Cash Flows.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Working capital as of December 31, 1997 was $59,186,000, exhibiting a</w:t>
      </w:r>
    </w:p>
    <w:p>
      <w:pPr>
        <w:spacing w:after="0" w:line="238" w:lineRule="auto"/>
        <w:rPr>
          <w:sz w:val="20"/>
          <w:szCs w:val="20"/>
          <w:color w:val="auto"/>
        </w:rPr>
      </w:pPr>
      <w:r>
        <w:rPr>
          <w:rFonts w:ascii="Courier New" w:cs="Courier New" w:eastAsia="Courier New" w:hAnsi="Courier New"/>
          <w:sz w:val="18"/>
          <w:szCs w:val="18"/>
          <w:color w:val="auto"/>
        </w:rPr>
        <w:t>$10,601,000 increase from working capital as of March 31, 1997. As of December</w:t>
      </w:r>
    </w:p>
    <w:p>
      <w:pPr>
        <w:spacing w:after="0"/>
        <w:rPr>
          <w:sz w:val="20"/>
          <w:szCs w:val="20"/>
          <w:color w:val="auto"/>
        </w:rPr>
      </w:pPr>
      <w:r>
        <w:rPr>
          <w:rFonts w:ascii="Courier New" w:cs="Courier New" w:eastAsia="Courier New" w:hAnsi="Courier New"/>
          <w:sz w:val="18"/>
          <w:szCs w:val="18"/>
          <w:color w:val="auto"/>
        </w:rPr>
        <w:t>31, 1997, the Company's accounts receivable, excluding the allowance for bad</w:t>
      </w:r>
    </w:p>
    <w:p>
      <w:pPr>
        <w:spacing w:after="0" w:line="237" w:lineRule="auto"/>
        <w:rPr>
          <w:sz w:val="20"/>
          <w:szCs w:val="20"/>
          <w:color w:val="auto"/>
        </w:rPr>
      </w:pPr>
      <w:r>
        <w:rPr>
          <w:rFonts w:ascii="Courier New" w:cs="Courier New" w:eastAsia="Courier New" w:hAnsi="Courier New"/>
          <w:sz w:val="18"/>
          <w:szCs w:val="18"/>
          <w:color w:val="auto"/>
        </w:rPr>
        <w:t>debts, amounted to $85,416,000, an increase of $10,237,000, as compared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1997 balance. In the aggregate, accounts payable, accrued expenses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deposits increased $7,381,000. The net increase in trade credit of</w:t>
      </w:r>
    </w:p>
    <w:p>
      <w:pPr>
        <w:spacing w:after="0" w:line="238" w:lineRule="auto"/>
        <w:rPr>
          <w:sz w:val="20"/>
          <w:szCs w:val="20"/>
          <w:color w:val="auto"/>
        </w:rPr>
      </w:pPr>
      <w:r>
        <w:rPr>
          <w:rFonts w:ascii="Courier New" w:cs="Courier New" w:eastAsia="Courier New" w:hAnsi="Courier New"/>
          <w:sz w:val="18"/>
          <w:szCs w:val="18"/>
          <w:color w:val="auto"/>
        </w:rPr>
        <w:t>$2,856,000 was primarily attributable to the marine segment. The allowance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bad debts as of December 31, 1997 amounted to $4,409,000, an increase of $49,000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compared to the March 31, 1997 balance. During the nine months of fiscal year</w:t>
      </w:r>
    </w:p>
    <w:p>
      <w:pPr>
        <w:spacing w:after="0" w:line="238" w:lineRule="auto"/>
        <w:rPr>
          <w:sz w:val="20"/>
          <w:szCs w:val="20"/>
          <w:color w:val="auto"/>
        </w:rPr>
      </w:pPr>
      <w:r>
        <w:rPr>
          <w:rFonts w:ascii="Courier New" w:cs="Courier New" w:eastAsia="Courier New" w:hAnsi="Courier New"/>
          <w:sz w:val="18"/>
          <w:szCs w:val="18"/>
          <w:color w:val="auto"/>
        </w:rPr>
        <w:t>1998, the Company charged $217,000 to the provision for bad debts and had</w:t>
      </w:r>
    </w:p>
    <w:p>
      <w:pPr>
        <w:spacing w:after="0"/>
        <w:rPr>
          <w:sz w:val="20"/>
          <w:szCs w:val="20"/>
          <w:color w:val="auto"/>
        </w:rPr>
      </w:pPr>
      <w:r>
        <w:rPr>
          <w:rFonts w:ascii="Courier New" w:cs="Courier New" w:eastAsia="Courier New" w:hAnsi="Courier New"/>
          <w:sz w:val="18"/>
          <w:szCs w:val="18"/>
          <w:color w:val="auto"/>
        </w:rPr>
        <w:t>charge-offs in excess of recoveries of $168,000. As of December 31, 1997, the</w:t>
      </w:r>
    </w:p>
    <w:p>
      <w:pPr>
        <w:spacing w:after="0" w:line="237" w:lineRule="auto"/>
        <w:rPr>
          <w:sz w:val="20"/>
          <w:szCs w:val="20"/>
          <w:color w:val="auto"/>
        </w:rPr>
      </w:pPr>
      <w:r>
        <w:rPr>
          <w:rFonts w:ascii="Courier New" w:cs="Courier New" w:eastAsia="Courier New" w:hAnsi="Courier New"/>
          <w:sz w:val="18"/>
          <w:szCs w:val="18"/>
          <w:color w:val="auto"/>
        </w:rPr>
        <w:t>Company's Inventory and Prepaid Expenses and Other Current Assets increased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$1,677,000 and $1,529,000, respectively, when compared to March 31, 1997. These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increases were related to the marine business and the reclassification of a note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receivable from other assets to current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Income taxes payable at December 31, 1997 increased $1,662,000, when compared to March 31, 1997. This increase resulted from foreign income taxes for the nine months ended December 31, 1997, which are payable in future periods, and U.S. tax overpayments as of March 31, 1997 applied to the current fiscal year taxes payable.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Capital expenditures, which amounted to $2,294,000 for the nine months ended December 31, 1997, consisted primarily of $1,099,000 in office and computer equipment and $910,000 in plant, machinery and equipment related to the recycled oil segment. During the balance of fiscal year 1998, the Company anticipates spending approximately $1,000,000 to upgrade plant, machinery and equipment. The Company also anticipates spending an estimated $1,000,000 over the next several years to clean up contamination which was present at one of the Company's sites when it was acquired by the Company. The clean up costs will be capitalized as part of the cost of the site, up to the fair market value of the site.</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Stockholders' equity amounted to $85,510,000, or $7.03 per share at December 31, 1997, compared to $75,258,000, or $6.19 per share at March 31, 1997. This increase of $10,252,000 was due to $12,076,000 in earnings for the nine months ended December 31, 1997, reduced by $1,824,000 in declared dividends.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working capital requirements are not expected to vary substantially for the balance of fiscal 1998. The Company expects to meet its cash requirements for the balance of fiscal 1998 from existing cash, operations and additional borrowings, as necessary, under its existing credit facility. The Company's business has not been significantly affected by inflation during the periods discussed in this report.</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17</w:t>
      </w:r>
    </w:p>
    <w:p>
      <w:pPr>
        <w:sectPr>
          <w:pgSz w:w="11900" w:h="16838" w:orient="portrait"/>
          <w:cols w:equalWidth="0" w:num="1">
            <w:col w:w="10219"/>
          </w:cols>
          <w:pgMar w:left="240" w:top="919" w:right="1440" w:bottom="1440" w:gutter="0" w:footer="0" w:header="0"/>
        </w:sectPr>
      </w:pPr>
    </w:p>
    <w:bookmarkStart w:id="14" w:name="page15"/>
    <w:bookmarkEnd w:id="14"/>
    <w:p>
      <w:pPr>
        <w:ind w:left="2860"/>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7" w:lineRule="exact"/>
        <w:rPr>
          <w:sz w:val="20"/>
          <w:szCs w:val="20"/>
          <w:color w:val="auto"/>
        </w:rPr>
      </w:pPr>
    </w:p>
    <w:p>
      <w:pPr>
        <w:ind w:left="960" w:right="2519"/>
        <w:spacing w:after="0" w:line="237" w:lineRule="auto"/>
        <w:rPr>
          <w:sz w:val="20"/>
          <w:szCs w:val="20"/>
          <w:color w:val="auto"/>
        </w:rPr>
      </w:pPr>
      <w:r>
        <w:rPr>
          <w:rFonts w:ascii="Courier New" w:cs="Courier New" w:eastAsia="Courier New" w:hAnsi="Courier New"/>
          <w:sz w:val="18"/>
          <w:szCs w:val="18"/>
          <w:color w:val="auto"/>
        </w:rPr>
        <w:t>Effective October 30, 1997, the Board of Directors approved a three-for-two stock split for all shares of common stock held by shareholders of record as of November 17, 1997. The shares were distributed on December 1, 1997.</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spacing w:after="0"/>
        <w:tabs>
          <w:tab w:leader="none" w:pos="136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Financial Data Schedule.</w:t>
      </w:r>
    </w:p>
    <w:p>
      <w:pPr>
        <w:spacing w:after="0" w:line="207" w:lineRule="exact"/>
        <w:rPr>
          <w:sz w:val="20"/>
          <w:szCs w:val="20"/>
          <w:color w:val="auto"/>
        </w:rPr>
      </w:pPr>
    </w:p>
    <w:p>
      <w:pPr>
        <w:ind w:left="1380" w:right="2099" w:hanging="424"/>
        <w:spacing w:after="0" w:line="235"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three months ended December 31, 1997, the Company did not file any reports on Form 8-K.</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17</w:t>
      </w:r>
    </w:p>
    <w:p>
      <w:pPr>
        <w:sectPr>
          <w:pgSz w:w="11900" w:h="16838" w:orient="portrait"/>
          <w:cols w:equalWidth="0" w:num="1">
            <w:col w:w="10219"/>
          </w:cols>
          <w:pgMar w:left="240" w:top="919" w:right="1440" w:bottom="1440" w:gutter="0" w:footer="0" w:header="0"/>
        </w:sectPr>
      </w:pPr>
    </w:p>
    <w:bookmarkStart w:id="15" w:name="page16"/>
    <w:bookmarkEnd w:id="15"/>
    <w:p>
      <w:pPr>
        <w:jc w:val="center"/>
        <w:ind w:right="23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20"/>
        <w:spacing w:after="0"/>
        <w:tabs>
          <w:tab w:leader="none" w:pos="3760" w:val="left"/>
        </w:tabs>
        <w:rPr>
          <w:sz w:val="20"/>
          <w:szCs w:val="20"/>
          <w:color w:val="auto"/>
        </w:rPr>
      </w:pPr>
      <w:r>
        <w:rPr>
          <w:rFonts w:ascii="Courier New" w:cs="Courier New" w:eastAsia="Courier New" w:hAnsi="Courier New"/>
          <w:sz w:val="18"/>
          <w:szCs w:val="18"/>
          <w:color w:val="auto"/>
        </w:rPr>
        <w:t>DATE: JANUARY 29, 1998</w:t>
      </w:r>
      <w:r>
        <w:rPr>
          <w:sz w:val="20"/>
          <w:szCs w:val="20"/>
          <w:color w:val="auto"/>
        </w:rPr>
        <w:tab/>
      </w:r>
      <w:r>
        <w:rPr>
          <w:rFonts w:ascii="Courier New" w:cs="Courier New" w:eastAsia="Courier New" w:hAnsi="Courier New"/>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JERROLD BLAIR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JERROLD BLAIR</w:t>
      </w:r>
    </w:p>
    <w:p>
      <w:pPr>
        <w:ind w:left="43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CARLOS A. ABAUNZA</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CARLOS A. ABAUNZA</w:t>
      </w:r>
    </w:p>
    <w:p>
      <w:pPr>
        <w:ind w:left="432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4320"/>
        <w:spacing w:after="0" w:line="238" w:lineRule="auto"/>
        <w:rPr>
          <w:sz w:val="20"/>
          <w:szCs w:val="20"/>
          <w:color w:val="auto"/>
        </w:rPr>
      </w:pPr>
      <w:r>
        <w:rPr>
          <w:rFonts w:ascii="Courier New" w:cs="Courier New" w:eastAsia="Courier New" w:hAnsi="Courier New"/>
          <w:sz w:val="18"/>
          <w:szCs w:val="18"/>
          <w:color w:val="auto"/>
        </w:rPr>
        <w:t>(Principal Financial and</w:t>
      </w:r>
    </w:p>
    <w:p>
      <w:pPr>
        <w:ind w:left="4320"/>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pacing w:after="0" w:line="203"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Page 17 of 17</w:t>
      </w:r>
    </w:p>
    <w:p>
      <w:pPr>
        <w:sectPr>
          <w:pgSz w:w="11900" w:h="16838" w:orient="portrait"/>
          <w:cols w:equalWidth="0" w:num="1">
            <w:col w:w="9679"/>
          </w:cols>
          <w:pgMar w:left="780" w:top="717" w:right="1440" w:bottom="1440" w:gutter="0" w:footer="0" w:header="0"/>
        </w:sectPr>
      </w:pPr>
    </w:p>
    <w:bookmarkStart w:id="16" w:name="page17"/>
    <w:bookmarkEnd w:id="16"/>
    <w:p>
      <w:pPr>
        <w:ind w:left="21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079"/>
        <w:spacing w:after="0" w:line="27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COMPANY'S DECEMBER 31, 1997 UNAUDITED FINANCIAL STATEMENTS FILED ON FORM 10-Q AND IS QUALIFIED IN ITS ENTIRETY BY REFERENCE TO SUCH FINANCIAL STATEMENTS.</w:t>
      </w:r>
    </w:p>
    <w:p>
      <w:pPr>
        <w:spacing w:after="0" w:line="200" w:lineRule="exact"/>
        <w:rPr>
          <w:sz w:val="20"/>
          <w:szCs w:val="20"/>
          <w:color w:val="auto"/>
        </w:rPr>
      </w:pPr>
    </w:p>
    <w:p>
      <w:pPr>
        <w:spacing w:after="0" w:line="378"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1540"/>
        <w:spacing w:after="0" w:line="238" w:lineRule="auto"/>
        <w:rPr>
          <w:sz w:val="20"/>
          <w:szCs w:val="20"/>
          <w:color w:val="auto"/>
        </w:rPr>
      </w:pPr>
      <w:r>
        <w:rPr>
          <w:rFonts w:ascii="Courier New" w:cs="Courier New" w:eastAsia="Courier New" w:hAnsi="Courier New"/>
          <w:sz w:val="18"/>
          <w:szCs w:val="18"/>
          <w:color w:val="auto"/>
        </w:rPr>
        <w:t>Mar-31-1998</w:t>
      </w:r>
    </w:p>
    <w:p>
      <w:pPr>
        <w:ind w:left="1860"/>
        <w:spacing w:after="0"/>
        <w:rPr>
          <w:sz w:val="20"/>
          <w:szCs w:val="20"/>
          <w:color w:val="auto"/>
        </w:rPr>
      </w:pPr>
      <w:r>
        <w:rPr>
          <w:rFonts w:ascii="Courier New" w:cs="Courier New" w:eastAsia="Courier New" w:hAnsi="Courier New"/>
          <w:sz w:val="18"/>
          <w:szCs w:val="18"/>
          <w:color w:val="auto"/>
        </w:rPr>
        <w:t>Apr-01-1997</w:t>
      </w:r>
    </w:p>
    <w:p>
      <w:pPr>
        <w:ind w:left="2080"/>
        <w:spacing w:after="0" w:line="237" w:lineRule="auto"/>
        <w:rPr>
          <w:sz w:val="20"/>
          <w:szCs w:val="20"/>
          <w:color w:val="auto"/>
        </w:rPr>
      </w:pPr>
      <w:r>
        <w:rPr>
          <w:rFonts w:ascii="Courier New" w:cs="Courier New" w:eastAsia="Courier New" w:hAnsi="Courier New"/>
          <w:sz w:val="18"/>
          <w:szCs w:val="18"/>
          <w:color w:val="auto"/>
        </w:rPr>
        <w:t>Dec-31-1997</w:t>
      </w:r>
    </w:p>
    <w:p>
      <w:pPr>
        <w:ind w:left="2700"/>
        <w:spacing w:after="0" w:line="238" w:lineRule="auto"/>
        <w:rPr>
          <w:sz w:val="20"/>
          <w:szCs w:val="20"/>
          <w:color w:val="auto"/>
        </w:rPr>
      </w:pPr>
      <w:r>
        <w:rPr>
          <w:rFonts w:ascii="Courier New" w:cs="Courier New" w:eastAsia="Courier New" w:hAnsi="Courier New"/>
          <w:sz w:val="18"/>
          <w:szCs w:val="18"/>
          <w:color w:val="auto"/>
        </w:rPr>
        <w:t>17,464,000</w:t>
      </w:r>
    </w:p>
    <w:p>
      <w:pPr>
        <w:ind w:left="2080"/>
        <w:spacing w:after="0"/>
        <w:rPr>
          <w:sz w:val="20"/>
          <w:szCs w:val="20"/>
          <w:color w:val="auto"/>
        </w:rPr>
      </w:pPr>
      <w:r>
        <w:rPr>
          <w:rFonts w:ascii="Courier New" w:cs="Courier New" w:eastAsia="Courier New" w:hAnsi="Courier New"/>
          <w:sz w:val="18"/>
          <w:szCs w:val="18"/>
          <w:color w:val="auto"/>
        </w:rPr>
        <w:t>0</w:t>
      </w:r>
    </w:p>
    <w:p>
      <w:pPr>
        <w:ind w:left="1960"/>
        <w:spacing w:after="0" w:line="237" w:lineRule="auto"/>
        <w:rPr>
          <w:sz w:val="20"/>
          <w:szCs w:val="20"/>
          <w:color w:val="auto"/>
        </w:rPr>
      </w:pPr>
      <w:r>
        <w:rPr>
          <w:rFonts w:ascii="Courier New" w:cs="Courier New" w:eastAsia="Courier New" w:hAnsi="Courier New"/>
          <w:sz w:val="18"/>
          <w:szCs w:val="18"/>
          <w:color w:val="auto"/>
        </w:rPr>
        <w:t>85,416,000</w:t>
      </w:r>
    </w:p>
    <w:p>
      <w:pPr>
        <w:ind w:left="2080"/>
        <w:spacing w:after="0"/>
        <w:rPr>
          <w:sz w:val="20"/>
          <w:szCs w:val="20"/>
          <w:color w:val="auto"/>
        </w:rPr>
      </w:pPr>
      <w:r>
        <w:rPr>
          <w:rFonts w:ascii="Courier New" w:cs="Courier New" w:eastAsia="Courier New" w:hAnsi="Courier New"/>
          <w:sz w:val="18"/>
          <w:szCs w:val="18"/>
          <w:color w:val="auto"/>
        </w:rPr>
        <w:t>4,409,000</w:t>
      </w:r>
    </w:p>
    <w:p>
      <w:pPr>
        <w:ind w:left="2180"/>
        <w:spacing w:after="0" w:line="237" w:lineRule="auto"/>
        <w:rPr>
          <w:sz w:val="20"/>
          <w:szCs w:val="20"/>
          <w:color w:val="auto"/>
        </w:rPr>
      </w:pPr>
      <w:r>
        <w:rPr>
          <w:rFonts w:ascii="Courier New" w:cs="Courier New" w:eastAsia="Courier New" w:hAnsi="Courier New"/>
          <w:sz w:val="18"/>
          <w:szCs w:val="18"/>
          <w:color w:val="auto"/>
        </w:rPr>
        <w:t>8,126,000</w:t>
      </w:r>
    </w:p>
    <w:p>
      <w:pPr>
        <w:ind w:left="1660"/>
        <w:spacing w:after="0"/>
        <w:rPr>
          <w:sz w:val="20"/>
          <w:szCs w:val="20"/>
          <w:color w:val="auto"/>
        </w:rPr>
      </w:pPr>
      <w:r>
        <w:rPr>
          <w:rFonts w:ascii="Courier New" w:cs="Courier New" w:eastAsia="Courier New" w:hAnsi="Courier New"/>
          <w:sz w:val="18"/>
          <w:szCs w:val="18"/>
          <w:color w:val="auto"/>
        </w:rPr>
        <w:t>113,259,000</w:t>
      </w:r>
    </w:p>
    <w:p>
      <w:pPr>
        <w:ind w:left="2700"/>
        <w:spacing w:after="0" w:line="237" w:lineRule="auto"/>
        <w:rPr>
          <w:sz w:val="20"/>
          <w:szCs w:val="20"/>
          <w:color w:val="auto"/>
        </w:rPr>
      </w:pPr>
      <w:r>
        <w:rPr>
          <w:rFonts w:ascii="Courier New" w:cs="Courier New" w:eastAsia="Courier New" w:hAnsi="Courier New"/>
          <w:sz w:val="18"/>
          <w:szCs w:val="18"/>
          <w:color w:val="auto"/>
        </w:rPr>
        <w:t>25,534,000</w:t>
      </w:r>
    </w:p>
    <w:p>
      <w:pPr>
        <w:ind w:left="1860"/>
        <w:spacing w:after="0" w:line="238" w:lineRule="auto"/>
        <w:rPr>
          <w:sz w:val="20"/>
          <w:szCs w:val="20"/>
          <w:color w:val="auto"/>
        </w:rPr>
      </w:pPr>
      <w:r>
        <w:rPr>
          <w:rFonts w:ascii="Courier New" w:cs="Courier New" w:eastAsia="Courier New" w:hAnsi="Courier New"/>
          <w:sz w:val="18"/>
          <w:szCs w:val="18"/>
          <w:color w:val="auto"/>
        </w:rPr>
        <w:t>8,384,000</w:t>
      </w:r>
    </w:p>
    <w:p>
      <w:pPr>
        <w:ind w:left="1860"/>
        <w:spacing w:after="0"/>
        <w:rPr>
          <w:sz w:val="20"/>
          <w:szCs w:val="20"/>
          <w:color w:val="auto"/>
        </w:rPr>
      </w:pPr>
      <w:r>
        <w:rPr>
          <w:rFonts w:ascii="Courier New" w:cs="Courier New" w:eastAsia="Courier New" w:hAnsi="Courier New"/>
          <w:sz w:val="18"/>
          <w:szCs w:val="18"/>
          <w:color w:val="auto"/>
        </w:rPr>
        <w:t>143,010,000</w:t>
      </w:r>
    </w:p>
    <w:p>
      <w:pPr>
        <w:ind w:left="1120"/>
        <w:spacing w:after="0" w:line="237" w:lineRule="auto"/>
        <w:rPr>
          <w:sz w:val="20"/>
          <w:szCs w:val="20"/>
          <w:color w:val="auto"/>
        </w:rPr>
      </w:pPr>
      <w:r>
        <w:rPr>
          <w:rFonts w:ascii="Courier New" w:cs="Courier New" w:eastAsia="Courier New" w:hAnsi="Courier New"/>
          <w:sz w:val="18"/>
          <w:szCs w:val="18"/>
          <w:color w:val="auto"/>
        </w:rPr>
        <w:t>54,073,000</w:t>
      </w:r>
    </w:p>
    <w:p>
      <w:pPr>
        <w:ind w:left="2600"/>
        <w:spacing w:after="0"/>
        <w:rPr>
          <w:sz w:val="20"/>
          <w:szCs w:val="20"/>
          <w:color w:val="auto"/>
        </w:rPr>
      </w:pPr>
      <w:r>
        <w:rPr>
          <w:rFonts w:ascii="Courier New" w:cs="Courier New" w:eastAsia="Courier New" w:hAnsi="Courier New"/>
          <w:sz w:val="18"/>
          <w:szCs w:val="18"/>
          <w:color w:val="auto"/>
        </w:rPr>
        <w:t>0</w:t>
      </w:r>
    </w:p>
    <w:p>
      <w:pPr>
        <w:ind w:left="1120"/>
        <w:spacing w:after="0" w:line="237" w:lineRule="auto"/>
        <w:rPr>
          <w:sz w:val="20"/>
          <w:szCs w:val="20"/>
          <w:color w:val="auto"/>
        </w:rPr>
      </w:pPr>
      <w:r>
        <w:rPr>
          <w:rFonts w:ascii="Courier New" w:cs="Courier New" w:eastAsia="Courier New" w:hAnsi="Courier New"/>
          <w:sz w:val="18"/>
          <w:szCs w:val="18"/>
          <w:color w:val="auto"/>
        </w:rPr>
        <w:t>0</w:t>
      </w:r>
    </w:p>
    <w:p>
      <w:pPr>
        <w:ind w:left="2180"/>
        <w:spacing w:after="0"/>
        <w:rPr>
          <w:sz w:val="20"/>
          <w:szCs w:val="20"/>
          <w:color w:val="auto"/>
        </w:rPr>
      </w:pPr>
      <w:r>
        <w:rPr>
          <w:rFonts w:ascii="Courier New" w:cs="Courier New" w:eastAsia="Courier New" w:hAnsi="Courier New"/>
          <w:sz w:val="18"/>
          <w:szCs w:val="18"/>
          <w:color w:val="auto"/>
        </w:rPr>
        <w:t>0</w:t>
      </w:r>
    </w:p>
    <w:p>
      <w:pPr>
        <w:ind w:left="2500"/>
        <w:spacing w:after="0" w:line="237" w:lineRule="auto"/>
        <w:rPr>
          <w:sz w:val="20"/>
          <w:szCs w:val="20"/>
          <w:color w:val="auto"/>
        </w:rPr>
      </w:pPr>
      <w:r>
        <w:rPr>
          <w:rFonts w:ascii="Courier New" w:cs="Courier New" w:eastAsia="Courier New" w:hAnsi="Courier New"/>
          <w:sz w:val="18"/>
          <w:szCs w:val="18"/>
          <w:color w:val="auto"/>
        </w:rPr>
        <w:t>122,000</w:t>
      </w:r>
    </w:p>
    <w:p>
      <w:pPr>
        <w:ind w:left="2280"/>
        <w:spacing w:after="0" w:line="238" w:lineRule="auto"/>
        <w:rPr>
          <w:sz w:val="20"/>
          <w:szCs w:val="20"/>
          <w:color w:val="auto"/>
        </w:rPr>
      </w:pPr>
      <w:r>
        <w:rPr>
          <w:rFonts w:ascii="Courier New" w:cs="Courier New" w:eastAsia="Courier New" w:hAnsi="Courier New"/>
          <w:sz w:val="18"/>
          <w:szCs w:val="18"/>
          <w:color w:val="auto"/>
        </w:rPr>
        <w:t>85,388,000</w:t>
      </w:r>
    </w:p>
    <w:p>
      <w:pPr>
        <w:ind w:left="380"/>
        <w:spacing w:after="0"/>
        <w:rPr>
          <w:sz w:val="20"/>
          <w:szCs w:val="20"/>
          <w:color w:val="auto"/>
        </w:rPr>
      </w:pPr>
      <w:r>
        <w:rPr>
          <w:rFonts w:ascii="Courier New" w:cs="Courier New" w:eastAsia="Courier New" w:hAnsi="Courier New"/>
          <w:sz w:val="18"/>
          <w:szCs w:val="18"/>
          <w:color w:val="auto"/>
        </w:rPr>
        <w:t>143,010,000</w:t>
      </w:r>
    </w:p>
    <w:p>
      <w:pPr>
        <w:ind w:left="2600"/>
        <w:spacing w:after="0" w:line="237" w:lineRule="auto"/>
        <w:rPr>
          <w:sz w:val="20"/>
          <w:szCs w:val="20"/>
          <w:color w:val="auto"/>
        </w:rPr>
      </w:pPr>
      <w:r>
        <w:rPr>
          <w:rFonts w:ascii="Courier New" w:cs="Courier New" w:eastAsia="Courier New" w:hAnsi="Courier New"/>
          <w:sz w:val="18"/>
          <w:szCs w:val="18"/>
          <w:color w:val="auto"/>
        </w:rPr>
        <w:t>600,978,000</w:t>
      </w:r>
    </w:p>
    <w:p>
      <w:pPr>
        <w:ind w:left="1660"/>
        <w:spacing w:after="0"/>
        <w:rPr>
          <w:sz w:val="20"/>
          <w:szCs w:val="20"/>
          <w:color w:val="auto"/>
        </w:rPr>
      </w:pPr>
      <w:r>
        <w:rPr>
          <w:rFonts w:ascii="Courier New" w:cs="Courier New" w:eastAsia="Courier New" w:hAnsi="Courier New"/>
          <w:sz w:val="18"/>
          <w:szCs w:val="18"/>
          <w:color w:val="auto"/>
        </w:rPr>
        <w:t>600,978,000</w:t>
      </w:r>
    </w:p>
    <w:p>
      <w:pPr>
        <w:ind w:left="2820"/>
        <w:spacing w:after="0" w:line="237" w:lineRule="auto"/>
        <w:rPr>
          <w:sz w:val="20"/>
          <w:szCs w:val="20"/>
          <w:color w:val="auto"/>
        </w:rPr>
      </w:pPr>
      <w:r>
        <w:rPr>
          <w:rFonts w:ascii="Courier New" w:cs="Courier New" w:eastAsia="Courier New" w:hAnsi="Courier New"/>
          <w:sz w:val="18"/>
          <w:szCs w:val="18"/>
          <w:color w:val="auto"/>
        </w:rPr>
        <w:t>565,216,000</w:t>
      </w:r>
    </w:p>
    <w:p>
      <w:pPr>
        <w:ind w:left="1960"/>
        <w:spacing w:after="0"/>
        <w:rPr>
          <w:sz w:val="20"/>
          <w:szCs w:val="20"/>
          <w:color w:val="auto"/>
        </w:rPr>
      </w:pPr>
      <w:r>
        <w:rPr>
          <w:rFonts w:ascii="Courier New" w:cs="Courier New" w:eastAsia="Courier New" w:hAnsi="Courier New"/>
          <w:sz w:val="18"/>
          <w:szCs w:val="18"/>
          <w:color w:val="auto"/>
        </w:rPr>
        <w:t>565,216,000</w:t>
      </w:r>
    </w:p>
    <w:p>
      <w:pPr>
        <w:ind w:left="1660"/>
        <w:spacing w:after="0" w:line="237" w:lineRule="auto"/>
        <w:rPr>
          <w:sz w:val="20"/>
          <w:szCs w:val="20"/>
          <w:color w:val="auto"/>
        </w:rPr>
      </w:pPr>
      <w:r>
        <w:rPr>
          <w:rFonts w:ascii="Courier New" w:cs="Courier New" w:eastAsia="Courier New" w:hAnsi="Courier New"/>
          <w:sz w:val="18"/>
          <w:szCs w:val="18"/>
          <w:color w:val="auto"/>
        </w:rPr>
        <w:t>0</w:t>
      </w:r>
    </w:p>
    <w:p>
      <w:pPr>
        <w:ind w:left="1660"/>
        <w:spacing w:after="0"/>
        <w:rPr>
          <w:sz w:val="20"/>
          <w:szCs w:val="20"/>
          <w:color w:val="auto"/>
        </w:rPr>
      </w:pPr>
      <w:r>
        <w:rPr>
          <w:rFonts w:ascii="Courier New" w:cs="Courier New" w:eastAsia="Courier New" w:hAnsi="Courier New"/>
          <w:sz w:val="18"/>
          <w:szCs w:val="18"/>
          <w:color w:val="auto"/>
        </w:rPr>
        <w:t>217,000</w:t>
      </w:r>
    </w:p>
    <w:p>
      <w:pPr>
        <w:ind w:left="1440"/>
        <w:spacing w:after="0" w:line="237" w:lineRule="auto"/>
        <w:rPr>
          <w:sz w:val="20"/>
          <w:szCs w:val="20"/>
          <w:color w:val="auto"/>
        </w:rPr>
      </w:pPr>
      <w:r>
        <w:rPr>
          <w:rFonts w:ascii="Courier New" w:cs="Courier New" w:eastAsia="Courier New" w:hAnsi="Courier New"/>
          <w:sz w:val="18"/>
          <w:szCs w:val="18"/>
          <w:color w:val="auto"/>
        </w:rPr>
        <w:t>256,000</w:t>
      </w:r>
    </w:p>
    <w:p>
      <w:pPr>
        <w:ind w:left="1760"/>
        <w:spacing w:after="0" w:line="238" w:lineRule="auto"/>
        <w:rPr>
          <w:sz w:val="20"/>
          <w:szCs w:val="20"/>
          <w:color w:val="auto"/>
        </w:rPr>
      </w:pPr>
      <w:r>
        <w:rPr>
          <w:rFonts w:ascii="Courier New" w:cs="Courier New" w:eastAsia="Courier New" w:hAnsi="Courier New"/>
          <w:sz w:val="18"/>
          <w:szCs w:val="18"/>
          <w:color w:val="auto"/>
        </w:rPr>
        <w:t>15,871,000</w:t>
      </w:r>
    </w:p>
    <w:p>
      <w:pPr>
        <w:ind w:left="2080"/>
        <w:spacing w:after="0"/>
        <w:rPr>
          <w:sz w:val="20"/>
          <w:szCs w:val="20"/>
          <w:color w:val="auto"/>
        </w:rPr>
      </w:pPr>
      <w:r>
        <w:rPr>
          <w:rFonts w:ascii="Courier New" w:cs="Courier New" w:eastAsia="Courier New" w:hAnsi="Courier New"/>
          <w:sz w:val="18"/>
          <w:szCs w:val="18"/>
          <w:color w:val="auto"/>
        </w:rPr>
        <w:t>3,795,000</w:t>
      </w:r>
    </w:p>
    <w:p>
      <w:pPr>
        <w:ind w:left="1340"/>
        <w:spacing w:after="0" w:line="237" w:lineRule="auto"/>
        <w:rPr>
          <w:sz w:val="20"/>
          <w:szCs w:val="20"/>
          <w:color w:val="auto"/>
        </w:rPr>
      </w:pPr>
      <w:r>
        <w:rPr>
          <w:rFonts w:ascii="Courier New" w:cs="Courier New" w:eastAsia="Courier New" w:hAnsi="Courier New"/>
          <w:sz w:val="18"/>
          <w:szCs w:val="18"/>
          <w:color w:val="auto"/>
        </w:rPr>
        <w:t>12,076,000</w:t>
      </w:r>
    </w:p>
    <w:p>
      <w:pPr>
        <w:ind w:left="1860"/>
        <w:spacing w:after="0"/>
        <w:rPr>
          <w:sz w:val="20"/>
          <w:szCs w:val="20"/>
          <w:color w:val="auto"/>
        </w:rPr>
      </w:pPr>
      <w:r>
        <w:rPr>
          <w:rFonts w:ascii="Courier New" w:cs="Courier New" w:eastAsia="Courier New" w:hAnsi="Courier New"/>
          <w:sz w:val="18"/>
          <w:szCs w:val="18"/>
          <w:color w:val="auto"/>
        </w:rPr>
        <w:t>0</w:t>
      </w:r>
    </w:p>
    <w:p>
      <w:pPr>
        <w:ind w:left="1760"/>
        <w:spacing w:after="0" w:line="237" w:lineRule="auto"/>
        <w:rPr>
          <w:sz w:val="20"/>
          <w:szCs w:val="20"/>
          <w:color w:val="auto"/>
        </w:rPr>
      </w:pPr>
      <w:r>
        <w:rPr>
          <w:rFonts w:ascii="Courier New" w:cs="Courier New" w:eastAsia="Courier New" w:hAnsi="Courier New"/>
          <w:sz w:val="18"/>
          <w:szCs w:val="18"/>
          <w:color w:val="auto"/>
        </w:rPr>
        <w:t>0</w:t>
      </w:r>
    </w:p>
    <w:p>
      <w:pPr>
        <w:ind w:left="2400"/>
        <w:spacing w:after="0"/>
        <w:rPr>
          <w:sz w:val="20"/>
          <w:szCs w:val="20"/>
          <w:color w:val="auto"/>
        </w:rPr>
      </w:pPr>
      <w:r>
        <w:rPr>
          <w:rFonts w:ascii="Courier New" w:cs="Courier New" w:eastAsia="Courier New" w:hAnsi="Courier New"/>
          <w:sz w:val="18"/>
          <w:szCs w:val="18"/>
          <w:color w:val="auto"/>
        </w:rPr>
        <w:t>0</w:t>
      </w:r>
    </w:p>
    <w:p>
      <w:pPr>
        <w:ind w:left="2080"/>
        <w:spacing w:after="0" w:line="237" w:lineRule="auto"/>
        <w:rPr>
          <w:sz w:val="20"/>
          <w:szCs w:val="20"/>
          <w:color w:val="auto"/>
        </w:rPr>
      </w:pPr>
      <w:r>
        <w:rPr>
          <w:rFonts w:ascii="Courier New" w:cs="Courier New" w:eastAsia="Courier New" w:hAnsi="Courier New"/>
          <w:sz w:val="18"/>
          <w:szCs w:val="18"/>
          <w:color w:val="auto"/>
        </w:rPr>
        <w:t>12,076,000</w:t>
      </w:r>
    </w:p>
    <w:p>
      <w:pPr>
        <w:ind w:left="1960"/>
        <w:spacing w:after="0" w:line="238" w:lineRule="auto"/>
        <w:rPr>
          <w:sz w:val="20"/>
          <w:szCs w:val="20"/>
          <w:color w:val="auto"/>
        </w:rPr>
      </w:pPr>
      <w:r>
        <w:rPr>
          <w:rFonts w:ascii="Courier New" w:cs="Courier New" w:eastAsia="Courier New" w:hAnsi="Courier New"/>
          <w:sz w:val="18"/>
          <w:szCs w:val="18"/>
          <w:color w:val="auto"/>
        </w:rPr>
        <w:t>0.99</w:t>
      </w:r>
    </w:p>
    <w:p>
      <w:pPr>
        <w:ind w:left="1960"/>
        <w:spacing w:after="0"/>
        <w:rPr>
          <w:sz w:val="20"/>
          <w:szCs w:val="20"/>
          <w:color w:val="auto"/>
        </w:rPr>
      </w:pPr>
      <w:r>
        <w:rPr>
          <w:rFonts w:ascii="Courier New" w:cs="Courier New" w:eastAsia="Courier New" w:hAnsi="Courier New"/>
          <w:sz w:val="18"/>
          <w:szCs w:val="18"/>
          <w:color w:val="auto"/>
        </w:rPr>
        <w:t>0.97</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2019-12-13T16:08:06Z</dcterms:created>
  <dcterms:modified xsi:type="dcterms:W3CDTF">2019-12-13T16:08:06Z</dcterms:modified>
</cp:coreProperties>
</file>