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13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3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173990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8-K</w:t>
      </w:r>
    </w:p>
    <w:p>
      <w:pPr>
        <w:spacing w:after="0" w:line="28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3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173990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20, 2003</w:t>
      </w:r>
    </w:p>
    <w:p>
      <w:pPr>
        <w:spacing w:after="0" w:line="30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1-9533</w:t>
      </w:r>
    </w:p>
    <w:p>
      <w:pPr>
        <w:spacing w:after="0" w:line="30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WORLD FUEL SERVICES CORPORATION</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7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9"/>
              </w:rPr>
              <w:t>Florida</w:t>
            </w:r>
          </w:p>
        </w:tc>
        <w:tc>
          <w:tcPr>
            <w:tcW w:w="4040" w:type="dxa"/>
            <w:vAlign w:val="bottom"/>
          </w:tcPr>
          <w:p>
            <w:pPr>
              <w:jc w:val="right"/>
              <w:ind w:right="772"/>
              <w:spacing w:after="0"/>
              <w:rPr>
                <w:sz w:val="20"/>
                <w:szCs w:val="20"/>
                <w:color w:val="auto"/>
              </w:rPr>
            </w:pPr>
            <w:r>
              <w:rPr>
                <w:rFonts w:ascii="Arial" w:cs="Arial" w:eastAsia="Arial" w:hAnsi="Arial"/>
                <w:sz w:val="18"/>
                <w:szCs w:val="18"/>
                <w:b w:val="1"/>
                <w:bCs w:val="1"/>
                <w:color w:val="auto"/>
              </w:rPr>
              <w:t>59-2459427</w:t>
            </w:r>
          </w:p>
        </w:tc>
      </w:tr>
      <w:tr>
        <w:trPr>
          <w:trHeight w:val="222"/>
        </w:trPr>
        <w:tc>
          <w:tcPr>
            <w:tcW w:w="4720" w:type="dxa"/>
            <w:vAlign w:val="bottom"/>
          </w:tcPr>
          <w:p>
            <w:pPr>
              <w:jc w:val="center"/>
              <w:ind w:right="1412"/>
              <w:spacing w:after="0"/>
              <w:rPr>
                <w:sz w:val="20"/>
                <w:szCs w:val="20"/>
                <w:color w:val="auto"/>
              </w:rPr>
            </w:pPr>
            <w:r>
              <w:rPr>
                <w:rFonts w:ascii="Arial" w:cs="Arial" w:eastAsia="Arial" w:hAnsi="Arial"/>
                <w:sz w:val="18"/>
                <w:szCs w:val="18"/>
                <w:color w:val="auto"/>
                <w:w w:val="91"/>
              </w:rPr>
              <w:t>(State or other jurisdiction of incorporation)</w:t>
            </w:r>
          </w:p>
        </w:tc>
        <w:tc>
          <w:tcPr>
            <w:tcW w:w="4040" w:type="dxa"/>
            <w:vAlign w:val="bottom"/>
          </w:tcPr>
          <w:p>
            <w:pPr>
              <w:jc w:val="center"/>
              <w:ind w:left="1392"/>
              <w:spacing w:after="0"/>
              <w:rPr>
                <w:sz w:val="20"/>
                <w:szCs w:val="20"/>
                <w:color w:val="auto"/>
              </w:rPr>
            </w:pPr>
            <w:r>
              <w:rPr>
                <w:rFonts w:ascii="Arial" w:cs="Arial" w:eastAsia="Arial" w:hAnsi="Arial"/>
                <w:sz w:val="18"/>
                <w:szCs w:val="18"/>
                <w:color w:val="auto"/>
                <w:w w:val="92"/>
              </w:rPr>
              <w:t>(I.R.S. Employer Identification No.)</w:t>
            </w:r>
          </w:p>
        </w:tc>
      </w:tr>
      <w:tr>
        <w:trPr>
          <w:trHeight w:val="636"/>
        </w:trPr>
        <w:tc>
          <w:tcPr>
            <w:tcW w:w="47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7"/>
              </w:rPr>
              <w:t>700 South Royal Poinciana Blvd., Suite 800</w:t>
            </w:r>
          </w:p>
        </w:tc>
        <w:tc>
          <w:tcPr>
            <w:tcW w:w="4040" w:type="dxa"/>
            <w:vAlign w:val="bottom"/>
          </w:tcPr>
          <w:p>
            <w:pPr>
              <w:jc w:val="right"/>
              <w:ind w:right="972"/>
              <w:spacing w:after="0"/>
              <w:rPr>
                <w:sz w:val="20"/>
                <w:szCs w:val="20"/>
                <w:color w:val="auto"/>
              </w:rPr>
            </w:pPr>
            <w:r>
              <w:rPr>
                <w:rFonts w:ascii="Arial" w:cs="Arial" w:eastAsia="Arial" w:hAnsi="Arial"/>
                <w:sz w:val="18"/>
                <w:szCs w:val="18"/>
                <w:b w:val="1"/>
                <w:bCs w:val="1"/>
                <w:color w:val="auto"/>
              </w:rPr>
              <w:t>33166</w:t>
            </w:r>
          </w:p>
        </w:tc>
      </w:tr>
      <w:tr>
        <w:trPr>
          <w:trHeight w:val="222"/>
        </w:trPr>
        <w:tc>
          <w:tcPr>
            <w:tcW w:w="4720" w:type="dxa"/>
            <w:vAlign w:val="bottom"/>
          </w:tcPr>
          <w:p>
            <w:pPr>
              <w:jc w:val="center"/>
              <w:ind w:right="1412"/>
              <w:spacing w:after="0"/>
              <w:rPr>
                <w:sz w:val="20"/>
                <w:szCs w:val="20"/>
                <w:color w:val="auto"/>
              </w:rPr>
            </w:pPr>
            <w:r>
              <w:rPr>
                <w:rFonts w:ascii="Arial" w:cs="Arial" w:eastAsia="Arial" w:hAnsi="Arial"/>
                <w:sz w:val="18"/>
                <w:szCs w:val="18"/>
                <w:b w:val="1"/>
                <w:bCs w:val="1"/>
                <w:color w:val="auto"/>
                <w:w w:val="92"/>
              </w:rPr>
              <w:t>Miami Springs, Florida</w:t>
            </w:r>
          </w:p>
        </w:tc>
        <w:tc>
          <w:tcPr>
            <w:tcW w:w="4040" w:type="dxa"/>
            <w:vAlign w:val="bottom"/>
          </w:tcPr>
          <w:p>
            <w:pPr>
              <w:jc w:val="center"/>
              <w:ind w:left="1412"/>
              <w:spacing w:after="0"/>
              <w:rPr>
                <w:sz w:val="20"/>
                <w:szCs w:val="20"/>
                <w:color w:val="auto"/>
              </w:rPr>
            </w:pPr>
            <w:r>
              <w:rPr>
                <w:rFonts w:ascii="Arial" w:cs="Arial" w:eastAsia="Arial" w:hAnsi="Arial"/>
                <w:sz w:val="18"/>
                <w:szCs w:val="18"/>
                <w:color w:val="auto"/>
                <w:w w:val="91"/>
              </w:rPr>
              <w:t>(Zip Code)</w:t>
            </w:r>
          </w:p>
        </w:tc>
      </w:tr>
      <w:tr>
        <w:trPr>
          <w:trHeight w:val="222"/>
        </w:trPr>
        <w:tc>
          <w:tcPr>
            <w:tcW w:w="4720" w:type="dxa"/>
            <w:vAlign w:val="bottom"/>
          </w:tcPr>
          <w:p>
            <w:pPr>
              <w:jc w:val="center"/>
              <w:ind w:right="1412"/>
              <w:spacing w:after="0"/>
              <w:rPr>
                <w:sz w:val="20"/>
                <w:szCs w:val="20"/>
                <w:color w:val="auto"/>
              </w:rPr>
            </w:pPr>
            <w:r>
              <w:rPr>
                <w:rFonts w:ascii="Arial" w:cs="Arial" w:eastAsia="Arial" w:hAnsi="Arial"/>
                <w:sz w:val="18"/>
                <w:szCs w:val="18"/>
                <w:color w:val="auto"/>
                <w:w w:val="90"/>
              </w:rPr>
              <w:t>(Address of principal executive offices)</w:t>
            </w:r>
          </w:p>
        </w:tc>
        <w:tc>
          <w:tcPr>
            <w:tcW w:w="4040" w:type="dxa"/>
            <w:vAlign w:val="bottom"/>
          </w:tcPr>
          <w:p>
            <w:pPr>
              <w:spacing w:after="0"/>
              <w:rPr>
                <w:sz w:val="19"/>
                <w:szCs w:val="19"/>
                <w:color w:val="auto"/>
              </w:rPr>
            </w:pPr>
          </w:p>
        </w:tc>
      </w:tr>
    </w:tbl>
    <w:p>
      <w:pPr>
        <w:spacing w:after="0" w:line="28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884-2001</w:t>
      </w:r>
    </w:p>
    <w:p>
      <w:pPr>
        <w:sectPr>
          <w:pgSz w:w="11900" w:h="16838" w:orient="portrait"/>
          <w:cols w:equalWidth="0" w:num="1">
            <w:col w:w="9059"/>
          </w:cols>
          <w:pgMar w:left="1400" w:top="220" w:right="1440" w:bottom="1440" w:gutter="0" w:footer="0" w:header="0"/>
        </w:sectPr>
      </w:pPr>
    </w:p>
    <w:bookmarkStart w:id="1" w:name="page2"/>
    <w:bookmarkEnd w:id="1"/>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5"/>
          <w:szCs w:val="15"/>
          <w:b w:val="1"/>
          <w:bCs w:val="1"/>
          <w:color w:val="auto"/>
        </w:rPr>
        <w:t>Other Events and Regulation FD Disclosure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Amendment to Registrant’s By-laws</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On February 19, 2003, the Board of Directors amended the Company’s By-laws to add new indemnity provisions, which appear as Article 8 of the By-laws. Attached as </w:t>
      </w:r>
      <w:r>
        <w:rPr>
          <w:rFonts w:ascii="Arial" w:cs="Arial" w:eastAsia="Arial" w:hAnsi="Arial"/>
          <w:sz w:val="16"/>
          <w:szCs w:val="16"/>
          <w:u w:val="single" w:color="auto"/>
          <w:color w:val="auto"/>
        </w:rPr>
        <w:t>Exhibit 99.1</w:t>
      </w:r>
      <w:r>
        <w:rPr>
          <w:rFonts w:ascii="Arial" w:cs="Arial" w:eastAsia="Arial" w:hAnsi="Arial"/>
          <w:sz w:val="16"/>
          <w:szCs w:val="16"/>
          <w:color w:val="auto"/>
        </w:rPr>
        <w:t xml:space="preserve"> to this Report is a copy of the Company’s By-laws, amended and restated in their entirety and including the new Article 8 provisions. The Board of Directors also adopted a form of indemnification agreement which will be entered into between the Company and each of its directors, including employee directors. A copy of the indemnification agreement is attached as </w:t>
      </w:r>
      <w:r>
        <w:rPr>
          <w:rFonts w:ascii="Arial" w:cs="Arial" w:eastAsia="Arial" w:hAnsi="Arial"/>
          <w:sz w:val="16"/>
          <w:szCs w:val="16"/>
          <w:u w:val="single" w:color="auto"/>
          <w:color w:val="auto"/>
        </w:rPr>
        <w:t>Exhibit 99.2</w:t>
      </w:r>
      <w:r>
        <w:rPr>
          <w:rFonts w:ascii="Arial" w:cs="Arial" w:eastAsia="Arial" w:hAnsi="Arial"/>
          <w:sz w:val="16"/>
          <w:szCs w:val="16"/>
          <w:color w:val="auto"/>
        </w:rPr>
        <w:t xml:space="preserve"> to this Report.</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purpose of the By-law amendment and the indemnification agreements is to provide the Company’s directors indemnification protection against certain liabilities, to the full extent permitted by law. The Board of Directors believes that these indemnity provisions are necessary in order to enable the Company to attract qualified and experienced persons to serve on its Board of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Appointment of Registrant’s Directors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February 20, 2003, we announced the appointment of J. Thomas Presby to the Board of Directors. Mr. Presby, 63, spent 30 years as a partner in Deloitte</w:t>
      </w:r>
    </w:p>
    <w:p>
      <w:pPr>
        <w:spacing w:after="0" w:line="50" w:lineRule="exact"/>
        <w:rPr>
          <w:sz w:val="20"/>
          <w:szCs w:val="20"/>
          <w:color w:val="auto"/>
        </w:rPr>
      </w:pPr>
    </w:p>
    <w:p>
      <w:pPr>
        <w:ind w:right="20" w:firstLine="8"/>
        <w:spacing w:after="0" w:line="295" w:lineRule="auto"/>
        <w:tabs>
          <w:tab w:leader="none" w:pos="181" w:val="left"/>
        </w:tabs>
        <w:numPr>
          <w:ilvl w:val="0"/>
          <w:numId w:val="1"/>
        </w:numPr>
        <w:rPr>
          <w:rFonts w:ascii="Arial" w:cs="Arial" w:eastAsia="Arial" w:hAnsi="Arial"/>
          <w:sz w:val="16"/>
          <w:szCs w:val="16"/>
          <w:color w:val="auto"/>
        </w:rPr>
      </w:pPr>
      <w:r>
        <w:rPr>
          <w:rFonts w:ascii="Arial" w:cs="Arial" w:eastAsia="Arial" w:hAnsi="Arial"/>
          <w:sz w:val="16"/>
          <w:szCs w:val="16"/>
          <w:color w:val="auto"/>
        </w:rPr>
        <w:t>Touche Tohmatsu (DTT), one of the world’s leading public accounting firms, before taking mandatory retirement in June of 2002. At the time of his retirement, Mr. Presby was serving as Deputy Chief Executive Officer of DTT, a position he held since 2001. Prior to that Mr. Presby served as Deputy Chairman and Chief Operating Officer of DTT (1995-2000); Chief Executive Officer (and founder) of Deloitte &amp; Touche Central Europe (1990-1995); Chief Executive Officer Europe (1992-1994) and Managing Partner (and founder), Financial Services Center (1982-1990).</w:t>
      </w:r>
    </w:p>
    <w:p>
      <w:pPr>
        <w:spacing w:after="0" w:line="1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fast growing international services company we are delighted to have someone of Tom’s extensive global experience join our board,” said Paul H. Stebbins, Chairman and Chief Executive Officer. “His deep international background in finance, financial services, business operations and management will add tremendous value as we work to realize our strategic vision for the future.”</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“Tom Presby is a welcome addition to our board,” said Myles Klein, independent director and chairman of the audit committee. “We are confident he will help us in our efforts to set the standard for best practices in the area of corporate governance and support management in their efforts to grow the business and build shareholder value.”</w:t>
      </w:r>
    </w:p>
    <w:p>
      <w:pPr>
        <w:spacing w:after="0" w:line="12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Mr. Presby currently serves on the following boards: The German Marshall Fund of the USA (Chairman audit committee); GreenPoint Financial Corp. (NYSE), member, audit committee; PracticeWorks (AMEX), Chairman, audit committee. Mr. Presby’s previous board experience includes Rutgers University; Carnegie Mellon University Graduate School of Business; the French American Foundation; and numerous US and foreign Deloitte</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Touche Tohmatsu boards. Mr. Presby is also currently active in commercial dispute resolution, acting as an arbitrator, mediator and expert witness.</w:t>
      </w:r>
    </w:p>
    <w:p>
      <w:pPr>
        <w:spacing w:after="0" w:line="33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Financial Statements and Exhibits</w:t>
      </w:r>
    </w:p>
    <w:p>
      <w:pPr>
        <w:spacing w:after="0" w:line="83"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53" w:lineRule="exact"/>
        <w:rPr>
          <w:sz w:val="20"/>
          <w:szCs w:val="20"/>
          <w:color w:val="auto"/>
        </w:rPr>
      </w:pPr>
    </w:p>
    <w:p>
      <w:pPr>
        <w:ind w:left="1260"/>
        <w:spacing w:after="0"/>
        <w:tabs>
          <w:tab w:leader="none" w:pos="22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68580</wp:posOffset>
            </wp:positionV>
            <wp:extent cx="1286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202" w:lineRule="exact"/>
        <w:rPr>
          <w:sz w:val="20"/>
          <w:szCs w:val="20"/>
          <w:color w:val="auto"/>
        </w:rPr>
      </w:pPr>
    </w:p>
    <w:p>
      <w:pPr>
        <w:ind w:left="1420"/>
        <w:spacing w:after="0"/>
        <w:tabs>
          <w:tab w:leader="none" w:pos="22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Amended and restated by-laws dated February 19, 2003.</w:t>
      </w:r>
    </w:p>
    <w:p>
      <w:pPr>
        <w:spacing w:after="0" w:line="15" w:lineRule="exact"/>
        <w:rPr>
          <w:sz w:val="20"/>
          <w:szCs w:val="20"/>
          <w:color w:val="auto"/>
        </w:rPr>
      </w:pPr>
    </w:p>
    <w:p>
      <w:pPr>
        <w:ind w:left="1420"/>
        <w:spacing w:after="0"/>
        <w:tabs>
          <w:tab w:leader="none" w:pos="22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Director Indemnification agreement.</w:t>
      </w:r>
    </w:p>
    <w:p>
      <w:pPr>
        <w:spacing w:after="0" w:line="9" w:lineRule="exact"/>
        <w:rPr>
          <w:sz w:val="20"/>
          <w:szCs w:val="20"/>
          <w:color w:val="auto"/>
        </w:rPr>
      </w:pPr>
    </w:p>
    <w:p>
      <w:pPr>
        <w:ind w:left="1420"/>
        <w:spacing w:after="0"/>
        <w:tabs>
          <w:tab w:leader="none" w:pos="226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Press Release dated February 20, 2003.</w:t>
      </w:r>
    </w:p>
    <w:p>
      <w:pPr>
        <w:sectPr>
          <w:pgSz w:w="11900" w:h="16838" w:orient="portrait"/>
          <w:cols w:equalWidth="0" w:num="1">
            <w:col w:w="10320"/>
          </w:cols>
          <w:pgMar w:left="240" w:top="280" w:right="13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1" w:lineRule="exact"/>
        <w:rPr>
          <w:sz w:val="20"/>
          <w:szCs w:val="20"/>
          <w:color w:val="auto"/>
        </w:rPr>
      </w:pPr>
    </w:p>
    <w:p>
      <w:pPr>
        <w:ind w:left="20"/>
        <w:spacing w:after="0"/>
        <w:tabs>
          <w:tab w:leader="none" w:pos="6040" w:val="left"/>
        </w:tabs>
        <w:rPr>
          <w:sz w:val="20"/>
          <w:szCs w:val="20"/>
          <w:color w:val="auto"/>
        </w:rPr>
      </w:pPr>
      <w:r>
        <w:rPr>
          <w:rFonts w:ascii="Arial" w:cs="Arial" w:eastAsia="Arial" w:hAnsi="Arial"/>
          <w:sz w:val="18"/>
          <w:szCs w:val="18"/>
          <w:color w:val="auto"/>
        </w:rPr>
        <w:t>Date: February 20, 2003</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24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2848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J. Kasbar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Operating Officer</w:t>
      </w:r>
    </w:p>
    <w:p>
      <w:pPr>
        <w:spacing w:after="0" w:line="200" w:lineRule="exact"/>
        <w:rPr>
          <w:sz w:val="20"/>
          <w:szCs w:val="20"/>
          <w:color w:val="auto"/>
        </w:rPr>
      </w:pPr>
    </w:p>
    <w:p>
      <w:pPr>
        <w:spacing w:after="0" w:line="23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2848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Francis X. Shea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980"/>
          </w:cols>
          <w:pgMar w:left="240" w:top="274" w:right="6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as of February 19,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 MEETINGS OF STOCKHOLDERS</w:t>
      </w:r>
    </w:p>
    <w:p>
      <w:pPr>
        <w:spacing w:after="0" w:line="15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u w:val="single" w:color="auto"/>
          <w:color w:val="auto"/>
        </w:rPr>
        <w:t>Section 1. Annual Meeting</w:t>
      </w:r>
      <w:r>
        <w:rPr>
          <w:rFonts w:ascii="Arial" w:cs="Arial" w:eastAsia="Arial" w:hAnsi="Arial"/>
          <w:sz w:val="18"/>
          <w:szCs w:val="18"/>
          <w:color w:val="auto"/>
        </w:rPr>
        <w:t>. The annual meeting of the Stockholders of this corporation shall be held at the time and place designated by the Board of Directors of the corporation. The annual meeting shall be held within four months after the close of the corporation’s fiscal year. The annual meeting of Stockholders for any year shall be held no later than thirteen months after the last preceding annual meeting of Stockholders. Business transacted at the annual meeting shall include the election of Directors of the corporation.</w:t>
      </w:r>
    </w:p>
    <w:p>
      <w:pPr>
        <w:spacing w:after="0" w:line="13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u w:val="single" w:color="auto"/>
          <w:color w:val="auto"/>
        </w:rPr>
        <w:t>Section 2. Special Meetings</w:t>
      </w:r>
      <w:r>
        <w:rPr>
          <w:rFonts w:ascii="Arial" w:cs="Arial" w:eastAsia="Arial" w:hAnsi="Arial"/>
          <w:sz w:val="18"/>
          <w:szCs w:val="18"/>
          <w:color w:val="auto"/>
        </w:rPr>
        <w:t>. Special meetings of the Stockholders shall be held when directed by the President or the Board of Directors, or when requested in writing by the holders of not less than ten percent of all the shares entitled to vote at the meeting. A meeting requested by Stockholders shall be called for a date not less than ten nor more than sixty days after the request is made, unless the Stockholders requesting the meeting designate a later date. The call for the meeting shall be issued by the Secretary, unless the President, Board of Directors, or Stockholders requesting the meeting shall designate another person to do so.</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3. Place</w:t>
      </w:r>
      <w:r>
        <w:rPr>
          <w:rFonts w:ascii="Arial" w:cs="Arial" w:eastAsia="Arial" w:hAnsi="Arial"/>
          <w:sz w:val="18"/>
          <w:szCs w:val="18"/>
          <w:color w:val="auto"/>
        </w:rPr>
        <w:t>. Meetings of Stockholders may be held within or without the State of Florida.</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u w:val="single" w:color="auto"/>
          <w:color w:val="auto"/>
        </w:rPr>
        <w:t>Section 4. Notice</w:t>
      </w:r>
      <w:r>
        <w:rPr>
          <w:rFonts w:ascii="Arial" w:cs="Arial" w:eastAsia="Arial" w:hAnsi="Arial"/>
          <w:sz w:val="18"/>
          <w:szCs w:val="18"/>
          <w:color w:val="auto"/>
        </w:rPr>
        <w:t>. Written notice stating the place, day and hour of the meeting and, in the case of a special meeting, the purpose or purposes for which the meeting is called shall be delivered not less than ten nor more than sixty days before the meeting, either personally or by first class mail, by or at the direction of the President, the Secretary, or the Officer or persons calling the meeting to each Stockholder of record entitled to vote at such meeting. If mailed, such notice shall be deemed to be delivered when deposited in the United States mail addressed to the Stockholder at his address as it appears on the stock transfer books of the corporation, with postage thereon prepaid.</w:t>
      </w:r>
    </w:p>
    <w:p>
      <w:pPr>
        <w:spacing w:after="0" w:line="12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u w:val="single" w:color="auto"/>
          <w:color w:val="auto"/>
        </w:rPr>
        <w:t>Section 5. Notice of Adjourned Meetings</w:t>
      </w:r>
      <w:r>
        <w:rPr>
          <w:rFonts w:ascii="Arial" w:cs="Arial" w:eastAsia="Arial" w:hAnsi="Arial"/>
          <w:sz w:val="18"/>
          <w:szCs w:val="18"/>
          <w:color w:val="auto"/>
        </w:rPr>
        <w:t>. When a meeting is adjourned to another time or place, it shall not be necessary to give any notice of the adjourned meeting if the time and place to which the meeting is adjourned are announced at the meeting at which the adjournment is taken, and at the adjourned meeting any business may be transacted that might have been transacted on the original date of the meeting. If, however, after the adjournment the Board of Directors fixes a new record date for the adjourned meeting, a notice of the</w:t>
      </w:r>
    </w:p>
    <w:p>
      <w:pPr>
        <w:sectPr>
          <w:pgSz w:w="11900" w:h="16838" w:orient="portrait"/>
          <w:cols w:equalWidth="0" w:num="1">
            <w:col w:w="11420"/>
          </w:cols>
          <w:pgMar w:left="240" w:top="131"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adjourned meeting shall be given as provided in this section to each Stockholder of record on the new record date entitled to vote at such meeting.</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u w:val="single" w:color="auto"/>
          <w:color w:val="auto"/>
        </w:rPr>
        <w:t>Section 6. Fixing Record Date</w:t>
      </w:r>
      <w:r>
        <w:rPr>
          <w:rFonts w:ascii="Arial" w:cs="Arial" w:eastAsia="Arial" w:hAnsi="Arial"/>
          <w:sz w:val="16"/>
          <w:szCs w:val="16"/>
          <w:color w:val="auto"/>
        </w:rPr>
        <w:t>. For the purpose of determining Stockholders entitled to notice of or to vote at any meeting of Stockholders or any adjournment thereof, or entitled to receive payment of any dividend, or in order to make a determination of Stockholders for any other purpose, the Board of Directors shall fix in advance a date as the record date for any determination of Stockholders, such date in any case to be not more than seventy days and, in case of a meeting of Stockholders, not less than ten days, prior to the date on which the particular action requiring such determination of Stockholders is to be taken. When a determination of Stockholders entitled to vote at any meeting of Stockholders has been made as provided in this section, such determination shall apply to any adjournment thereof, unless the Board of Directors fixes a new record date for the adjourned meeting.</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u w:val="single" w:color="auto"/>
          <w:color w:val="auto"/>
        </w:rPr>
        <w:t>Section 7. Voting Record</w:t>
      </w:r>
      <w:r>
        <w:rPr>
          <w:rFonts w:ascii="Arial" w:cs="Arial" w:eastAsia="Arial" w:hAnsi="Arial"/>
          <w:sz w:val="16"/>
          <w:szCs w:val="16"/>
          <w:color w:val="auto"/>
        </w:rPr>
        <w:t>. The Officers or agent having charge of the stock transfer books for shares of the corporation shall make, at least ten days before each meeting of Stockholders, a complete list of the Stockholders entitled to vote at such meeting or any adjournment thereof, with the address of and the number and class and series, if any, of shares held by each. The list, for a period of ten days prior to such meeting, shall be kept on file at the registered office of the corporation, at the principal place of business of the corporation or at the office of the transfer agent or registrar of the corporation and any Stockholder shall be entitled to inspect the list at any time during the usual business hours. The list shall also be produced and kept open at the time and place of the meeting and shall be subject to the inspection of any Stockholder at any time during the meeting.</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requirements of this section have not been substantially complied with, the meeting on demand of any Stockholder in person or by proxy, shall be adjourned until the requirements are complied with. If no such demand is made, failure to comply with the requirements of this section shall not affect the validity of any action taken at such meeting.</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u w:val="single" w:color="auto"/>
          <w:color w:val="auto"/>
        </w:rPr>
        <w:t>Section 8. Stockholder Quorum and Voting</w:t>
      </w:r>
      <w:r>
        <w:rPr>
          <w:rFonts w:ascii="Arial" w:cs="Arial" w:eastAsia="Arial" w:hAnsi="Arial"/>
          <w:sz w:val="18"/>
          <w:szCs w:val="18"/>
          <w:color w:val="auto"/>
        </w:rPr>
        <w:t>. A majority of the shares entitled to vote, represented in person or by proxy, shall constitute a quorum at a meeting of Stockholders. When a specified item of business is required to be voted on by a class or series of stock, a majority of the shares of such class or series shall constitute a quorum for the transaction of such item of business by that class or series.</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a quorum is present, the affirmative vote of the majority of the shares represented at the meeting and entitled to vote on the subject matter shall be the act of the Stockholders unless otherwise provided by law.</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After a quorum has been established at a Stockholders’ meeting, the subsequent withdrawal of Stockholders, so as to reduce the number of Stockholders entitled to vote at the meeting below the number required for a quorum, shall not affect the validity of any action taken at the meeting or any adjournment thereof.</w:t>
      </w:r>
    </w:p>
    <w:p>
      <w:pPr>
        <w:sectPr>
          <w:pgSz w:w="11900" w:h="16838" w:orient="portrait"/>
          <w:cols w:equalWidth="0" w:num="1">
            <w:col w:w="11420"/>
          </w:cols>
          <w:pgMar w:left="240" w:top="280" w:right="239" w:bottom="1440" w:gutter="0" w:footer="0" w:header="0"/>
        </w:sectPr>
      </w:pPr>
    </w:p>
    <w:bookmarkStart w:id="6" w:name="page7"/>
    <w:bookmarkEnd w:id="6"/>
    <w:p>
      <w:pPr>
        <w:ind w:right="32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 Voting of Shares</w:t>
      </w:r>
      <w:r>
        <w:rPr>
          <w:rFonts w:ascii="Arial" w:cs="Arial" w:eastAsia="Arial" w:hAnsi="Arial"/>
          <w:sz w:val="18"/>
          <w:szCs w:val="18"/>
          <w:color w:val="auto"/>
        </w:rPr>
        <w:t>. Each outstanding share, regardless of class, shall be entitled to one vote on each matter submitted to a vote at a meeting of Stockholders.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Treasury shares, shares of stock of this corporation owned by another corporation the majority of the voting stock of which is owned or controlled by this corporation, and shares of stock of this corporation held by it in a fiduciary capacity shall not be voted, directly or indirectly, at any meeting, and shall not be counted in determining the total number of outstanding shares at any given time.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Stockholder may vote either in person or by proxy executed in writing by the Stockholder or his duly authorized attorney-in-fact.</w:t>
      </w:r>
    </w:p>
    <w:p>
      <w:pPr>
        <w:spacing w:after="0" w:line="15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At each election for Directors every Stockholder entitled to vote at such election shall have the right to vote, in person or by proxy, the number of shares owned by him for as many persons as there are Directors to be elected at that time and for whose election he has a right to vote.</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Shares standing in the name of another corporation, domestic or foreign, may be voted by the Officer, agent, or proxy designated by the By-Laws of the corporate Stockholder; or, in the absence of any applicable By-Law, by such person as the Board of Directors of the corporate Stockholder may designate. Proof of such designation may be made by presentation of a certified copy of the By-Laws or other instrument of the corporate Stockholder. In the absence of any such designation, or in case of conflicting designation by the corporate Stockholder, the Chairman of the Board, President, any Vice President, Secretary and Treasurer of the corporate Stockholder shall be presumed to possess, in that order, authority to vote such shares.</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Shares held by an administrator, executor, guardian or conservator may be voted by him, either in person or by proxy, without a transfer of such shares into his name. Shares standing in the name of a trustee may be voted by him, either in person or by proxy, but no trustee shall be entitled to vote shares held by him without a transfer of such shares into his name.</w:t>
      </w:r>
    </w:p>
    <w:p>
      <w:pPr>
        <w:spacing w:after="0" w:line="127"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Shares standing in the name of a receiver may be voted by such receiver, and shares held by or under the control of a receiver may be voted by such receiver without the transfer thereof into his name if authority so to do be contained in an appropriate order of the court by which such receiver was appointed.</w:t>
      </w:r>
    </w:p>
    <w:p>
      <w:pPr>
        <w:spacing w:after="0" w:line="4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 Stockholder whose shares are pledged shall be entitled to vote such shares until the shares have been transferred into the name of the pledgee, and thereafter the pledgee or his nominee shall be entitled to vote the shares so transferred.</w:t>
      </w:r>
    </w:p>
    <w:p>
      <w:pPr>
        <w:spacing w:after="0" w:line="118"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On and after the date on which a written notice of redemption of redeemable shares has been mailed to the holders thereof and a sum sufficient to redeem such shares has been deposited with a bank or trust company with irrevocable instruction and authority to pay the redemption price to the holders thereof upon surrender of certificates therefor, such shares shall not be entitled to vote on any matter and shall not be deemed to be outstanding shares.</w:t>
      </w:r>
    </w:p>
    <w:p>
      <w:pPr>
        <w:sectPr>
          <w:pgSz w:w="11900" w:h="16838" w:orient="portrait"/>
          <w:cols w:equalWidth="0" w:num="1">
            <w:col w:w="11360"/>
          </w:cols>
          <w:pgMar w:left="240" w:top="280" w:right="299" w:bottom="1440" w:gutter="0" w:footer="0" w:header="0"/>
        </w:sectPr>
      </w:pPr>
    </w:p>
    <w:bookmarkStart w:id="7" w:name="page8"/>
    <w:bookmarkEnd w:id="7"/>
    <w:p>
      <w:pPr>
        <w:ind w:right="98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 Proxies</w:t>
      </w:r>
      <w:r>
        <w:rPr>
          <w:rFonts w:ascii="Arial" w:cs="Arial" w:eastAsia="Arial" w:hAnsi="Arial"/>
          <w:sz w:val="18"/>
          <w:szCs w:val="18"/>
          <w:color w:val="auto"/>
        </w:rPr>
        <w:t>. Every Stockholder entitled to vote at a meeting of Stockholders or to express consent or dissent without a meeting or any Stockholder’s duly authorized attorney-in-fact may authorize another person or persons to act for him by proxy.</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Every proxy must be signed by the Stockholder or his attorney-in-fact. No proxy shall be valid after the expiration of eleven months from the date thereof unless otherwise provided in the proxy. Every proxy shall be revocable at the pleasure of the Stockholder executing it, except as otherwise provided by law.</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authority of the holder of a proxy to act shall not be revoked by the incompetence or death of the Stockholder who executed the proxy unless, before the authority is exercised, written notice of an adjudication of such incompetence or of such death is received by the corporate Officer responsible for maintaining the list of Stockholders.</w:t>
      </w:r>
    </w:p>
    <w:p>
      <w:pPr>
        <w:spacing w:after="0" w:line="12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a proxy for the same shares confers authority upon two or more persons and does not otherwise provide, a majority of them present at the meeting, or if only one is present then that one, may exercise all the powers conferred by the proxy; but if the proxy holders present at the meeting are equally divided as to the right and manner of voting in any particular case, the voting of such shares shall be prorated.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 proxy expressly provides, any proxy holder may appoint in writing a substitute to act in his place.</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u w:val="single" w:color="auto"/>
          <w:color w:val="auto"/>
        </w:rPr>
        <w:t>Section 11. Voting Trusts</w:t>
      </w:r>
      <w:r>
        <w:rPr>
          <w:rFonts w:ascii="Arial" w:cs="Arial" w:eastAsia="Arial" w:hAnsi="Arial"/>
          <w:sz w:val="18"/>
          <w:szCs w:val="18"/>
          <w:color w:val="auto"/>
        </w:rPr>
        <w:t>. Any number of Stockholders of this corporation may create a voting trust for the purpose of conferring upon a trustee or trustees the right to vote or otherwise represent their shares, as provided by law. Where the counterpart of a voting trust agreement and the copy of the record of the holders of voting trust certificates has been deposited with the corporation as provided by law, such documents shall be subject to the same right of examination by a Stockholder of the corporation, in person or by agent or attorney, as are the books and records of the corporation, and such counterpart and such copy of such record shall be subject to examination by any holder of record of voting trust certificates either in person or by agent or attorney, at any reasonable time for any proper purpose.</w:t>
      </w:r>
    </w:p>
    <w:p>
      <w:pPr>
        <w:spacing w:after="0" w:line="13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u w:val="single" w:color="auto"/>
          <w:color w:val="auto"/>
        </w:rPr>
        <w:t>Section 12. Stockholders’ Agreements</w:t>
      </w:r>
      <w:r>
        <w:rPr>
          <w:rFonts w:ascii="Arial" w:cs="Arial" w:eastAsia="Arial" w:hAnsi="Arial"/>
          <w:sz w:val="16"/>
          <w:szCs w:val="16"/>
          <w:color w:val="auto"/>
        </w:rPr>
        <w:t>. Two or more Stockholders of this corporation may enter into an agreement or agreements providing for the exercise of voting rights in the manner provided in the agreement(s) or relating to any phase of the affairs of the corporation as provided by law. Nothing therein shall impair the right of this corporation to treat the Stockholders of record as entitled to vote the shares standing in their names.</w:t>
      </w:r>
    </w:p>
    <w:p>
      <w:pPr>
        <w:spacing w:after="0" w:line="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u w:val="single" w:color="auto"/>
          <w:color w:val="auto"/>
        </w:rPr>
        <w:t>Section 13. Action Without a Meeting</w:t>
      </w:r>
      <w:r>
        <w:rPr>
          <w:rFonts w:ascii="Arial" w:cs="Arial" w:eastAsia="Arial" w:hAnsi="Arial"/>
          <w:sz w:val="18"/>
          <w:szCs w:val="18"/>
          <w:color w:val="auto"/>
        </w:rPr>
        <w:t>. Any action required to be taken at any annual or special meeting of Stockholders of the corporation or any action which may be taken at any annual or special meeting of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If any class of shares is entitled to vote thereon as a</w:t>
      </w:r>
    </w:p>
    <w:p>
      <w:pPr>
        <w:sectPr>
          <w:pgSz w:w="11900" w:h="16838" w:orient="portrait"/>
          <w:cols w:equalWidth="0" w:num="1">
            <w:col w:w="11400"/>
          </w:cols>
          <w:pgMar w:left="240" w:top="428" w:right="259" w:bottom="1440" w:gutter="0" w:footer="0" w:header="0"/>
        </w:sectPr>
      </w:pPr>
    </w:p>
    <w:bookmarkStart w:id="8" w:name="page9"/>
    <w:bookmarkEnd w:id="8"/>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class, such written consent shall be required of the holders of a majority of the shares of each class entitled to vote as a class thereon and of the total shares entitled to vote thereon.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Within 10 days after first obtaining such authorization by written consent, notice must be given to those stockholders who have not consented in writing. The notice shall fairly summarize the material features of the authorized action and, if the action be a merger, consolidation, or sale or exchange of assets for which dissenters rights are provided, the notice shall contain a clear statement of the right of stockholders dissenting therefrom to be paid the fair value of their shares upon compliance with the Florida Statutes provision concerning dissenters rights of shareholders.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ARTICLE II. DIRECTORS</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u w:val="single" w:color="auto"/>
          <w:color w:val="auto"/>
        </w:rPr>
        <w:t>Section 1. Function</w:t>
      </w:r>
      <w:r>
        <w:rPr>
          <w:rFonts w:ascii="Arial" w:cs="Arial" w:eastAsia="Arial" w:hAnsi="Arial"/>
          <w:sz w:val="18"/>
          <w:szCs w:val="18"/>
          <w:color w:val="auto"/>
        </w:rPr>
        <w:t>. All corporate powers shall be exercised by or under the authority of, and the business and affairs of a corporation shall be managed under the direction of, the Board of Directors.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 Qualification</w:t>
      </w:r>
      <w:r>
        <w:rPr>
          <w:rFonts w:ascii="Arial" w:cs="Arial" w:eastAsia="Arial" w:hAnsi="Arial"/>
          <w:sz w:val="18"/>
          <w:szCs w:val="18"/>
          <w:color w:val="auto"/>
        </w:rPr>
        <w:t>. Directors need not be residents of this state or Stockholders of this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3. Compensation</w:t>
      </w:r>
      <w:r>
        <w:rPr>
          <w:rFonts w:ascii="Arial" w:cs="Arial" w:eastAsia="Arial" w:hAnsi="Arial"/>
          <w:sz w:val="18"/>
          <w:szCs w:val="18"/>
          <w:color w:val="auto"/>
        </w:rPr>
        <w:t>. The Board of Directors shall have authority to fix the compensation of Directors.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u w:val="single" w:color="auto"/>
          <w:color w:val="auto"/>
        </w:rPr>
        <w:t>Section 4. Duties of Directors</w:t>
      </w:r>
      <w:r>
        <w:rPr>
          <w:rFonts w:ascii="Arial" w:cs="Arial" w:eastAsia="Arial" w:hAnsi="Arial"/>
          <w:sz w:val="18"/>
          <w:szCs w:val="18"/>
          <w:color w:val="auto"/>
        </w:rPr>
        <w:t>. A Director shall perform his duties as a Director, including his duties as a member of any committee of the Board upon which he may serve, in good faith, in a manner he reasonably believes to be in the best interests of the corporation, and with such care as an ordinarily prudent person in a like position would use under similar circumstances.</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performing his duties, a Director shall be entitled to rely on information, opinions, reports or statements, including financial statements and other financial data, in each case prepared or presented by:</w:t>
      </w:r>
    </w:p>
    <w:p>
      <w:pPr>
        <w:spacing w:after="0" w:line="118" w:lineRule="exact"/>
        <w:rPr>
          <w:sz w:val="20"/>
          <w:szCs w:val="20"/>
          <w:color w:val="auto"/>
        </w:rPr>
      </w:pPr>
    </w:p>
    <w:p>
      <w:pPr>
        <w:ind w:left="700" w:hanging="236"/>
        <w:spacing w:after="0"/>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one or more Officers or employees of the corporation whom the Director reasonably believes to be reliable and competent in the matters presented,</w:t>
      </w:r>
    </w:p>
    <w:p>
      <w:pPr>
        <w:spacing w:after="0" w:line="180" w:lineRule="exact"/>
        <w:rPr>
          <w:rFonts w:ascii="Arial" w:cs="Arial" w:eastAsia="Arial" w:hAnsi="Arial"/>
          <w:sz w:val="16"/>
          <w:szCs w:val="16"/>
          <w:color w:val="auto"/>
        </w:rPr>
      </w:pPr>
    </w:p>
    <w:p>
      <w:pPr>
        <w:ind w:right="200" w:firstLine="464"/>
        <w:spacing w:after="0" w:line="268" w:lineRule="auto"/>
        <w:tabs>
          <w:tab w:leader="none" w:pos="70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counsel, public accountants or other persons as to matters which the Director reasonably believes to be within such person’s professional or expert competence, or</w:t>
      </w:r>
    </w:p>
    <w:p>
      <w:pPr>
        <w:spacing w:after="0" w:line="118" w:lineRule="exact"/>
        <w:rPr>
          <w:rFonts w:ascii="Arial" w:cs="Arial" w:eastAsia="Arial" w:hAnsi="Arial"/>
          <w:sz w:val="18"/>
          <w:szCs w:val="18"/>
          <w:color w:val="auto"/>
        </w:rPr>
      </w:pPr>
    </w:p>
    <w:p>
      <w:pPr>
        <w:ind w:right="200" w:firstLine="464"/>
        <w:spacing w:after="0" w:line="332" w:lineRule="auto"/>
        <w:tabs>
          <w:tab w:leader="none" w:pos="695" w:val="left"/>
        </w:tabs>
        <w:numPr>
          <w:ilvl w:val="0"/>
          <w:numId w:val="3"/>
        </w:numPr>
        <w:rPr>
          <w:rFonts w:ascii="Arial" w:cs="Arial" w:eastAsia="Arial" w:hAnsi="Arial"/>
          <w:sz w:val="16"/>
          <w:szCs w:val="16"/>
          <w:color w:val="auto"/>
        </w:rPr>
      </w:pPr>
      <w:r>
        <w:rPr>
          <w:rFonts w:ascii="Arial" w:cs="Arial" w:eastAsia="Arial" w:hAnsi="Arial"/>
          <w:sz w:val="16"/>
          <w:szCs w:val="16"/>
          <w:color w:val="auto"/>
        </w:rPr>
        <w:t>a committee of the Board upon which he does not serve, duly designated in accordance with a provision of the Articles of Incorporation or the By-Laws, as to matters within its designated authority, which committee the Director reasonably believes to merit confidence.</w:t>
      </w:r>
    </w:p>
    <w:p>
      <w:pPr>
        <w:spacing w:after="0" w:line="7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Director shall not be considered to be acting in good faith if he has actual knowledge concerning the matter in question that would cause such reliance described above to be unwarranted.</w:t>
      </w:r>
    </w:p>
    <w:p>
      <w:pPr>
        <w:sectPr>
          <w:pgSz w:w="11900" w:h="16838" w:orient="portrait"/>
          <w:cols w:equalWidth="0" w:num="1">
            <w:col w:w="11200"/>
          </w:cols>
          <w:pgMar w:left="240" w:top="280" w:right="459" w:bottom="1440" w:gutter="0" w:footer="0" w:header="0"/>
        </w:sectPr>
      </w:pPr>
    </w:p>
    <w:bookmarkStart w:id="9" w:name="page10"/>
    <w:bookmarkEnd w:id="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person who performs his duties in compliance with this section shall have no liability by reason of being or having been a Director of the corporation.</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u w:val="single" w:color="auto"/>
          <w:color w:val="auto"/>
        </w:rPr>
        <w:t>Section 5. Presumption of Assent</w:t>
      </w:r>
      <w:r>
        <w:rPr>
          <w:rFonts w:ascii="Arial" w:cs="Arial" w:eastAsia="Arial" w:hAnsi="Arial"/>
          <w:sz w:val="18"/>
          <w:szCs w:val="18"/>
          <w:color w:val="auto"/>
        </w:rPr>
        <w:t>. A Director of the corporation who is present at a meeting of its Board of Directors at which action on any corporate matter is taken shall be presumed to have assented to the action taken unless he votes against such action or abstains from voting in respect thereto because of an asserted conflict of interest.</w:t>
      </w:r>
    </w:p>
    <w:p>
      <w:pPr>
        <w:spacing w:after="0" w:line="12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u w:val="single" w:color="auto"/>
          <w:color w:val="auto"/>
        </w:rPr>
        <w:t>Section 6. Number</w:t>
      </w:r>
      <w:r>
        <w:rPr>
          <w:rFonts w:ascii="Arial" w:cs="Arial" w:eastAsia="Arial" w:hAnsi="Arial"/>
          <w:sz w:val="16"/>
          <w:szCs w:val="16"/>
          <w:color w:val="auto"/>
        </w:rPr>
        <w:t>. This corporation shall have not less than four (4) nor more than ten (10) Directors. The number of Directors may be increased or decreased from time to time by amendment to these By-Laws, but no decrease shall have the effect of shortening the terms of any incumbent Director.</w:t>
      </w:r>
    </w:p>
    <w:p>
      <w:pPr>
        <w:spacing w:after="0" w:line="72" w:lineRule="exact"/>
        <w:rPr>
          <w:sz w:val="20"/>
          <w:szCs w:val="20"/>
          <w:color w:val="auto"/>
        </w:rPr>
      </w:pPr>
    </w:p>
    <w:p>
      <w:pPr>
        <w:jc w:val="both"/>
        <w:ind w:right="200" w:firstLine="456"/>
        <w:spacing w:after="0" w:line="332" w:lineRule="auto"/>
        <w:rPr>
          <w:sz w:val="20"/>
          <w:szCs w:val="20"/>
          <w:color w:val="auto"/>
        </w:rPr>
      </w:pPr>
      <w:r>
        <w:rPr>
          <w:rFonts w:ascii="Arial" w:cs="Arial" w:eastAsia="Arial" w:hAnsi="Arial"/>
          <w:sz w:val="16"/>
          <w:szCs w:val="16"/>
          <w:u w:val="single" w:color="auto"/>
          <w:color w:val="auto"/>
        </w:rPr>
        <w:t>Section 7. Election and Term</w:t>
      </w:r>
      <w:r>
        <w:rPr>
          <w:rFonts w:ascii="Arial" w:cs="Arial" w:eastAsia="Arial" w:hAnsi="Arial"/>
          <w:sz w:val="16"/>
          <w:szCs w:val="16"/>
          <w:color w:val="auto"/>
        </w:rPr>
        <w:t>. Each person named in the Articles of Incorporation as a member of the initial Board of Directors shall hold office until the first annual meeting of Stockholders, and until his successor shall have been elected and qualified or until his earlier resignation, removal from office or death.</w:t>
      </w:r>
    </w:p>
    <w:p>
      <w:pPr>
        <w:spacing w:after="0" w:line="7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At the first annual meeting of Stockholders and at each annual meeting thereafter the Stockholders shall elect Directors to hold office until the next succeeding annual meeting. Each Director shall hold office for the term for which he is elected and until his successor shall have been elected and qualified or until his earlier resignation, removal from office or death.</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u w:val="single" w:color="auto"/>
          <w:color w:val="auto"/>
        </w:rPr>
        <w:t>Section 8. Vacancies</w:t>
      </w:r>
      <w:r>
        <w:rPr>
          <w:rFonts w:ascii="Arial" w:cs="Arial" w:eastAsia="Arial" w:hAnsi="Arial"/>
          <w:sz w:val="18"/>
          <w:szCs w:val="18"/>
          <w:color w:val="auto"/>
        </w:rPr>
        <w:t>. Any vacancy occurring in the Board of Directors, including any vacancy created by reason of an increase in the number of Directors, may be filled by the affirmative vote of a majority of the remaining Directors though less than a quorum of the Board of Directors. A Director elected to fill a vacancy shall hold office only until the next election of Directors by the Stockholders.</w:t>
      </w:r>
    </w:p>
    <w:p>
      <w:pPr>
        <w:spacing w:after="0" w:line="12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u w:val="single" w:color="auto"/>
          <w:color w:val="auto"/>
        </w:rPr>
        <w:t>Section 9. Removal of Directors</w:t>
      </w:r>
      <w:r>
        <w:rPr>
          <w:rFonts w:ascii="Arial" w:cs="Arial" w:eastAsia="Arial" w:hAnsi="Arial"/>
          <w:sz w:val="16"/>
          <w:szCs w:val="16"/>
          <w:color w:val="auto"/>
        </w:rPr>
        <w:t>. At a meeting of Stockholders called expressly for that purpose, any Director or the entire Board of Directors may be removed, with or without cause, by a vote of the holders of a majority of the shares then entitled to vote at an election of Directors.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10. Quorum and Voting</w:t>
      </w:r>
      <w:r>
        <w:rPr>
          <w:rFonts w:ascii="Arial" w:cs="Arial" w:eastAsia="Arial" w:hAnsi="Arial"/>
          <w:sz w:val="16"/>
          <w:szCs w:val="16"/>
          <w:color w:val="auto"/>
        </w:rPr>
        <w:t>. A majority of the number of Directors fixed by these By-Laws shall constitute a quorum for the transaction of business.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act of the majority of the Directors present at a meeting at which a quorum is present shall be the act of the Board of Directors.</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u w:val="single" w:color="auto"/>
          <w:color w:val="auto"/>
        </w:rPr>
        <w:t>Section 11. Director Conflicts of Interest</w:t>
      </w:r>
      <w:r>
        <w:rPr>
          <w:rFonts w:ascii="Arial" w:cs="Arial" w:eastAsia="Arial" w:hAnsi="Arial"/>
          <w:sz w:val="16"/>
          <w:szCs w:val="16"/>
          <w:color w:val="auto"/>
        </w:rPr>
        <w:t>. No contract or other transaction between this corporation and one or more of its Directors or any other corporation, firm, association or entity in which one or more of the Directors are Directors or Officers or are financially interested, shall be either void or voidable because of such relationship or interest or because such Director or Directors are present at the meeting of the Board of Directors or a committee thereof which authorizes, approves or ratifies such contract or transaction or because his or their votes are counted for such purpose, if:</w:t>
      </w:r>
    </w:p>
    <w:p>
      <w:pPr>
        <w:sectPr>
          <w:pgSz w:w="11900" w:h="16838" w:orient="portrait"/>
          <w:cols w:equalWidth="0" w:num="1">
            <w:col w:w="11400"/>
          </w:cols>
          <w:pgMar w:left="240" w:top="428" w:right="259" w:bottom="1440" w:gutter="0" w:footer="0" w:header="0"/>
        </w:sectPr>
      </w:pPr>
    </w:p>
    <w:bookmarkStart w:id="10" w:name="page11"/>
    <w:bookmarkEnd w:id="10"/>
    <w:p>
      <w:pPr>
        <w:ind w:right="40" w:firstLine="464"/>
        <w:spacing w:after="0" w:line="332" w:lineRule="auto"/>
        <w:tabs>
          <w:tab w:leader="none" w:pos="695"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fact of such relationship or interest is disclosed or known to the Board of Directors or committee which authorizes, approves or ratifies the contract or transaction by a vote or consent sufficient for the purpose without counting the votes or consents of such interested Directors; or</w:t>
      </w:r>
    </w:p>
    <w:p>
      <w:pPr>
        <w:spacing w:after="0" w:line="71" w:lineRule="exact"/>
        <w:rPr>
          <w:rFonts w:ascii="Arial" w:cs="Arial" w:eastAsia="Arial" w:hAnsi="Arial"/>
          <w:sz w:val="16"/>
          <w:szCs w:val="16"/>
          <w:color w:val="auto"/>
        </w:rPr>
      </w:pPr>
    </w:p>
    <w:p>
      <w:pPr>
        <w:ind w:right="80" w:firstLine="464"/>
        <w:spacing w:after="0" w:line="268"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 of such relationship or interest is disclosed or known to the Stockholders entitled to vote and they authorize, approve or ratify such contract or transaction by vote or written consent; or</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contract or transaction is fair and reasonable as to the corporation at the time it is authorized by the Board, a committee or the Stockholders.</w:t>
      </w:r>
    </w:p>
    <w:p>
      <w:pPr>
        <w:spacing w:after="0" w:line="18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Common or interested directors may be counted in determining the presence of a quorum at a meeting of the Board of Directors or a committee thereof which authorizes, approves or ratifies such contract or transaction.</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u w:val="single" w:color="auto"/>
          <w:color w:val="auto"/>
        </w:rPr>
        <w:t>Section 12. Executive and Other Committees</w:t>
      </w:r>
      <w:r>
        <w:rPr>
          <w:rFonts w:ascii="Arial" w:cs="Arial" w:eastAsia="Arial" w:hAnsi="Arial"/>
          <w:sz w:val="18"/>
          <w:szCs w:val="18"/>
          <w:color w:val="auto"/>
        </w:rPr>
        <w:t>. The Board of Directors, by resolution adopted by a majority of the full Board of Directors, may designate from among its members an executive committee and one or more other committees each of which, to the extent provided in such resolution shall have and may exercise all the authority of the Board of Directors, except that no committee shall have the authority to:</w:t>
      </w:r>
    </w:p>
    <w:p>
      <w:pPr>
        <w:spacing w:after="0" w:line="127" w:lineRule="exact"/>
        <w:rPr>
          <w:sz w:val="20"/>
          <w:szCs w:val="20"/>
          <w:color w:val="auto"/>
        </w:rPr>
      </w:pPr>
    </w:p>
    <w:p>
      <w:pPr>
        <w:ind w:left="700" w:hanging="23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approve or recommend to Stockholders actions or proposals required by law to be approved by Stockholders,</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designate candidates for the office of Director, for purposes of proxy solicitation or otherwise,</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fill vacancies on the Board of Directors or any committee thereof,</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 the By-Laws,</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authorize or approve the reacquisition of shares unless pursuant to a general formula or method specified by the Board of Directors, or</w:t>
      </w:r>
    </w:p>
    <w:p>
      <w:pPr>
        <w:spacing w:after="0" w:line="157" w:lineRule="exact"/>
        <w:rPr>
          <w:rFonts w:ascii="Arial" w:cs="Arial" w:eastAsia="Arial" w:hAnsi="Arial"/>
          <w:sz w:val="18"/>
          <w:szCs w:val="18"/>
          <w:color w:val="auto"/>
        </w:rPr>
      </w:pPr>
    </w:p>
    <w:p>
      <w:pPr>
        <w:ind w:firstLine="464"/>
        <w:spacing w:after="0" w:line="291" w:lineRule="auto"/>
        <w:tabs>
          <w:tab w:leader="none" w:pos="676" w:val="left"/>
        </w:tabs>
        <w:numPr>
          <w:ilvl w:val="0"/>
          <w:numId w:val="5"/>
        </w:numPr>
        <w:rPr>
          <w:rFonts w:ascii="Arial" w:cs="Arial" w:eastAsia="Arial" w:hAnsi="Arial"/>
          <w:sz w:val="16"/>
          <w:szCs w:val="16"/>
          <w:color w:val="auto"/>
        </w:rPr>
      </w:pPr>
      <w:r>
        <w:rPr>
          <w:rFonts w:ascii="Arial" w:cs="Arial" w:eastAsia="Arial" w:hAnsi="Arial"/>
          <w:sz w:val="16"/>
          <w:szCs w:val="16"/>
          <w:color w:val="auto"/>
        </w:rPr>
        <w:t>authorize or approve the issuance or sale of, or any contract to issue or sell, shares or designate the terms of a series of a class of shares, except that the Board of Directors, having acted regarding general authorization for the issuance or sale of shares, or any contract therefor, and, in the case of a series, the designation thereof, may, pursuant to a general formula or method specified by the Board of Directors, by resolution or by adoption of a stock option or other plan, authorize a committee to fix the terms of any contract for the sale of the shares and to fix the terms upon which such shares may be issued or sold, including, without limitation, the price, the rate or manner of payment of dividends, provisions for redemption, sinking fund, conversion, voting or preferential rights, and provisions for other features of a class of shares, or a series of a</w:t>
      </w:r>
    </w:p>
    <w:p>
      <w:pPr>
        <w:sectPr>
          <w:pgSz w:w="11900" w:h="16838" w:orient="portrait"/>
          <w:cols w:equalWidth="0" w:num="1">
            <w:col w:w="11400"/>
          </w:cols>
          <w:pgMar w:left="240" w:top="428" w:right="259" w:bottom="1440" w:gutter="0" w:footer="0" w:header="0"/>
        </w:sectPr>
      </w:pPr>
    </w:p>
    <w:bookmarkStart w:id="11" w:name="page12"/>
    <w:bookmarkEnd w:id="11"/>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class of shares, with full power in such committee to adopt any final resolution setting forth all the terms thereof and to authorize the statement of the terms of a series for filing with the Department of State.</w:t>
      </w:r>
    </w:p>
    <w:p>
      <w:pPr>
        <w:spacing w:after="0" w:line="118"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Board of Directors, by resolution adopted in accordance with this section, may designate one or more Directors as alternate members of any such committee, who may act in the place and stead of any absent member or members at any meeting of such committee.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13. Place of Meetings</w:t>
      </w:r>
      <w:r>
        <w:rPr>
          <w:rFonts w:ascii="Arial" w:cs="Arial" w:eastAsia="Arial" w:hAnsi="Arial"/>
          <w:sz w:val="18"/>
          <w:szCs w:val="18"/>
          <w:color w:val="auto"/>
        </w:rPr>
        <w:t>. Regular and special meetings by the Board of Directors may be held within or without the State of Florida.</w:t>
      </w:r>
    </w:p>
    <w:p>
      <w:pPr>
        <w:spacing w:after="0" w:line="15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u w:val="single" w:color="auto"/>
          <w:color w:val="auto"/>
        </w:rPr>
        <w:t>Section 14. Time, Notice and Call of Meetings</w:t>
      </w:r>
      <w:r>
        <w:rPr>
          <w:rFonts w:ascii="Arial" w:cs="Arial" w:eastAsia="Arial" w:hAnsi="Arial"/>
          <w:sz w:val="16"/>
          <w:szCs w:val="16"/>
          <w:color w:val="auto"/>
        </w:rPr>
        <w:t>. Regular meetings of the Board of Directors shall be held without notice immediately following the annual meeting of Stockholders. Written notice of the time and place of special meetings of the Board of Directors shall be given to each Director by either personal delivery, telegram, telex or cable at least two days before the meeting or by notice mailed to the Director at least five days before the meeting.</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Notice of a meeting of the Board of Directors need not be given to any Director who signs a waiver of notice either before or after the meeting. Attendance of a Director at a meeting shall constitute a waiver of notice of such meeting and waiver of any and all objections to the place of the meeting, the time of the meeting, or the manner in which it has been called or convened, except when a Director states, at the beginning of the meeting, any objection to the transaction of business because the meeting is not lawfully called or convened.</w:t>
      </w:r>
    </w:p>
    <w:p>
      <w:pPr>
        <w:spacing w:after="0" w:line="13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Neither the business to be transacted at, nor the purpose of, any regular or special meeting of the Board of Directors need be specified in the notice or waiver of notice of such meeting.</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majority of the Directors present, whether or not a quorum exists, may adjourn any meeting of the Board of Directors to another time and place. Notice of any such adjourned meeting shall be given to the Directors who were not present at the time of the adjournment and, unless the time and place of the adjourned meeting are announced at the time of the adjournment, to the other Directors.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Meetings of the Board of Directors may be called by the Chairman of the Board, by the President of the corporation, or by any two Directors.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Members of the Board of Directors may participate in a meeting of such Board by means of a conference telephone or similar communications equipment by means of which all persons participating in the meeting can hear each other at the same time. Participation by such means shall constitute presence in person at a meeting.</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u w:val="single" w:color="auto"/>
          <w:color w:val="auto"/>
        </w:rPr>
        <w:t>Section 15. Action Without a Meeting</w:t>
      </w:r>
      <w:r>
        <w:rPr>
          <w:rFonts w:ascii="Arial" w:cs="Arial" w:eastAsia="Arial" w:hAnsi="Arial"/>
          <w:sz w:val="16"/>
          <w:szCs w:val="16"/>
          <w:color w:val="auto"/>
        </w:rPr>
        <w:t>. Any action required to be taken at a meeting of the Directors of a corporation, or any action which may be taken at a meeting of the Directors or a committee thereof, may be taken without a meeting if a consent in writing, setting forth the action so to be taken, signed by all of the</w:t>
      </w:r>
    </w:p>
    <w:p>
      <w:pPr>
        <w:sectPr>
          <w:pgSz w:w="11900" w:h="16838" w:orient="portrait"/>
          <w:cols w:equalWidth="0" w:num="1">
            <w:col w:w="11400"/>
          </w:cols>
          <w:pgMar w:left="240" w:top="280" w:right="259" w:bottom="1440" w:gutter="0" w:footer="0" w:header="0"/>
        </w:sectPr>
      </w:pPr>
    </w:p>
    <w:bookmarkStart w:id="12" w:name="page13"/>
    <w:bookmarkEnd w:id="12"/>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or all the members of the committee, as the case may be, is filed in the minutes of the proceedings of the Board or of the committee. Such consent shall have the same effect as a unanimous vote.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 OFFICERS</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u w:val="single" w:color="auto"/>
          <w:color w:val="auto"/>
        </w:rPr>
        <w:t>Section 1. Officers</w:t>
      </w:r>
      <w:r>
        <w:rPr>
          <w:rFonts w:ascii="Arial" w:cs="Arial" w:eastAsia="Arial" w:hAnsi="Arial"/>
          <w:sz w:val="18"/>
          <w:szCs w:val="18"/>
          <w:color w:val="auto"/>
        </w:rPr>
        <w:t>. The Officers of this corporation shall consist of a Chairman of the Board, President, a Secretary and a Treasurer, each of whom shall be elected by the Board of Directors. Such other Officers and Assistant Officers and agents as may be deemed necessary may be elected or appointed by the Board of Directors from time to time. Any two or more offices may be held by the same person.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 Duties</w:t>
      </w:r>
      <w:r>
        <w:rPr>
          <w:rFonts w:ascii="Arial" w:cs="Arial" w:eastAsia="Arial" w:hAnsi="Arial"/>
          <w:sz w:val="18"/>
          <w:szCs w:val="18"/>
          <w:color w:val="auto"/>
        </w:rPr>
        <w:t>. The Officers of this corporation shall have the following duties:</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Chairman of the Board shall preside at all meetings of the Stockholders and Board of Directors at which he is present and shall be the chief executive officer of the corporation.</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President shall have general management of the business and affairs of the corporation subject to the directions of the Chairman of the Board and the Board of Directors.</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Secretary shall have custody of, and maintain, all of the corporate records except the financial records; shall record the minutes of all meetings of the Stockholders and Board of Directors, send all notices of meetings out, and perform such other duties as may be prescribed by the Board of Directors, its Chairman or the President.</w:t>
      </w:r>
    </w:p>
    <w:p>
      <w:pPr>
        <w:spacing w:after="0" w:line="12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Treasurer shall have custody of all corporate funds and financial records, shall keep full and accurate accounts of receipts and disbursements and render accounts thereof at the annual meetings of Stockholders and whenever else required by the Board of Directors, its Chairman or the President, and shall perform such other duties as may be prescribed by the Board of Directors, its Chairman or the President.</w:t>
      </w:r>
    </w:p>
    <w:p>
      <w:pPr>
        <w:spacing w:after="0" w:line="9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u w:val="single" w:color="auto"/>
          <w:color w:val="auto"/>
        </w:rPr>
        <w:t>Section 3. Removal of Officers</w:t>
      </w:r>
      <w:r>
        <w:rPr>
          <w:rFonts w:ascii="Arial" w:cs="Arial" w:eastAsia="Arial" w:hAnsi="Arial"/>
          <w:sz w:val="18"/>
          <w:szCs w:val="18"/>
          <w:color w:val="auto"/>
        </w:rPr>
        <w:t>. Any Officer or agent elected or appointed by the Board of Directors may be removed by the Board, with or without cause, whenever in its judgment the best interests of the corporation will be served thereby.</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Any Officer or agent elected by the Stockholders may be removed only by vote of the Stockholders, unless the Stockholders shall have authorized the Directors to remove such Officer or agent.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vacancy, however occurring, in any office may be filled by the Board of Directors, unless the By-Laws shall have expressly reserved such power to the Stockholders.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Removal of any Officer shall be without prejudice to the contract rights, if any, of the person so removed; however, election or appointment of an Officer or agent shall not of itself create contract rights.</w:t>
      </w:r>
    </w:p>
    <w:p>
      <w:pPr>
        <w:sectPr>
          <w:pgSz w:w="11900" w:h="16838" w:orient="portrait"/>
          <w:cols w:equalWidth="0" w:num="1">
            <w:col w:w="11420"/>
          </w:cols>
          <w:pgMar w:left="240" w:top="280" w:right="239" w:bottom="1440" w:gutter="0" w:footer="0" w:header="0"/>
        </w:sectPr>
      </w:pPr>
    </w:p>
    <w:bookmarkStart w:id="13" w:name="page14"/>
    <w:bookmarkEnd w:id="13"/>
    <w:p>
      <w:pPr>
        <w:ind w:right="20" w:firstLine="456"/>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 Compensation</w:t>
      </w:r>
      <w:r>
        <w:rPr>
          <w:rFonts w:ascii="Arial" w:cs="Arial" w:eastAsia="Arial" w:hAnsi="Arial"/>
          <w:sz w:val="18"/>
          <w:szCs w:val="18"/>
          <w:color w:val="auto"/>
        </w:rPr>
        <w:t>. The compensation of the Chairman, President, Secretary, Treasurer and such other Officers elected or appointed by the Board of Directors shall be fixed by the Board of Directors and may be changed from time to time by a majority vote of the Board. The fact that an Officer is also a Director shall not preclude such person from receiving compensation as either a Director or Officer, nor shall it affect the validity of any resolution by the Board of Directors fixing such compensation. The Chairman and the President shall have authority to fix the salaries of all employees of the corporation other than Officers elected or appointed by the Board of Directors.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IV. STOCK CERTIFICATES</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u w:val="single" w:color="auto"/>
          <w:color w:val="auto"/>
        </w:rPr>
        <w:t>Section 1. Issuance</w:t>
      </w:r>
      <w:r>
        <w:rPr>
          <w:rFonts w:ascii="Arial" w:cs="Arial" w:eastAsia="Arial" w:hAnsi="Arial"/>
          <w:sz w:val="18"/>
          <w:szCs w:val="18"/>
          <w:color w:val="auto"/>
        </w:rPr>
        <w:t>. Every holder of shares in this corporation shall be entitled to have a certificate, representing all shares to which he is entitled. No certificate shall be issued for any share until such share is fully paid.</w:t>
      </w:r>
    </w:p>
    <w:p>
      <w:pPr>
        <w:spacing w:after="0" w:line="118" w:lineRule="exact"/>
        <w:rPr>
          <w:sz w:val="20"/>
          <w:szCs w:val="20"/>
          <w:color w:val="auto"/>
        </w:rPr>
      </w:pPr>
    </w:p>
    <w:p>
      <w:pPr>
        <w:ind w:right="260" w:firstLine="456"/>
        <w:spacing w:after="0" w:line="318" w:lineRule="auto"/>
        <w:rPr>
          <w:sz w:val="20"/>
          <w:szCs w:val="20"/>
          <w:color w:val="auto"/>
        </w:rPr>
      </w:pPr>
      <w:r>
        <w:rPr>
          <w:rFonts w:ascii="Arial" w:cs="Arial" w:eastAsia="Arial" w:hAnsi="Arial"/>
          <w:sz w:val="15"/>
          <w:szCs w:val="15"/>
          <w:u w:val="single" w:color="auto"/>
          <w:color w:val="auto"/>
        </w:rPr>
        <w:t>Section 2. Form</w:t>
      </w:r>
      <w:r>
        <w:rPr>
          <w:rFonts w:ascii="Arial" w:cs="Arial" w:eastAsia="Arial" w:hAnsi="Arial"/>
          <w:sz w:val="15"/>
          <w:szCs w:val="15"/>
          <w:color w:val="auto"/>
        </w:rPr>
        <w:t>. Certificates representing shares in this corporation shall be signed by the President or Vice President and the Secretary or an Assistant Secretary and may be sealed with the seal of this corporation or a facsimile thereof. The signatures of the President or Vice President and the Secretary or Assistant Secretary may be facsimiles if the certificate is manually signed on behalf of a transfer agent or a registrar, other than the corporation itself or an employee of the corporation. In case any Officer who signed or whose facsimile signature has been placed upon such certificate shall have ceased to be such Officer before such certificate is issued, it may be issued by the corporation with the same effect as if he were such Officer at the date of its issuance.</w:t>
      </w:r>
    </w:p>
    <w:p>
      <w:pPr>
        <w:spacing w:after="0" w:line="8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Every certificate representing shares which are restricted as to the sale, disposition or other transfer of such shares shall state that such shares are restricted as to transfer and shall set forth or fairly summarize upon the certificate, or shall state that the corporation will furnish to any Stockholder upon request and without charge a full statement of, such restrictions.</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Each certificate representing shares shall state upon the face thereof: the name of the corporation; that the corporation is organized under the laws of this state; the name of the person or persons to whom issued; the number and class of shares, and the designation of the series, if any, which such certificate represents; and the par value of each share represented by such certificate, or a statement that the shares are without par value.</w:t>
      </w:r>
    </w:p>
    <w:p>
      <w:pPr>
        <w:spacing w:after="0" w:line="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u w:val="single" w:color="auto"/>
          <w:color w:val="auto"/>
        </w:rPr>
        <w:t>Section 3. Transfer of Stock</w:t>
      </w:r>
      <w:r>
        <w:rPr>
          <w:rFonts w:ascii="Arial" w:cs="Arial" w:eastAsia="Arial" w:hAnsi="Arial"/>
          <w:sz w:val="18"/>
          <w:szCs w:val="18"/>
          <w:color w:val="auto"/>
        </w:rPr>
        <w:t>. The corporation shall register a stock certificate presented to it for transfer if the certificate is properly endorsed by the holder of record or by his duly authorized attorney, and the signature of such person has been guaranteed by a commercial bank or trust company or by a member of the New York or American Stock Exchange.</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u w:val="single" w:color="auto"/>
          <w:color w:val="auto"/>
        </w:rPr>
        <w:t>Section 4. Lost, Stolen, or Destroyed Certificates</w:t>
      </w:r>
      <w:r>
        <w:rPr>
          <w:rFonts w:ascii="Arial" w:cs="Arial" w:eastAsia="Arial" w:hAnsi="Arial"/>
          <w:sz w:val="18"/>
          <w:szCs w:val="18"/>
          <w:color w:val="auto"/>
        </w:rPr>
        <w:t>. The corporation shall issue a new stock certificate in the place of any certificate previously issued if the holder of record of the certificate (a) makes proof in affidavit</w:t>
      </w:r>
    </w:p>
    <w:p>
      <w:pPr>
        <w:sectPr>
          <w:pgSz w:w="11900" w:h="16838" w:orient="portrait"/>
          <w:cols w:equalWidth="0" w:num="1">
            <w:col w:w="11340"/>
          </w:cols>
          <w:pgMar w:left="240" w:top="428" w:right="319" w:bottom="1440" w:gutter="0" w:footer="0" w:header="0"/>
        </w:sectPr>
      </w:pPr>
    </w:p>
    <w:bookmarkStart w:id="14" w:name="page15"/>
    <w:bookmarkEnd w:id="14"/>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that it has been lost, destroyed or wrongfully taken; (b) requests the issue of a new certificate before the corporation has notice that the certificate has been acquired by a purchaser for value in good faith and without notice of any adverse claim; and (c) satisfies any other reasonable requirements imposed by the corporation, including bond in such form as the corporation may direct, to indemnify the corporation, the transfer agent, and registrar against any claim that may be made on account of the alleged loss, destruction or theft of a certificate.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 BOOKS AND RECORDS</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u w:val="single" w:color="auto"/>
          <w:color w:val="auto"/>
        </w:rPr>
        <w:t>Section 1. Books and Records</w:t>
      </w:r>
      <w:r>
        <w:rPr>
          <w:rFonts w:ascii="Arial" w:cs="Arial" w:eastAsia="Arial" w:hAnsi="Arial"/>
          <w:sz w:val="18"/>
          <w:szCs w:val="18"/>
          <w:color w:val="auto"/>
        </w:rPr>
        <w:t>. This corporation shall keep correct and complete books and records of account and shall keep minutes of the proceedings of its Stockholders, Board of Directors and committees of Directors.</w:t>
      </w:r>
    </w:p>
    <w:p>
      <w:pPr>
        <w:spacing w:after="0" w:line="118" w:lineRule="exact"/>
        <w:rPr>
          <w:sz w:val="20"/>
          <w:szCs w:val="20"/>
          <w:color w:val="auto"/>
        </w:rPr>
      </w:pPr>
    </w:p>
    <w:p>
      <w:pPr>
        <w:ind w:right="980" w:firstLine="456"/>
        <w:spacing w:after="0" w:line="332" w:lineRule="auto"/>
        <w:rPr>
          <w:sz w:val="20"/>
          <w:szCs w:val="20"/>
          <w:color w:val="auto"/>
        </w:rPr>
      </w:pPr>
      <w:r>
        <w:rPr>
          <w:rFonts w:ascii="Arial" w:cs="Arial" w:eastAsia="Arial" w:hAnsi="Arial"/>
          <w:sz w:val="16"/>
          <w:szCs w:val="16"/>
          <w:color w:val="auto"/>
        </w:rPr>
        <w:t>This corporation shall keep at its registered office or principal place of business, or at the office of its transfer agent or registrar, a record of its Stockholders, giving the names and addresses of all Stockholders, and the number, class and series, if any, of the shares held by each.</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books, records and minutes may be in written form or in any other form capable of being converted into written form within a reasonable time.</w:t>
      </w:r>
    </w:p>
    <w:p>
      <w:pPr>
        <w:spacing w:after="0" w:line="18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u w:val="single" w:color="auto"/>
          <w:color w:val="auto"/>
        </w:rPr>
        <w:t>Section 2. Stockholders’ Inspection Rights</w:t>
      </w:r>
      <w:r>
        <w:rPr>
          <w:rFonts w:ascii="Arial" w:cs="Arial" w:eastAsia="Arial" w:hAnsi="Arial"/>
          <w:sz w:val="16"/>
          <w:szCs w:val="16"/>
          <w:color w:val="auto"/>
        </w:rPr>
        <w:t>. Any person who shall have been a holder of record of one quarter of one percent (.25%) of the outstanding shares of any class or series of the corporation, or of voting trust certificates therefor, at least six months immediately preceding his demand or shall be the holder of record of, or the holder of record of voting trust certificates for, at least five percent of the outstanding shares of any class or series of the corporation, upon written demand stating the purpose thereof, shall have the right to examine, in person or by agent or attorney, at any reasonable time or times, for any proper purpose its relevant books and records of accounts, minutes and records of Stockholders and to make extracts therefrom.</w:t>
      </w:r>
    </w:p>
    <w:p>
      <w:pPr>
        <w:spacing w:after="0" w:line="10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u w:val="single" w:color="auto"/>
          <w:color w:val="auto"/>
        </w:rPr>
        <w:t>Section 3. Financial Information</w:t>
      </w:r>
      <w:r>
        <w:rPr>
          <w:rFonts w:ascii="Arial" w:cs="Arial" w:eastAsia="Arial" w:hAnsi="Arial"/>
          <w:sz w:val="18"/>
          <w:szCs w:val="18"/>
          <w:color w:val="auto"/>
        </w:rPr>
        <w:t>. Not later than four months after the close of each fiscal year, this corporation shall prepare a balance sheet showing in reasonable detail the financial condition of the corporation as of the close of its fiscal year, and a profit and loss statement showing the results of the operations of the corporation during its fiscal year. This requirement may be modified by a resolution of the Stockholders not later than four months after the close of each fiscal year.</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written request of any Stockholder or holder of voting trust certificates for shares of the corporation, the corporation shall mail to such Stockholder or holder of voting trust certificates a copy of the most recent such balance sheet and profit and loss statement.</w:t>
      </w:r>
    </w:p>
    <w:p>
      <w:pPr>
        <w:spacing w:after="0" w:line="11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balance sheets and profit and loss statements shall be filed in the registered office of the corporation in this state, shall be kept for at least five years, and shall be subject to inspection during business hours by any Stockholder or holder of voting trust certificates, in person or by agent.</w:t>
      </w:r>
    </w:p>
    <w:p>
      <w:pPr>
        <w:sectPr>
          <w:pgSz w:w="11900" w:h="16838" w:orient="portrait"/>
          <w:cols w:equalWidth="0" w:num="1">
            <w:col w:w="11420"/>
          </w:cols>
          <w:pgMar w:left="240" w:top="280" w:right="2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 DIVIDENDS</w:t>
      </w:r>
    </w:p>
    <w:p>
      <w:pPr>
        <w:spacing w:after="0" w:line="15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Board of Directors of this corporation may, from time to time, declare and the corporation may pay dividends on its shares in cash, property or its own shares, except when the corporation is insolvent or when the payment thereof would render the corporation insolvent or when the declaration or payment thereof would be contrary to any restrictions contained in the Articles of Incorporation, subject to the following provisions:</w:t>
      </w:r>
    </w:p>
    <w:p>
      <w:pPr>
        <w:spacing w:after="0" w:line="93" w:lineRule="exact"/>
        <w:rPr>
          <w:sz w:val="20"/>
          <w:szCs w:val="20"/>
          <w:color w:val="auto"/>
        </w:rPr>
      </w:pPr>
    </w:p>
    <w:p>
      <w:pPr>
        <w:ind w:firstLine="464"/>
        <w:spacing w:after="0" w:line="306"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color w:val="auto"/>
        </w:rPr>
        <w:t>Dividends in cash or property may be declared and paid, except as otherwise provided in this section, only out of the unreserved and unrestricted earned surplus of the corporation or out of capital surplus, howsoever arising, but each dividend paid out of capital surplus shall be identified as a distribution of capital surplus, and the amount per share paid from such surplus shall be disclosed to the Stockholders receiving the same concurrently with the distribution.</w:t>
      </w:r>
    </w:p>
    <w:p>
      <w:pPr>
        <w:spacing w:after="0" w:line="93" w:lineRule="exact"/>
        <w:rPr>
          <w:rFonts w:ascii="Arial" w:cs="Arial" w:eastAsia="Arial" w:hAnsi="Arial"/>
          <w:sz w:val="16"/>
          <w:szCs w:val="16"/>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Dividends may be declared and paid in the corporation’s own treasury shares.</w:t>
      </w:r>
    </w:p>
    <w:p>
      <w:pPr>
        <w:spacing w:after="0" w:line="157" w:lineRule="exact"/>
        <w:rPr>
          <w:rFonts w:ascii="Arial" w:cs="Arial" w:eastAsia="Arial" w:hAnsi="Arial"/>
          <w:sz w:val="18"/>
          <w:szCs w:val="18"/>
          <w:color w:val="auto"/>
        </w:rPr>
      </w:pPr>
    </w:p>
    <w:p>
      <w:pPr>
        <w:ind w:right="440" w:firstLine="464"/>
        <w:spacing w:after="0" w:line="268"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Dividends may be declared and paid in the corporation’s own authorized but unissued shares out of any unreserved and unrestricted surplus of the corporation upon the following conditions:</w:t>
      </w:r>
    </w:p>
    <w:p>
      <w:pPr>
        <w:spacing w:after="0" w:line="118" w:lineRule="exact"/>
        <w:rPr>
          <w:rFonts w:ascii="Arial" w:cs="Arial" w:eastAsia="Arial" w:hAnsi="Arial"/>
          <w:sz w:val="18"/>
          <w:szCs w:val="18"/>
          <w:color w:val="auto"/>
        </w:rPr>
      </w:pPr>
    </w:p>
    <w:p>
      <w:pPr>
        <w:ind w:left="1160" w:hanging="257"/>
        <w:spacing w:after="0"/>
        <w:tabs>
          <w:tab w:leader="none" w:pos="1160" w:val="left"/>
        </w:tabs>
        <w:numPr>
          <w:ilvl w:val="1"/>
          <w:numId w:val="6"/>
        </w:numPr>
        <w:rPr>
          <w:rFonts w:ascii="Arial" w:cs="Arial" w:eastAsia="Arial" w:hAnsi="Arial"/>
          <w:sz w:val="16"/>
          <w:szCs w:val="16"/>
          <w:color w:val="auto"/>
        </w:rPr>
      </w:pPr>
      <w:r>
        <w:rPr>
          <w:rFonts w:ascii="Arial" w:cs="Arial" w:eastAsia="Arial" w:hAnsi="Arial"/>
          <w:sz w:val="16"/>
          <w:szCs w:val="16"/>
          <w:color w:val="auto"/>
        </w:rPr>
        <w:t>If a dividend is payable in shares having a par value, such shares shall be issued at not less than the par value thereof and there shall be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5"/>
          <w:szCs w:val="15"/>
          <w:color w:val="auto"/>
        </w:rPr>
        <w:t>transferred to stated capital at the time such dividend is paid an amount of surplus equal to the aggregate par value of the shares to be issued as a dividend.</w:t>
      </w:r>
    </w:p>
    <w:p>
      <w:pPr>
        <w:spacing w:after="0" w:line="185" w:lineRule="exact"/>
        <w:rPr>
          <w:rFonts w:ascii="Arial" w:cs="Arial" w:eastAsia="Arial" w:hAnsi="Arial"/>
          <w:sz w:val="16"/>
          <w:szCs w:val="16"/>
          <w:color w:val="auto"/>
        </w:rPr>
      </w:pPr>
    </w:p>
    <w:p>
      <w:pPr>
        <w:ind w:left="460" w:right="60" w:firstLine="443"/>
        <w:spacing w:after="0" w:line="298" w:lineRule="auto"/>
        <w:tabs>
          <w:tab w:leader="none" w:pos="1147" w:val="left"/>
        </w:tabs>
        <w:numPr>
          <w:ilvl w:val="1"/>
          <w:numId w:val="6"/>
        </w:numPr>
        <w:rPr>
          <w:rFonts w:ascii="Arial" w:cs="Arial" w:eastAsia="Arial" w:hAnsi="Arial"/>
          <w:sz w:val="16"/>
          <w:szCs w:val="16"/>
          <w:color w:val="auto"/>
        </w:rPr>
      </w:pPr>
      <w:r>
        <w:rPr>
          <w:rFonts w:ascii="Arial" w:cs="Arial" w:eastAsia="Arial" w:hAnsi="Arial"/>
          <w:sz w:val="16"/>
          <w:szCs w:val="16"/>
          <w:color w:val="auto"/>
        </w:rPr>
        <w:t>If a dividend is payable in shares without par value, such shares shall be issued at such stated value as shall be fixed by the Board of Directors by resolution adopted at the time such dividend is declared, and there shall be transferred to stated capital at the time such dividend is paid an amount of surplus equal to the aggregate stated value so fixed in respect of such shares; and the amount per share so transferred to stated capital shall be disclosed to the Stockholders receiving such dividend concurrently with the payment thereof.</w:t>
      </w:r>
    </w:p>
    <w:p>
      <w:pPr>
        <w:spacing w:after="0" w:line="99" w:lineRule="exact"/>
        <w:rPr>
          <w:rFonts w:ascii="Arial" w:cs="Arial" w:eastAsia="Arial" w:hAnsi="Arial"/>
          <w:sz w:val="16"/>
          <w:szCs w:val="16"/>
          <w:color w:val="auto"/>
        </w:rPr>
      </w:pPr>
    </w:p>
    <w:p>
      <w:pPr>
        <w:ind w:right="220" w:firstLine="464"/>
        <w:spacing w:after="0" w:line="259"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dividend payable in shares of any class shall be paid to the holders of shares of any other class unless the Articles of Incorporation so provide or such payment is authorized by the affirmative vote or the written consent of the holders of at least a majority of the outstanding shares of the class in which the payment is to be made.</w:t>
      </w:r>
    </w:p>
    <w:p>
      <w:pPr>
        <w:spacing w:after="0" w:line="126" w:lineRule="exact"/>
        <w:rPr>
          <w:rFonts w:ascii="Arial" w:cs="Arial" w:eastAsia="Arial" w:hAnsi="Arial"/>
          <w:sz w:val="18"/>
          <w:szCs w:val="18"/>
          <w:color w:val="auto"/>
        </w:rPr>
      </w:pPr>
    </w:p>
    <w:p>
      <w:pPr>
        <w:ind w:right="420" w:firstLine="464"/>
        <w:spacing w:after="0" w:line="268"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split-up or division of the issued shares of any class into a greater number of shares of the same class without increasing the stated capital of the corporation shall not be construed to be a share dividend within the meaning of this section.</w:t>
      </w:r>
    </w:p>
    <w:p>
      <w:pPr>
        <w:sectPr>
          <w:pgSz w:w="11900" w:h="16838" w:orient="portrait"/>
          <w:cols w:equalWidth="0" w:num="1">
            <w:col w:w="11400"/>
          </w:cols>
          <w:pgMar w:left="240" w:top="428" w:right="259" w:bottom="1440" w:gutter="0" w:footer="0" w:header="0"/>
        </w:sectPr>
      </w:pPr>
    </w:p>
    <w:bookmarkStart w:id="16" w:name="page17"/>
    <w:bookmarkEnd w:id="16"/>
    <w:p>
      <w:pPr>
        <w:ind w:left="43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 CORPORATE SEAL</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shall provide a corporate seal which shall be circular in form and shall have inscribed thereon the following: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Florida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w:t>
      </w:r>
    </w:p>
    <w:p>
      <w:pPr>
        <w:spacing w:after="0" w:line="158" w:lineRule="exact"/>
        <w:rPr>
          <w:sz w:val="20"/>
          <w:szCs w:val="20"/>
          <w:color w:val="auto"/>
        </w:rPr>
      </w:pPr>
    </w:p>
    <w:p>
      <w:pPr>
        <w:ind w:left="-20" w:right="120" w:firstLine="464"/>
        <w:spacing w:after="0" w:line="254" w:lineRule="auto"/>
        <w:tabs>
          <w:tab w:leader="none" w:pos="612"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 Fuel Services Corporation (referred to in this Article 8 as the “Company”) shall indemnify any person who is or was a director or officer of the Company and is made, or threatened to be made, a party to, or is otherwise involved in, any action, suit or other type of proceeding (whether civil, criminal, administrative or investigative, and whether formal or informal) by reason of the fact that he or she is or was a director, officer, employee or agent of the Company or, at the request of the Company, is or was serving any other corporation, partnership, joint venture, trust, employee benefit plan or other enterprise in any capacity, to the fullest extent authorized or permitted by the laws of Florida as in effect at the date hereof and, if broader, as authorized or permitted pursuant to the laws of Florida hereafter.</w:t>
      </w:r>
    </w:p>
    <w:p>
      <w:pPr>
        <w:spacing w:after="0" w:line="130" w:lineRule="exact"/>
        <w:rPr>
          <w:rFonts w:ascii="Arial" w:cs="Arial" w:eastAsia="Arial" w:hAnsi="Arial"/>
          <w:sz w:val="18"/>
          <w:szCs w:val="18"/>
          <w:color w:val="auto"/>
        </w:rPr>
      </w:pPr>
    </w:p>
    <w:p>
      <w:pPr>
        <w:ind w:left="-20" w:right="120" w:firstLine="464"/>
        <w:spacing w:after="0" w:line="291" w:lineRule="auto"/>
        <w:tabs>
          <w:tab w:leader="none" w:pos="612"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Expenses (including counsel fees) incurred by an officer or director in defending any pending, threatened, or completed action, suit or other type of proceeding (whether civil, criminal, administrative or investigative, and whether formal or informal) shall be paid by the Company in advance of the determination of such officer’s or director’s entitlement to indemnification promptly upon receipt of an undertaking by or on behalf of such officer or director to repay amounts so advanced in the event and to the extent that such officer or director is ultimately found not to be entitled to indemnification by the Company as authorized by this Article. The Board of Directors may, upon approval of such officer or director, authorize the Company’s counsel to represent such officer or director, in any action, suit or proceeding, whether or not the Company is a party thereto.</w:t>
      </w:r>
    </w:p>
    <w:p>
      <w:pPr>
        <w:spacing w:after="0" w:line="106" w:lineRule="exact"/>
        <w:rPr>
          <w:rFonts w:ascii="Arial" w:cs="Arial" w:eastAsia="Arial" w:hAnsi="Arial"/>
          <w:sz w:val="16"/>
          <w:szCs w:val="16"/>
          <w:color w:val="auto"/>
        </w:rPr>
      </w:pPr>
    </w:p>
    <w:p>
      <w:pPr>
        <w:ind w:left="-20" w:firstLine="464"/>
        <w:spacing w:after="0" w:line="254" w:lineRule="auto"/>
        <w:tabs>
          <w:tab w:leader="none" w:pos="612"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rights to indemnification and advances under this Article: (a) shall be deemed to be a contract between the Company and each person who is or was a director or officer of the Company who serves or served in such capacity at any time while this Article is in effect; and (b) are and are intended to be, retroactive and shall be available with respect to events occurring prior to the adoption of these provisions. Any repeal or modification of this Article or any repeal or modification of relevant provisions of the Florida Business Corporation Act or any other applicable laws shall not, with respect to any events occurring or matters arising prior to the date of such repeal or modification, in any way diminish any rights to indemnification and to such advances of such person or the obligations of the Company arising hereunder.</w:t>
      </w:r>
    </w:p>
    <w:p>
      <w:pPr>
        <w:sectPr>
          <w:pgSz w:w="11900" w:h="16838" w:orient="portrait"/>
          <w:cols w:equalWidth="0" w:num="1">
            <w:col w:w="11400"/>
          </w:cols>
          <w:pgMar w:left="260" w:top="428" w:right="239" w:bottom="1440" w:gutter="0" w:footer="0" w:header="0"/>
        </w:sectPr>
      </w:pPr>
    </w:p>
    <w:bookmarkStart w:id="17" w:name="page18"/>
    <w:bookmarkEnd w:id="17"/>
    <w:p>
      <w:pPr>
        <w:ind w:left="-454" w:right="80" w:firstLine="464"/>
        <w:spacing w:after="0" w:line="259" w:lineRule="auto"/>
        <w:tabs>
          <w:tab w:leader="none" w:pos="178"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provisions of this Article shall inure to the benefit of heirs, executors, administrators and personal representatives of those entitled to such indemnification and advances and shall be binding upon any successor to the Company to the fullest extent permitted by the laws of Florida as from time to time in effect.</w:t>
      </w:r>
    </w:p>
    <w:p>
      <w:pPr>
        <w:spacing w:after="0" w:line="126" w:lineRule="exact"/>
        <w:rPr>
          <w:rFonts w:ascii="Arial" w:cs="Arial" w:eastAsia="Arial" w:hAnsi="Arial"/>
          <w:sz w:val="18"/>
          <w:szCs w:val="18"/>
          <w:color w:val="auto"/>
        </w:rPr>
      </w:pPr>
    </w:p>
    <w:p>
      <w:pPr>
        <w:ind w:left="-454" w:right="320" w:firstLine="464"/>
        <w:spacing w:after="0" w:line="259" w:lineRule="auto"/>
        <w:tabs>
          <w:tab w:leader="none" w:pos="17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this Article shall not be deemed exclusive of any other rights to which those seeking indemnification or advancement may be entitled under Florida law, the Company’s Articles of Incorporation, any agreement, any vote of shareholders or disinterested directors or otherwise.</w:t>
      </w:r>
    </w:p>
    <w:p>
      <w:pPr>
        <w:spacing w:after="0" w:line="126" w:lineRule="exact"/>
        <w:rPr>
          <w:rFonts w:ascii="Arial" w:cs="Arial" w:eastAsia="Arial" w:hAnsi="Arial"/>
          <w:sz w:val="18"/>
          <w:szCs w:val="18"/>
          <w:color w:val="auto"/>
        </w:rPr>
      </w:pPr>
    </w:p>
    <w:p>
      <w:pPr>
        <w:ind w:left="-454" w:right="40" w:firstLine="464"/>
        <w:spacing w:after="0" w:line="254" w:lineRule="auto"/>
        <w:tabs>
          <w:tab w:leader="none" w:pos="178"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indemnification required by this Article shall be made promptly, and in any event within 30 days, upon the written request of the indemnified party. Any advance required by this Article shall be made within 5 business days after the written request of the indemnified party. The right to indemnification or advances as granted by this Article shall be enforceable by the indemnified party in any court of competent jurisdiction if the Company denies such request, in whole or in part, or if no disposition thereof is made within the time period specified in this Section 6. The indemnified party’s costs and expenses incurred in connection with successfully establishing a right of indemnification or advances, in whole or in part, in any such action shall also be indemnified by the Company.</w:t>
      </w:r>
    </w:p>
    <w:p>
      <w:pPr>
        <w:spacing w:after="0" w:line="130" w:lineRule="exact"/>
        <w:rPr>
          <w:rFonts w:ascii="Arial" w:cs="Arial" w:eastAsia="Arial" w:hAnsi="Arial"/>
          <w:sz w:val="18"/>
          <w:szCs w:val="18"/>
          <w:color w:val="auto"/>
        </w:rPr>
      </w:pPr>
    </w:p>
    <w:p>
      <w:pPr>
        <w:ind w:left="-454" w:right="80" w:firstLine="464"/>
        <w:spacing w:after="0" w:line="268" w:lineRule="auto"/>
        <w:tabs>
          <w:tab w:leader="none" w:pos="178"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provided in Section 8, any determination that indemnification of a director or officer is proper in the circumstances because he or she has met the standard of conduct pursuant to applicable law, unless pursuant to a determination by a court, shall be made:</w:t>
      </w:r>
    </w:p>
    <w:p>
      <w:pPr>
        <w:spacing w:after="0" w:line="37" w:lineRule="exact"/>
        <w:rPr>
          <w:sz w:val="20"/>
          <w:szCs w:val="20"/>
          <w:color w:val="auto"/>
        </w:rPr>
      </w:pPr>
    </w:p>
    <w:p>
      <w:pPr>
        <w:ind w:left="446" w:hanging="446"/>
        <w:spacing w:after="0"/>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the Board of Directors by a majority vote of a quorum consisting of directors who were not parties to such proceeding;</w:t>
      </w:r>
    </w:p>
    <w:p>
      <w:pPr>
        <w:spacing w:after="0" w:line="76" w:lineRule="exact"/>
        <w:rPr>
          <w:rFonts w:ascii="Arial" w:cs="Arial" w:eastAsia="Arial" w:hAnsi="Arial"/>
          <w:sz w:val="18"/>
          <w:szCs w:val="18"/>
          <w:color w:val="auto"/>
        </w:rPr>
      </w:pPr>
    </w:p>
    <w:p>
      <w:pPr>
        <w:ind w:left="446" w:right="140" w:hanging="446"/>
        <w:spacing w:after="0" w:line="259" w:lineRule="auto"/>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such a quorum is not obtainable or, even if obtainable, by majority vote of a committee, consisting solely of two or more directors not at the time parties to the proceeding, which committee shall be designated by the Board of Directors (and directors who are parties to the proceeding may participate in the vote to select such committee);</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independent legal counsel:</w:t>
      </w:r>
    </w:p>
    <w:p>
      <w:pPr>
        <w:spacing w:after="0" w:line="76" w:lineRule="exact"/>
        <w:rPr>
          <w:rFonts w:ascii="Arial" w:cs="Arial" w:eastAsia="Arial" w:hAnsi="Arial"/>
          <w:sz w:val="18"/>
          <w:szCs w:val="18"/>
          <w:color w:val="auto"/>
        </w:rPr>
      </w:pPr>
    </w:p>
    <w:p>
      <w:pPr>
        <w:ind w:left="906" w:hanging="447"/>
        <w:spacing w:after="0"/>
        <w:tabs>
          <w:tab w:leader="none" w:pos="906" w:val="left"/>
        </w:tabs>
        <w:numPr>
          <w:ilvl w:val="1"/>
          <w:numId w:val="9"/>
        </w:numPr>
        <w:rPr>
          <w:rFonts w:ascii="Arial" w:cs="Arial" w:eastAsia="Arial" w:hAnsi="Arial"/>
          <w:sz w:val="18"/>
          <w:szCs w:val="18"/>
          <w:color w:val="auto"/>
        </w:rPr>
      </w:pPr>
      <w:r>
        <w:rPr>
          <w:rFonts w:ascii="Arial" w:cs="Arial" w:eastAsia="Arial" w:hAnsi="Arial"/>
          <w:sz w:val="18"/>
          <w:szCs w:val="18"/>
          <w:color w:val="auto"/>
        </w:rPr>
        <w:t>Selected by the Board of Directors as prescribed in clause (a) above or by the committee prescribed in clause (b) above; or</w:t>
      </w:r>
    </w:p>
    <w:p>
      <w:pPr>
        <w:spacing w:after="0" w:line="76" w:lineRule="exact"/>
        <w:rPr>
          <w:rFonts w:ascii="Arial" w:cs="Arial" w:eastAsia="Arial" w:hAnsi="Arial"/>
          <w:sz w:val="18"/>
          <w:szCs w:val="18"/>
          <w:color w:val="auto"/>
        </w:rPr>
      </w:pPr>
    </w:p>
    <w:p>
      <w:pPr>
        <w:ind w:left="906" w:hanging="447"/>
        <w:spacing w:after="0" w:line="332" w:lineRule="auto"/>
        <w:tabs>
          <w:tab w:leader="none" w:pos="906" w:val="left"/>
        </w:tabs>
        <w:numPr>
          <w:ilvl w:val="1"/>
          <w:numId w:val="9"/>
        </w:numPr>
        <w:rPr>
          <w:rFonts w:ascii="Arial" w:cs="Arial" w:eastAsia="Arial" w:hAnsi="Arial"/>
          <w:sz w:val="16"/>
          <w:szCs w:val="16"/>
          <w:color w:val="auto"/>
        </w:rPr>
      </w:pPr>
      <w:r>
        <w:rPr>
          <w:rFonts w:ascii="Arial" w:cs="Arial" w:eastAsia="Arial" w:hAnsi="Arial"/>
          <w:sz w:val="16"/>
          <w:szCs w:val="16"/>
          <w:color w:val="auto"/>
        </w:rPr>
        <w:t>If a quorum of the directors cannot be obtained for clause (a) above and the committee cannot be designated under clause (b), selected by majority vote of the full Board of Directors (and directors who are parties to the proceeding may participate in the vote to select such counsel);</w:t>
      </w:r>
    </w:p>
    <w:p>
      <w:pPr>
        <w:sectPr>
          <w:pgSz w:w="11900" w:h="16838" w:orient="portrait"/>
          <w:cols w:equalWidth="0" w:num="1">
            <w:col w:w="10926"/>
          </w:cols>
          <w:pgMar w:left="694" w:top="280" w:right="279" w:bottom="1440" w:gutter="0" w:footer="0" w:header="0"/>
        </w:sectPr>
      </w:pPr>
    </w:p>
    <w:bookmarkStart w:id="18" w:name="page19"/>
    <w:bookmarkEnd w:id="18"/>
    <w:p>
      <w:pPr>
        <w:ind w:left="906" w:right="120" w:hanging="447"/>
        <w:spacing w:after="0" w:line="268" w:lineRule="auto"/>
        <w:tabs>
          <w:tab w:leader="none" w:pos="906"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shareholders by a majority vote of a quorum consisting of shareholders who were not parties to such proceeding or, if no such quorum is obtainable, by a majority vote of shareholders who were not parties to such proceeding; or</w:t>
      </w:r>
    </w:p>
    <w:p>
      <w:pPr>
        <w:spacing w:after="0" w:line="37" w:lineRule="exact"/>
        <w:rPr>
          <w:rFonts w:ascii="Arial" w:cs="Arial" w:eastAsia="Arial" w:hAnsi="Arial"/>
          <w:sz w:val="18"/>
          <w:szCs w:val="18"/>
          <w:color w:val="auto"/>
        </w:rPr>
      </w:pPr>
    </w:p>
    <w:p>
      <w:pPr>
        <w:ind w:left="906" w:hanging="447"/>
        <w:spacing w:after="0"/>
        <w:tabs>
          <w:tab w:leader="none" w:pos="906" w:val="left"/>
        </w:tabs>
        <w:numPr>
          <w:ilvl w:val="1"/>
          <w:numId w:val="10"/>
        </w:numPr>
        <w:rPr>
          <w:rFonts w:ascii="Arial" w:cs="Arial" w:eastAsia="Arial" w:hAnsi="Arial"/>
          <w:sz w:val="18"/>
          <w:szCs w:val="18"/>
          <w:color w:val="auto"/>
        </w:rPr>
      </w:pPr>
      <w:r>
        <w:rPr>
          <w:rFonts w:ascii="Arial" w:cs="Arial" w:eastAsia="Arial" w:hAnsi="Arial"/>
          <w:sz w:val="18"/>
          <w:szCs w:val="18"/>
          <w:color w:val="auto"/>
        </w:rPr>
        <w:t>By any other method authorized by the laws of the State of Florida.</w:t>
      </w:r>
    </w:p>
    <w:p>
      <w:pPr>
        <w:spacing w:after="0" w:line="157" w:lineRule="exact"/>
        <w:rPr>
          <w:rFonts w:ascii="Arial" w:cs="Arial" w:eastAsia="Arial" w:hAnsi="Arial"/>
          <w:sz w:val="18"/>
          <w:szCs w:val="18"/>
          <w:color w:val="auto"/>
        </w:rPr>
      </w:pPr>
    </w:p>
    <w:p>
      <w:pPr>
        <w:ind w:left="-454" w:right="160" w:firstLine="464"/>
        <w:spacing w:after="0" w:line="259" w:lineRule="auto"/>
        <w:tabs>
          <w:tab w:leader="none" w:pos="17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 Change in Control has occurred, the person asserting the right to indemnification shall be entitled to select the method of making the determination described in Section 7, so long as such method is authorized pursuant to applicable law. As used herein, Change in Control means the occurrence of an event which results in any of the following:</w:t>
      </w:r>
    </w:p>
    <w:p>
      <w:pPr>
        <w:spacing w:after="0" w:line="46" w:lineRule="exact"/>
        <w:rPr>
          <w:sz w:val="20"/>
          <w:szCs w:val="20"/>
          <w:color w:val="auto"/>
        </w:rPr>
      </w:pPr>
    </w:p>
    <w:p>
      <w:pPr>
        <w:ind w:left="446" w:right="80" w:hanging="446"/>
        <w:spacing w:after="0" w:line="256" w:lineRule="auto"/>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person or “group” as defined in Section 13(d)(3) of the Securities Exchange Act of 1934, as amended (the “1934 Act”), but excluding any employee benefit plan or plans of the Company and its subsidiaries, becomes the beneficial owner, directly or indirectly, of twenty percent (20%) or more of the combined voting power of the Company’s outstanding voting securities ordinarily having the right to vote for the election of directors of the Company;</w:t>
      </w:r>
    </w:p>
    <w:p>
      <w:pPr>
        <w:spacing w:after="0" w:line="48" w:lineRule="exact"/>
        <w:rPr>
          <w:rFonts w:ascii="Arial" w:cs="Arial" w:eastAsia="Arial" w:hAnsi="Arial"/>
          <w:sz w:val="18"/>
          <w:szCs w:val="18"/>
          <w:color w:val="auto"/>
        </w:rPr>
      </w:pPr>
    </w:p>
    <w:p>
      <w:pPr>
        <w:ind w:left="446" w:right="40" w:hanging="446"/>
        <w:spacing w:after="0" w:line="259" w:lineRule="auto"/>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merger, consolidation, reorganization or similar event of the Company or any of its subsidiaries, as a result of which the holders of the voting stock of the Company immediately prior to such merger, consolidation, reorganization or similar event do not directly or indirectly hold at least fifty-one percent (51%) of the aggregate voting power of the capital stock of the surviving entity;</w:t>
      </w:r>
    </w:p>
    <w:p>
      <w:pPr>
        <w:spacing w:after="0" w:line="45" w:lineRule="exact"/>
        <w:rPr>
          <w:rFonts w:ascii="Arial" w:cs="Arial" w:eastAsia="Arial" w:hAnsi="Arial"/>
          <w:sz w:val="18"/>
          <w:szCs w:val="18"/>
          <w:color w:val="auto"/>
        </w:rPr>
      </w:pPr>
    </w:p>
    <w:p>
      <w:pPr>
        <w:ind w:left="446" w:hanging="446"/>
        <w:spacing w:after="0" w:line="287" w:lineRule="auto"/>
        <w:tabs>
          <w:tab w:leader="none" w:pos="44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individuals who, as of March 1, 2003 (the “Effective Date”), constitute the Board of Directors of the Company (the “Board” generally and as of the Effective Date the “Incumbent Board”) cease for any reason to constitute at least two-thirds (2/3) of the Board, or in the case of a merger or consolidation of the Company, do not constitute or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 two-thirds (2/3) of the voting seats on any body comparable to a board of directors of such controlling entity, or if there is no body comparable to a board of directors, at least two-thirds (2/3) voting control of such controlling entity); provided that any person becoming a director (or, in the case of a controlling non-corporate entity, obtaining a position comparable to a director or obtaining a voting interest in such entity) subsequent to the Effective Date whose election, or nomination for election, was approved by a vote of the persons comprising at least two-thirds (2/3) of the Incumbent Board (other than an election or nomination of an individual whose initial assumption of office is in</w:t>
      </w:r>
    </w:p>
    <w:p>
      <w:pPr>
        <w:sectPr>
          <w:pgSz w:w="11900" w:h="16838" w:orient="portrait"/>
          <w:cols w:equalWidth="0" w:num="1">
            <w:col w:w="10966"/>
          </w:cols>
          <w:pgMar w:left="694" w:top="428" w:right="239" w:bottom="1440" w:gutter="0" w:footer="0" w:header="0"/>
        </w:sectPr>
      </w:pPr>
    </w:p>
    <w:bookmarkStart w:id="19" w:name="page20"/>
    <w:bookmarkEnd w:id="19"/>
    <w:p>
      <w:pPr>
        <w:ind w:left="92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connection with an actual or threatened election contest), shall be, for purposes of this Article, considered as though such person were a member of the Incumbent Board; or</w:t>
      </w:r>
    </w:p>
    <w:p>
      <w:pPr>
        <w:spacing w:after="0" w:line="37"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a liquidation or dissolution of the Company or a sale of all or substantially all of its assets.</w:t>
      </w:r>
    </w:p>
    <w:p>
      <w:pPr>
        <w:spacing w:after="0" w:line="158" w:lineRule="exact"/>
        <w:rPr>
          <w:sz w:val="20"/>
          <w:szCs w:val="20"/>
          <w:color w:val="auto"/>
        </w:rPr>
      </w:pPr>
    </w:p>
    <w:p>
      <w:pPr>
        <w:ind w:right="100" w:firstLine="464"/>
        <w:spacing w:after="0" w:line="291"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purposes of this Article, the term “Company” shall include any predecessor of the Company and any constituent corporation (including any constituent of a constituent) absorbed by the Company in a consolidation or merger. Any director or officer of the Company serving (i) another corporation, partnership, joint venture, trust, or other enterprise, of which a majority of the equity interests entitled to vote in the election of its directors or the equivalent is controlled directly or indirectly by the Company, or (ii) any employee benefit plan of the Company or any entity referred to in clause (i), in any capacity shall be deemed to be doing so at the request of the Company and action by a person with respect to any employee benefit plan which such person reasonably believes to be in the interest of the participants and beneficiaries of such plan shall be deemed to be action not opposed to the best interests of the Company.</w:t>
      </w:r>
    </w:p>
    <w:p>
      <w:pPr>
        <w:spacing w:after="0" w:line="106" w:lineRule="exact"/>
        <w:rPr>
          <w:rFonts w:ascii="Arial" w:cs="Arial" w:eastAsia="Arial" w:hAnsi="Arial"/>
          <w:sz w:val="16"/>
          <w:szCs w:val="16"/>
          <w:color w:val="auto"/>
        </w:rPr>
      </w:pPr>
    </w:p>
    <w:p>
      <w:pPr>
        <w:ind w:firstLine="464"/>
        <w:spacing w:after="0" w:line="288"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Each of the provisions of this Article is a separate and distinct agreement and independent of the others, so that if any provision hereof shall be held to be invalid or unenforceable in whole or in part for any reason, such invalidity or unenforceability shall not affect the validity or enforceability of the other provisions hereof. In the event that all or any portion of this Article is ever held void or unenforceable by a court of competent jurisdiction, then such court is hereby expressly authorized to modify any provision(s) held void or unenforceable to the extent, and only to the extent, necessary to render it valid and enforceable. If any such portion cannot be so modified and is invalidated on any ground by a court of competent jurisdiction, then the Company shall nevertheless indemnify each person who is or was a director and officer of the Corporation as to costs, charges and expenses (including attorneys’ fees), judgments, fines and amounts paid in settlement with respect to any action, suit or proceeding, whether civil, criminal, administrative or investigative, including an action by or in the right of the Corporation, to the full extent permitted by any applicable portion of this Article that shall not have been invalidated and to the full extent permitted by applicable law.</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IX. AMENDMENT</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These By-Laws may be repealed or amended, and new By-Laws may be adopted, by either the Board of Directors or the Stockholders, but the Board of Directors may not amend or repeal any By-Law adopted by Stockholders if the Stockholders specifically provide that such By-Law is not subject to amendment or repeal by the Directors.</w:t>
      </w:r>
    </w:p>
    <w:p>
      <w:pPr>
        <w:sectPr>
          <w:pgSz w:w="11900" w:h="16838" w:orient="portrait"/>
          <w:cols w:equalWidth="0" w:num="1">
            <w:col w:w="11400"/>
          </w:cols>
          <w:pgMar w:left="240" w:top="280" w:right="259" w:bottom="1440" w:gutter="0" w:footer="0" w:header="0"/>
        </w:sectPr>
      </w:pPr>
    </w:p>
    <w:bookmarkStart w:id="20" w:name="page21"/>
    <w:bookmarkEnd w:id="20"/>
    <w:p>
      <w:pPr>
        <w:ind w:left="10560"/>
        <w:spacing w:after="0"/>
        <w:rPr>
          <w:sz w:val="20"/>
          <w:szCs w:val="20"/>
          <w:color w:val="auto"/>
        </w:rPr>
      </w:pPr>
      <w:r>
        <w:rPr>
          <w:rFonts w:ascii="Arial" w:cs="Arial" w:eastAsia="Arial" w:hAnsi="Arial"/>
          <w:sz w:val="16"/>
          <w:szCs w:val="16"/>
          <w:color w:val="auto"/>
        </w:rPr>
        <w:t>Exhibit 99.2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ectPr>
          <w:pgSz w:w="11900" w:h="16838" w:orient="portrait"/>
          <w:cols w:equalWidth="0" w:num="1">
            <w:col w:w="11420"/>
          </w:cols>
          <w:pgMar w:left="240" w:top="131" w:right="239" w:bottom="1440" w:gutter="0" w:footer="0" w:header="0"/>
        </w:sectPr>
      </w:pP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INDEMNIFICATION AGREEMENT is made this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620"/>
        <w:spacing w:after="0"/>
        <w:rPr>
          <w:sz w:val="20"/>
          <w:szCs w:val="20"/>
          <w:color w:val="auto"/>
        </w:rPr>
      </w:pPr>
      <w:r>
        <w:rPr>
          <w:rFonts w:ascii="Arial" w:cs="Arial" w:eastAsia="Arial" w:hAnsi="Arial"/>
          <w:sz w:val="15"/>
          <w:szCs w:val="15"/>
          <w:color w:val="auto"/>
        </w:rPr>
        <w:t>, 2003, by and between World Fuel Services Corporation, a Florida</w:t>
      </w:r>
    </w:p>
    <w:p>
      <w:pPr>
        <w:spacing w:after="0" w:line="49" w:lineRule="exact"/>
        <w:rPr>
          <w:sz w:val="20"/>
          <w:szCs w:val="20"/>
          <w:color w:val="auto"/>
        </w:rPr>
      </w:pPr>
    </w:p>
    <w:p>
      <w:pPr>
        <w:sectPr>
          <w:pgSz w:w="11900" w:h="16838" w:orient="portrait"/>
          <w:cols w:equalWidth="0" w:num="3">
            <w:col w:w="4460" w:space="620"/>
            <w:col w:w="440" w:space="580"/>
            <w:col w:w="5320"/>
          </w:cols>
          <w:pgMar w:left="240" w:top="131" w:right="239" w:bottom="1440" w:gutter="0" w:footer="0" w:header="0"/>
          <w:type w:val="continuous"/>
        </w:sectPr>
      </w:pPr>
    </w:p>
    <w:p>
      <w:pPr>
        <w:spacing w:after="0"/>
        <w:tabs>
          <w:tab w:leader="none" w:pos="3500" w:val="left"/>
        </w:tabs>
        <w:rPr>
          <w:sz w:val="20"/>
          <w:szCs w:val="20"/>
          <w:color w:val="auto"/>
        </w:rPr>
      </w:pPr>
      <w:r>
        <w:rPr>
          <w:rFonts w:ascii="Arial" w:cs="Arial" w:eastAsia="Arial" w:hAnsi="Arial"/>
          <w:sz w:val="18"/>
          <w:szCs w:val="18"/>
          <w:color w:val="auto"/>
        </w:rPr>
        <w:t>corporation (the “Company”), and</w:t>
      </w:r>
      <w:r>
        <w:rPr>
          <w:sz w:val="20"/>
          <w:szCs w:val="20"/>
          <w:color w:val="auto"/>
        </w:rPr>
        <w:tab/>
      </w:r>
      <w:r>
        <w:rPr>
          <w:rFonts w:ascii="Arial" w:cs="Arial" w:eastAsia="Arial" w:hAnsi="Arial"/>
          <w:sz w:val="16"/>
          <w:szCs w:val="16"/>
          <w:color w:val="auto"/>
        </w:rPr>
        <w:t>(the “Indemnitee”).</w:t>
      </w:r>
    </w:p>
    <w:p>
      <w:pPr>
        <w:sectPr>
          <w:pgSz w:w="11900" w:h="16838" w:orient="portrait"/>
          <w:cols w:equalWidth="0" w:num="1">
            <w:col w:w="11420"/>
          </w:cols>
          <w:pgMar w:left="240" w:top="131" w:right="239" w:bottom="1440" w:gutter="0" w:footer="0" w:header="0"/>
          <w:type w:val="continuous"/>
        </w:sectPr>
      </w:pPr>
    </w:p>
    <w:p>
      <w:pPr>
        <w:spacing w:after="0" w:line="14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Preliminary Statements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Company desires to retain the services of the Indemnitee as a director and/or officer of the Company.</w:t>
      </w:r>
    </w:p>
    <w:p>
      <w:pPr>
        <w:spacing w:after="0" w:line="15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 Section 607.0850 of the Florida Business Corporation Act (the “Florida Statute”) provides a nonexclusive statutory basis for the indemnification of directors and officers of a Florida corporation and authorizes agreements between the Company and its officers and directors with respect to indemnification of such individuals.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 The Company seeks highly competent persons to serve or to continue to serve as directors and/or executive officers and believes that such persons require adequate protection through insurance and/or adequate indemnification against claims and actions against them arising out of their service to and activities on behalf of such corporations.</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 It is reasonable, prudent and necessary for the Company contractually to obligate itself to indemnify such persons so that they will serve or continue to serve the Company free from undue concern that they will not be so indemnified, and the Indemnitee is willing to serve, continue to serve and to take on additional service for or on behalf of the Company on the condition that he be so indemnified.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order to induce the Indemnitee to serve or to continue to serve as a director and/or executive officer of the Company, the Company has determined and agreed to enter into this agreement with the Indemnitee, and the Company and the Indemnitee agree as follows:</w:t>
      </w:r>
    </w:p>
    <w:p>
      <w:pPr>
        <w:spacing w:after="0" w:line="118" w:lineRule="exact"/>
        <w:rPr>
          <w:sz w:val="20"/>
          <w:szCs w:val="20"/>
          <w:color w:val="auto"/>
        </w:rPr>
      </w:pPr>
    </w:p>
    <w:p>
      <w:pPr>
        <w:ind w:right="8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Indemnification of Indemnitee. The Company hereby agrees to hold harmless and indemnify the Indemnitee to the fullest extent authorized or permitted by the laws of Florida as in effect at the date hereof and, if broader, as authorized or permitted pursuant to the laws of the Florida hereafter.</w:t>
      </w:r>
    </w:p>
    <w:p>
      <w:pPr>
        <w:spacing w:after="0" w:line="71" w:lineRule="exact"/>
        <w:rPr>
          <w:rFonts w:ascii="Arial" w:cs="Arial" w:eastAsia="Arial" w:hAnsi="Arial"/>
          <w:sz w:val="16"/>
          <w:szCs w:val="16"/>
          <w:color w:val="auto"/>
        </w:rPr>
      </w:pPr>
    </w:p>
    <w:p>
      <w:pPr>
        <w:ind w:right="100" w:firstLine="464"/>
        <w:spacing w:after="0" w:line="256"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Indemnification. In addition to any other indemnification to which the Indemnitee may be entitled pursuant to the Florida Statute, the Company’s Articles of Incorporation (the “Articles”) or Bylaws (the “Bylaws”), or otherwise, and subject only to the limitations set forth in Section 3 hereof, the Company hereby further agrees to hold harmless and indemnify the Indemnitee against any and all costs and expenses (including trial, appellate and other attorneys’ fees), judgments, fines, penalties and amounts paid in</w:t>
      </w:r>
    </w:p>
    <w:p>
      <w:pPr>
        <w:sectPr>
          <w:pgSz w:w="11900" w:h="16838" w:orient="portrait"/>
          <w:cols w:equalWidth="0" w:num="1">
            <w:col w:w="11420"/>
          </w:cols>
          <w:pgMar w:left="240" w:top="131" w:right="239" w:bottom="1440" w:gutter="0" w:footer="0" w:header="0"/>
          <w:type w:val="continuous"/>
        </w:sectPr>
      </w:pPr>
    </w:p>
    <w:bookmarkStart w:id="21" w:name="page22"/>
    <w:bookmarkEnd w:id="2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settlement, actually incurred by the Indemnitee in connection with any threatened, pending or completed claim, action, suit or proceeding, whether civil, criminal, administrative or investigative and whether formal or informal (including an action by or in the right of the Company or any corporation, partnership, joint venture, trust, employee benefit plan or other enterprise or by or in the right of any other person) to which the Indemnitee is, was or at any time becomes a party, or is threatened to be made a party or is otherwise involved in, by reason of the fact that the Indemnitee is, was or at any time becomes a director, officer, employee or agent of the Company or serves the Company in any other capacity, or is or was serving or at any time serves at the request of the Company another corporation, partnership, joint venture, trust, employee benefit plan or other enterprise as a director, officer, employee or agent or in any other capacity. Notwithstanding any other provision of this Agreement, the Company shall pay and reimburse all expenses incurred by Indemnitee in connection with his appearance as a witness or other participation in a proceeding at a time when he is not a named defendant or respondent in the proceeding.</w:t>
      </w:r>
    </w:p>
    <w:p>
      <w:pPr>
        <w:spacing w:after="0" w:line="105" w:lineRule="exact"/>
        <w:rPr>
          <w:sz w:val="20"/>
          <w:szCs w:val="20"/>
          <w:color w:val="auto"/>
        </w:rPr>
      </w:pPr>
    </w:p>
    <w:p>
      <w:pPr>
        <w:ind w:right="640" w:firstLine="464"/>
        <w:spacing w:after="0" w:line="259"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Additional Indemnification. No indemnification pursuant to Section 2 hereof shall be paid by the Company if a judgment (after exhaustion of all appeals) or other final adjudication determines that the Indemnitee’s actions, or omissions to act, were material to the cause of action so adjudicated and constitute:</w:t>
      </w:r>
    </w:p>
    <w:p>
      <w:pPr>
        <w:spacing w:after="0" w:line="126" w:lineRule="exact"/>
        <w:rPr>
          <w:rFonts w:ascii="Arial" w:cs="Arial" w:eastAsia="Arial" w:hAnsi="Arial"/>
          <w:sz w:val="18"/>
          <w:szCs w:val="18"/>
          <w:color w:val="auto"/>
        </w:rPr>
      </w:pPr>
    </w:p>
    <w:p>
      <w:pPr>
        <w:ind w:left="460" w:right="280" w:firstLine="443"/>
        <w:spacing w:after="0" w:line="268" w:lineRule="auto"/>
        <w:tabs>
          <w:tab w:leader="none" w:pos="11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violation of criminal law, unless the Indemnitee had reasonable cause to believe his or her conduct was lawful or had no reasonable cause to believe his conduct was unlawful;</w:t>
      </w:r>
    </w:p>
    <w:p>
      <w:pPr>
        <w:spacing w:after="0" w:line="118" w:lineRule="exact"/>
        <w:rPr>
          <w:rFonts w:ascii="Arial" w:cs="Arial" w:eastAsia="Arial" w:hAnsi="Arial"/>
          <w:sz w:val="18"/>
          <w:szCs w:val="18"/>
          <w:color w:val="auto"/>
        </w:rPr>
      </w:pPr>
    </w:p>
    <w:p>
      <w:pPr>
        <w:ind w:left="1160" w:hanging="257"/>
        <w:spacing w:after="0"/>
        <w:tabs>
          <w:tab w:leader="none" w:pos="11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 transaction from which the Indemnitee received an improper personal benefit within the meaning of Section 607.0850(7) of the Florida Statute;</w:t>
      </w:r>
    </w:p>
    <w:p>
      <w:pPr>
        <w:spacing w:after="0" w:line="180" w:lineRule="exact"/>
        <w:rPr>
          <w:rFonts w:ascii="Arial" w:cs="Arial" w:eastAsia="Arial" w:hAnsi="Arial"/>
          <w:sz w:val="16"/>
          <w:szCs w:val="16"/>
          <w:color w:val="auto"/>
        </w:rPr>
      </w:pPr>
    </w:p>
    <w:p>
      <w:pPr>
        <w:ind w:left="1140" w:hanging="237"/>
        <w:spacing w:after="0"/>
        <w:tabs>
          <w:tab w:leader="none" w:pos="1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circumstance under which the liability provisions of Section 607.0834 of the Florida Corporations Law are applicable; or</w:t>
      </w:r>
    </w:p>
    <w:p>
      <w:pPr>
        <w:spacing w:after="0" w:line="157"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willful misconduct or conscious disregard for the best interests of the Company in a proceeding by or in the right of the Company to procure a judgment in its favor or in a proceeding by or in the right of a shareholder of the Company.</w:t>
      </w:r>
    </w:p>
    <w:p>
      <w:pPr>
        <w:spacing w:after="0" w:line="118" w:lineRule="exact"/>
        <w:rPr>
          <w:rFonts w:ascii="Arial" w:cs="Arial" w:eastAsia="Arial" w:hAnsi="Arial"/>
          <w:sz w:val="18"/>
          <w:szCs w:val="18"/>
          <w:color w:val="auto"/>
        </w:rPr>
      </w:pPr>
    </w:p>
    <w:p>
      <w:pPr>
        <w:ind w:right="40" w:firstLine="464"/>
        <w:spacing w:after="0" w:line="289"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Disbursement/Repayment of Expenses. In addition to the prompt payment of any indemnification to which the Indemnitee may be entitled, upon the demand of the Indemnitee, the Company shall promptly (and in any event within 5 business days after written demand therefor) advance to or reimburse the Indemnitee for all expenses (including, without limitation, trial, appellate and other attorneys’ fees, court costs, judgments, fines, penalties, amounts paid in settlement and other payments) that the Indemnitee may incur in responding to, investigating, defending, settling or appealing any threatened, pending or completed claim, action, suit or proceeding. The Indemnitee agrees to reimburse the Company for all such expenses in the event, and only to the extent, that it shall be ultimately determined (by a final ruling of a court of competent jurisdiction not subject to appeal) that the Indemnitee is not entitled to be indemnified by the Company for such expenses under the provisions of Section 3 of this Agreement. Such undertaking shall be an unlimited general, unsecured and interest-free obligation of the Indemnitee.</w:t>
      </w:r>
    </w:p>
    <w:p>
      <w:pPr>
        <w:sectPr>
          <w:pgSz w:w="11900" w:h="16838" w:orient="portrait"/>
          <w:cols w:equalWidth="0" w:num="1">
            <w:col w:w="11380"/>
          </w:cols>
          <w:pgMar w:left="240" w:top="280" w:right="279" w:bottom="1440" w:gutter="0" w:footer="0" w:header="0"/>
        </w:sectPr>
      </w:pPr>
    </w:p>
    <w:bookmarkStart w:id="22" w:name="page23"/>
    <w:bookmarkEnd w:id="22"/>
    <w:p>
      <w:pPr>
        <w:ind w:left="-464" w:firstLine="464"/>
        <w:spacing w:after="0" w:line="291" w:lineRule="auto"/>
        <w:tabs>
          <w:tab w:leader="none" w:pos="168"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 Procedures. (a) Payment/Determination of Indemnification. Upon any request from the Indemnitee for indemnification from the Company, whether pursuant to this Agreement, the Florida Statute, the Articles, the Bylaws or otherwise, the Company shall promptly pay the full amount of such requested indemnification. If the Company’s Board of Directors (the “Board”) reasonably believes that all or any portion of such indemnification pursuant to this Agreement is prohibited by Section 3 hereof or applicable law, the Company shall in any event promptly pay the amount of such indemnification, if any, that may reasonably then be paid and shall promptly make or cause to be made a determination (the “Determination”) of whether the payment of the balance is limited by Section 3 hereof or applicable law. Such Determination shall be made:</w:t>
      </w:r>
    </w:p>
    <w:p>
      <w:pPr>
        <w:spacing w:after="0" w:line="106" w:lineRule="exact"/>
        <w:rPr>
          <w:rFonts w:ascii="Arial" w:cs="Arial" w:eastAsia="Arial" w:hAnsi="Arial"/>
          <w:sz w:val="16"/>
          <w:szCs w:val="16"/>
          <w:color w:val="auto"/>
        </w:rPr>
      </w:pPr>
    </w:p>
    <w:p>
      <w:pPr>
        <w:ind w:left="-4" w:right="80" w:firstLine="443"/>
        <w:spacing w:after="0" w:line="268" w:lineRule="auto"/>
        <w:tabs>
          <w:tab w:leader="none" w:pos="643" w:val="left"/>
        </w:tabs>
        <w:numPr>
          <w:ilvl w:val="1"/>
          <w:numId w:val="17"/>
        </w:numPr>
        <w:rPr>
          <w:rFonts w:ascii="Arial" w:cs="Arial" w:eastAsia="Arial" w:hAnsi="Arial"/>
          <w:sz w:val="18"/>
          <w:szCs w:val="18"/>
          <w:color w:val="auto"/>
        </w:rPr>
      </w:pPr>
      <w:r>
        <w:rPr>
          <w:rFonts w:ascii="Arial" w:cs="Arial" w:eastAsia="Arial" w:hAnsi="Arial"/>
          <w:sz w:val="18"/>
          <w:szCs w:val="18"/>
          <w:color w:val="auto"/>
        </w:rPr>
        <w:t>by the Board by majority vote or consent of a quorum consisting of directors who are not, at the time of the Determination, named parties to such action, suit or proceeding (“Disinterested Directors”);</w:t>
      </w:r>
    </w:p>
    <w:p>
      <w:pPr>
        <w:spacing w:after="0" w:line="118" w:lineRule="exact"/>
        <w:rPr>
          <w:rFonts w:ascii="Arial" w:cs="Arial" w:eastAsia="Arial" w:hAnsi="Arial"/>
          <w:sz w:val="18"/>
          <w:szCs w:val="18"/>
          <w:color w:val="auto"/>
        </w:rPr>
      </w:pPr>
    </w:p>
    <w:p>
      <w:pPr>
        <w:ind w:left="-4" w:right="60" w:firstLine="443"/>
        <w:spacing w:after="0" w:line="259" w:lineRule="auto"/>
        <w:tabs>
          <w:tab w:leader="none" w:pos="6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such a quorum of Disinterested Directors cannot be obtained, or even if it can be obtained, by majority vote or consent of a committee consisting solely of two or more Disinterested Directors, which committee shall be designated by the Board (and all directors, whether or not Disinterested Directors, may participate in the vote to select such committee);</w:t>
      </w:r>
    </w:p>
    <w:p>
      <w:pPr>
        <w:spacing w:after="0" w:line="126" w:lineRule="exact"/>
        <w:rPr>
          <w:rFonts w:ascii="Arial" w:cs="Arial" w:eastAsia="Arial" w:hAnsi="Arial"/>
          <w:sz w:val="18"/>
          <w:szCs w:val="18"/>
          <w:color w:val="auto"/>
        </w:rPr>
      </w:pPr>
    </w:p>
    <w:p>
      <w:pPr>
        <w:ind w:left="736" w:hanging="297"/>
        <w:spacing w:after="0"/>
        <w:tabs>
          <w:tab w:leader="none" w:pos="736" w:val="left"/>
        </w:tabs>
        <w:numPr>
          <w:ilvl w:val="1"/>
          <w:numId w:val="17"/>
        </w:numPr>
        <w:rPr>
          <w:rFonts w:ascii="Arial" w:cs="Arial" w:eastAsia="Arial" w:hAnsi="Arial"/>
          <w:sz w:val="18"/>
          <w:szCs w:val="18"/>
          <w:color w:val="auto"/>
        </w:rPr>
      </w:pPr>
      <w:r>
        <w:rPr>
          <w:rFonts w:ascii="Arial" w:cs="Arial" w:eastAsia="Arial" w:hAnsi="Arial"/>
          <w:sz w:val="18"/>
          <w:szCs w:val="18"/>
          <w:color w:val="auto"/>
        </w:rPr>
        <w:t>By independent legal counsel:</w:t>
      </w:r>
    </w:p>
    <w:p>
      <w:pPr>
        <w:spacing w:after="0" w:line="158" w:lineRule="exact"/>
        <w:rPr>
          <w:sz w:val="20"/>
          <w:szCs w:val="20"/>
          <w:color w:val="auto"/>
        </w:rPr>
      </w:pPr>
    </w:p>
    <w:p>
      <w:pPr>
        <w:ind w:left="616" w:hanging="177"/>
        <w:spacing w:after="0"/>
        <w:tabs>
          <w:tab w:leader="none" w:pos="616" w:val="left"/>
        </w:tabs>
        <w:numPr>
          <w:ilvl w:val="1"/>
          <w:numId w:val="18"/>
        </w:numPr>
        <w:rPr>
          <w:rFonts w:ascii="Arial" w:cs="Arial" w:eastAsia="Arial" w:hAnsi="Arial"/>
          <w:sz w:val="18"/>
          <w:szCs w:val="18"/>
          <w:color w:val="auto"/>
        </w:rPr>
      </w:pPr>
      <w:r>
        <w:rPr>
          <w:rFonts w:ascii="Arial" w:cs="Arial" w:eastAsia="Arial" w:hAnsi="Arial"/>
          <w:sz w:val="18"/>
          <w:szCs w:val="18"/>
          <w:color w:val="auto"/>
        </w:rPr>
        <w:t>Selected by the Board as prescribed in clause (i) above or the committee prescribed in clause (ii) above; or</w:t>
      </w:r>
    </w:p>
    <w:p>
      <w:pPr>
        <w:spacing w:after="0" w:line="157" w:lineRule="exact"/>
        <w:rPr>
          <w:rFonts w:ascii="Arial" w:cs="Arial" w:eastAsia="Arial" w:hAnsi="Arial"/>
          <w:sz w:val="18"/>
          <w:szCs w:val="18"/>
          <w:color w:val="auto"/>
        </w:rPr>
      </w:pPr>
    </w:p>
    <w:p>
      <w:pPr>
        <w:ind w:left="-4" w:right="60" w:firstLine="443"/>
        <w:spacing w:after="0" w:line="332" w:lineRule="auto"/>
        <w:tabs>
          <w:tab w:leader="none" w:pos="609" w:val="left"/>
        </w:tabs>
        <w:numPr>
          <w:ilvl w:val="1"/>
          <w:numId w:val="18"/>
        </w:numPr>
        <w:rPr>
          <w:rFonts w:ascii="Arial" w:cs="Arial" w:eastAsia="Arial" w:hAnsi="Arial"/>
          <w:sz w:val="16"/>
          <w:szCs w:val="16"/>
          <w:color w:val="auto"/>
        </w:rPr>
      </w:pPr>
      <w:r>
        <w:rPr>
          <w:rFonts w:ascii="Arial" w:cs="Arial" w:eastAsia="Arial" w:hAnsi="Arial"/>
          <w:sz w:val="16"/>
          <w:szCs w:val="16"/>
          <w:color w:val="auto"/>
        </w:rPr>
        <w:t>If a quorum of the directors cannot be obtained for clause (i) above and the committee cannot be designated under clause (ii), selected by majority vote of the full Board (and directors who are not Disinterested Directors may participate in the vote to select such committee);</w:t>
      </w:r>
    </w:p>
    <w:p>
      <w:pPr>
        <w:spacing w:after="0" w:line="71" w:lineRule="exact"/>
        <w:rPr>
          <w:rFonts w:ascii="Arial" w:cs="Arial" w:eastAsia="Arial" w:hAnsi="Arial"/>
          <w:sz w:val="16"/>
          <w:szCs w:val="16"/>
          <w:color w:val="auto"/>
        </w:rPr>
      </w:pPr>
    </w:p>
    <w:p>
      <w:pPr>
        <w:ind w:left="-464" w:right="540" w:firstLine="464"/>
        <w:spacing w:after="0" w:line="268" w:lineRule="auto"/>
        <w:tabs>
          <w:tab w:leader="none" w:pos="2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the shareholders by a majority vote of a quorum consisting of shareholders who were not parties to such proceeding or, if no such quorum is obtainable, by a majority vote of shareholders who were not parties to such proceeding.</w:t>
      </w:r>
    </w:p>
    <w:p>
      <w:pPr>
        <w:spacing w:after="0" w:line="118" w:lineRule="exact"/>
        <w:rPr>
          <w:sz w:val="20"/>
          <w:szCs w:val="20"/>
          <w:color w:val="auto"/>
        </w:rPr>
      </w:pPr>
    </w:p>
    <w:p>
      <w:pPr>
        <w:ind w:left="-464" w:firstLine="464"/>
        <w:spacing w:after="0" w:line="294" w:lineRule="auto"/>
        <w:tabs>
          <w:tab w:leader="none" w:pos="241"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Presumptions and Effect of Certain Proceedings. In making a Determination with respect to entitlement to indemnification hereunder, the person or persons or entity making the Determination shall presume that Indemnitee is entitled to indemnification under this Agreement and the Company shall have the burden of proof to overcome that presumption in connection with the making by any person, persons or entity of any Determination contrary to that presumption. The termination of any claim, action, suit or proceeding by judgment, order settlement, conviction, or upon a plea of nolo contendere or its equivalent, shall not of itself be determinative of or create a presumption that the Indemnitee is not entitled to indemnification or reimbursement of expenses hereunder or otherwise.</w:t>
      </w:r>
    </w:p>
    <w:p>
      <w:pPr>
        <w:sectPr>
          <w:pgSz w:w="11900" w:h="16838" w:orient="portrait"/>
          <w:cols w:equalWidth="0" w:num="1">
            <w:col w:w="10936"/>
          </w:cols>
          <w:pgMar w:left="704" w:top="280" w:right="259" w:bottom="1440" w:gutter="0" w:footer="0" w:header="0"/>
        </w:sectPr>
      </w:pPr>
    </w:p>
    <w:bookmarkStart w:id="23" w:name="page24"/>
    <w:bookmarkEnd w:id="23"/>
    <w:p>
      <w:pPr>
        <w:ind w:left="-464" w:right="60" w:firstLine="464"/>
        <w:spacing w:after="0" w:line="309" w:lineRule="auto"/>
        <w:tabs>
          <w:tab w:leader="none" w:pos="231" w:val="left"/>
        </w:tabs>
        <w:numPr>
          <w:ilvl w:val="0"/>
          <w:numId w:val="2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Reliance as Safe Harbor. For purposes of any Determination hereunder, the Indemnitee shall be deemed to have acted in good faith and in a manner he reasonably believed to be in or not opposed to the best interests of the Company, or, with respect to any criminal action or proceeding, to have had no reasonable cause to believe his conduct was unlawful, if his action is based on (i) the records or books of account of the Company or another enterprise, including financial statements, (ii) information supplied to him by the officers of the Company or another enterprise in the course of their duties, (iii) the advice of legal counsel for the Company or another enterprise, or (iv) information or records given or reports made to the Company or another enterprise by an independent certified public accountant or by an appraiser or other expert selected with reasonable care by the Company or another enterprise. The term “another enterprise” as used in this Section 5(c) shall mean any other corporation or any partnership, joint venture, trust, employee benefit plan or other enterprise of which the Indemnitee is or was serving at the request of the Company as a director, officer, partner, trustee, employee or agent. The provisions of this Section 5(c) shall not be deemed to be exclusive or to limit in any way the other circumstances in which the Indemnitee may be deemed to have met the applicable standard of conduct set forth herein.</w:t>
      </w:r>
    </w:p>
    <w:p>
      <w:pPr>
        <w:spacing w:after="0" w:line="94" w:lineRule="exact"/>
        <w:rPr>
          <w:rFonts w:ascii="Arial" w:cs="Arial" w:eastAsia="Arial" w:hAnsi="Arial"/>
          <w:sz w:val="15"/>
          <w:szCs w:val="15"/>
          <w:color w:val="auto"/>
        </w:rPr>
      </w:pPr>
    </w:p>
    <w:p>
      <w:pPr>
        <w:ind w:left="-464" w:right="100" w:firstLine="464"/>
        <w:spacing w:after="0" w:line="253" w:lineRule="auto"/>
        <w:tabs>
          <w:tab w:leader="none" w:pos="241"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 on Merits or Otherwise. Notwithstanding any other provision of this Agreement, to the extent that the Indemnitee has been successful on the merits or otherwise in defense of any action, suit or proceeding described herein, or in defense of any claim, issue or matter therein, he shall be indemnified against all costs and expenses (including trial, appellate and other attorneys’ fees) actually incurred by him in connection with the investigation, defense, settlement or appeal thereof. For purposes of this Section 5(d), the term “successful on the merits or otherwise” shall include, but not be limited to, (i) any termination, withdrawal, or dismissal (with or without prejudice) of any claim, action, suit or proceeding against the Indemnitee without any express finding of liability or guilt against him, (ii) the expiration of 90 days after the making of any claim or threat of an action, suit or proceeding without the institution of the same and without any promise or payment made to induce a settlement, or (iii) the settlement of any action, suit or proceeding pursuant to which the Indemnitee pays less than $50,000.</w:t>
      </w:r>
    </w:p>
    <w:p>
      <w:pPr>
        <w:spacing w:after="0" w:line="131" w:lineRule="exact"/>
        <w:rPr>
          <w:rFonts w:ascii="Arial" w:cs="Arial" w:eastAsia="Arial" w:hAnsi="Arial"/>
          <w:sz w:val="18"/>
          <w:szCs w:val="18"/>
          <w:color w:val="auto"/>
        </w:rPr>
      </w:pPr>
    </w:p>
    <w:p>
      <w:pPr>
        <w:ind w:left="-464" w:firstLine="464"/>
        <w:spacing w:after="0" w:line="314" w:lineRule="auto"/>
        <w:tabs>
          <w:tab w:leader="none" w:pos="231" w:val="left"/>
        </w:tabs>
        <w:numPr>
          <w:ilvl w:val="0"/>
          <w:numId w:val="21"/>
        </w:numPr>
        <w:rPr>
          <w:rFonts w:ascii="Arial" w:cs="Arial" w:eastAsia="Arial" w:hAnsi="Arial"/>
          <w:sz w:val="15"/>
          <w:szCs w:val="15"/>
          <w:color w:val="auto"/>
        </w:rPr>
      </w:pPr>
      <w:r>
        <w:rPr>
          <w:rFonts w:ascii="Arial" w:cs="Arial" w:eastAsia="Arial" w:hAnsi="Arial"/>
          <w:sz w:val="15"/>
          <w:szCs w:val="15"/>
          <w:color w:val="auto"/>
        </w:rPr>
        <w:t>Partial Indemnification or Reimbursement. If the Indemnitee is entitled under any provision of this Agreement to indemnification and/or reimbursement by the Company for some or a portion of the costs and expenses (including trial, appellate and other attorneys’ fees), judgments, fines, penalties or amounts paid in settlement by the Indemnitee in connection with the investigation, defense, settlement or appeal of any action specified herein, but not, however, for the total amount thereof, the Company shall nevertheless indemnify and/or reimburse the Indemnitee for the portion thereof to which the Indemnitee is entitled. The party or parties making the Determination shall determine the portion (if less than all) of such claims, damages, expenses (including trial, appellate and other attorneys’ fees), judgments, fines or amounts paid in settlement for which the Indemnitee is entitled to indemnification and/or reimbursement under this Agreement.</w:t>
      </w:r>
    </w:p>
    <w:p>
      <w:pPr>
        <w:spacing w:after="0" w:line="91" w:lineRule="exact"/>
        <w:rPr>
          <w:rFonts w:ascii="Arial" w:cs="Arial" w:eastAsia="Arial" w:hAnsi="Arial"/>
          <w:sz w:val="15"/>
          <w:szCs w:val="15"/>
          <w:color w:val="auto"/>
        </w:rPr>
      </w:pPr>
    </w:p>
    <w:p>
      <w:pPr>
        <w:jc w:val="both"/>
        <w:ind w:left="-464" w:firstLine="464"/>
        <w:spacing w:after="0" w:line="306" w:lineRule="auto"/>
        <w:tabs>
          <w:tab w:leader="none" w:pos="211"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Costs. All costs of making any Determination required by this Section 5 shall be borne solely by the Company, including, but not limited to, the costs of legal counsel, proxy solicitations and judicial determinations. The Company shall also be solely responsible for paying (i) all reasonable expenses incurred by the Indemnitee to enforce this Agreement including trial, appellate and other attorneys’ fees and costs; and (ii)</w:t>
      </w:r>
    </w:p>
    <w:p>
      <w:pPr>
        <w:sectPr>
          <w:pgSz w:w="11900" w:h="16838" w:orient="portrait"/>
          <w:cols w:equalWidth="0" w:num="1">
            <w:col w:w="10916"/>
          </w:cols>
          <w:pgMar w:left="704" w:top="280" w:right="279" w:bottom="1440" w:gutter="0" w:footer="0" w:header="0"/>
        </w:sectPr>
      </w:pPr>
    </w:p>
    <w:bookmarkStart w:id="24" w:name="page25"/>
    <w:bookmarkEnd w:id="24"/>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costs of defending any suits or proceedings challenging payments to the Indemnitee under this Agreement including trial, appellate and other attorneys’ fees and costs.</w:t>
      </w:r>
    </w:p>
    <w:p>
      <w:pPr>
        <w:spacing w:after="0" w:line="118" w:lineRule="exact"/>
        <w:rPr>
          <w:sz w:val="20"/>
          <w:szCs w:val="20"/>
          <w:color w:val="auto"/>
        </w:rPr>
      </w:pPr>
    </w:p>
    <w:p>
      <w:pPr>
        <w:ind w:right="400" w:firstLine="464"/>
        <w:spacing w:after="0" w:line="268"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the Determination. The Company shall use its best efforts to make the Determination contemplated by this Section 5 promptly, but in all events within the following time periods:</w:t>
      </w:r>
    </w:p>
    <w:p>
      <w:pPr>
        <w:spacing w:after="0" w:line="118" w:lineRule="exact"/>
        <w:rPr>
          <w:rFonts w:ascii="Arial" w:cs="Arial" w:eastAsia="Arial" w:hAnsi="Arial"/>
          <w:sz w:val="18"/>
          <w:szCs w:val="18"/>
          <w:color w:val="auto"/>
        </w:rPr>
      </w:pPr>
    </w:p>
    <w:p>
      <w:pPr>
        <w:ind w:left="460" w:right="280" w:firstLine="443"/>
        <w:spacing w:after="0" w:line="332" w:lineRule="auto"/>
        <w:tabs>
          <w:tab w:leader="none" w:pos="1108"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the Determination is to be made by the Board or a committee thereof, such Determination shall be made and amounts owed shall be paid not later than 30 days after a written request for a Determination (a “Request”) is delivered to the Company by the Indemnitee;</w:t>
      </w:r>
    </w:p>
    <w:p>
      <w:pPr>
        <w:spacing w:after="0" w:line="71" w:lineRule="exact"/>
        <w:rPr>
          <w:rFonts w:ascii="Arial" w:cs="Arial" w:eastAsia="Arial" w:hAnsi="Arial"/>
          <w:sz w:val="16"/>
          <w:szCs w:val="16"/>
          <w:color w:val="auto"/>
        </w:rPr>
      </w:pPr>
    </w:p>
    <w:p>
      <w:pPr>
        <w:ind w:left="460" w:right="260" w:firstLine="443"/>
        <w:spacing w:after="0" w:line="268" w:lineRule="auto"/>
        <w:tabs>
          <w:tab w:leader="none" w:pos="1157" w:val="left"/>
        </w:tabs>
        <w:numPr>
          <w:ilvl w:val="1"/>
          <w:numId w:val="22"/>
        </w:numPr>
        <w:rPr>
          <w:rFonts w:ascii="Arial" w:cs="Arial" w:eastAsia="Arial" w:hAnsi="Arial"/>
          <w:sz w:val="18"/>
          <w:szCs w:val="18"/>
          <w:color w:val="auto"/>
        </w:rPr>
      </w:pPr>
      <w:r>
        <w:rPr>
          <w:rFonts w:ascii="Arial" w:cs="Arial" w:eastAsia="Arial" w:hAnsi="Arial"/>
          <w:sz w:val="18"/>
          <w:szCs w:val="18"/>
          <w:color w:val="auto"/>
        </w:rPr>
        <w:t>if the Determination is to be made by the Company’s outside legal counsel, such Determination shall be made and amounts owed shall be paid not later than 30 days after a Request is delivered to the Company by the Indemnitee; and</w:t>
      </w:r>
    </w:p>
    <w:p>
      <w:pPr>
        <w:spacing w:after="0" w:line="118" w:lineRule="exact"/>
        <w:rPr>
          <w:rFonts w:ascii="Arial" w:cs="Arial" w:eastAsia="Arial" w:hAnsi="Arial"/>
          <w:sz w:val="18"/>
          <w:szCs w:val="18"/>
          <w:color w:val="auto"/>
        </w:rPr>
      </w:pPr>
    </w:p>
    <w:p>
      <w:pPr>
        <w:ind w:left="460" w:right="160" w:firstLine="443"/>
        <w:spacing w:after="0" w:line="256" w:lineRule="auto"/>
        <w:tabs>
          <w:tab w:leader="none" w:pos="12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if the Determination is to be made by the Company’s shareholders, such Determination shall be made and amounts owed shall be paid not later than 90 days after a Request is delivered to the Company by the Indemnitee; provided, that the Company may take up to 150 days to pay Indemnitee pursuant to this subsection (iii) if the Securities and Exchange Commission decides to review and comment on the Company’s proxy statement relating to such Request.</w:t>
      </w:r>
    </w:p>
    <w:p>
      <w:pPr>
        <w:spacing w:after="0" w:line="13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The failure to make a Determination within the above-specified time period shall constitute a Determination that full indemnification is not limited or prohibited by Section 3 hereof.</w:t>
      </w:r>
    </w:p>
    <w:p>
      <w:pPr>
        <w:spacing w:after="0" w:line="118" w:lineRule="exact"/>
        <w:rPr>
          <w:sz w:val="20"/>
          <w:szCs w:val="20"/>
          <w:color w:val="auto"/>
        </w:rPr>
      </w:pPr>
    </w:p>
    <w:p>
      <w:pPr>
        <w:ind w:right="60" w:firstLine="464"/>
        <w:spacing w:after="0" w:line="298" w:lineRule="auto"/>
        <w:tabs>
          <w:tab w:leader="none" w:pos="705" w:val="left"/>
        </w:tabs>
        <w:numPr>
          <w:ilvl w:val="0"/>
          <w:numId w:val="23"/>
        </w:numPr>
        <w:rPr>
          <w:rFonts w:ascii="Arial" w:cs="Arial" w:eastAsia="Arial" w:hAnsi="Arial"/>
          <w:sz w:val="16"/>
          <w:szCs w:val="16"/>
          <w:color w:val="auto"/>
        </w:rPr>
      </w:pPr>
      <w:r>
        <w:rPr>
          <w:rFonts w:ascii="Arial" w:cs="Arial" w:eastAsia="Arial" w:hAnsi="Arial"/>
          <w:sz w:val="16"/>
          <w:szCs w:val="16"/>
          <w:color w:val="auto"/>
        </w:rPr>
        <w:t>Shareholder Vote on Determination. In connection with each meeting at which a Shareholder Determination will be made, the Company shall solicit proxies that expressly include a proposal to indemnify or reimburse the Indemnitee. The Board will not recommend against indemnification or reimbursement in any proxy statement relating to the proposal to indemnify or reimburse the Indemnitee unless it determines that it must do so as a result of its fiduciary duties and applicable law based upon written determinations of fact by a committee comprised of Disinterested Directors and written advice of outside legal counsel.</w:t>
      </w:r>
    </w:p>
    <w:p>
      <w:pPr>
        <w:spacing w:after="0" w:line="99" w:lineRule="exact"/>
        <w:rPr>
          <w:rFonts w:ascii="Arial" w:cs="Arial" w:eastAsia="Arial" w:hAnsi="Arial"/>
          <w:sz w:val="16"/>
          <w:szCs w:val="16"/>
          <w:color w:val="auto"/>
        </w:rPr>
      </w:pPr>
    </w:p>
    <w:p>
      <w:pPr>
        <w:ind w:right="20" w:firstLine="464"/>
        <w:spacing w:after="0" w:line="253" w:lineRule="auto"/>
        <w:tabs>
          <w:tab w:leader="none" w:pos="666"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Right of Indemnitee to Appeal an Adverse Determination by Board or Committee. If a Determination is made by the Board or a committee thereof or by legal counsel that all or any portion of a request for indemnification pursuant to this Agreement is prohibited by Section 3 hereof or by applicable law, such Determination shall not preclude the Indemnitee from seeking court-ordered indemnification or reimbursement pursuant to the Florida Statute, the Articles, the Bylaws, this Agreement or otherwise. Neither the failure of the Company, its Board of Directors, any committee thereof, legal counsel or the Company’s shareholders to have made the Determination or an actual Determination by any of the foregoing that indemnification of the Indemnitee is prohibited under Section 3 hereof or by applicable law shall establish or create a presumption that the Indemnitee has not met the applicable standard of conduct entitling Indemnitee to indemnification.</w:t>
      </w:r>
    </w:p>
    <w:p>
      <w:pPr>
        <w:sectPr>
          <w:pgSz w:w="11900" w:h="16838" w:orient="portrait"/>
          <w:cols w:equalWidth="0" w:num="1">
            <w:col w:w="11420"/>
          </w:cols>
          <w:pgMar w:left="240" w:top="280" w:right="239" w:bottom="1440" w:gutter="0" w:footer="0" w:header="0"/>
        </w:sectPr>
      </w:pPr>
    </w:p>
    <w:bookmarkStart w:id="25" w:name="page26"/>
    <w:bookmarkEnd w:id="25"/>
    <w:p>
      <w:pPr>
        <w:jc w:val="both"/>
        <w:ind w:left="-464" w:right="180" w:firstLine="464"/>
        <w:spacing w:after="0" w:line="306" w:lineRule="auto"/>
        <w:tabs>
          <w:tab w:leader="none" w:pos="202"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 of Indemnitee to Select Forum for Determination. If a Change in Control has occurred, the person asserting the right to indemnification shall be entitled to select the method of making the Determination described in Section 5, which may be made by any method authorized pursuant to applicable law. As used herein, Change in Control means the occurrence of an event which results in any of the following:</w:t>
      </w:r>
    </w:p>
    <w:p>
      <w:pPr>
        <w:spacing w:after="0" w:line="93" w:lineRule="exact"/>
        <w:rPr>
          <w:rFonts w:ascii="Arial" w:cs="Arial" w:eastAsia="Arial" w:hAnsi="Arial"/>
          <w:sz w:val="16"/>
          <w:szCs w:val="16"/>
          <w:color w:val="auto"/>
        </w:rPr>
      </w:pPr>
    </w:p>
    <w:p>
      <w:pPr>
        <w:ind w:left="-4" w:right="120" w:firstLine="443"/>
        <w:spacing w:after="0" w:line="256" w:lineRule="auto"/>
        <w:tabs>
          <w:tab w:leader="none" w:pos="64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person or “group” as defined in Section 13(d)(3) of the Securities Exchange Act of 1934, as amended (the “1934 Act”), but excluding any employee benefit plan or plans of the Company and its subsidiaries, becomes the beneficial owner, directly or indirectly, of twenty percent (20%) or more of the combined voting power of the Company’s outstanding voting securities ordinarily having the right to vote for the election of directors of the Company;</w:t>
      </w:r>
    </w:p>
    <w:p>
      <w:pPr>
        <w:spacing w:after="0" w:line="129" w:lineRule="exact"/>
        <w:rPr>
          <w:rFonts w:ascii="Arial" w:cs="Arial" w:eastAsia="Arial" w:hAnsi="Arial"/>
          <w:sz w:val="18"/>
          <w:szCs w:val="18"/>
          <w:color w:val="auto"/>
        </w:rPr>
      </w:pPr>
    </w:p>
    <w:p>
      <w:pPr>
        <w:ind w:left="-4" w:firstLine="443"/>
        <w:spacing w:after="0" w:line="259" w:lineRule="auto"/>
        <w:tabs>
          <w:tab w:leader="none" w:pos="6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merger, consolidation, reorganization or similar event of the Company or any of its subsidiaries, as a result of which the holders of the voting stock of the Company immediately prior to such merger, consolidation, reorganization or similar event do not directly or indirectly hold at least fifty-one percent (51%) of the aggregate voting power of the capital stock of the surviving entity; or</w:t>
      </w:r>
    </w:p>
    <w:p>
      <w:pPr>
        <w:spacing w:after="0" w:line="126" w:lineRule="exact"/>
        <w:rPr>
          <w:rFonts w:ascii="Arial" w:cs="Arial" w:eastAsia="Arial" w:hAnsi="Arial"/>
          <w:sz w:val="18"/>
          <w:szCs w:val="18"/>
          <w:color w:val="auto"/>
        </w:rPr>
      </w:pPr>
    </w:p>
    <w:p>
      <w:pPr>
        <w:ind w:left="-4" w:firstLine="443"/>
        <w:spacing w:after="0" w:line="287" w:lineRule="auto"/>
        <w:tabs>
          <w:tab w:leader="none" w:pos="741"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individuals who, as of March 1, 2003 (the “Effective Date”), constitute the Board of Directors of the Company (the “Board” generally and as of the Effective Date the “Incumbent Board”)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 two-thirds (2/3) of the voting seats on any body comparable to a board of directors of such controlling entity, or if there is no body comparable to a board of directors, at least two-thirds (2/3) voting control of such controlling entity); provided that any person becoming a director (or, in the case of a controlling non-corporate entity, obtaining a position comparable to a director or obtaining a voting interest in such entity) subsequent to the Effective Date hereof whose election, or nomination for election, was approved by a vote of the persons comprising at least two-thirds (2/3) of the Incumbent Board (other than an election or nomination of an individual whose initial assumption of office is in connection with an actual or threatened election contest), shall be, for purposes of this Agreement, considered as though such person were a member of the Incumbent Board; or</w:t>
      </w:r>
    </w:p>
    <w:p>
      <w:pPr>
        <w:spacing w:after="0" w:line="109" w:lineRule="exact"/>
        <w:rPr>
          <w:rFonts w:ascii="Arial" w:cs="Arial" w:eastAsia="Arial" w:hAnsi="Arial"/>
          <w:sz w:val="16"/>
          <w:szCs w:val="16"/>
          <w:color w:val="auto"/>
        </w:rPr>
      </w:pPr>
    </w:p>
    <w:p>
      <w:pPr>
        <w:ind w:left="736" w:hanging="297"/>
        <w:spacing w:after="0"/>
        <w:tabs>
          <w:tab w:leader="none" w:pos="736"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there is a liquidation or dissolution of the Company or a sale of all or substantially all of its assets.</w:t>
      </w:r>
    </w:p>
    <w:p>
      <w:pPr>
        <w:spacing w:after="0" w:line="157" w:lineRule="exact"/>
        <w:rPr>
          <w:rFonts w:ascii="Arial" w:cs="Arial" w:eastAsia="Arial" w:hAnsi="Arial"/>
          <w:sz w:val="18"/>
          <w:szCs w:val="18"/>
          <w:color w:val="auto"/>
        </w:rPr>
      </w:pPr>
    </w:p>
    <w:p>
      <w:pPr>
        <w:ind w:left="-464" w:right="20" w:firstLine="464"/>
        <w:spacing w:after="0" w:line="256" w:lineRule="auto"/>
        <w:tabs>
          <w:tab w:leader="none" w:pos="24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Access by the Indemnitee to Determination. The Company shall afford the Indemnitee and his representatives ample opportunity to present evidence of the facts upon which the Indemnitee relies for indemnification or reimbursement, together with other information relating to any requested Determination. The Company shall also afford the Indemnitee the reasonable opportunity to include such evidence and information in any Company proxy statement relating to a Shareholder Determination.</w:t>
      </w:r>
    </w:p>
    <w:p>
      <w:pPr>
        <w:sectPr>
          <w:pgSz w:w="11900" w:h="16838" w:orient="portrait"/>
          <w:cols w:equalWidth="0" w:num="1">
            <w:col w:w="10916"/>
          </w:cols>
          <w:pgMar w:left="704" w:top="280" w:right="279" w:bottom="1440" w:gutter="0" w:footer="0" w:header="0"/>
        </w:sectPr>
      </w:pPr>
    </w:p>
    <w:bookmarkStart w:id="26" w:name="page27"/>
    <w:bookmarkEnd w:id="26"/>
    <w:p>
      <w:pPr>
        <w:ind w:left="-464" w:firstLine="464"/>
        <w:spacing w:after="0" w:line="286" w:lineRule="auto"/>
        <w:tabs>
          <w:tab w:leader="none" w:pos="168"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Contribution. (a) If the indemnification provided in Sections 1 and 2 hereof is unavailable and may not be paid to the Indemnitee for any reason other than those set forth in Section 3 hereof, then in respect of any threatened, pending or completed action, suit or proceeding in which the Company is jointly liable with the Indemnitee (or would be if joined in such action, suit or proceeding), the Company shall contribute to the amount of expenses, judgments, fines and settlements paid or payable by the Indemnitee in such proportion as is appropriate to reflect (i) the relative benefits received by the Company and any corporation, partnership, joint venture, trust, employee benefit plan or other enterprise controlled by the Company or any such entity or for the benefit of any of their employees on the one hand and the Indemnitee on the other hand from the transaction from which such action, suit or proceeding arose, and (ii) the relative fault of the Company and any such corporation, partnership, joint venture, trust, employee benefit plan or other enterprise on the one hand and of the Indemnitee on the other in connection with the events that resulted in such expenses, judgments, fines or settlement amounts. The relative fault of the Company and any corporation, partnership, joint venture, trust, employee benefit plan or other enterprise controlled by the Company or any such entity or for the benefit of any of their employees on the one hand and of the Indemnitee on the other shall be determined by reference to, among other things, the parties’ relative intent, knowledge, access to information and opportunity to correct or prevent the circumstances resulting in such expenses, judgments, fines or settlement amounts. The Company agrees that it would not be just and equitable if contribution pursuant to this Section 6 were determined by pro rata allocation or any other method of allocation that does not take into account the foregoing equitable considerations.</w:t>
      </w:r>
    </w:p>
    <w:p>
      <w:pPr>
        <w:spacing w:after="0" w:line="107" w:lineRule="exact"/>
        <w:rPr>
          <w:rFonts w:ascii="Arial" w:cs="Arial" w:eastAsia="Arial" w:hAnsi="Arial"/>
          <w:sz w:val="16"/>
          <w:szCs w:val="16"/>
          <w:color w:val="auto"/>
        </w:rPr>
      </w:pPr>
    </w:p>
    <w:p>
      <w:pPr>
        <w:ind w:left="696" w:hanging="257"/>
        <w:spacing w:after="0"/>
        <w:tabs>
          <w:tab w:leader="none" w:pos="6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determination as to the amount of the contribution, if any, shall be made by:</w:t>
      </w:r>
    </w:p>
    <w:p>
      <w:pPr>
        <w:spacing w:after="0" w:line="157" w:lineRule="exact"/>
        <w:rPr>
          <w:rFonts w:ascii="Arial" w:cs="Arial" w:eastAsia="Arial" w:hAnsi="Arial"/>
          <w:sz w:val="18"/>
          <w:szCs w:val="18"/>
          <w:color w:val="auto"/>
        </w:rPr>
      </w:pPr>
    </w:p>
    <w:p>
      <w:pPr>
        <w:ind w:left="456" w:firstLine="421"/>
        <w:spacing w:after="0" w:line="268" w:lineRule="auto"/>
        <w:tabs>
          <w:tab w:leader="none" w:pos="1085" w:val="left"/>
        </w:tabs>
        <w:numPr>
          <w:ilvl w:val="3"/>
          <w:numId w:val="25"/>
        </w:numPr>
        <w:rPr>
          <w:rFonts w:ascii="Arial" w:cs="Arial" w:eastAsia="Arial" w:hAnsi="Arial"/>
          <w:sz w:val="18"/>
          <w:szCs w:val="18"/>
          <w:color w:val="auto"/>
        </w:rPr>
      </w:pPr>
      <w:r>
        <w:rPr>
          <w:rFonts w:ascii="Arial" w:cs="Arial" w:eastAsia="Arial" w:hAnsi="Arial"/>
          <w:sz w:val="18"/>
          <w:szCs w:val="18"/>
          <w:color w:val="auto"/>
        </w:rPr>
        <w:t>a court of competent jurisdiction upon the application of both the Indemnitee and the Company (if an action or suit had been brought in, and final determination had been rendered by, such court);</w:t>
      </w:r>
    </w:p>
    <w:p>
      <w:pPr>
        <w:spacing w:after="0" w:line="118" w:lineRule="exact"/>
        <w:rPr>
          <w:rFonts w:ascii="Arial" w:cs="Arial" w:eastAsia="Arial" w:hAnsi="Arial"/>
          <w:sz w:val="18"/>
          <w:szCs w:val="18"/>
          <w:color w:val="auto"/>
        </w:rPr>
      </w:pPr>
    </w:p>
    <w:p>
      <w:pPr>
        <w:ind w:left="1136" w:hanging="259"/>
        <w:spacing w:after="0"/>
        <w:tabs>
          <w:tab w:leader="none" w:pos="1136" w:val="left"/>
        </w:tabs>
        <w:numPr>
          <w:ilvl w:val="3"/>
          <w:numId w:val="25"/>
        </w:numPr>
        <w:rPr>
          <w:rFonts w:ascii="Arial" w:cs="Arial" w:eastAsia="Arial" w:hAnsi="Arial"/>
          <w:sz w:val="16"/>
          <w:szCs w:val="16"/>
          <w:color w:val="auto"/>
        </w:rPr>
      </w:pPr>
      <w:r>
        <w:rPr>
          <w:rFonts w:ascii="Arial" w:cs="Arial" w:eastAsia="Arial" w:hAnsi="Arial"/>
          <w:sz w:val="16"/>
          <w:szCs w:val="16"/>
          <w:color w:val="auto"/>
        </w:rPr>
        <w:t>subject to the second sentence of clause (iii) below, the Board by a majority vote of a quorum consisting of Disinterested Directors; or</w:t>
      </w:r>
    </w:p>
    <w:p>
      <w:pPr>
        <w:spacing w:after="0" w:line="180" w:lineRule="exact"/>
        <w:rPr>
          <w:rFonts w:ascii="Arial" w:cs="Arial" w:eastAsia="Arial" w:hAnsi="Arial"/>
          <w:sz w:val="16"/>
          <w:szCs w:val="16"/>
          <w:color w:val="auto"/>
        </w:rPr>
      </w:pPr>
    </w:p>
    <w:p>
      <w:pPr>
        <w:ind w:left="456" w:right="80" w:firstLine="421"/>
        <w:spacing w:after="0" w:line="303" w:lineRule="auto"/>
        <w:tabs>
          <w:tab w:leader="none" w:pos="1183" w:val="left"/>
        </w:tabs>
        <w:numPr>
          <w:ilvl w:val="3"/>
          <w:numId w:val="25"/>
        </w:numPr>
        <w:rPr>
          <w:rFonts w:ascii="Arial" w:cs="Arial" w:eastAsia="Arial" w:hAnsi="Arial"/>
          <w:sz w:val="15"/>
          <w:szCs w:val="15"/>
          <w:color w:val="auto"/>
        </w:rPr>
      </w:pPr>
      <w:r>
        <w:rPr>
          <w:rFonts w:ascii="Arial" w:cs="Arial" w:eastAsia="Arial" w:hAnsi="Arial"/>
          <w:sz w:val="15"/>
          <w:szCs w:val="15"/>
          <w:color w:val="auto"/>
        </w:rPr>
        <w:t>outside counsel of the Company, if a quorum is not obtainable for purposes of (ii) above, or, even if obtainable, a quorum of Disinterested Directors so directs and selects such counsel. If a Change in Control has occurred, and such determination is not made pursuant to clause (i) above, such determination shall be made by counsel selected by the Indemnitee and reasonably acceptable to the Company; provided, such counsel shall:</w:t>
      </w:r>
    </w:p>
    <w:p>
      <w:pPr>
        <w:spacing w:after="0" w:line="1" w:lineRule="exact"/>
        <w:rPr>
          <w:rFonts w:ascii="Arial" w:cs="Arial" w:eastAsia="Arial" w:hAnsi="Arial"/>
          <w:sz w:val="15"/>
          <w:szCs w:val="15"/>
          <w:color w:val="auto"/>
        </w:rPr>
      </w:pPr>
    </w:p>
    <w:p>
      <w:pPr>
        <w:ind w:left="456" w:right="460" w:firstLine="1"/>
        <w:spacing w:after="0" w:line="255" w:lineRule="auto"/>
        <w:tabs>
          <w:tab w:leader="none" w:pos="704" w:val="left"/>
        </w:tabs>
        <w:numPr>
          <w:ilvl w:val="2"/>
          <w:numId w:val="25"/>
        </w:numPr>
        <w:rPr>
          <w:rFonts w:ascii="Arial" w:cs="Arial" w:eastAsia="Arial" w:hAnsi="Arial"/>
          <w:sz w:val="18"/>
          <w:szCs w:val="18"/>
          <w:color w:val="auto"/>
        </w:rPr>
      </w:pPr>
      <w:r>
        <w:rPr>
          <w:rFonts w:ascii="Arial" w:cs="Arial" w:eastAsia="Arial" w:hAnsi="Arial"/>
          <w:sz w:val="18"/>
          <w:szCs w:val="18"/>
          <w:color w:val="auto"/>
        </w:rPr>
        <w:t>be admitted to practice in the State of Florida; (2) consist of a firm of 100 or more attorneys; (3) be rated “a v” by Martindale-Hubbell Law Directory; and (4) not otherwise have performed services for the Company within the last five (5) years (other than in connection with such determination) or for the Indemnitee.</w:t>
      </w:r>
    </w:p>
    <w:p>
      <w:pPr>
        <w:spacing w:after="0" w:line="130" w:lineRule="exact"/>
        <w:rPr>
          <w:rFonts w:ascii="Arial" w:cs="Arial" w:eastAsia="Arial" w:hAnsi="Arial"/>
          <w:sz w:val="18"/>
          <w:szCs w:val="18"/>
          <w:color w:val="auto"/>
        </w:rPr>
      </w:pPr>
    </w:p>
    <w:p>
      <w:pPr>
        <w:ind w:left="-464" w:right="340" w:firstLine="464"/>
        <w:spacing w:after="0" w:line="332" w:lineRule="auto"/>
        <w:tabs>
          <w:tab w:leader="none" w:pos="168"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Notification and Defense of Claim. Promptly after receipt of notice of the commencement of any action, suit or proceeding, the Indemnitee will, if a claim in respect thereof is to be made against the Company under this Agreement, notify the Company of the commencement thereof but the omission to so</w:t>
      </w:r>
    </w:p>
    <w:p>
      <w:pPr>
        <w:sectPr>
          <w:pgSz w:w="11900" w:h="16838" w:orient="portrait"/>
          <w:cols w:equalWidth="0" w:num="1">
            <w:col w:w="10936"/>
          </w:cols>
          <w:pgMar w:left="704" w:top="280" w:right="259" w:bottom="1440" w:gutter="0" w:footer="0" w:header="0"/>
        </w:sectPr>
      </w:pPr>
    </w:p>
    <w:bookmarkStart w:id="27" w:name="page28"/>
    <w:bookmarkEnd w:id="2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notify the Company will not relieve the Company from any liability that it may have to the Indemnitee except to the extent the Company is actually materially prejudiced thereby and in any event will not relieve the Company from any liability that it may have to the Indemnitee otherwise than under this Agreement. With respect to any such action, suit or proceeding as to which the Indemnitee so notifies the Company:</w:t>
      </w:r>
    </w:p>
    <w:p>
      <w:pPr>
        <w:spacing w:after="0" w:line="127" w:lineRule="exact"/>
        <w:rPr>
          <w:sz w:val="20"/>
          <w:szCs w:val="20"/>
          <w:color w:val="auto"/>
        </w:rPr>
      </w:pPr>
    </w:p>
    <w:p>
      <w:pPr>
        <w:ind w:left="1140" w:hanging="237"/>
        <w:spacing w:after="0"/>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will be entitled to participate therein at its own expense.</w:t>
      </w:r>
    </w:p>
    <w:p>
      <w:pPr>
        <w:spacing w:after="0" w:line="157" w:lineRule="exact"/>
        <w:rPr>
          <w:rFonts w:ascii="Arial" w:cs="Arial" w:eastAsia="Arial" w:hAnsi="Arial"/>
          <w:sz w:val="18"/>
          <w:szCs w:val="18"/>
          <w:color w:val="auto"/>
        </w:rPr>
      </w:pPr>
    </w:p>
    <w:p>
      <w:pPr>
        <w:ind w:left="460" w:right="20" w:firstLine="443"/>
        <w:spacing w:after="0" w:line="287" w:lineRule="auto"/>
        <w:tabs>
          <w:tab w:leader="none" w:pos="1147" w:val="left"/>
        </w:tabs>
        <w:numPr>
          <w:ilvl w:val="1"/>
          <w:numId w:val="26"/>
        </w:numPr>
        <w:rPr>
          <w:rFonts w:ascii="Arial" w:cs="Arial" w:eastAsia="Arial" w:hAnsi="Arial"/>
          <w:sz w:val="16"/>
          <w:szCs w:val="16"/>
          <w:color w:val="auto"/>
        </w:rPr>
      </w:pPr>
      <w:r>
        <w:rPr>
          <w:rFonts w:ascii="Arial" w:cs="Arial" w:eastAsia="Arial" w:hAnsi="Arial"/>
          <w:sz w:val="16"/>
          <w:szCs w:val="16"/>
          <w:color w:val="auto"/>
        </w:rPr>
        <w:t>Except as otherwise provided below, the Company may assume the defense thereof, with counsel satisfactory to the Indemnitee. After notice from the Company to the Indemnitee of its election to assume the defense, the Company will not be liable to the Indemnitee under this Agreement for any legal or other expenses subsequently incurred by the Indemnitee in connection with the defense thereof other than reasonable costs of investigation or as otherwise provided below. The Indemnitee shall have the right to employ his counsel in such action, suit or proceeding, but the fees and expenses of such counsel incurred after notice from the Company of its assumption of the defense thereof shall be at the expense of the Indemnitee unless (i) the employment of counsel by the Indemnitee has been authorized by the Company; (ii) the Indemnitee shall have reasonably concluded that there may be a conflict of interest between the Company and the Indemnitee in the conduct of the defense of such action; or (iii) the Company shall not in fact have employed counsel to assume the defense of such action; in each of which cases the fees and expenses of the Indemnitee’s counsel shall be at the expense of the Company. The Company shall not be entitled to assume the defense of any action, suit or proceeding brought by or on behalf of the Company or as to which the Indemnitee shall have come to the conclusion provided for in (ii) above; and</w:t>
      </w:r>
    </w:p>
    <w:p>
      <w:pPr>
        <w:spacing w:after="0" w:line="109" w:lineRule="exact"/>
        <w:rPr>
          <w:rFonts w:ascii="Arial" w:cs="Arial" w:eastAsia="Arial" w:hAnsi="Arial"/>
          <w:sz w:val="16"/>
          <w:szCs w:val="16"/>
          <w:color w:val="auto"/>
        </w:rPr>
      </w:pPr>
    </w:p>
    <w:p>
      <w:pPr>
        <w:ind w:left="460" w:right="20" w:firstLine="443"/>
        <w:spacing w:after="0" w:line="255" w:lineRule="auto"/>
        <w:tabs>
          <w:tab w:leader="none" w:pos="113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shall not be liable to indemnify the Indemnitee under this Agreement for any amounts paid in settlement of any action or claim effected without its written consent. The Company shall not settle any action or claim in any manner that would impose any penalty or limitation on the Indemnitee without the Indemnitee’s prior written consent. The Company shall not settle any action or claim against an Indemnitee without obtaining a full release of the Indemnitee unless it obtains the Indemnitee’s prior written consent. Neither the Company nor the Indemnitee will unreasonably withhold its or his consent to any proposed settlement.</w:t>
      </w:r>
    </w:p>
    <w:p>
      <w:pPr>
        <w:spacing w:after="0" w:line="129" w:lineRule="exact"/>
        <w:rPr>
          <w:rFonts w:ascii="Arial" w:cs="Arial" w:eastAsia="Arial" w:hAnsi="Arial"/>
          <w:sz w:val="18"/>
          <w:szCs w:val="18"/>
          <w:color w:val="auto"/>
        </w:rPr>
      </w:pPr>
    </w:p>
    <w:p>
      <w:pPr>
        <w:ind w:right="20" w:firstLine="464"/>
        <w:spacing w:after="0" w:line="289" w:lineRule="auto"/>
        <w:tabs>
          <w:tab w:leader="none" w:pos="6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Liability Insurance. So long as the Indemnitee shall continue to serve as an officer or director of the Company (or shall continue at the request of the Company to serve as a director, officer, employee or agent of another corporation, partnership, joint venture, trust or other enterprise), the Company will maintain directors’ and officers’ liability insurance provided that such insurance is available on a commercially reasonable basis. In the event that the Company maintains directors’ and officers’ liability insurance, Indemnitee shall be named as an insured in such manner as to provide Indemnitee the same rights as are accorded to the most favorably insured of the Company’s officers and directors. In addition to and not in limitation of the foregoing, the Company agrees that, following a Change in Control, it will retain directors’ and officers’ liability insurance as favorable as can be reasonably obtained for a period of no less than three years so long as the cost to the Company does not exceed 200% of the greatest per annum amount spent by the Company for such insurance in the five years preceding such Change in Control. The Company agrees that the provisions</w:t>
      </w:r>
    </w:p>
    <w:p>
      <w:pPr>
        <w:sectPr>
          <w:pgSz w:w="11900" w:h="16838" w:orient="portrait"/>
          <w:cols w:equalWidth="0" w:num="1">
            <w:col w:w="11400"/>
          </w:cols>
          <w:pgMar w:left="240" w:top="280" w:right="259" w:bottom="1440" w:gutter="0" w:footer="0" w:header="0"/>
        </w:sectPr>
      </w:pPr>
    </w:p>
    <w:bookmarkStart w:id="28" w:name="page29"/>
    <w:bookmarkEnd w:id="28"/>
    <w:p>
      <w:pPr>
        <w:jc w:val="both"/>
        <w:ind w:right="4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this Agreement shall remain in effect regardless of whether liability or other insurance coverage is at any time obtained or retained by the Company. Any amounts actually paid to and retained by the Indemnitee under an insurance policy shall not thereafter be made the subject of an indemnity claim hereunder.</w:t>
      </w:r>
    </w:p>
    <w:p>
      <w:pPr>
        <w:spacing w:after="0" w:line="49" w:lineRule="exact"/>
        <w:rPr>
          <w:sz w:val="20"/>
          <w:szCs w:val="20"/>
          <w:color w:val="auto"/>
        </w:rPr>
      </w:pPr>
    </w:p>
    <w:p>
      <w:pPr>
        <w:jc w:val="both"/>
        <w:ind w:right="120" w:firstLine="464"/>
        <w:spacing w:after="0" w:line="255" w:lineRule="auto"/>
        <w:tabs>
          <w:tab w:leader="none" w:pos="632"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Disclosure of Payments. Except as required by law or to enforce this Agreement, neither party shall disclose any payments under this Agreement unless prior approval of the other party is obtained. Any payments to the Indemnitee that must be disclosed by law shall, unless otherwise required by law, be described only in Company proxy or information statements relating to special and/or annual meetings of the Company’s shareholders, and the Company shall afford the Indemnitee the reasonable opportunity to review all such disclosures and, if requested, to explain in such statement any mitigating circumstances regarding the events reported.</w:t>
      </w:r>
    </w:p>
    <w:p>
      <w:pPr>
        <w:spacing w:after="0" w:line="129" w:lineRule="exact"/>
        <w:rPr>
          <w:rFonts w:ascii="Arial" w:cs="Arial" w:eastAsia="Arial" w:hAnsi="Arial"/>
          <w:sz w:val="18"/>
          <w:szCs w:val="18"/>
          <w:color w:val="auto"/>
        </w:rPr>
      </w:pPr>
    </w:p>
    <w:p>
      <w:pPr>
        <w:ind w:right="80" w:firstLine="464"/>
        <w:spacing w:after="0" w:line="291"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Continuation of Obligations. All agreements and obligations of the Company contained herein shall continue during the period the Indemnitee is a director, officer, employee or agent of the Company (or is serving at the request of the Company another corporation, partnership, joint venture, trust, employee benefit plan or other enterprise) as a director, officer, employee or agent or in any other capacity, and shall continue thereafter for so long as the Indemnitee shall be subject to any possible claim or threatened, pending or completed action, suit or proceeding, whether civil, criminal or investigative, by reason of the fact that the Indemnitee was an officer or director of the Company or serving in any other capacity referred to herein, whether or not the Indemnitee has ceased to serve in any such capacity, due to his resignation, removal by vote of directors or shareholders, termination, death, disability or otherwise.</w:t>
      </w:r>
    </w:p>
    <w:p>
      <w:pPr>
        <w:spacing w:after="0" w:line="106" w:lineRule="exact"/>
        <w:rPr>
          <w:rFonts w:ascii="Arial" w:cs="Arial" w:eastAsia="Arial" w:hAnsi="Arial"/>
          <w:sz w:val="16"/>
          <w:szCs w:val="16"/>
          <w:color w:val="auto"/>
        </w:rPr>
      </w:pPr>
    </w:p>
    <w:p>
      <w:pPr>
        <w:ind w:right="20" w:firstLine="464"/>
        <w:spacing w:after="0" w:line="306" w:lineRule="auto"/>
        <w:tabs>
          <w:tab w:leader="none" w:pos="713"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Enforcement. (a) The Company expressly confirms and agrees that it has entered into this Agreement and assumed the obligations imposed on it hereby in order to induce the Indemnitee to serve or to continue to serve as a director and/or officer of the Company and/or a subsidiary of the Company, and acknowledges that the Indemnitee is relying upon this Agreement in agreeing to serve or to continue to serve in such capacity.</w:t>
      </w:r>
    </w:p>
    <w:p>
      <w:pPr>
        <w:spacing w:after="0" w:line="93" w:lineRule="exact"/>
        <w:rPr>
          <w:sz w:val="20"/>
          <w:szCs w:val="20"/>
          <w:color w:val="auto"/>
        </w:rPr>
      </w:pPr>
    </w:p>
    <w:p>
      <w:pPr>
        <w:ind w:left="460" w:firstLine="4"/>
        <w:spacing w:after="0" w:line="306" w:lineRule="auto"/>
        <w:tabs>
          <w:tab w:leader="none" w:pos="709"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 event the Indemnitee is required to bring any action to enforce his rights or to collect monies due under this Agreement and is successful in such action, the Company shall reimburse the Indemnitee for all of the Indemnitee’s fees and expenses in bringing and pursuing such action, including attorneys’ fees (including trial, appellate and other attorneys’ fees), court costs and other related expenses.</w:t>
      </w:r>
    </w:p>
    <w:p>
      <w:pPr>
        <w:spacing w:after="0" w:line="93" w:lineRule="exact"/>
        <w:rPr>
          <w:sz w:val="20"/>
          <w:szCs w:val="20"/>
          <w:color w:val="auto"/>
        </w:rPr>
      </w:pPr>
    </w:p>
    <w:p>
      <w:pPr>
        <w:ind w:right="300" w:firstLine="464"/>
        <w:spacing w:after="0" w:line="268"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Miscellaneous. (a) Cooperation and Intent. The Company shall cooperate in good faith with the Indemnitee and use its best efforts to ensure that the Indemnitee is indemnified and/or reimbursed for expenses as described herein to the fullest extent permitted by law.</w:t>
      </w:r>
    </w:p>
    <w:p>
      <w:pPr>
        <w:spacing w:after="0" w:line="118" w:lineRule="exact"/>
        <w:rPr>
          <w:sz w:val="20"/>
          <w:szCs w:val="20"/>
          <w:color w:val="auto"/>
        </w:rPr>
      </w:pPr>
    </w:p>
    <w:p>
      <w:pPr>
        <w:jc w:val="both"/>
        <w:ind w:left="460" w:right="240" w:firstLine="4"/>
        <w:spacing w:after="0" w:line="259" w:lineRule="auto"/>
        <w:tabs>
          <w:tab w:leader="none" w:pos="709"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Service at the Request of the Company. For purposes of this Agreement, the term “Company” shall include any predecessor of the Company and any constituent corporation (including any constituent of a constituent) absorbed by the Company in a consolidation or merger. Any director or officer of the Company serving (i) another corporation, partnership, joint venture, trust or other</w:t>
      </w:r>
    </w:p>
    <w:p>
      <w:pPr>
        <w:sectPr>
          <w:pgSz w:w="11900" w:h="16838" w:orient="portrait"/>
          <w:cols w:equalWidth="0" w:num="1">
            <w:col w:w="11420"/>
          </w:cols>
          <w:pgMar w:left="240" w:top="280" w:right="239" w:bottom="1440" w:gutter="0" w:footer="0" w:header="0"/>
        </w:sectPr>
      </w:pPr>
    </w:p>
    <w:bookmarkStart w:id="29" w:name="page30"/>
    <w:bookmarkEnd w:id="29"/>
    <w:p>
      <w:pPr>
        <w:ind w:left="460"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enterprise, of which a majority of the equity interests entitled to vote in the election of its directors or the equivalent is controlled by the Company, or (ii) any employee benefit plan of the Company or any entity referred to in clause (i), in any capacity shall be deemed to be doing so at the request of the Company and action by a person with respect to any employee benefit plan which such person reasonably believes to be in the interest of the participants and beneficiaries of such plan shall be deemed to be action not opposed to the best interests of the Company.</w:t>
      </w:r>
    </w:p>
    <w:p>
      <w:pPr>
        <w:spacing w:after="0" w:line="18" w:lineRule="exact"/>
        <w:rPr>
          <w:sz w:val="20"/>
          <w:szCs w:val="20"/>
          <w:color w:val="auto"/>
        </w:rPr>
      </w:pPr>
    </w:p>
    <w:p>
      <w:pPr>
        <w:ind w:left="460" w:right="60" w:firstLine="4"/>
        <w:spacing w:after="0" w:line="298" w:lineRule="auto"/>
        <w:tabs>
          <w:tab w:leader="none" w:pos="699"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Nonexclusivity; Subrogation; Entire Agreement. The rights of indemnification and reimbursement provided in this Agreement shall be in addition to any rights to which the Indemnitee may otherwise be entitled by the Florida Statute, the Articles, the Bylaws, a vote of the Company’s shareholders, or otherwise. The Company shall not be liable under this Agreement to make any payment of amounts otherwise indemnifiable hereunder if and to the extent that the Indemnitee has otherwise actually received such payment under any insurance policy, contract, agreement or otherwise.</w:t>
      </w:r>
    </w:p>
    <w:p>
      <w:pPr>
        <w:spacing w:after="0" w:line="18" w:lineRule="exact"/>
        <w:rPr>
          <w:rFonts w:ascii="Arial" w:cs="Arial" w:eastAsia="Arial" w:hAnsi="Arial"/>
          <w:sz w:val="16"/>
          <w:szCs w:val="16"/>
          <w:color w:val="auto"/>
        </w:rPr>
      </w:pPr>
    </w:p>
    <w:p>
      <w:pPr>
        <w:ind w:left="460" w:right="60" w:firstLine="4"/>
        <w:spacing w:after="0" w:line="268" w:lineRule="auto"/>
        <w:tabs>
          <w:tab w:leader="none" w:pos="7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 Date. The provisions of this Agreement shall cover claims, actions, suits, and proceedings whether now pending or hereafter commenced and shall be retroactive to cover acts or omissions or alleged acts or omissions that heretofore have taken place.</w:t>
      </w:r>
    </w:p>
    <w:p>
      <w:pPr>
        <w:spacing w:after="0" w:line="37" w:lineRule="exact"/>
        <w:rPr>
          <w:rFonts w:ascii="Arial" w:cs="Arial" w:eastAsia="Arial" w:hAnsi="Arial"/>
          <w:sz w:val="18"/>
          <w:szCs w:val="18"/>
          <w:color w:val="auto"/>
        </w:rPr>
      </w:pPr>
    </w:p>
    <w:p>
      <w:pPr>
        <w:ind w:left="460" w:firstLine="4"/>
        <w:spacing w:after="0" w:line="294" w:lineRule="auto"/>
        <w:tabs>
          <w:tab w:leader="none" w:pos="699"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Severability; Reformation. Each of the provisions of this Agreement is a separate and distinct agreement and independent of the others, so that if any provision hereof shall be held to be invalid or unenforceable in whole or in part for any reason, such invalidity or unenforceability shall not affect the validity or enforceability of the other provisions hereof. In the event that all or any portion of this Agreement is ever held void or unenforceable by a court of competent jurisdiction, then the parties hereto hereby expressly authorize such court to modify any provision(s) held void or unenforceable to the extent, and only to the extent, necessary to render it valid and enforceable.</w:t>
      </w:r>
    </w:p>
    <w:p>
      <w:pPr>
        <w:spacing w:after="0" w:line="21" w:lineRule="exact"/>
        <w:rPr>
          <w:rFonts w:ascii="Arial" w:cs="Arial" w:eastAsia="Arial" w:hAnsi="Arial"/>
          <w:sz w:val="16"/>
          <w:szCs w:val="16"/>
          <w:color w:val="auto"/>
        </w:rPr>
      </w:pPr>
    </w:p>
    <w:p>
      <w:pPr>
        <w:jc w:val="both"/>
        <w:ind w:left="460" w:right="380" w:firstLine="4"/>
        <w:spacing w:after="0" w:line="259" w:lineRule="auto"/>
        <w:tabs>
          <w:tab w:leader="none" w:pos="6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Notices. All notices, requests, demands and other communications hereunder shall be in writing and shall be deemed to have been duly given if (i) delivered by hand and receipted for by the party to whom said notice or other communication is directed, or (ii) mailed by certified or registered mail, postage prepaid, on the third business day after the date on which it is so mailed:</w:t>
      </w:r>
    </w:p>
    <w:p>
      <w:pPr>
        <w:spacing w:after="0" w:line="12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the Indemnitee: To the address set forth on the signature page hereof.</w:t>
      </w:r>
    </w:p>
    <w:p>
      <w:pPr>
        <w:spacing w:after="0" w:line="15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If to the Company:</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World Fuel Services Corporation</w:t>
      </w:r>
    </w:p>
    <w:p>
      <w:pPr>
        <w:ind w:left="1880"/>
        <w:spacing w:after="0" w:line="220" w:lineRule="auto"/>
        <w:rPr>
          <w:sz w:val="20"/>
          <w:szCs w:val="20"/>
          <w:color w:val="auto"/>
        </w:rPr>
      </w:pPr>
      <w:r>
        <w:rPr>
          <w:rFonts w:ascii="Arial" w:cs="Arial" w:eastAsia="Arial" w:hAnsi="Arial"/>
          <w:sz w:val="18"/>
          <w:szCs w:val="18"/>
          <w:color w:val="auto"/>
        </w:rPr>
        <w:t>9800 NW 41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Street, Suite 400</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Miami, FL 33178</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Attn: 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may have been furnished by either party to the other.</w:t>
      </w:r>
    </w:p>
    <w:p>
      <w:pPr>
        <w:sectPr>
          <w:pgSz w:w="11900" w:h="16838" w:orient="portrait"/>
          <w:cols w:equalWidth="0" w:num="1">
            <w:col w:w="11380"/>
          </w:cols>
          <w:pgMar w:left="240" w:top="280" w:right="279" w:bottom="1440" w:gutter="0" w:footer="0" w:header="0"/>
        </w:sectPr>
      </w:pPr>
    </w:p>
    <w:bookmarkStart w:id="30" w:name="page31"/>
    <w:bookmarkEnd w:id="30"/>
    <w:p>
      <w:pPr>
        <w:ind w:right="400" w:firstLine="4"/>
        <w:spacing w:after="0" w:line="268" w:lineRule="auto"/>
        <w:tabs>
          <w:tab w:leader="none" w:pos="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 or Modifications. This Agreement may not be amended or modified in any way except by a written instrument executed by all of the parties.</w:t>
      </w:r>
    </w:p>
    <w:p>
      <w:pPr>
        <w:spacing w:after="0" w:line="118" w:lineRule="exact"/>
        <w:rPr>
          <w:rFonts w:ascii="Arial" w:cs="Arial" w:eastAsia="Arial" w:hAnsi="Arial"/>
          <w:sz w:val="18"/>
          <w:szCs w:val="18"/>
          <w:color w:val="auto"/>
        </w:rPr>
      </w:pPr>
    </w:p>
    <w:p>
      <w:pPr>
        <w:ind w:right="400" w:firstLine="4"/>
        <w:spacing w:after="0" w:line="332" w:lineRule="auto"/>
        <w:tabs>
          <w:tab w:leader="none" w:pos="2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Governing Law. This Agreement shall be governed by, interpreted and enforced in accordance with the laws of the State of Florida, without giving effect to any principles of conflicts of law thereof which would result in the application of the laws of another jurisdiction.</w:t>
      </w:r>
    </w:p>
    <w:p>
      <w:pPr>
        <w:spacing w:after="0" w:line="71" w:lineRule="exact"/>
        <w:rPr>
          <w:rFonts w:ascii="Arial" w:cs="Arial" w:eastAsia="Arial" w:hAnsi="Arial"/>
          <w:sz w:val="16"/>
          <w:szCs w:val="16"/>
          <w:color w:val="auto"/>
        </w:rPr>
      </w:pPr>
    </w:p>
    <w:p>
      <w:pPr>
        <w:ind w:right="480" w:firstLine="4"/>
        <w:spacing w:after="0" w:line="332" w:lineRule="auto"/>
        <w:tabs>
          <w:tab w:leader="none" w:pos="21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Successors and Assigns. This Agreement shall be binding upon the Indemnitee and the Company, its successors and assigns, and shall inure to the benefit of the Indemnitee, his heirs, personal representatives and assigns and to the benefit of the Company, its successors and assigns.</w:t>
      </w:r>
    </w:p>
    <w:p>
      <w:pPr>
        <w:spacing w:after="0" w:line="71" w:lineRule="exact"/>
        <w:rPr>
          <w:rFonts w:ascii="Arial" w:cs="Arial" w:eastAsia="Arial" w:hAnsi="Arial"/>
          <w:sz w:val="16"/>
          <w:szCs w:val="16"/>
          <w:color w:val="auto"/>
        </w:rPr>
      </w:pPr>
    </w:p>
    <w:p>
      <w:pPr>
        <w:ind w:right="40" w:firstLine="4"/>
        <w:spacing w:after="0" w:line="259" w:lineRule="auto"/>
        <w:tabs>
          <w:tab w:leader="none" w:pos="2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Identical Counterparts.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26" w:lineRule="exact"/>
        <w:rPr>
          <w:rFonts w:ascii="Arial" w:cs="Arial" w:eastAsia="Arial" w:hAnsi="Arial"/>
          <w:sz w:val="18"/>
          <w:szCs w:val="18"/>
          <w:color w:val="auto"/>
        </w:rPr>
      </w:pPr>
    </w:p>
    <w:p>
      <w:pPr>
        <w:ind w:right="800" w:firstLine="4"/>
        <w:spacing w:after="0" w:line="268" w:lineRule="auto"/>
        <w:tabs>
          <w:tab w:leader="none" w:pos="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Headings. The headings of the sections of this Agreement are inserted for convenience only and shall not be deemed to constitute part of this Agreement or to affect the construction thereof.</w:t>
      </w:r>
    </w:p>
    <w:p>
      <w:pPr>
        <w:spacing w:after="0" w:line="118" w:lineRule="exact"/>
        <w:rPr>
          <w:rFonts w:ascii="Arial" w:cs="Arial" w:eastAsia="Arial" w:hAnsi="Arial"/>
          <w:sz w:val="18"/>
          <w:szCs w:val="18"/>
          <w:color w:val="auto"/>
        </w:rPr>
      </w:pPr>
    </w:p>
    <w:p>
      <w:pPr>
        <w:ind w:firstLine="4"/>
        <w:spacing w:after="0" w:line="294" w:lineRule="auto"/>
        <w:tabs>
          <w:tab w:leader="none" w:pos="21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 JURY TRIAL. THE PARTIES HEREBY KNOWINGLY, VOLUNTARILY AND INTENTIONALLY WAIVE THE RIGHT ANY OF THEM MAY HAVE TO A TRIAL BY JURY IN RESPECT OF ANY LITIGATION BASED HEREON OR ARISING OUT OF, UNDER OR IN CONNECTION WITH THIS AGREEMENT AND ANY DOCUMENT CONTEMPLATED TO BE EXECUTED IN CONJUNCTION HEREWITH, OR ANY COURSE OF CONDUCT, COURSE OF DEALING, STATEMENTS (WHETHER VERBAL OR WRITTEN) OR ACTIONS OF ANY PARTY. THIS PROVISION IS A MATERIAL INDUCEMENT FOR THE PARTIES’ ACCEPTANCE OF THIS AGREEMENT.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on and as of the day and year first above written.</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WORLD FUEL SERVICES CORPORATION</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80010</wp:posOffset>
            </wp:positionV>
            <wp:extent cx="3378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1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80010</wp:posOffset>
            </wp:positionV>
            <wp:extent cx="30530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219"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80010</wp:posOffset>
            </wp:positionV>
            <wp:extent cx="30530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53080" cy="8890"/>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499745</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Indemnitee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80010</wp:posOffset>
            </wp:positionV>
            <wp:extent cx="25901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80010</wp:posOffset>
            </wp:positionV>
            <wp:extent cx="3053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53080" cy="8890"/>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362585</wp:posOffset>
            </wp:positionV>
            <wp:extent cx="30530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ectPr>
          <w:pgSz w:w="11900" w:h="16838" w:orient="portrait"/>
          <w:cols w:equalWidth="0" w:num="1">
            <w:col w:w="10960"/>
          </w:cols>
          <w:pgMar w:left="700" w:top="2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99.3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60" w:type="dxa"/>
            <w:vAlign w:val="bottom"/>
          </w:tcPr>
          <w:p>
            <w:pPr>
              <w:spacing w:after="0"/>
              <w:rPr>
                <w:sz w:val="19"/>
                <w:szCs w:val="19"/>
                <w:color w:val="auto"/>
              </w:rPr>
            </w:pPr>
          </w:p>
        </w:tc>
        <w:tc>
          <w:tcPr>
            <w:tcW w:w="7260" w:type="dxa"/>
            <w:vAlign w:val="bottom"/>
            <w:gridSpan w:val="3"/>
          </w:tcPr>
          <w:p>
            <w:pPr>
              <w:ind w:left="2440"/>
              <w:spacing w:after="0"/>
              <w:rPr>
                <w:sz w:val="20"/>
                <w:szCs w:val="20"/>
                <w:color w:val="auto"/>
              </w:rPr>
            </w:pPr>
            <w:r>
              <w:rPr>
                <w:rFonts w:ascii="Arial" w:cs="Arial" w:eastAsia="Arial" w:hAnsi="Arial"/>
                <w:sz w:val="18"/>
                <w:szCs w:val="18"/>
                <w:b w:val="1"/>
                <w:bCs w:val="1"/>
                <w:color w:val="auto"/>
              </w:rPr>
              <w:t>[Logo of World Fuel Services Corporation]</w:t>
            </w:r>
          </w:p>
        </w:tc>
      </w:tr>
      <w:tr>
        <w:trPr>
          <w:trHeight w:val="326"/>
        </w:trPr>
        <w:tc>
          <w:tcPr>
            <w:tcW w:w="5620" w:type="dxa"/>
            <w:vAlign w:val="bottom"/>
            <w:gridSpan w:val="3"/>
          </w:tcPr>
          <w:p>
            <w:pPr>
              <w:spacing w:after="0"/>
              <w:rPr>
                <w:sz w:val="20"/>
                <w:szCs w:val="20"/>
                <w:color w:val="auto"/>
              </w:rPr>
            </w:pPr>
            <w:r>
              <w:rPr>
                <w:rFonts w:ascii="Arial" w:cs="Arial" w:eastAsia="Arial" w:hAnsi="Arial"/>
                <w:sz w:val="18"/>
                <w:szCs w:val="18"/>
                <w:color w:val="auto"/>
              </w:rPr>
              <w:t>NEWS RELEASE for February 20, 2003 at 8:00 AM EDT</w:t>
            </w:r>
          </w:p>
        </w:tc>
        <w:tc>
          <w:tcPr>
            <w:tcW w:w="3300" w:type="dxa"/>
            <w:vAlign w:val="bottom"/>
          </w:tcPr>
          <w:p>
            <w:pPr>
              <w:spacing w:after="0"/>
              <w:rPr>
                <w:sz w:val="24"/>
                <w:szCs w:val="24"/>
                <w:color w:val="auto"/>
              </w:rPr>
            </w:pPr>
          </w:p>
        </w:tc>
      </w:tr>
      <w:tr>
        <w:trPr>
          <w:trHeight w:val="228"/>
        </w:trPr>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Contact:</w:t>
            </w:r>
          </w:p>
        </w:tc>
        <w:tc>
          <w:tcPr>
            <w:tcW w:w="248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w w:val="99"/>
              </w:rPr>
              <w:t>Allen &amp; Caron Inc</w:t>
            </w:r>
          </w:p>
        </w:tc>
        <w:tc>
          <w:tcPr>
            <w:tcW w:w="1480" w:type="dxa"/>
            <w:vAlign w:val="bottom"/>
          </w:tcPr>
          <w:p>
            <w:pPr>
              <w:spacing w:after="0"/>
              <w:rPr>
                <w:sz w:val="19"/>
                <w:szCs w:val="19"/>
                <w:color w:val="auto"/>
              </w:rPr>
            </w:pPr>
          </w:p>
        </w:tc>
        <w:tc>
          <w:tcPr>
            <w:tcW w:w="3300" w:type="dxa"/>
            <w:vAlign w:val="bottom"/>
          </w:tcPr>
          <w:p>
            <w:pPr>
              <w:ind w:left="980"/>
              <w:spacing w:after="0"/>
              <w:rPr>
                <w:sz w:val="20"/>
                <w:szCs w:val="20"/>
                <w:color w:val="auto"/>
              </w:rPr>
            </w:pPr>
            <w:r>
              <w:rPr>
                <w:rFonts w:ascii="Arial" w:cs="Arial" w:eastAsia="Arial" w:hAnsi="Arial"/>
                <w:sz w:val="18"/>
                <w:szCs w:val="18"/>
                <w:color w:val="auto"/>
                <w:w w:val="88"/>
              </w:rPr>
              <w:t>World Fuel Services Corporation</w:t>
            </w:r>
          </w:p>
        </w:tc>
      </w:tr>
      <w:tr>
        <w:trPr>
          <w:trHeight w:val="216"/>
        </w:trPr>
        <w:tc>
          <w:tcPr>
            <w:tcW w:w="1660" w:type="dxa"/>
            <w:vAlign w:val="bottom"/>
          </w:tcPr>
          <w:p>
            <w:pPr>
              <w:spacing w:after="0"/>
              <w:rPr>
                <w:sz w:val="18"/>
                <w:szCs w:val="18"/>
                <w:color w:val="auto"/>
              </w:rPr>
            </w:pPr>
          </w:p>
        </w:tc>
        <w:tc>
          <w:tcPr>
            <w:tcW w:w="3960" w:type="dxa"/>
            <w:vAlign w:val="bottom"/>
            <w:gridSpan w:val="2"/>
          </w:tcPr>
          <w:p>
            <w:pPr>
              <w:ind w:left="1060"/>
              <w:spacing w:after="0"/>
              <w:rPr>
                <w:sz w:val="20"/>
                <w:szCs w:val="20"/>
                <w:color w:val="auto"/>
              </w:rPr>
            </w:pPr>
            <w:r>
              <w:rPr>
                <w:rFonts w:ascii="Arial" w:cs="Arial" w:eastAsia="Arial" w:hAnsi="Arial"/>
                <w:sz w:val="18"/>
                <w:szCs w:val="18"/>
                <w:color w:val="auto"/>
              </w:rPr>
              <w:t>Michael Mason (Investors)</w:t>
            </w:r>
          </w:p>
        </w:tc>
        <w:tc>
          <w:tcPr>
            <w:tcW w:w="3300" w:type="dxa"/>
            <w:vAlign w:val="bottom"/>
          </w:tcPr>
          <w:p>
            <w:pPr>
              <w:ind w:left="980"/>
              <w:spacing w:after="0"/>
              <w:rPr>
                <w:sz w:val="20"/>
                <w:szCs w:val="20"/>
                <w:color w:val="auto"/>
              </w:rPr>
            </w:pPr>
            <w:r>
              <w:rPr>
                <w:rFonts w:ascii="Arial" w:cs="Arial" w:eastAsia="Arial" w:hAnsi="Arial"/>
                <w:sz w:val="18"/>
                <w:szCs w:val="18"/>
                <w:color w:val="auto"/>
              </w:rPr>
              <w:t>Francis X Shea, CFO &amp; EVP</w:t>
            </w:r>
          </w:p>
        </w:tc>
      </w:tr>
      <w:tr>
        <w:trPr>
          <w:trHeight w:val="216"/>
        </w:trPr>
        <w:tc>
          <w:tcPr>
            <w:tcW w:w="1660" w:type="dxa"/>
            <w:vAlign w:val="bottom"/>
          </w:tcPr>
          <w:p>
            <w:pPr>
              <w:spacing w:after="0"/>
              <w:rPr>
                <w:sz w:val="18"/>
                <w:szCs w:val="18"/>
                <w:color w:val="auto"/>
              </w:rPr>
            </w:pPr>
          </w:p>
        </w:tc>
        <w:tc>
          <w:tcPr>
            <w:tcW w:w="3960" w:type="dxa"/>
            <w:vAlign w:val="bottom"/>
            <w:gridSpan w:val="2"/>
          </w:tcPr>
          <w:p>
            <w:pPr>
              <w:ind w:left="1060"/>
              <w:spacing w:after="0"/>
              <w:rPr>
                <w:sz w:val="20"/>
                <w:szCs w:val="20"/>
                <w:color w:val="auto"/>
              </w:rPr>
            </w:pPr>
            <w:r>
              <w:rPr>
                <w:rFonts w:ascii="Arial" w:cs="Arial" w:eastAsia="Arial" w:hAnsi="Arial"/>
                <w:sz w:val="18"/>
                <w:szCs w:val="18"/>
                <w:color w:val="auto"/>
              </w:rPr>
              <w:t>michaelm@allencaron.com</w:t>
            </w:r>
          </w:p>
        </w:tc>
        <w:tc>
          <w:tcPr>
            <w:tcW w:w="3300" w:type="dxa"/>
            <w:vAlign w:val="bottom"/>
          </w:tcPr>
          <w:p>
            <w:pPr>
              <w:ind w:left="980"/>
              <w:spacing w:after="0"/>
              <w:rPr>
                <w:sz w:val="20"/>
                <w:szCs w:val="20"/>
                <w:color w:val="auto"/>
              </w:rPr>
            </w:pPr>
            <w:r>
              <w:rPr>
                <w:rFonts w:ascii="Arial" w:cs="Arial" w:eastAsia="Arial" w:hAnsi="Arial"/>
                <w:sz w:val="18"/>
                <w:szCs w:val="18"/>
                <w:color w:val="auto"/>
              </w:rPr>
              <w:t>fshea@wfscorp.com</w:t>
            </w:r>
          </w:p>
        </w:tc>
      </w:tr>
      <w:tr>
        <w:trPr>
          <w:trHeight w:val="216"/>
        </w:trPr>
        <w:tc>
          <w:tcPr>
            <w:tcW w:w="1660" w:type="dxa"/>
            <w:vAlign w:val="bottom"/>
          </w:tcPr>
          <w:p>
            <w:pPr>
              <w:spacing w:after="0"/>
              <w:rPr>
                <w:sz w:val="18"/>
                <w:szCs w:val="18"/>
                <w:color w:val="auto"/>
              </w:rPr>
            </w:pPr>
          </w:p>
        </w:tc>
        <w:tc>
          <w:tcPr>
            <w:tcW w:w="2480" w:type="dxa"/>
            <w:vAlign w:val="bottom"/>
          </w:tcPr>
          <w:p>
            <w:pPr>
              <w:ind w:left="1060"/>
              <w:spacing w:after="0"/>
              <w:rPr>
                <w:sz w:val="20"/>
                <w:szCs w:val="20"/>
                <w:color w:val="auto"/>
              </w:rPr>
            </w:pPr>
            <w:r>
              <w:rPr>
                <w:rFonts w:ascii="Arial" w:cs="Arial" w:eastAsia="Arial" w:hAnsi="Arial"/>
                <w:sz w:val="18"/>
                <w:szCs w:val="18"/>
                <w:color w:val="auto"/>
              </w:rPr>
              <w:t>(212) 691-8087</w:t>
            </w:r>
          </w:p>
        </w:tc>
        <w:tc>
          <w:tcPr>
            <w:tcW w:w="1480" w:type="dxa"/>
            <w:vAlign w:val="bottom"/>
          </w:tcPr>
          <w:p>
            <w:pPr>
              <w:spacing w:after="0"/>
              <w:rPr>
                <w:sz w:val="18"/>
                <w:szCs w:val="18"/>
                <w:color w:val="auto"/>
              </w:rPr>
            </w:pPr>
          </w:p>
        </w:tc>
        <w:tc>
          <w:tcPr>
            <w:tcW w:w="3300" w:type="dxa"/>
            <w:vAlign w:val="bottom"/>
          </w:tcPr>
          <w:p>
            <w:pPr>
              <w:ind w:left="980"/>
              <w:spacing w:after="0"/>
              <w:rPr>
                <w:sz w:val="20"/>
                <w:szCs w:val="20"/>
                <w:color w:val="auto"/>
              </w:rPr>
            </w:pPr>
            <w:r>
              <w:rPr>
                <w:rFonts w:ascii="Arial" w:cs="Arial" w:eastAsia="Arial" w:hAnsi="Arial"/>
                <w:sz w:val="18"/>
                <w:szCs w:val="18"/>
                <w:color w:val="auto"/>
              </w:rPr>
              <w:t>(305) 884-2001</w:t>
            </w:r>
          </w:p>
        </w:tc>
      </w:tr>
      <w:tr>
        <w:trPr>
          <w:trHeight w:val="216"/>
        </w:trPr>
        <w:tc>
          <w:tcPr>
            <w:tcW w:w="1660" w:type="dxa"/>
            <w:vAlign w:val="bottom"/>
          </w:tcPr>
          <w:p>
            <w:pPr>
              <w:spacing w:after="0"/>
              <w:rPr>
                <w:sz w:val="18"/>
                <w:szCs w:val="18"/>
                <w:color w:val="auto"/>
              </w:rPr>
            </w:pPr>
          </w:p>
        </w:tc>
        <w:tc>
          <w:tcPr>
            <w:tcW w:w="3960" w:type="dxa"/>
            <w:vAlign w:val="bottom"/>
            <w:gridSpan w:val="2"/>
          </w:tcPr>
          <w:p>
            <w:pPr>
              <w:ind w:left="1060"/>
              <w:spacing w:after="0"/>
              <w:rPr>
                <w:sz w:val="20"/>
                <w:szCs w:val="20"/>
                <w:color w:val="auto"/>
              </w:rPr>
            </w:pPr>
            <w:r>
              <w:rPr>
                <w:rFonts w:ascii="Arial" w:cs="Arial" w:eastAsia="Arial" w:hAnsi="Arial"/>
                <w:sz w:val="18"/>
                <w:szCs w:val="18"/>
                <w:color w:val="auto"/>
              </w:rPr>
              <w:t>Len Hall (Media)</w:t>
            </w:r>
          </w:p>
        </w:tc>
        <w:tc>
          <w:tcPr>
            <w:tcW w:w="330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3960" w:type="dxa"/>
            <w:vAlign w:val="bottom"/>
            <w:gridSpan w:val="2"/>
          </w:tcPr>
          <w:p>
            <w:pPr>
              <w:ind w:left="1060"/>
              <w:spacing w:after="0"/>
              <w:rPr>
                <w:sz w:val="20"/>
                <w:szCs w:val="20"/>
                <w:color w:val="auto"/>
              </w:rPr>
            </w:pPr>
            <w:r>
              <w:rPr>
                <w:rFonts w:ascii="Arial" w:cs="Arial" w:eastAsia="Arial" w:hAnsi="Arial"/>
                <w:sz w:val="18"/>
                <w:szCs w:val="18"/>
                <w:color w:val="auto"/>
              </w:rPr>
              <w:t>len@allencaron.com</w:t>
            </w:r>
          </w:p>
        </w:tc>
        <w:tc>
          <w:tcPr>
            <w:tcW w:w="3300" w:type="dxa"/>
            <w:vAlign w:val="bottom"/>
          </w:tcPr>
          <w:p>
            <w:pPr>
              <w:spacing w:after="0"/>
              <w:rPr>
                <w:sz w:val="18"/>
                <w:szCs w:val="18"/>
                <w:color w:val="auto"/>
              </w:rPr>
            </w:pPr>
          </w:p>
        </w:tc>
      </w:tr>
      <w:tr>
        <w:trPr>
          <w:trHeight w:val="222"/>
        </w:trPr>
        <w:tc>
          <w:tcPr>
            <w:tcW w:w="1660" w:type="dxa"/>
            <w:vAlign w:val="bottom"/>
          </w:tcPr>
          <w:p>
            <w:pPr>
              <w:spacing w:after="0"/>
              <w:rPr>
                <w:sz w:val="19"/>
                <w:szCs w:val="19"/>
                <w:color w:val="auto"/>
              </w:rPr>
            </w:pPr>
          </w:p>
        </w:tc>
        <w:tc>
          <w:tcPr>
            <w:tcW w:w="2480" w:type="dxa"/>
            <w:vAlign w:val="bottom"/>
          </w:tcPr>
          <w:p>
            <w:pPr>
              <w:ind w:left="1060"/>
              <w:spacing w:after="0"/>
              <w:rPr>
                <w:sz w:val="20"/>
                <w:szCs w:val="20"/>
                <w:color w:val="auto"/>
              </w:rPr>
            </w:pPr>
            <w:r>
              <w:rPr>
                <w:rFonts w:ascii="Arial" w:cs="Arial" w:eastAsia="Arial" w:hAnsi="Arial"/>
                <w:sz w:val="18"/>
                <w:szCs w:val="18"/>
                <w:color w:val="auto"/>
              </w:rPr>
              <w:t>(949) 474-4300</w:t>
            </w:r>
          </w:p>
        </w:tc>
        <w:tc>
          <w:tcPr>
            <w:tcW w:w="1480" w:type="dxa"/>
            <w:vAlign w:val="bottom"/>
          </w:tcPr>
          <w:p>
            <w:pPr>
              <w:spacing w:after="0"/>
              <w:rPr>
                <w:sz w:val="19"/>
                <w:szCs w:val="19"/>
                <w:color w:val="auto"/>
              </w:rPr>
            </w:pPr>
          </w:p>
        </w:tc>
        <w:tc>
          <w:tcPr>
            <w:tcW w:w="3300" w:type="dxa"/>
            <w:vAlign w:val="bottom"/>
          </w:tcPr>
          <w:p>
            <w:pPr>
              <w:spacing w:after="0"/>
              <w:rPr>
                <w:sz w:val="19"/>
                <w:szCs w:val="19"/>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 NAMES J. THOMAS PRESBY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BOARD</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Miami Springs, FL (February 20, 2003) . . . World Fuel Services Corporation (NYSE:INT), a global leader in the marketing and financing of aviation and marine fuel products and related services, today announced that it has appointed J. Thomas Presby to their Board of Directors.</w:t>
      </w:r>
    </w:p>
    <w:p>
      <w:pPr>
        <w:spacing w:after="0" w:line="11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Mr. Presby, 63, spent 30 years as a partner in Deloitte &amp; Touche Tohmatsu (DTT), one of the world’s leading public accounting firms, before taking mandatory retirement in June of 2002. At the time of his retirement, Mr. Presby was serving as Deputy Chief Executive Officer of DTT, a position he held since 2001. Prior to that Mr. Presby served as Deputy Chairman and Chief Operating Officer of DTT (1995-2000); Chief Executive Officer (and founder) of Deloitte &amp; Touche Central Europe (1990-1995); Chief Executive Officer Europe (1992-1994) and Managing Partner (and founder), Financial Services Center (1982-1990).</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fast growing international services company we are delighted to have someone of Tom’s extensive global experience join our board,” said Paul H. Stebbins, Chairman and Chief Executive Officer. “His deep international background in finance, financial services, business operations and management will add tremendous value as we work to realize our strategic vision for the future.”</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“Tom Presby is a welcome addition to our board,” said Myles Klein, independent director and chairman of the audit committee. “We are confident he will help us in our efforts to set the standard for best practices in the area of corporate governance and support management in their efforts to grow the business and build shareholder value.”</w:t>
      </w:r>
    </w:p>
    <w:p>
      <w:pPr>
        <w:spacing w:after="0" w:line="12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Mr. Presby currently serves on the following boards: The German Marshall Fund of the USA (Chairman audit committee); GreenPoint Financial Corp. (NYSE), member, audit committee; PracticeWorks (AMEX), Chairman, audit committee. Mr. Presby’s previous board experience includes Rutgers University; Carnegie Mellon University</w:t>
      </w:r>
    </w:p>
    <w:p>
      <w:pPr>
        <w:sectPr>
          <w:pgSz w:w="11900" w:h="16838" w:orient="portrait"/>
          <w:cols w:equalWidth="0" w:num="1">
            <w:col w:w="11420"/>
          </w:cols>
          <w:pgMar w:left="240" w:top="131" w:right="23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MORE – MORE – MORE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WORLD FUEL NAMES J. THOMAS PRESBY TO THE BOARD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2-2-2</w:t>
      </w:r>
    </w:p>
    <w:p>
      <w:pPr>
        <w:spacing w:after="0" w:line="15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Graduate School of Business; the French American Foundation; and numerous US and foreign Deloitte Touche Tohmatsu boards. Mr. Presby is also currently active in commercial dispute resolution, acting as an arbitrator, mediator and expert witness.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World Fuel Services Corporation</w:t>
      </w:r>
    </w:p>
    <w:p>
      <w:pPr>
        <w:spacing w:after="0" w:line="15" w:lineRule="exact"/>
        <w:rPr>
          <w:sz w:val="20"/>
          <w:szCs w:val="20"/>
          <w:color w:val="auto"/>
        </w:rPr>
      </w:pPr>
    </w:p>
    <w:p>
      <w:pPr>
        <w:ind w:right="240" w:firstLine="456"/>
        <w:spacing w:after="0" w:line="295" w:lineRule="auto"/>
        <w:rPr>
          <w:sz w:val="20"/>
          <w:szCs w:val="20"/>
          <w:color w:val="auto"/>
        </w:rPr>
      </w:pPr>
      <w:r>
        <w:rPr>
          <w:rFonts w:ascii="Arial" w:cs="Arial" w:eastAsia="Arial" w:hAnsi="Arial"/>
          <w:sz w:val="16"/>
          <w:szCs w:val="16"/>
          <w:color w:val="auto"/>
        </w:rPr>
        <w:t>Headquartered in Miami Springs, FL, World Fuel Services Corporation is a global leader in the downstream marketing and financing of aviation and marine fuel products and related services. As the marketer of choice in the aviation and shipping industries, World Fuel Services provides fuel and services at more than 1,100 airports and seaports worldwide. With 30 offices strategically located throughout the world, World Fuel Services offers its customers a value-added outsource service for the supply, quality control, logistical support and price risk management of marine and aviation fuel.</w:t>
      </w:r>
    </w:p>
    <w:p>
      <w:pPr>
        <w:spacing w:after="0" w:line="10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company’s global team of market makers provides deep domain expertise in all aspects of marine and aviation fuel management. World Fuel Services’ aviation customers include commercial, passenger and cargo operators as well as corporate clientele. The company’s marine customers include premier blue-chip companies from all segments of the market. For more information, call (305) 884-2001 or visit www.worldfuel.com.</w:t>
      </w:r>
    </w:p>
    <w:p>
      <w:pPr>
        <w:spacing w:after="0" w:line="9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With the exception of historical information in this news release, this document includes forward-looking statements that involve risks and uncertainties, including, but not limited to, quarterly fluctuations in results, the management of growth, fluctuations in world oil prices or foreign currency, major changes in political, economic, regulatory, or environmental conditions, the loss of key customers, suppliers or key members of senior management, uninsured losses, competition, credit risk associated with accounts and notes receivable, and other risks detailed from time to time in the Company’s Securities and Exchange Commission filings. Actual results may differ materially from any forward-looking statements set forth herein.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amp;"/>
      <w:numFmt w:val="bullet"/>
      <w:start w:val="1"/>
    </w:lvl>
  </w:abstractNum>
  <w:abstractNum w:abstractNumId="1">
    <w:nsid w:val="519B500D"/>
    <w:multiLevelType w:val="hybridMultilevel"/>
    <w:lvl w:ilvl="0">
      <w:lvlJc w:val="left"/>
      <w:lvlText w:val="(%1)"/>
      <w:numFmt w:val="lowerLetter"/>
      <w:start w:val="3"/>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1)"/>
      <w:numFmt w:val="lowerLetter"/>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lowerLetter"/>
      <w:start w:val="1"/>
    </w:lvl>
    <w:lvl w:ilvl="1">
      <w:lvlJc w:val="left"/>
      <w:lvlText w:val="(%2)"/>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4"/>
    </w:lvl>
  </w:abstractNum>
  <w:abstractNum w:abstractNumId="8">
    <w:nsid w:val="628C895D"/>
    <w:multiLevelType w:val="hybridMultilevel"/>
    <w:lvl w:ilvl="0">
      <w:lvlJc w:val="left"/>
      <w:lvlText w:val="(%1)"/>
      <w:numFmt w:val="lowerLetter"/>
      <w:start w:val="1"/>
    </w:lvl>
    <w:lvl w:ilvl="1">
      <w:lvlJc w:val="left"/>
      <w:lvlText w:val="%2."/>
      <w:numFmt w:val="decimal"/>
      <w:start w:val="1"/>
    </w:lvl>
  </w:abstractNum>
  <w:abstractNum w:abstractNumId="9">
    <w:nsid w:val="333AB105"/>
    <w:multiLevelType w:val="hybridMultilevel"/>
    <w:lvl w:ilvl="0">
      <w:lvlJc w:val="left"/>
      <w:lvlText w:val="%1"/>
      <w:numFmt w:val="decimal"/>
      <w:start w:val="1"/>
    </w:lvl>
    <w:lvl w:ilvl="1">
      <w:lvlJc w:val="left"/>
      <w:lvlText w:val="(%2)"/>
      <w:numFmt w:val="lowerLetter"/>
      <w:start w:val="4"/>
    </w:lvl>
  </w:abstractNum>
  <w:abstractNum w:abstractNumId="10">
    <w:nsid w:val="721DA317"/>
    <w:multiLevelType w:val="hybridMultilevel"/>
    <w:lvl w:ilvl="0">
      <w:lvlJc w:val="left"/>
      <w:lvlText w:val="%1."/>
      <w:numFmt w:val="decimal"/>
      <w:start w:val="8"/>
    </w:lvl>
    <w:lvl w:ilvl="1">
      <w:lvlJc w:val="left"/>
      <w:lvlText w:val="%2"/>
      <w:numFmt w:val="lowerLetter"/>
      <w:start w:val="1"/>
    </w:lvl>
  </w:abstractNum>
  <w:abstractNum w:abstractNumId="11">
    <w:nsid w:val="2443A858"/>
    <w:multiLevelType w:val="hybridMultilevel"/>
    <w:lvl w:ilvl="0">
      <w:lvlJc w:val="left"/>
      <w:lvlText w:val="(%1)"/>
      <w:numFmt w:val="lowerRoman"/>
      <w:start w:val="1"/>
    </w:lvl>
  </w:abstractNum>
  <w:abstractNum w:abstractNumId="12">
    <w:nsid w:val="2D1D5AE9"/>
    <w:multiLevelType w:val="hybridMultilevel"/>
    <w:lvl w:ilvl="0">
      <w:lvlJc w:val="left"/>
      <w:lvlText w:val="(%1)"/>
      <w:numFmt w:val="lowerRoman"/>
      <w:start w:val="4"/>
    </w:lvl>
  </w:abstractNum>
  <w:abstractNum w:abstractNumId="13">
    <w:nsid w:val="6763845E"/>
    <w:multiLevelType w:val="hybridMultilevel"/>
    <w:lvl w:ilvl="0">
      <w:lvlJc w:val="left"/>
      <w:lvlText w:val="%1."/>
      <w:numFmt w:val="decimal"/>
      <w:start w:val="9"/>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3"/>
    </w:lvl>
    <w:lvl w:ilvl="1">
      <w:lvlJc w:val="left"/>
      <w:lvlText w:val="(%2)"/>
      <w:numFmt w:val="lowerLetter"/>
      <w:start w:val="1"/>
    </w:lvl>
  </w:abstractNum>
  <w:abstractNum w:abstractNumId="16">
    <w:nsid w:val="79838CB2"/>
    <w:multiLevelType w:val="hybridMultilevel"/>
    <w:lvl w:ilvl="0">
      <w:lvlJc w:val="left"/>
      <w:lvlText w:val="%1."/>
      <w:numFmt w:val="decimal"/>
      <w:start w:val="5"/>
    </w:lvl>
    <w:lvl w:ilvl="1">
      <w:lvlJc w:val="left"/>
      <w:lvlText w:val="(%2)"/>
      <w:numFmt w:val="lowerRoman"/>
      <w:start w:val="1"/>
    </w:lvl>
  </w:abstractNum>
  <w:abstractNum w:abstractNumId="17">
    <w:nsid w:val="4353D0CD"/>
    <w:multiLevelType w:val="hybridMultilevel"/>
    <w:lvl w:ilvl="0">
      <w:lvlJc w:val="left"/>
      <w:lvlText w:val="%1"/>
      <w:numFmt w:val="lowerRoman"/>
      <w:start w:val="1"/>
    </w:lvl>
    <w:lvl w:ilvl="1">
      <w:lvlJc w:val="left"/>
      <w:lvlText w:val="%2."/>
      <w:numFmt w:val="decimal"/>
      <w:start w:val="1"/>
    </w:lvl>
  </w:abstractNum>
  <w:abstractNum w:abstractNumId="18">
    <w:nsid w:val="B03E0C6"/>
    <w:multiLevelType w:val="hybridMultilevel"/>
    <w:lvl w:ilvl="0">
      <w:lvlJc w:val="left"/>
      <w:lvlText w:val="(%1)"/>
      <w:numFmt w:val="lowerRoman"/>
      <w:start w:val="4"/>
    </w:lvl>
    <w:lvl w:ilvl="1">
      <w:lvlJc w:val="left"/>
      <w:lvlText w:val="%2"/>
      <w:numFmt w:val="decimal"/>
      <w:start w:val="1"/>
    </w:lvl>
  </w:abstractNum>
  <w:abstractNum w:abstractNumId="19">
    <w:nsid w:val="189A769B"/>
    <w:multiLevelType w:val="hybridMultilevel"/>
    <w:lvl w:ilvl="0">
      <w:lvlJc w:val="left"/>
      <w:lvlText w:val="(%1)"/>
      <w:numFmt w:val="lowerLetter"/>
      <w:start w:val="2"/>
    </w:lvl>
  </w:abstractNum>
  <w:abstractNum w:abstractNumId="20">
    <w:nsid w:val="54E49EB4"/>
    <w:multiLevelType w:val="hybridMultilevel"/>
    <w:lvl w:ilvl="0">
      <w:lvlJc w:val="left"/>
      <w:lvlText w:val="(%1)"/>
      <w:numFmt w:val="lowerLetter"/>
      <w:start w:val="3"/>
    </w:lvl>
  </w:abstractNum>
  <w:abstractNum w:abstractNumId="21">
    <w:nsid w:val="71F32454"/>
    <w:multiLevelType w:val="hybridMultilevel"/>
    <w:lvl w:ilvl="0">
      <w:lvlJc w:val="left"/>
      <w:lvlText w:val="(%1)"/>
      <w:numFmt w:val="lowerLetter"/>
      <w:start w:val="7"/>
    </w:lvl>
    <w:lvl w:ilvl="1">
      <w:lvlJc w:val="left"/>
      <w:lvlText w:val="(%2)"/>
      <w:numFmt w:val="lowerRoman"/>
      <w:start w:val="1"/>
    </w:lvl>
  </w:abstractNum>
  <w:abstractNum w:abstractNumId="22">
    <w:nsid w:val="2CA88611"/>
    <w:multiLevelType w:val="hybridMultilevel"/>
    <w:lvl w:ilvl="0">
      <w:lvlJc w:val="left"/>
      <w:lvlText w:val="(%1)"/>
      <w:numFmt w:val="lowerLetter"/>
      <w:start w:val="8"/>
    </w:lvl>
  </w:abstractNum>
  <w:abstractNum w:abstractNumId="23">
    <w:nsid w:val="836C40E"/>
    <w:multiLevelType w:val="hybridMultilevel"/>
    <w:lvl w:ilvl="0">
      <w:lvlJc w:val="left"/>
      <w:lvlText w:val="(%1)"/>
      <w:numFmt w:val="lowerLetter"/>
      <w:start w:val="10"/>
    </w:lvl>
    <w:lvl w:ilvl="1">
      <w:lvlJc w:val="left"/>
      <w:lvlText w:val="(%2)"/>
      <w:numFmt w:val="lowerRoman"/>
      <w:start w:val="1"/>
    </w:lvl>
  </w:abstractNum>
  <w:abstractNum w:abstractNumId="24">
    <w:nsid w:val="2901D82"/>
    <w:multiLevelType w:val="hybridMultilevel"/>
    <w:lvl w:ilvl="0">
      <w:lvlJc w:val="left"/>
      <w:lvlText w:val="%1."/>
      <w:numFmt w:val="decimal"/>
      <w:start w:val="6"/>
    </w:lvl>
    <w:lvl w:ilvl="1">
      <w:lvlJc w:val="left"/>
      <w:lvlText w:val="(%2)"/>
      <w:numFmt w:val="lowerLetter"/>
      <w:start w:val="2"/>
    </w:lvl>
    <w:lvl w:ilvl="2">
      <w:lvlJc w:val="left"/>
      <w:lvlText w:val="(%3)"/>
      <w:numFmt w:val="decimal"/>
    </w:lvl>
    <w:lvl w:ilvl="3">
      <w:lvlJc w:val="left"/>
      <w:lvlText w:val="(%4)"/>
      <w:numFmt w:val="lowerRoman"/>
      <w:start w:val="1"/>
    </w:lvl>
  </w:abstractNum>
  <w:abstractNum w:abstractNumId="25">
    <w:nsid w:val="3A95F874"/>
    <w:multiLevelType w:val="hybridMultilevel"/>
    <w:lvl w:ilvl="0">
      <w:lvlJc w:val="left"/>
      <w:lvlText w:val="%1"/>
      <w:numFmt w:val="decimal"/>
      <w:start w:val="1"/>
    </w:lvl>
    <w:lvl w:ilvl="1">
      <w:lvlJc w:val="left"/>
      <w:lvlText w:val="(%2)"/>
      <w:numFmt w:val="lowerLetter"/>
      <w:start w:val="1"/>
    </w:lvl>
  </w:abstractNum>
  <w:abstractNum w:abstractNumId="26">
    <w:nsid w:val="8138641"/>
    <w:multiLevelType w:val="hybridMultilevel"/>
    <w:lvl w:ilvl="0">
      <w:lvlJc w:val="left"/>
      <w:lvlText w:val="%1."/>
      <w:numFmt w:val="decimal"/>
      <w:start w:val="8"/>
    </w:lvl>
    <w:lvl w:ilvl="1">
      <w:lvlJc w:val="left"/>
      <w:lvlText w:val="%2"/>
      <w:numFmt w:val="lowerLetter"/>
      <w:start w:val="1"/>
    </w:lvl>
  </w:abstractNum>
  <w:abstractNum w:abstractNumId="27">
    <w:nsid w:val="1E7FF521"/>
    <w:multiLevelType w:val="hybridMultilevel"/>
    <w:lvl w:ilvl="0">
      <w:lvlJc w:val="left"/>
      <w:lvlText w:val="%1."/>
      <w:numFmt w:val="decimal"/>
      <w:start w:val="9"/>
    </w:lvl>
  </w:abstractNum>
  <w:abstractNum w:abstractNumId="28">
    <w:nsid w:val="7C3DBD3D"/>
    <w:multiLevelType w:val="hybridMultilevel"/>
    <w:lvl w:ilvl="0">
      <w:lvlJc w:val="left"/>
      <w:lvlText w:val="(%1)"/>
      <w:numFmt w:val="lowerLetter"/>
      <w:start w:val="2"/>
    </w:lvl>
  </w:abstractNum>
  <w:abstractNum w:abstractNumId="29">
    <w:nsid w:val="737B8DDC"/>
    <w:multiLevelType w:val="hybridMultilevel"/>
    <w:lvl w:ilvl="0">
      <w:lvlJc w:val="left"/>
      <w:lvlText w:val="%1."/>
      <w:numFmt w:val="decimal"/>
      <w:start w:val="12"/>
    </w:lvl>
  </w:abstractNum>
  <w:abstractNum w:abstractNumId="30">
    <w:nsid w:val="6CEAF087"/>
    <w:multiLevelType w:val="hybridMultilevel"/>
    <w:lvl w:ilvl="0">
      <w:lvlJc w:val="left"/>
      <w:lvlText w:val="(%1)"/>
      <w:numFmt w:val="lowerLetter"/>
      <w:start w:val="2"/>
    </w:lvl>
  </w:abstractNum>
  <w:abstractNum w:abstractNumId="31">
    <w:nsid w:val="22221A70"/>
    <w:multiLevelType w:val="hybridMultilevel"/>
    <w:lvl w:ilvl="0">
      <w:lvlJc w:val="left"/>
      <w:lvlText w:val="(%1)"/>
      <w:numFmt w:val="lowerLetter"/>
      <w:start w:val="3"/>
    </w:lvl>
  </w:abstractNum>
  <w:abstractNum w:abstractNumId="32">
    <w:nsid w:val="4516DDE9"/>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2019-12-13T16:33:11Z</dcterms:created>
  <dcterms:modified xsi:type="dcterms:W3CDTF">2019-12-13T16:33:11Z</dcterms:modified>
</cp:coreProperties>
</file>